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__1.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ascii="Arial" w:hAnsi="Arial" w:cs="Arial"/>
          <w:b/>
          <w:bCs/>
          <w:color w:val="000000" w:themeColor="text1"/>
          <w:szCs w:val="20"/>
          <w:lang w:val="en-GB"/>
          <w14:textFill>
            <w14:solidFill>
              <w14:schemeClr w14:val="tx1"/>
            </w14:solidFill>
          </w14:textFill>
        </w:rPr>
      </w:pPr>
      <w:r>
        <w:rPr>
          <w:rFonts w:ascii="Arial" w:hAnsi="Arial" w:cs="Arial"/>
          <w:b/>
          <w:bCs/>
          <w:color w:val="000000" w:themeColor="text1"/>
          <w:szCs w:val="20"/>
          <w:lang w:val="en-GB"/>
          <w14:textFill>
            <w14:solidFill>
              <w14:schemeClr w14:val="tx1"/>
            </w14:solidFill>
          </w14:textFill>
        </w:rPr>
        <w:fldChar w:fldCharType="begin"/>
      </w:r>
      <w:r>
        <w:rPr>
          <w:rFonts w:ascii="Arial" w:hAnsi="Arial" w:cs="Arial"/>
          <w:b/>
          <w:bCs/>
          <w:color w:val="000000" w:themeColor="text1"/>
          <w:szCs w:val="20"/>
          <w:lang w:val="en-GB"/>
          <w14:textFill>
            <w14:solidFill>
              <w14:schemeClr w14:val="tx1"/>
            </w14:solidFill>
          </w14:textFill>
        </w:rPr>
        <w:instrText xml:space="preserve"> MACROBUTTON MTEditEquationSection2 </w:instrText>
      </w:r>
      <w:r>
        <w:rPr>
          <w:rStyle w:val="55"/>
          <w:rFonts w:hint="eastAsia"/>
        </w:rPr>
        <w:instrText xml:space="preserve">公式章 1 节 1</w:instrText>
      </w:r>
      <w:r>
        <w:rPr>
          <w:rFonts w:ascii="Arial" w:hAnsi="Arial" w:cs="Arial"/>
          <w:b/>
          <w:bCs/>
          <w:color w:val="000000" w:themeColor="text1"/>
          <w:szCs w:val="20"/>
          <w:lang w:val="en-GB"/>
          <w14:textFill>
            <w14:solidFill>
              <w14:schemeClr w14:val="tx1"/>
            </w14:solidFill>
          </w14:textFill>
        </w:rPr>
        <w:fldChar w:fldCharType="begin"/>
      </w:r>
      <w:r>
        <w:rPr>
          <w:rFonts w:ascii="Arial" w:hAnsi="Arial" w:cs="Arial"/>
          <w:b/>
          <w:bCs/>
          <w:color w:val="000000" w:themeColor="text1"/>
          <w:szCs w:val="20"/>
          <w:lang w:val="en-GB"/>
          <w14:textFill>
            <w14:solidFill>
              <w14:schemeClr w14:val="tx1"/>
            </w14:solidFill>
          </w14:textFill>
        </w:rPr>
        <w:instrText xml:space="preserve"> </w:instrText>
      </w:r>
      <w:r>
        <w:rPr>
          <w:rFonts w:hint="eastAsia" w:ascii="Arial" w:hAnsi="Arial" w:cs="Arial"/>
          <w:b/>
          <w:bCs/>
          <w:color w:val="000000" w:themeColor="text1"/>
          <w:szCs w:val="20"/>
          <w:lang w:val="en-GB"/>
          <w14:textFill>
            <w14:solidFill>
              <w14:schemeClr w14:val="tx1"/>
            </w14:solidFill>
          </w14:textFill>
        </w:rPr>
        <w:instrText xml:space="preserve">SEQ MTEqn \r \h \* MERGEFORMAT</w:instrText>
      </w:r>
      <w:r>
        <w:rPr>
          <w:rFonts w:ascii="Arial" w:hAnsi="Arial" w:cs="Arial"/>
          <w:b/>
          <w:bCs/>
          <w:color w:val="000000" w:themeColor="text1"/>
          <w:szCs w:val="20"/>
          <w:lang w:val="en-GB"/>
          <w14:textFill>
            <w14:solidFill>
              <w14:schemeClr w14:val="tx1"/>
            </w14:solidFill>
          </w14:textFill>
        </w:rPr>
        <w:instrText xml:space="preserve"> </w:instrText>
      </w:r>
      <w:r>
        <w:rPr>
          <w:rFonts w:ascii="Arial" w:hAnsi="Arial" w:cs="Arial"/>
          <w:b/>
          <w:bCs/>
          <w:color w:val="000000" w:themeColor="text1"/>
          <w:szCs w:val="20"/>
          <w:lang w:val="en-GB"/>
          <w14:textFill>
            <w14:solidFill>
              <w14:schemeClr w14:val="tx1"/>
            </w14:solidFill>
          </w14:textFill>
        </w:rPr>
        <w:fldChar w:fldCharType="end"/>
      </w:r>
      <w:r>
        <w:rPr>
          <w:rFonts w:ascii="Arial" w:hAnsi="Arial" w:cs="Arial"/>
          <w:b/>
          <w:bCs/>
          <w:color w:val="000000" w:themeColor="text1"/>
          <w:szCs w:val="20"/>
          <w:lang w:val="en-GB"/>
          <w14:textFill>
            <w14:solidFill>
              <w14:schemeClr w14:val="tx1"/>
            </w14:solidFill>
          </w14:textFill>
        </w:rPr>
        <w:fldChar w:fldCharType="begin"/>
      </w:r>
      <w:r>
        <w:rPr>
          <w:rFonts w:ascii="Arial" w:hAnsi="Arial" w:cs="Arial"/>
          <w:b/>
          <w:bCs/>
          <w:color w:val="000000" w:themeColor="text1"/>
          <w:szCs w:val="20"/>
          <w:lang w:val="en-GB"/>
          <w14:textFill>
            <w14:solidFill>
              <w14:schemeClr w14:val="tx1"/>
            </w14:solidFill>
          </w14:textFill>
        </w:rPr>
        <w:instrText xml:space="preserve"> SEQ MTSec \r 1 \h \* MERGEFORMAT </w:instrText>
      </w:r>
      <w:r>
        <w:rPr>
          <w:rFonts w:ascii="Arial" w:hAnsi="Arial" w:cs="Arial"/>
          <w:b/>
          <w:bCs/>
          <w:color w:val="000000" w:themeColor="text1"/>
          <w:szCs w:val="20"/>
          <w:lang w:val="en-GB"/>
          <w14:textFill>
            <w14:solidFill>
              <w14:schemeClr w14:val="tx1"/>
            </w14:solidFill>
          </w14:textFill>
        </w:rPr>
        <w:fldChar w:fldCharType="end"/>
      </w:r>
      <w:r>
        <w:rPr>
          <w:rFonts w:ascii="Arial" w:hAnsi="Arial" w:cs="Arial"/>
          <w:b/>
          <w:bCs/>
          <w:color w:val="000000" w:themeColor="text1"/>
          <w:szCs w:val="20"/>
          <w:lang w:val="en-GB"/>
          <w14:textFill>
            <w14:solidFill>
              <w14:schemeClr w14:val="tx1"/>
            </w14:solidFill>
          </w14:textFill>
        </w:rPr>
        <w:fldChar w:fldCharType="begin"/>
      </w:r>
      <w:r>
        <w:rPr>
          <w:rFonts w:ascii="Arial" w:hAnsi="Arial" w:cs="Arial"/>
          <w:b/>
          <w:bCs/>
          <w:color w:val="000000" w:themeColor="text1"/>
          <w:szCs w:val="20"/>
          <w:lang w:val="en-GB"/>
          <w14:textFill>
            <w14:solidFill>
              <w14:schemeClr w14:val="tx1"/>
            </w14:solidFill>
          </w14:textFill>
        </w:rPr>
        <w:instrText xml:space="preserve"> SEQ MTChap \r 1 \h \* MERGEFORMAT </w:instrText>
      </w:r>
      <w:r>
        <w:rPr>
          <w:rFonts w:ascii="Arial" w:hAnsi="Arial" w:cs="Arial"/>
          <w:b/>
          <w:bCs/>
          <w:color w:val="000000" w:themeColor="text1"/>
          <w:szCs w:val="20"/>
          <w:lang w:val="en-GB"/>
          <w14:textFill>
            <w14:solidFill>
              <w14:schemeClr w14:val="tx1"/>
            </w14:solidFill>
          </w14:textFill>
        </w:rPr>
        <w:fldChar w:fldCharType="end"/>
      </w:r>
      <w:r>
        <w:rPr>
          <w:rFonts w:ascii="Arial" w:hAnsi="Arial" w:cs="Arial"/>
          <w:b/>
          <w:bCs/>
          <w:color w:val="000000" w:themeColor="text1"/>
          <w:szCs w:val="20"/>
          <w:lang w:val="en-GB"/>
          <w14:textFill>
            <w14:solidFill>
              <w14:schemeClr w14:val="tx1"/>
            </w14:solidFill>
          </w14:textFill>
        </w:rPr>
        <w:fldChar w:fldCharType="end"/>
      </w:r>
      <w:r>
        <w:rPr>
          <w:rFonts w:hint="eastAsia" w:ascii="Arial" w:hAnsi="Arial" w:cs="Arial"/>
          <w:b/>
          <w:bCs/>
          <w:color w:val="000000" w:themeColor="text1"/>
          <w:szCs w:val="20"/>
          <w:lang w:val="en-GB"/>
          <w14:textFill>
            <w14:solidFill>
              <w14:schemeClr w14:val="tx1"/>
            </w14:solidFill>
          </w14:textFill>
        </w:rPr>
        <w:t>Broadband Harmonic Oscillation Suppression Strategy for Distribution Network</w:t>
      </w:r>
      <w:r>
        <w:rPr>
          <w:rFonts w:hint="eastAsia" w:ascii="Arial" w:hAnsi="Arial" w:cs="Arial"/>
          <w:b/>
          <w:bCs/>
          <w:color w:val="000000" w:themeColor="text1"/>
          <w:szCs w:val="20"/>
          <w:lang w:val="en-US" w:eastAsia="zh-CN"/>
          <w14:textFill>
            <w14:solidFill>
              <w14:schemeClr w14:val="tx1"/>
            </w14:solidFill>
          </w14:textFill>
        </w:rPr>
        <w:t>s</w:t>
      </w:r>
      <w:r>
        <w:rPr>
          <w:rFonts w:hint="eastAsia" w:ascii="Arial" w:hAnsi="Arial" w:cs="Arial"/>
          <w:b/>
          <w:bCs/>
          <w:color w:val="000000" w:themeColor="text1"/>
          <w:szCs w:val="20"/>
          <w:lang w:val="en-GB"/>
          <w14:textFill>
            <w14:solidFill>
              <w14:schemeClr w14:val="tx1"/>
            </w14:solidFill>
          </w14:textFill>
        </w:rPr>
        <w:t xml:space="preserve"> with High Penetration of Distributed Generation</w:t>
      </w:r>
      <w:r>
        <w:rPr>
          <w:rFonts w:hint="eastAsia" w:ascii="Arial" w:hAnsi="Arial" w:cs="Arial"/>
          <w:b/>
          <w:bCs/>
          <w:color w:val="000000" w:themeColor="text1"/>
          <w:szCs w:val="20"/>
          <w:lang w:val="en-US" w:eastAsia="zh-CN"/>
          <w14:textFill>
            <w14:solidFill>
              <w14:schemeClr w14:val="tx1"/>
            </w14:solidFill>
          </w14:textFill>
        </w:rPr>
        <w:t xml:space="preserve"> Using</w:t>
      </w:r>
      <w:r>
        <w:rPr>
          <w:rFonts w:hint="eastAsia" w:ascii="Arial" w:hAnsi="Arial" w:cs="Arial"/>
          <w:b/>
          <w:bCs/>
          <w:color w:val="000000" w:themeColor="text1"/>
          <w:szCs w:val="20"/>
          <w:lang w:val="en-GB"/>
          <w14:textFill>
            <w14:solidFill>
              <w14:schemeClr w14:val="tx1"/>
            </w14:solidFill>
          </w14:textFill>
        </w:rPr>
        <w:t xml:space="preserve"> Direct-Mounted Damping Devices</w:t>
      </w:r>
    </w:p>
    <w:p>
      <w:pPr>
        <w:ind w:firstLine="402"/>
        <w:rPr>
          <w:b/>
          <w:color w:val="000000" w:themeColor="text1"/>
          <w:szCs w:val="20"/>
          <w:lang w:val="en-GB"/>
          <w14:textFill>
            <w14:solidFill>
              <w14:schemeClr w14:val="tx1"/>
            </w14:solidFill>
          </w14:textFill>
        </w:rPr>
      </w:pPr>
    </w:p>
    <w:p>
      <w:pPr>
        <w:rPr>
          <w:rFonts w:hint="default" w:ascii="Times New Roman" w:hAnsi="Times New Roman" w:eastAsia="宋体" w:cs="Times New Roman"/>
          <w:color w:val="auto"/>
          <w:szCs w:val="20"/>
          <w:lang w:val="en-US" w:eastAsia="zh-CN"/>
        </w:rPr>
      </w:pPr>
      <w:r>
        <w:rPr>
          <w:rFonts w:hint="default" w:ascii="Times New Roman" w:hAnsi="Times New Roman" w:cs="Times New Roman"/>
          <w:color w:val="auto"/>
          <w:sz w:val="22"/>
          <w:szCs w:val="20"/>
          <w:lang w:val="en-US" w:eastAsia="zh-CN"/>
        </w:rPr>
        <w:t>Chengjia</w:t>
      </w:r>
      <w:r>
        <w:rPr>
          <w:rFonts w:hint="default" w:ascii="Times New Roman" w:hAnsi="Times New Roman" w:cs="Times New Roman"/>
          <w:color w:val="auto"/>
          <w:sz w:val="22"/>
          <w:szCs w:val="20"/>
          <w:lang w:val="en-GB"/>
        </w:rPr>
        <w:t xml:space="preserve"> </w:t>
      </w:r>
      <w:r>
        <w:rPr>
          <w:rFonts w:hint="default" w:ascii="Times New Roman" w:hAnsi="Times New Roman" w:cs="Times New Roman"/>
          <w:color w:val="auto"/>
          <w:sz w:val="22"/>
          <w:szCs w:val="20"/>
          <w:lang w:val="en-US" w:eastAsia="zh-CN"/>
        </w:rPr>
        <w:t xml:space="preserve">Bao </w:t>
      </w:r>
      <w:r>
        <w:rPr>
          <w:rFonts w:hint="default" w:ascii="Times New Roman" w:hAnsi="Times New Roman" w:cs="Times New Roman"/>
          <w:color w:val="auto"/>
          <w:sz w:val="22"/>
          <w:szCs w:val="20"/>
          <w:vertAlign w:val="superscript"/>
          <w:lang w:val="en-GB"/>
        </w:rPr>
        <w:t>1</w:t>
      </w:r>
      <w:r>
        <w:rPr>
          <w:rFonts w:hint="default" w:ascii="Times New Roman" w:hAnsi="Times New Roman" w:cs="Times New Roman"/>
          <w:color w:val="auto"/>
          <w:sz w:val="22"/>
          <w:szCs w:val="20"/>
          <w:vertAlign w:val="superscript"/>
          <w:lang w:val="en-US" w:eastAsia="zh-CN"/>
        </w:rPr>
        <w:t>, 2, 3</w:t>
      </w:r>
      <w:r>
        <w:rPr>
          <w:rFonts w:hint="default" w:ascii="Times New Roman" w:hAnsi="Times New Roman" w:cs="Times New Roman"/>
          <w:color w:val="auto"/>
          <w:sz w:val="22"/>
          <w:szCs w:val="20"/>
          <w:lang w:val="en-GB"/>
        </w:rPr>
        <w:t xml:space="preserve">, </w:t>
      </w:r>
      <w:r>
        <w:rPr>
          <w:rFonts w:hint="default" w:ascii="Times New Roman" w:hAnsi="Times New Roman" w:cs="Times New Roman"/>
          <w:color w:val="auto"/>
          <w:sz w:val="22"/>
          <w:szCs w:val="20"/>
          <w:lang w:val="en-US" w:eastAsia="zh-CN"/>
        </w:rPr>
        <w:t>Tong</w:t>
      </w:r>
      <w:r>
        <w:rPr>
          <w:rFonts w:hint="default" w:ascii="Times New Roman" w:hAnsi="Times New Roman" w:cs="Times New Roman"/>
          <w:color w:val="auto"/>
          <w:sz w:val="22"/>
          <w:szCs w:val="20"/>
          <w:lang w:val="en-GB"/>
        </w:rPr>
        <w:t xml:space="preserve"> </w:t>
      </w:r>
      <w:r>
        <w:rPr>
          <w:rFonts w:hint="default" w:ascii="Times New Roman" w:hAnsi="Times New Roman" w:cs="Times New Roman"/>
          <w:color w:val="auto"/>
          <w:sz w:val="22"/>
          <w:szCs w:val="20"/>
          <w:lang w:val="en-US" w:eastAsia="zh-CN"/>
        </w:rPr>
        <w:t>Zhang</w:t>
      </w:r>
      <w:r>
        <w:rPr>
          <w:rFonts w:hint="default" w:ascii="Times New Roman" w:hAnsi="Times New Roman" w:cs="Times New Roman"/>
          <w:color w:val="auto"/>
          <w:sz w:val="22"/>
          <w:szCs w:val="20"/>
          <w:lang w:val="en-GB"/>
        </w:rPr>
        <w:t xml:space="preserve"> </w:t>
      </w:r>
      <w:r>
        <w:rPr>
          <w:rFonts w:hint="default" w:ascii="Times New Roman" w:hAnsi="Times New Roman" w:cs="Times New Roman"/>
          <w:color w:val="auto"/>
          <w:sz w:val="22"/>
          <w:szCs w:val="20"/>
          <w:vertAlign w:val="superscript"/>
          <w:lang w:val="en-GB"/>
        </w:rPr>
        <w:t>1</w:t>
      </w:r>
      <w:r>
        <w:rPr>
          <w:rFonts w:hint="default" w:ascii="Times New Roman" w:hAnsi="Times New Roman" w:cs="Times New Roman"/>
          <w:color w:val="auto"/>
          <w:sz w:val="22"/>
          <w:szCs w:val="20"/>
          <w:lang w:val="en-GB"/>
        </w:rPr>
        <w:t>,</w:t>
      </w:r>
      <w:r>
        <w:rPr>
          <w:rFonts w:hint="default" w:ascii="Times New Roman" w:hAnsi="Times New Roman" w:cs="Times New Roman"/>
          <w:color w:val="auto"/>
          <w:sz w:val="22"/>
          <w:szCs w:val="20"/>
          <w:lang w:val="en-US" w:eastAsia="zh-CN"/>
        </w:rPr>
        <w:t xml:space="preserve"> Yonggang Li </w:t>
      </w:r>
      <w:r>
        <w:rPr>
          <w:rFonts w:hint="default" w:ascii="Times New Roman" w:hAnsi="Times New Roman" w:cs="Times New Roman"/>
          <w:color w:val="auto"/>
          <w:sz w:val="22"/>
          <w:szCs w:val="20"/>
          <w:vertAlign w:val="superscript"/>
          <w:lang w:val="en-GB"/>
        </w:rPr>
        <w:t>1</w:t>
      </w:r>
      <w:r>
        <w:rPr>
          <w:rFonts w:hint="default" w:ascii="Times New Roman" w:hAnsi="Times New Roman" w:cs="Times New Roman"/>
          <w:color w:val="auto"/>
          <w:sz w:val="22"/>
          <w:szCs w:val="20"/>
          <w:lang w:val="en-GB"/>
        </w:rPr>
        <w:t xml:space="preserve">, </w:t>
      </w:r>
      <w:r>
        <w:rPr>
          <w:rFonts w:hint="default" w:ascii="Times New Roman" w:hAnsi="Times New Roman" w:cs="Times New Roman"/>
          <w:color w:val="auto"/>
          <w:sz w:val="22"/>
          <w:szCs w:val="20"/>
          <w:lang w:val="en-US" w:eastAsia="zh-CN"/>
        </w:rPr>
        <w:t xml:space="preserve">Tianyi Zhang </w:t>
      </w:r>
      <w:r>
        <w:rPr>
          <w:rFonts w:hint="default" w:ascii="Times New Roman" w:hAnsi="Times New Roman" w:cs="Times New Roman"/>
          <w:color w:val="auto"/>
          <w:sz w:val="22"/>
          <w:szCs w:val="20"/>
          <w:vertAlign w:val="superscript"/>
          <w:lang w:val="en-US" w:eastAsia="zh-CN"/>
        </w:rPr>
        <w:t xml:space="preserve">3 </w:t>
      </w:r>
      <w:r>
        <w:rPr>
          <w:rFonts w:hint="default" w:ascii="Times New Roman" w:hAnsi="Times New Roman" w:cs="Times New Roman"/>
          <w:color w:val="auto"/>
          <w:sz w:val="22"/>
          <w:szCs w:val="20"/>
          <w:lang w:val="en-US" w:eastAsia="zh-CN"/>
        </w:rPr>
        <w:t>Jianwen</w:t>
      </w:r>
      <w:r>
        <w:rPr>
          <w:rFonts w:hint="default" w:ascii="Times New Roman" w:hAnsi="Times New Roman" w:cs="Times New Roman"/>
          <w:color w:val="auto"/>
          <w:sz w:val="22"/>
          <w:szCs w:val="20"/>
          <w:lang w:val="en-GB"/>
        </w:rPr>
        <w:t xml:space="preserve"> </w:t>
      </w:r>
      <w:r>
        <w:rPr>
          <w:rFonts w:hint="default" w:ascii="Times New Roman" w:hAnsi="Times New Roman" w:cs="Times New Roman"/>
          <w:color w:val="auto"/>
          <w:sz w:val="22"/>
          <w:szCs w:val="20"/>
          <w:lang w:val="en-US" w:eastAsia="zh-CN"/>
        </w:rPr>
        <w:t>Li</w:t>
      </w:r>
      <w:r>
        <w:rPr>
          <w:rFonts w:hint="default" w:ascii="Times New Roman" w:hAnsi="Times New Roman" w:cs="Times New Roman"/>
          <w:color w:val="auto"/>
          <w:sz w:val="22"/>
          <w:szCs w:val="20"/>
          <w:lang w:val="en-GB"/>
        </w:rPr>
        <w:t xml:space="preserve"> </w:t>
      </w:r>
      <w:r>
        <w:rPr>
          <w:rFonts w:hint="default" w:ascii="Times New Roman" w:hAnsi="Times New Roman" w:cs="Times New Roman"/>
          <w:color w:val="auto"/>
          <w:sz w:val="22"/>
          <w:szCs w:val="20"/>
          <w:vertAlign w:val="superscript"/>
          <w:lang w:val="en-GB"/>
        </w:rPr>
        <w:t>1</w:t>
      </w:r>
      <w:r>
        <w:rPr>
          <w:rFonts w:hint="default" w:ascii="Times New Roman" w:hAnsi="Times New Roman" w:cs="Times New Roman"/>
          <w:color w:val="auto"/>
          <w:sz w:val="22"/>
          <w:szCs w:val="20"/>
          <w:lang w:val="en-GB"/>
        </w:rPr>
        <w:t>,</w:t>
      </w:r>
      <w:r>
        <w:rPr>
          <w:rFonts w:hint="default" w:ascii="Times New Roman" w:hAnsi="Times New Roman" w:cs="Times New Roman"/>
          <w:color w:val="auto"/>
          <w:sz w:val="22"/>
          <w:szCs w:val="20"/>
          <w:lang w:val="en-US" w:eastAsia="zh-CN"/>
        </w:rPr>
        <w:t xml:space="preserve"> Rong</w:t>
      </w:r>
      <w:r>
        <w:rPr>
          <w:rFonts w:hint="default" w:ascii="Times New Roman" w:hAnsi="Times New Roman" w:cs="Times New Roman"/>
          <w:color w:val="auto"/>
          <w:sz w:val="22"/>
          <w:szCs w:val="20"/>
          <w:lang w:val="en-GB"/>
        </w:rPr>
        <w:t xml:space="preserve"> </w:t>
      </w:r>
      <w:r>
        <w:rPr>
          <w:rFonts w:hint="default" w:ascii="Times New Roman" w:hAnsi="Times New Roman" w:cs="Times New Roman"/>
          <w:color w:val="auto"/>
          <w:sz w:val="22"/>
          <w:szCs w:val="20"/>
          <w:lang w:val="en-US" w:eastAsia="zh-CN"/>
        </w:rPr>
        <w:t>Li</w:t>
      </w:r>
      <w:r>
        <w:rPr>
          <w:rFonts w:hint="default" w:ascii="Times New Roman" w:hAnsi="Times New Roman" w:cs="Times New Roman"/>
          <w:color w:val="auto"/>
          <w:sz w:val="22"/>
          <w:szCs w:val="20"/>
          <w:lang w:val="en-GB"/>
        </w:rPr>
        <w:t xml:space="preserve"> </w:t>
      </w:r>
      <w:r>
        <w:rPr>
          <w:rFonts w:hint="default" w:ascii="Times New Roman" w:hAnsi="Times New Roman" w:cs="Times New Roman"/>
          <w:color w:val="auto"/>
          <w:sz w:val="22"/>
          <w:szCs w:val="20"/>
          <w:vertAlign w:val="superscript"/>
          <w:lang w:val="en-GB"/>
        </w:rPr>
        <w:t>1</w:t>
      </w:r>
      <w:r>
        <w:rPr>
          <w:rFonts w:hint="default" w:ascii="Times New Roman" w:hAnsi="Times New Roman" w:cs="Times New Roman"/>
          <w:color w:val="auto"/>
          <w:sz w:val="22"/>
          <w:szCs w:val="20"/>
          <w:lang w:val="en-GB"/>
        </w:rPr>
        <w:t>,</w:t>
      </w:r>
    </w:p>
    <w:p>
      <w:pPr>
        <w:rPr>
          <w:rFonts w:hint="default" w:ascii="Times New Roman" w:hAnsi="Times New Roman" w:cs="Times New Roman"/>
          <w:color w:val="000000" w:themeColor="text1"/>
          <w:szCs w:val="20"/>
          <w:lang w:val="en-GB"/>
          <w14:textFill>
            <w14:solidFill>
              <w14:schemeClr w14:val="tx1"/>
            </w14:solidFill>
          </w14:textFill>
        </w:rPr>
      </w:pPr>
    </w:p>
    <w:p>
      <w:pPr>
        <w:rPr>
          <w:rFonts w:hint="default" w:ascii="Times New Roman" w:hAnsi="Times New Roman" w:eastAsia="宋体" w:cs="Times New Roman"/>
          <w:color w:val="EE0000"/>
          <w:sz w:val="20"/>
          <w:szCs w:val="20"/>
          <w:lang w:val="en-US" w:eastAsia="zh-CN"/>
        </w:rPr>
      </w:pPr>
      <w:r>
        <w:rPr>
          <w:rFonts w:hint="default" w:ascii="Times New Roman" w:hAnsi="Times New Roman" w:cs="Times New Roman"/>
          <w:color w:val="EE0000"/>
          <w:szCs w:val="20"/>
          <w:vertAlign w:val="superscript"/>
          <w:lang w:val="en-GB"/>
        </w:rPr>
        <w:t xml:space="preserve">1 </w:t>
      </w:r>
      <w:r>
        <w:rPr>
          <w:rFonts w:hint="default" w:ascii="Times New Roman" w:hAnsi="Times New Roman" w:cs="Times New Roman"/>
          <w:color w:val="EE0000"/>
          <w:szCs w:val="20"/>
          <w:lang w:val="en-GB"/>
        </w:rPr>
        <w:t>State Key Laboratory of Alternate Electrical Power System with Renewable Energy Sources</w:t>
      </w:r>
      <w:r>
        <w:rPr>
          <w:rFonts w:hint="eastAsia" w:ascii="Times New Roman" w:hAnsi="Times New Roman" w:cs="Times New Roman"/>
          <w:color w:val="EE0000"/>
          <w:szCs w:val="20"/>
          <w:lang w:val="en-US" w:eastAsia="zh-CN"/>
        </w:rPr>
        <w:t xml:space="preserve">, </w:t>
      </w:r>
      <w:r>
        <w:rPr>
          <w:rFonts w:hint="default" w:ascii="Times New Roman" w:hAnsi="Times New Roman" w:cs="Times New Roman"/>
          <w:color w:val="EE0000"/>
          <w:szCs w:val="20"/>
          <w:lang w:val="en-GB"/>
        </w:rPr>
        <w:t>North China Electric Power University, Yonghua North Street No. 619, Baoding, China</w:t>
      </w:r>
      <w:r>
        <w:rPr>
          <w:rFonts w:hint="default" w:ascii="Times New Roman" w:hAnsi="Times New Roman" w:cs="Times New Roman"/>
          <w:color w:val="EE0000"/>
          <w:szCs w:val="20"/>
          <w:lang w:val="en-US" w:eastAsia="zh-CN"/>
        </w:rPr>
        <w:t>.</w:t>
      </w:r>
    </w:p>
    <w:p>
      <w:pPr>
        <w:rPr>
          <w:rFonts w:hint="default" w:ascii="Times New Roman" w:hAnsi="Times New Roman" w:eastAsia="宋体" w:cs="Times New Roman"/>
          <w:color w:val="EE0000"/>
          <w:szCs w:val="20"/>
          <w:lang w:val="en-US" w:eastAsia="zh-CN"/>
        </w:rPr>
      </w:pPr>
      <w:r>
        <w:rPr>
          <w:rFonts w:hint="default" w:ascii="Times New Roman" w:hAnsi="Times New Roman" w:cs="Times New Roman" w:eastAsiaTheme="minorEastAsia"/>
          <w:color w:val="EE0000"/>
          <w:sz w:val="20"/>
          <w:szCs w:val="20"/>
          <w:vertAlign w:val="superscript"/>
          <w:lang w:val="en-US"/>
        </w:rPr>
        <w:t xml:space="preserve">2 </w:t>
      </w:r>
      <w:r>
        <w:rPr>
          <w:rFonts w:hint="default" w:ascii="Times New Roman" w:hAnsi="Times New Roman" w:cs="Times New Roman"/>
          <w:color w:val="EE0000"/>
          <w:szCs w:val="20"/>
          <w:lang w:val="en-US"/>
        </w:rPr>
        <w:t>State Grid Gansu Electric Power Company,</w:t>
      </w:r>
      <w:r>
        <w:rPr>
          <w:rFonts w:hint="default" w:ascii="Times New Roman" w:hAnsi="Times New Roman" w:cs="Times New Roman"/>
          <w:color w:val="EE0000"/>
          <w:szCs w:val="20"/>
          <w:lang w:val="en-US" w:eastAsia="zh-CN"/>
        </w:rPr>
        <w:t xml:space="preserve"> Lanzhou, </w:t>
      </w:r>
      <w:r>
        <w:rPr>
          <w:rFonts w:hint="default" w:ascii="Times New Roman" w:hAnsi="Times New Roman" w:cs="Times New Roman"/>
          <w:color w:val="EE0000"/>
          <w:szCs w:val="20"/>
          <w:lang w:val="en-US"/>
        </w:rPr>
        <w:t>China</w:t>
      </w:r>
      <w:r>
        <w:rPr>
          <w:rFonts w:hint="default" w:ascii="Times New Roman" w:hAnsi="Times New Roman" w:cs="Times New Roman"/>
          <w:color w:val="EE0000"/>
          <w:szCs w:val="20"/>
          <w:lang w:val="en-US" w:eastAsia="zh-CN"/>
        </w:rPr>
        <w:t>.</w:t>
      </w:r>
    </w:p>
    <w:p>
      <w:pPr>
        <w:rPr>
          <w:rFonts w:hint="default" w:ascii="Times New Roman" w:hAnsi="Times New Roman" w:cs="Times New Roman"/>
          <w:color w:val="000000" w:themeColor="text1"/>
          <w:sz w:val="22"/>
          <w:szCs w:val="20"/>
          <w:lang w:val="en-GB"/>
          <w14:textFill>
            <w14:solidFill>
              <w14:schemeClr w14:val="tx1"/>
            </w14:solidFill>
          </w14:textFill>
        </w:rPr>
      </w:pPr>
      <w:r>
        <w:rPr>
          <w:rFonts w:hint="default" w:ascii="Times New Roman" w:hAnsi="Times New Roman" w:cs="Times New Roman"/>
          <w:color w:val="EE0000"/>
          <w:szCs w:val="20"/>
          <w:vertAlign w:val="superscript"/>
          <w:lang w:val="en-US"/>
        </w:rPr>
        <w:t>3</w:t>
      </w:r>
      <w:r>
        <w:rPr>
          <w:rFonts w:hint="default" w:ascii="Times New Roman" w:hAnsi="Times New Roman" w:cs="Times New Roman"/>
          <w:color w:val="EE0000"/>
          <w:szCs w:val="20"/>
          <w:lang w:val="en-US"/>
        </w:rPr>
        <w:t xml:space="preserve"> Lanzhou Power Supply Subsidiary Company of State Grid Gansu Electric Power Co., Ltd.  Lanzhou, China</w:t>
      </w:r>
      <w:r>
        <w:rPr>
          <w:rFonts w:hint="default" w:ascii="Times New Roman" w:hAnsi="Times New Roman" w:cs="Times New Roman"/>
          <w:color w:val="EE0000"/>
          <w:szCs w:val="20"/>
          <w:lang w:val="en-US" w:eastAsia="zh-CN"/>
        </w:rPr>
        <w:t>.</w:t>
      </w:r>
    </w:p>
    <w:p>
      <w:pPr>
        <w:rPr>
          <w:rFonts w:hint="default" w:ascii="Times New Roman" w:hAnsi="Times New Roman" w:cs="Times New Roman"/>
          <w:color w:val="000000" w:themeColor="text1"/>
          <w:sz w:val="22"/>
          <w:szCs w:val="20"/>
          <w:lang w:val="en-GB"/>
          <w14:textFill>
            <w14:solidFill>
              <w14:schemeClr w14:val="tx1"/>
            </w14:solidFill>
          </w14:textFill>
        </w:rPr>
      </w:pPr>
    </w:p>
    <w:p>
      <w:pPr>
        <w:rPr>
          <w:rFonts w:hint="default" w:ascii="Times New Roman" w:hAnsi="Times New Roman" w:cs="Times New Roman"/>
          <w:color w:val="000000" w:themeColor="text1"/>
          <w:szCs w:val="20"/>
          <w:lang w:val="en-GB"/>
          <w14:textFill>
            <w14:solidFill>
              <w14:schemeClr w14:val="tx1"/>
            </w14:solidFill>
          </w14:textFill>
        </w:rPr>
      </w:pPr>
      <w:r>
        <w:rPr>
          <w:rFonts w:hint="default" w:ascii="Times New Roman" w:hAnsi="Times New Roman" w:cs="Times New Roman"/>
          <w:b/>
          <w:color w:val="000000" w:themeColor="text1"/>
          <w:lang w:val="en-GB"/>
          <w14:textFill>
            <w14:solidFill>
              <w14:schemeClr w14:val="tx1"/>
            </w14:solidFill>
          </w14:textFill>
        </w:rPr>
        <w:t xml:space="preserve">Correspondence: </w:t>
      </w:r>
      <w:r>
        <w:rPr>
          <w:rFonts w:hint="default" w:ascii="Times New Roman" w:hAnsi="Times New Roman" w:cs="Times New Roman"/>
          <w:color w:val="000000" w:themeColor="text1"/>
          <w:sz w:val="22"/>
          <w:szCs w:val="20"/>
          <w:lang w:val="en-US" w:eastAsia="zh-CN"/>
          <w14:textFill>
            <w14:solidFill>
              <w14:schemeClr w14:val="tx1"/>
            </w14:solidFill>
          </w14:textFill>
        </w:rPr>
        <w:t>Yonggang</w:t>
      </w:r>
      <w:r>
        <w:rPr>
          <w:rFonts w:hint="default" w:ascii="Times New Roman" w:hAnsi="Times New Roman" w:cs="Times New Roman"/>
          <w:color w:val="000000" w:themeColor="text1"/>
          <w:sz w:val="22"/>
          <w:szCs w:val="20"/>
          <w:lang w:val="en-GB"/>
          <w14:textFill>
            <w14:solidFill>
              <w14:schemeClr w14:val="tx1"/>
            </w14:solidFill>
          </w14:textFill>
        </w:rPr>
        <w:t xml:space="preserve"> </w:t>
      </w:r>
      <w:r>
        <w:rPr>
          <w:rFonts w:hint="default" w:ascii="Times New Roman" w:hAnsi="Times New Roman" w:cs="Times New Roman"/>
          <w:color w:val="000000" w:themeColor="text1"/>
          <w:sz w:val="22"/>
          <w:szCs w:val="20"/>
          <w:lang w:val="en-US" w:eastAsia="zh-CN"/>
          <w14:textFill>
            <w14:solidFill>
              <w14:schemeClr w14:val="tx1"/>
            </w14:solidFill>
          </w14:textFill>
        </w:rPr>
        <w:t>Li</w:t>
      </w:r>
      <w:r>
        <w:rPr>
          <w:rFonts w:hint="default" w:ascii="Times New Roman" w:hAnsi="Times New Roman" w:cs="Times New Roman"/>
          <w:color w:val="000000" w:themeColor="text1"/>
          <w:szCs w:val="20"/>
          <w:lang w:val="en-GB"/>
          <w14:textFill>
            <w14:solidFill>
              <w14:schemeClr w14:val="tx1"/>
            </w14:solidFill>
          </w14:textFill>
        </w:rPr>
        <w:t xml:space="preserve">, </w:t>
      </w:r>
      <w:r>
        <w:rPr>
          <w:rFonts w:hint="default" w:ascii="Times New Roman" w:hAnsi="Times New Roman" w:cs="Times New Roman"/>
          <w:color w:val="000000" w:themeColor="text1"/>
          <w:szCs w:val="20"/>
          <w:lang w:val="en-US" w:eastAsia="zh-CN"/>
          <w14:textFill>
            <w14:solidFill>
              <w14:schemeClr w14:val="tx1"/>
            </w14:solidFill>
          </w14:textFill>
        </w:rPr>
        <w:t>School of Electrical and Electronic Engineering, North China Electric Power University, Yonghua North Street No. 619, Baoding, People's Republic of China</w:t>
      </w:r>
    </w:p>
    <w:p>
      <w:pPr>
        <w:rPr>
          <w:rFonts w:hint="default" w:ascii="Times New Roman" w:hAnsi="Times New Roman" w:eastAsia="宋体" w:cs="Times New Roman"/>
          <w:color w:val="000000" w:themeColor="text1"/>
          <w:szCs w:val="20"/>
          <w:lang w:val="en-US" w:eastAsia="zh-CN"/>
          <w14:textFill>
            <w14:solidFill>
              <w14:schemeClr w14:val="tx1"/>
            </w14:solidFill>
          </w14:textFill>
        </w:rPr>
      </w:pPr>
      <w:r>
        <w:rPr>
          <w:rFonts w:hint="default" w:ascii="Times New Roman" w:hAnsi="Times New Roman" w:cs="Times New Roman"/>
          <w:color w:val="000000" w:themeColor="text1"/>
          <w:sz w:val="22"/>
          <w:szCs w:val="20"/>
          <w:lang w:val="en-GB"/>
          <w14:textFill>
            <w14:solidFill>
              <w14:schemeClr w14:val="tx1"/>
            </w14:solidFill>
          </w14:textFill>
        </w:rPr>
        <w:t>Email:</w:t>
      </w:r>
      <w:r>
        <w:rPr>
          <w:rFonts w:hint="eastAsia" w:cs="Times New Roman"/>
          <w:color w:val="000000" w:themeColor="text1"/>
          <w:sz w:val="22"/>
          <w:szCs w:val="20"/>
          <w:lang w:val="en-US" w:eastAsia="zh-CN"/>
          <w14:textFill>
            <w14:solidFill>
              <w14:schemeClr w14:val="tx1"/>
            </w14:solidFill>
          </w14:textFill>
        </w:rPr>
        <w:fldChar w:fldCharType="begin"/>
      </w:r>
      <w:r>
        <w:rPr>
          <w:rFonts w:hint="eastAsia" w:cs="Times New Roman"/>
          <w:color w:val="000000" w:themeColor="text1"/>
          <w:sz w:val="22"/>
          <w:szCs w:val="20"/>
          <w:lang w:val="en-US" w:eastAsia="zh-CN"/>
          <w14:textFill>
            <w14:solidFill>
              <w14:schemeClr w14:val="tx1"/>
            </w14:solidFill>
          </w14:textFill>
        </w:rPr>
        <w:instrText xml:space="preserve"> HYPERLINK "mailto:51350586@ncepu.edu.cn" </w:instrText>
      </w:r>
      <w:r>
        <w:rPr>
          <w:rFonts w:hint="eastAsia" w:cs="Times New Roman"/>
          <w:color w:val="000000" w:themeColor="text1"/>
          <w:sz w:val="22"/>
          <w:szCs w:val="20"/>
          <w:lang w:val="en-US" w:eastAsia="zh-CN"/>
          <w14:textFill>
            <w14:solidFill>
              <w14:schemeClr w14:val="tx1"/>
            </w14:solidFill>
          </w14:textFill>
        </w:rPr>
        <w:fldChar w:fldCharType="separate"/>
      </w:r>
      <w:r>
        <w:rPr>
          <w:rStyle w:val="22"/>
          <w:rFonts w:hint="eastAsia" w:cs="Times New Roman"/>
          <w:color w:val="000000" w:themeColor="text1"/>
          <w:sz w:val="22"/>
          <w:szCs w:val="20"/>
          <w:lang w:val="en-US" w:eastAsia="zh-CN"/>
          <w14:textFill>
            <w14:solidFill>
              <w14:schemeClr w14:val="tx1"/>
            </w14:solidFill>
          </w14:textFill>
        </w:rPr>
        <w:t>51350586@ncepu.edu.cn</w:t>
      </w:r>
      <w:r>
        <w:rPr>
          <w:rFonts w:hint="eastAsia" w:cs="Times New Roman"/>
          <w:color w:val="000000" w:themeColor="text1"/>
          <w:sz w:val="22"/>
          <w:szCs w:val="20"/>
          <w:lang w:val="en-US" w:eastAsia="zh-CN"/>
          <w14:textFill>
            <w14:solidFill>
              <w14:schemeClr w14:val="tx1"/>
            </w14:solidFill>
          </w14:textFill>
        </w:rPr>
        <w:fldChar w:fldCharType="end"/>
      </w:r>
      <w:r>
        <w:rPr>
          <w:rFonts w:hint="eastAsia" w:cs="Times New Roman"/>
          <w:color w:val="000000" w:themeColor="text1"/>
          <w:sz w:val="22"/>
          <w:szCs w:val="20"/>
          <w:lang w:val="en-US" w:eastAsia="zh-CN"/>
          <w14:textFill>
            <w14:solidFill>
              <w14:schemeClr w14:val="tx1"/>
            </w14:solidFill>
          </w14:textFill>
        </w:rPr>
        <w:t xml:space="preserve"> </w:t>
      </w:r>
    </w:p>
    <w:p>
      <w:pPr>
        <w:rPr>
          <w:rFonts w:hint="default" w:ascii="Times New Roman" w:hAnsi="Times New Roman" w:cs="Times New Roman"/>
          <w:b/>
          <w:color w:val="000000" w:themeColor="text1"/>
          <w:lang w:val="en-US"/>
          <w14:textFill>
            <w14:solidFill>
              <w14:schemeClr w14:val="tx1"/>
            </w14:solidFill>
          </w14:textFill>
        </w:rPr>
      </w:pPr>
      <w:r>
        <w:rPr>
          <w:rFonts w:hint="default" w:ascii="Times New Roman" w:hAnsi="Times New Roman" w:cs="Times New Roman"/>
          <w:b/>
          <w:color w:val="000000" w:themeColor="text1"/>
          <w:lang w:val="en-US"/>
          <w14:textFill>
            <w14:solidFill>
              <w14:schemeClr w14:val="tx1"/>
            </w14:solidFill>
          </w14:textFill>
        </w:rPr>
        <w:t>Funding:</w:t>
      </w:r>
    </w:p>
    <w:p>
      <w:pPr>
        <w:rPr>
          <w:rFonts w:hint="default" w:ascii="Times New Roman" w:hAnsi="Times New Roman" w:cs="Times New Roman"/>
          <w:color w:val="000000" w:themeColor="text1"/>
          <w:lang w:val="en-US"/>
          <w14:textFill>
            <w14:solidFill>
              <w14:schemeClr w14:val="tx1"/>
            </w14:solidFill>
          </w14:textFill>
        </w:rPr>
      </w:pPr>
      <w:r>
        <w:rPr>
          <w:rFonts w:hint="default" w:ascii="Times New Roman" w:hAnsi="Times New Roman" w:cs="Times New Roman"/>
          <w:color w:val="000000" w:themeColor="text1"/>
          <w:sz w:val="22"/>
          <w:szCs w:val="22"/>
          <w:lang w:val="en-US"/>
          <w14:textFill>
            <w14:solidFill>
              <w14:schemeClr w14:val="tx1"/>
            </w14:solidFill>
          </w14:textFill>
        </w:rPr>
        <w:t>National Fundamental Research Funds for the Central Universities, China (202</w:t>
      </w:r>
      <w:r>
        <w:rPr>
          <w:rFonts w:hint="default" w:ascii="Times New Roman" w:hAnsi="Times New Roman" w:cs="Times New Roman"/>
          <w:color w:val="000000" w:themeColor="text1"/>
          <w:sz w:val="22"/>
          <w:szCs w:val="22"/>
          <w:lang w:val="en-US" w:eastAsia="zh-CN"/>
          <w14:textFill>
            <w14:solidFill>
              <w14:schemeClr w14:val="tx1"/>
            </w14:solidFill>
          </w14:textFill>
        </w:rPr>
        <w:t>4</w:t>
      </w:r>
      <w:r>
        <w:rPr>
          <w:rFonts w:hint="default" w:ascii="Times New Roman" w:hAnsi="Times New Roman" w:cs="Times New Roman"/>
          <w:color w:val="000000" w:themeColor="text1"/>
          <w:sz w:val="22"/>
          <w:szCs w:val="22"/>
          <w:lang w:val="en-US"/>
          <w14:textFill>
            <w14:solidFill>
              <w14:schemeClr w14:val="tx1"/>
            </w14:solidFill>
          </w14:textFill>
        </w:rPr>
        <w:t>MS</w:t>
      </w:r>
      <w:r>
        <w:rPr>
          <w:rFonts w:hint="default" w:ascii="Times New Roman" w:hAnsi="Times New Roman" w:cs="Times New Roman"/>
          <w:color w:val="000000" w:themeColor="text1"/>
          <w:sz w:val="22"/>
          <w:szCs w:val="22"/>
          <w:lang w:val="en-US" w:eastAsia="zh-CN"/>
          <w14:textFill>
            <w14:solidFill>
              <w14:schemeClr w14:val="tx1"/>
            </w14:solidFill>
          </w14:textFill>
        </w:rPr>
        <w:t>111</w:t>
      </w:r>
      <w:r>
        <w:rPr>
          <w:rFonts w:hint="default" w:ascii="Times New Roman" w:hAnsi="Times New Roman" w:cs="Times New Roman"/>
          <w:color w:val="000000" w:themeColor="text1"/>
          <w:sz w:val="22"/>
          <w:szCs w:val="22"/>
          <w:lang w:val="en-US"/>
          <w14:textFill>
            <w14:solidFill>
              <w14:schemeClr w14:val="tx1"/>
            </w14:solidFill>
          </w14:textFill>
        </w:rPr>
        <w:t>)</w:t>
      </w:r>
      <w:r>
        <w:rPr>
          <w:rFonts w:hint="default" w:ascii="Times New Roman" w:hAnsi="Times New Roman" w:cs="Times New Roman"/>
          <w:color w:val="000000" w:themeColor="text1"/>
          <w:lang w:val="en-US"/>
          <w14:textFill>
            <w14:solidFill>
              <w14:schemeClr w14:val="tx1"/>
            </w14:solidFill>
          </w14:textFill>
        </w:rPr>
        <w:t>.</w:t>
      </w:r>
    </w:p>
    <w:p>
      <w:pPr>
        <w:rPr>
          <w:rFonts w:hint="default" w:ascii="Times New Roman" w:hAnsi="Times New Roman" w:cs="Times New Roman"/>
          <w:b/>
          <w:color w:val="000000" w:themeColor="text1"/>
          <w:lang w:val="en-US"/>
          <w14:textFill>
            <w14:solidFill>
              <w14:schemeClr w14:val="tx1"/>
            </w14:solidFill>
          </w14:textFill>
        </w:rPr>
      </w:pPr>
      <w:r>
        <w:rPr>
          <w:rFonts w:hint="default" w:ascii="Times New Roman" w:hAnsi="Times New Roman" w:cs="Times New Roman"/>
          <w:b/>
          <w:color w:val="000000" w:themeColor="text1"/>
          <w:lang w:val="en-US"/>
          <w14:textFill>
            <w14:solidFill>
              <w14:schemeClr w14:val="tx1"/>
            </w14:solidFill>
          </w14:textFill>
        </w:rPr>
        <w:t>Conflict of interest:</w:t>
      </w:r>
    </w:p>
    <w:p>
      <w:pPr>
        <w:rPr>
          <w:rFonts w:hint="default" w:ascii="Times New Roman" w:hAnsi="Times New Roman" w:cs="Times New Roman"/>
          <w:color w:val="000000" w:themeColor="text1"/>
          <w:lang w:val="en-US"/>
          <w14:textFill>
            <w14:solidFill>
              <w14:schemeClr w14:val="tx1"/>
            </w14:solidFill>
          </w14:textFill>
        </w:rPr>
      </w:pPr>
      <w:r>
        <w:rPr>
          <w:rFonts w:hint="default" w:ascii="Times New Roman" w:hAnsi="Times New Roman" w:cs="Times New Roman"/>
          <w:color w:val="000000" w:themeColor="text1"/>
          <w:lang w:val="en-US"/>
          <w14:textFill>
            <w14:solidFill>
              <w14:schemeClr w14:val="tx1"/>
            </w14:solidFill>
          </w14:textFill>
        </w:rPr>
        <w:t>None</w:t>
      </w:r>
    </w:p>
    <w:p>
      <w:pPr>
        <w:rPr>
          <w:rFonts w:hint="default" w:ascii="Times New Roman" w:hAnsi="Times New Roman" w:cs="Times New Roman"/>
          <w:b/>
          <w:color w:val="000000" w:themeColor="text1"/>
          <w:lang w:val="en-US"/>
          <w14:textFill>
            <w14:solidFill>
              <w14:schemeClr w14:val="tx1"/>
            </w14:solidFill>
          </w14:textFill>
        </w:rPr>
      </w:pPr>
      <w:r>
        <w:rPr>
          <w:rFonts w:hint="default" w:ascii="Times New Roman" w:hAnsi="Times New Roman" w:cs="Times New Roman"/>
          <w:b/>
          <w:color w:val="000000" w:themeColor="text1"/>
          <w:lang w:val="en-US"/>
          <w14:textFill>
            <w14:solidFill>
              <w14:schemeClr w14:val="tx1"/>
            </w14:solidFill>
          </w14:textFill>
        </w:rPr>
        <w:t>Permission statement to reproduce the materials from the other sources.</w:t>
      </w:r>
    </w:p>
    <w:p>
      <w:pPr>
        <w:rPr>
          <w:rFonts w:hint="default" w:ascii="Times New Roman" w:hAnsi="Times New Roman" w:cs="Times New Roman"/>
          <w:color w:val="000000" w:themeColor="text1"/>
          <w:lang w:val="en-US"/>
          <w14:textFill>
            <w14:solidFill>
              <w14:schemeClr w14:val="tx1"/>
            </w14:solidFill>
          </w14:textFill>
        </w:rPr>
      </w:pPr>
      <w:r>
        <w:rPr>
          <w:rFonts w:hint="default" w:ascii="Times New Roman" w:hAnsi="Times New Roman" w:cs="Times New Roman"/>
          <w:color w:val="000000" w:themeColor="text1"/>
          <w:lang w:val="en-US"/>
          <w14:textFill>
            <w14:solidFill>
              <w14:schemeClr w14:val="tx1"/>
            </w14:solidFill>
          </w14:textFill>
        </w:rPr>
        <w:t>None</w:t>
      </w:r>
    </w:p>
    <w:p>
      <w:pPr>
        <w:rPr>
          <w:rFonts w:hint="default" w:ascii="Times New Roman" w:hAnsi="Times New Roman" w:cs="Times New Roman"/>
          <w:b/>
          <w:color w:val="000000" w:themeColor="text1"/>
          <w:lang w:val="en-US"/>
          <w14:textFill>
            <w14:solidFill>
              <w14:schemeClr w14:val="tx1"/>
            </w14:solidFill>
          </w14:textFill>
        </w:rPr>
      </w:pPr>
      <w:r>
        <w:rPr>
          <w:rFonts w:hint="default" w:ascii="Times New Roman" w:hAnsi="Times New Roman" w:cs="Times New Roman"/>
          <w:b/>
          <w:color w:val="000000" w:themeColor="text1"/>
          <w:lang w:val="en-US"/>
          <w14:textFill>
            <w14:solidFill>
              <w14:schemeClr w14:val="tx1"/>
            </w14:solidFill>
          </w14:textFill>
        </w:rPr>
        <w:t>Data Availability Statement:</w:t>
      </w:r>
    </w:p>
    <w:p>
      <w:pPr>
        <w:rPr>
          <w:rFonts w:hint="default" w:ascii="Times New Roman" w:hAnsi="Times New Roman" w:cs="Times New Roman"/>
          <w:color w:val="000000" w:themeColor="text1"/>
          <w:lang w:val="en-US"/>
          <w14:textFill>
            <w14:solidFill>
              <w14:schemeClr w14:val="tx1"/>
            </w14:solidFill>
          </w14:textFill>
        </w:rPr>
      </w:pPr>
      <w:r>
        <w:rPr>
          <w:rFonts w:hint="default" w:ascii="Times New Roman" w:hAnsi="Times New Roman" w:cs="Times New Roman"/>
          <w:color w:val="000000" w:themeColor="text1"/>
          <w:lang w:val="en-US"/>
          <w14:textFill>
            <w14:solidFill>
              <w14:schemeClr w14:val="tx1"/>
            </w14:solidFill>
          </w14:textFill>
        </w:rPr>
        <w:t>The data that support the findings of this study are available from the corresponding author upon reasonable request.</w:t>
      </w:r>
    </w:p>
    <w:p>
      <w:pPr>
        <w:ind w:firstLine="400"/>
        <w:rPr>
          <w:rFonts w:hint="default" w:ascii="Times New Roman" w:hAnsi="Times New Roman" w:cs="Times New Roman"/>
          <w:color w:val="000000" w:themeColor="text1"/>
          <w:szCs w:val="20"/>
          <w:lang w:val="en-GB"/>
          <w14:textFill>
            <w14:solidFill>
              <w14:schemeClr w14:val="tx1"/>
            </w14:solidFill>
          </w14:textFill>
        </w:rPr>
      </w:pPr>
    </w:p>
    <w:p>
      <w:pPr>
        <w:pStyle w:val="41"/>
        <w:jc w:val="both"/>
        <w:rPr>
          <w:rFonts w:hint="default" w:ascii="Times New Roman" w:hAnsi="Times New Roman" w:cs="Times New Roman"/>
          <w:color w:val="000000" w:themeColor="text1"/>
          <w:lang w:val="en-GB"/>
          <w14:textFill>
            <w14:solidFill>
              <w14:schemeClr w14:val="tx1"/>
            </w14:solidFill>
          </w14:textFill>
        </w:rPr>
      </w:pPr>
      <w:r>
        <w:rPr>
          <w:rFonts w:hint="default" w:ascii="Times New Roman" w:hAnsi="Times New Roman" w:cs="Times New Roman"/>
          <w:color w:val="000000" w:themeColor="text1"/>
          <w:lang w:val="en-GB"/>
          <w14:textFill>
            <w14:solidFill>
              <w14:schemeClr w14:val="tx1"/>
            </w14:solidFill>
          </w14:textFill>
        </w:rPr>
        <w:t>Abstract:</w:t>
      </w:r>
      <w:r>
        <w:rPr>
          <w:rFonts w:hint="default" w:ascii="Times New Roman" w:hAnsi="Times New Roman" w:cs="Times New Roman"/>
          <w:color w:val="000000" w:themeColor="text1"/>
          <w:lang w:val="en-US" w:eastAsia="zh-CN"/>
          <w14:textFill>
            <w14:solidFill>
              <w14:schemeClr w14:val="tx1"/>
            </w14:solidFill>
          </w14:textFill>
        </w:rPr>
        <w:t xml:space="preserve"> </w:t>
      </w:r>
      <w:r>
        <w:rPr>
          <w:rFonts w:hint="default" w:ascii="Times New Roman" w:hAnsi="Times New Roman" w:cs="Times New Roman"/>
          <w:color w:val="000000" w:themeColor="text1"/>
          <w:lang w:val="en-GB"/>
          <w14:textFill>
            <w14:solidFill>
              <w14:schemeClr w14:val="tx1"/>
            </w14:solidFill>
          </w14:textFill>
        </w:rPr>
        <w:t xml:space="preserve">In power systems with high </w:t>
      </w:r>
      <w:r>
        <w:rPr>
          <w:rFonts w:hint="default" w:ascii="Times New Roman" w:hAnsi="Times New Roman" w:cs="Times New Roman"/>
          <w:color w:val="000000" w:themeColor="text1"/>
          <w:lang w:val="en-US" w:eastAsia="zh-CN"/>
          <w14:textFill>
            <w14:solidFill>
              <w14:schemeClr w14:val="tx1"/>
            </w14:solidFill>
          </w14:textFill>
        </w:rPr>
        <w:t>p</w:t>
      </w:r>
      <w:r>
        <w:rPr>
          <w:rFonts w:hint="default" w:ascii="Times New Roman" w:hAnsi="Times New Roman" w:cs="Times New Roman"/>
          <w:color w:val="000000" w:themeColor="text1"/>
          <w:lang w:val="en-GB"/>
          <w14:textFill>
            <w14:solidFill>
              <w14:schemeClr w14:val="tx1"/>
            </w14:solidFill>
          </w14:textFill>
        </w:rPr>
        <w:t xml:space="preserve">enetration of </w:t>
      </w:r>
      <w:r>
        <w:rPr>
          <w:rFonts w:hint="default" w:ascii="Times New Roman" w:hAnsi="Times New Roman" w:cs="Times New Roman"/>
          <w:color w:val="000000" w:themeColor="text1"/>
          <w:lang w:val="en-US" w:eastAsia="zh-CN"/>
          <w14:textFill>
            <w14:solidFill>
              <w14:schemeClr w14:val="tx1"/>
            </w14:solidFill>
          </w14:textFill>
        </w:rPr>
        <w:t>d</w:t>
      </w:r>
      <w:r>
        <w:rPr>
          <w:rFonts w:hint="default" w:ascii="Times New Roman" w:hAnsi="Times New Roman" w:cs="Times New Roman"/>
          <w:color w:val="000000" w:themeColor="text1"/>
          <w:lang w:val="en-GB"/>
          <w14:textFill>
            <w14:solidFill>
              <w14:schemeClr w14:val="tx1"/>
            </w14:solidFill>
          </w14:textFill>
        </w:rPr>
        <w:t xml:space="preserve">istributed </w:t>
      </w:r>
      <w:r>
        <w:rPr>
          <w:rFonts w:hint="default" w:ascii="Times New Roman" w:hAnsi="Times New Roman" w:cs="Times New Roman"/>
          <w:color w:val="000000" w:themeColor="text1"/>
          <w:lang w:val="en-US" w:eastAsia="zh-CN"/>
          <w14:textFill>
            <w14:solidFill>
              <w14:schemeClr w14:val="tx1"/>
            </w14:solidFill>
          </w14:textFill>
        </w:rPr>
        <w:t>g</w:t>
      </w:r>
      <w:r>
        <w:rPr>
          <w:rFonts w:hint="default" w:ascii="Times New Roman" w:hAnsi="Times New Roman" w:cs="Times New Roman"/>
          <w:color w:val="000000" w:themeColor="text1"/>
          <w:lang w:val="en-GB"/>
          <w14:textFill>
            <w14:solidFill>
              <w14:schemeClr w14:val="tx1"/>
            </w14:solidFill>
          </w14:textFill>
        </w:rPr>
        <w:t>eneration</w:t>
      </w:r>
      <w:r>
        <w:rPr>
          <w:rFonts w:hint="default" w:ascii="Times New Roman" w:hAnsi="Times New Roman" w:cs="Times New Roman"/>
          <w:color w:val="000000" w:themeColor="text1"/>
          <w:lang w:val="en-US" w:eastAsia="zh-CN"/>
          <w14:textFill>
            <w14:solidFill>
              <w14:schemeClr w14:val="tx1"/>
            </w14:solidFill>
          </w14:textFill>
        </w:rPr>
        <w:t>s (DGs)</w:t>
      </w:r>
      <w:r>
        <w:rPr>
          <w:rFonts w:hint="default" w:ascii="Times New Roman" w:hAnsi="Times New Roman" w:cs="Times New Roman"/>
          <w:color w:val="000000" w:themeColor="text1"/>
          <w:lang w:val="en-GB"/>
          <w14:textFill>
            <w14:solidFill>
              <w14:schemeClr w14:val="tx1"/>
            </w14:solidFill>
          </w14:textFill>
        </w:rPr>
        <w:t xml:space="preserve">, multi-modal broadband harmonic oscillations pose a serious threat to secure and stable operation. Existing active and passive damping methods are limited in their capability to effectively suppress resonance peaks. Considering background harmonics and system impedance characteristics, this paper proposes a novel </w:t>
      </w:r>
      <w:r>
        <w:rPr>
          <w:rFonts w:hint="default" w:ascii="Times New Roman" w:hAnsi="Times New Roman" w:cs="Times New Roman"/>
          <w:color w:val="000000" w:themeColor="text1"/>
          <w:lang w:val="en-US" w:eastAsia="zh-CN"/>
          <w14:textFill>
            <w14:solidFill>
              <w14:schemeClr w14:val="tx1"/>
            </w14:solidFill>
          </w14:textFill>
        </w:rPr>
        <w:t>d</w:t>
      </w:r>
      <w:r>
        <w:rPr>
          <w:rFonts w:hint="default" w:ascii="Times New Roman" w:hAnsi="Times New Roman" w:cs="Times New Roman"/>
          <w:color w:val="000000" w:themeColor="text1"/>
          <w:lang w:val="en-GB"/>
          <w14:textFill>
            <w14:solidFill>
              <w14:schemeClr w14:val="tx1"/>
            </w14:solidFill>
          </w14:textFill>
        </w:rPr>
        <w:t xml:space="preserve">irect-mounted </w:t>
      </w:r>
      <w:r>
        <w:rPr>
          <w:rFonts w:hint="default" w:ascii="Times New Roman" w:hAnsi="Times New Roman" w:cs="Times New Roman"/>
          <w:color w:val="000000" w:themeColor="text1"/>
          <w:lang w:val="en-US" w:eastAsia="zh-CN"/>
          <w14:textFill>
            <w14:solidFill>
              <w14:schemeClr w14:val="tx1"/>
            </w14:solidFill>
          </w14:textFill>
        </w:rPr>
        <w:t>d</w:t>
      </w:r>
      <w:r>
        <w:rPr>
          <w:rFonts w:hint="default" w:ascii="Times New Roman" w:hAnsi="Times New Roman" w:cs="Times New Roman"/>
          <w:color w:val="000000" w:themeColor="text1"/>
          <w:lang w:val="en-GB"/>
          <w14:textFill>
            <w14:solidFill>
              <w14:schemeClr w14:val="tx1"/>
            </w14:solidFill>
          </w14:textFill>
        </w:rPr>
        <w:t xml:space="preserve">amping </w:t>
      </w:r>
      <w:r>
        <w:rPr>
          <w:rFonts w:hint="default" w:ascii="Times New Roman" w:hAnsi="Times New Roman" w:cs="Times New Roman"/>
          <w:color w:val="000000" w:themeColor="text1"/>
          <w:lang w:val="en-US" w:eastAsia="zh-CN"/>
          <w14:textFill>
            <w14:solidFill>
              <w14:schemeClr w14:val="tx1"/>
            </w14:solidFill>
          </w14:textFill>
        </w:rPr>
        <w:t>d</w:t>
      </w:r>
      <w:r>
        <w:rPr>
          <w:rFonts w:hint="default" w:ascii="Times New Roman" w:hAnsi="Times New Roman" w:cs="Times New Roman"/>
          <w:color w:val="000000" w:themeColor="text1"/>
          <w:lang w:val="en-GB"/>
          <w14:textFill>
            <w14:solidFill>
              <w14:schemeClr w14:val="tx1"/>
            </w14:solidFill>
          </w14:textFill>
        </w:rPr>
        <w:t xml:space="preserve">evice to suppress broadband harmonic oscillations in the distribution network. In accordance with IEC specified electromagnetic compatibility standards for low-voltage grids, a unified quantitative indicator for broadband oscillation analysis is established. Additionally, </w:t>
      </w:r>
      <w:r>
        <w:rPr>
          <w:rFonts w:hint="default" w:ascii="Times New Roman" w:hAnsi="Times New Roman" w:cs="Times New Roman"/>
          <w:color w:val="000000" w:themeColor="text1"/>
          <w:lang w:val="en-US" w:eastAsia="zh-CN"/>
          <w14:textFill>
            <w14:solidFill>
              <w14:schemeClr w14:val="tx1"/>
            </w14:solidFill>
          </w14:textFill>
        </w:rPr>
        <w:t xml:space="preserve">a </w:t>
      </w:r>
      <w:r>
        <w:rPr>
          <w:rFonts w:hint="default" w:ascii="Times New Roman" w:hAnsi="Times New Roman" w:cs="Times New Roman"/>
          <w:color w:val="000000" w:themeColor="text1"/>
          <w:lang w:val="en-GB"/>
          <w14:textFill>
            <w14:solidFill>
              <w14:schemeClr w14:val="tx1"/>
            </w14:solidFill>
          </w14:textFill>
        </w:rPr>
        <w:t xml:space="preserve">general procedure for </w:t>
      </w:r>
      <w:r>
        <w:rPr>
          <w:rFonts w:hint="default" w:ascii="Times New Roman" w:hAnsi="Times New Roman" w:cs="Times New Roman"/>
          <w:color w:val="000000" w:themeColor="text1"/>
          <w:lang w:val="en-US" w:eastAsia="zh-CN"/>
          <w14:textFill>
            <w14:solidFill>
              <w14:schemeClr w14:val="tx1"/>
            </w14:solidFill>
          </w14:textFill>
        </w:rPr>
        <w:t>damping device</w:t>
      </w:r>
      <w:r>
        <w:rPr>
          <w:rFonts w:hint="default" w:ascii="Times New Roman" w:hAnsi="Times New Roman" w:cs="Times New Roman"/>
          <w:color w:val="000000" w:themeColor="text1"/>
          <w:lang w:val="en-GB"/>
          <w14:textFill>
            <w14:solidFill>
              <w14:schemeClr w14:val="tx1"/>
            </w14:solidFill>
          </w14:textFill>
        </w:rPr>
        <w:t xml:space="preserve"> parameter design </w:t>
      </w:r>
      <w:r>
        <w:rPr>
          <w:rFonts w:hint="default" w:ascii="Times New Roman" w:hAnsi="Times New Roman" w:cs="Times New Roman"/>
          <w:color w:val="000000" w:themeColor="text1"/>
          <w:lang w:val="en-US" w:eastAsia="zh-CN"/>
          <w14:textFill>
            <w14:solidFill>
              <w14:schemeClr w14:val="tx1"/>
            </w14:solidFill>
          </w14:textFill>
        </w:rPr>
        <w:t>is</w:t>
      </w:r>
      <w:r>
        <w:rPr>
          <w:rFonts w:hint="default" w:ascii="Times New Roman" w:hAnsi="Times New Roman" w:cs="Times New Roman"/>
          <w:color w:val="000000" w:themeColor="text1"/>
          <w:lang w:val="en-GB"/>
          <w14:textFill>
            <w14:solidFill>
              <w14:schemeClr w14:val="tx1"/>
            </w14:solidFill>
          </w14:textFill>
        </w:rPr>
        <w:t xml:space="preserve"> developed based on modal analysis and the particle swarm optimization (PSO) algorithm. Simulation results show that the proposed topology achieves superior broadband oscillation suppression</w:t>
      </w:r>
      <w:r>
        <w:rPr>
          <w:rFonts w:hint="default" w:ascii="Times New Roman" w:hAnsi="Times New Roman" w:cs="Times New Roman"/>
          <w:color w:val="000000" w:themeColor="text1"/>
          <w:lang w:val="en-US" w:eastAsia="zh-CN"/>
          <w14:textFill>
            <w14:solidFill>
              <w14:schemeClr w14:val="tx1"/>
            </w14:solidFill>
          </w14:textFill>
        </w:rPr>
        <w:t xml:space="preserve">. </w:t>
      </w:r>
      <w:r>
        <w:rPr>
          <w:rFonts w:hint="default" w:ascii="Times New Roman" w:hAnsi="Times New Roman" w:cs="Times New Roman"/>
          <w:color w:val="000000" w:themeColor="text1"/>
          <w:lang w:val="en-GB"/>
          <w14:textFill>
            <w14:solidFill>
              <w14:schemeClr w14:val="tx1"/>
            </w14:solidFill>
          </w14:textFill>
        </w:rPr>
        <w:t>Experiments on a multi-inverter grid-connected system further demonstrate the generality and effectiveness of the proposed method in suppressing multi-modal broadband harmonic oscillations within high-DG-penetration distribution networks.</w:t>
      </w:r>
    </w:p>
    <w:p>
      <w:pPr>
        <w:rPr>
          <w:rFonts w:hint="default" w:ascii="Times New Roman" w:hAnsi="Times New Roman" w:cs="Times New Roman"/>
          <w:color w:val="000000" w:themeColor="text1"/>
          <w:lang w:val="en-GB"/>
          <w14:textFill>
            <w14:solidFill>
              <w14:schemeClr w14:val="tx1"/>
            </w14:solidFill>
          </w14:textFill>
        </w:rPr>
      </w:pPr>
    </w:p>
    <w:p>
      <w:pPr>
        <w:pStyle w:val="41"/>
        <w:rPr>
          <w:rFonts w:hint="default" w:ascii="Times New Roman" w:hAnsi="Times New Roman" w:cs="Times New Roman"/>
          <w:color w:val="000000" w:themeColor="text1"/>
          <w:lang w:val="en-GB"/>
          <w14:textFill>
            <w14:solidFill>
              <w14:schemeClr w14:val="tx1"/>
            </w14:solidFill>
          </w14:textFill>
        </w:rPr>
        <w:sectPr>
          <w:headerReference r:id="rId5" w:type="first"/>
          <w:footerReference r:id="rId8" w:type="first"/>
          <w:headerReference r:id="rId3" w:type="default"/>
          <w:footerReference r:id="rId6" w:type="default"/>
          <w:headerReference r:id="rId4" w:type="even"/>
          <w:footerReference r:id="rId7" w:type="even"/>
          <w:type w:val="continuous"/>
          <w:pgSz w:w="11906" w:h="16838"/>
          <w:pgMar w:top="1440" w:right="1440" w:bottom="1440" w:left="1440" w:header="567" w:footer="0" w:gutter="0"/>
          <w:cols w:space="425" w:num="1"/>
          <w:docGrid w:type="lines" w:linePitch="312" w:charSpace="0"/>
        </w:sectPr>
      </w:pPr>
      <w:r>
        <w:rPr>
          <w:rFonts w:hint="default" w:ascii="Times New Roman" w:hAnsi="Times New Roman" w:cs="Times New Roman"/>
          <w:color w:val="000000" w:themeColor="text1"/>
          <w:lang w:val="en-GB"/>
          <w14:textFill>
            <w14:solidFill>
              <w14:schemeClr w14:val="tx1"/>
            </w14:solidFill>
          </w14:textFill>
        </w:rPr>
        <w:t xml:space="preserve">Keywords: </w:t>
      </w:r>
      <w:r>
        <w:rPr>
          <w:rFonts w:hint="default" w:ascii="Times New Roman" w:hAnsi="Times New Roman" w:cs="Times New Roman"/>
          <w:color w:val="000000" w:themeColor="text1"/>
          <w:lang w:val="en-US" w:eastAsia="zh-CN"/>
          <w14:textFill>
            <w14:solidFill>
              <w14:schemeClr w14:val="tx1"/>
            </w14:solidFill>
          </w14:textFill>
        </w:rPr>
        <w:t>H</w:t>
      </w:r>
      <w:r>
        <w:rPr>
          <w:rFonts w:hint="default" w:ascii="Times New Roman" w:hAnsi="Times New Roman" w:cs="Times New Roman"/>
          <w:color w:val="000000" w:themeColor="text1"/>
          <w:lang w:val="en-GB"/>
          <w14:textFill>
            <w14:solidFill>
              <w14:schemeClr w14:val="tx1"/>
            </w14:solidFill>
          </w14:textFill>
        </w:rPr>
        <w:t xml:space="preserve">armonic </w:t>
      </w:r>
      <w:r>
        <w:rPr>
          <w:rFonts w:hint="default" w:ascii="Times New Roman" w:hAnsi="Times New Roman" w:cs="Times New Roman"/>
          <w:color w:val="000000" w:themeColor="text1"/>
          <w:lang w:val="en-US" w:eastAsia="zh-CN"/>
          <w14:textFill>
            <w14:solidFill>
              <w14:schemeClr w14:val="tx1"/>
            </w14:solidFill>
          </w14:textFill>
        </w:rPr>
        <w:t>O</w:t>
      </w:r>
      <w:r>
        <w:rPr>
          <w:rFonts w:hint="default" w:ascii="Times New Roman" w:hAnsi="Times New Roman" w:cs="Times New Roman"/>
          <w:color w:val="000000" w:themeColor="text1"/>
          <w:lang w:val="en-GB"/>
          <w14:textFill>
            <w14:solidFill>
              <w14:schemeClr w14:val="tx1"/>
            </w14:solidFill>
          </w14:textFill>
        </w:rPr>
        <w:t xml:space="preserve">scillations; </w:t>
      </w:r>
      <w:r>
        <w:rPr>
          <w:rFonts w:hint="default" w:ascii="Times New Roman" w:hAnsi="Times New Roman" w:cs="Times New Roman"/>
          <w:color w:val="000000" w:themeColor="text1"/>
          <w:lang w:val="en-US" w:eastAsia="zh-CN"/>
          <w14:textFill>
            <w14:solidFill>
              <w14:schemeClr w14:val="tx1"/>
            </w14:solidFill>
          </w14:textFill>
        </w:rPr>
        <w:t>R</w:t>
      </w:r>
      <w:r>
        <w:rPr>
          <w:rFonts w:hint="default" w:ascii="Times New Roman" w:hAnsi="Times New Roman" w:cs="Times New Roman"/>
          <w:color w:val="000000" w:themeColor="text1"/>
          <w:lang w:val="en-GB"/>
          <w14:textFill>
            <w14:solidFill>
              <w14:schemeClr w14:val="tx1"/>
            </w14:solidFill>
          </w14:textFill>
        </w:rPr>
        <w:t xml:space="preserve">esonance </w:t>
      </w:r>
      <w:r>
        <w:rPr>
          <w:rFonts w:hint="default" w:ascii="Times New Roman" w:hAnsi="Times New Roman" w:cs="Times New Roman"/>
          <w:color w:val="000000" w:themeColor="text1"/>
          <w:lang w:val="en-US" w:eastAsia="zh-CN"/>
          <w14:textFill>
            <w14:solidFill>
              <w14:schemeClr w14:val="tx1"/>
            </w14:solidFill>
          </w14:textFill>
        </w:rPr>
        <w:t>P</w:t>
      </w:r>
      <w:r>
        <w:rPr>
          <w:rFonts w:hint="default" w:ascii="Times New Roman" w:hAnsi="Times New Roman" w:cs="Times New Roman"/>
          <w:color w:val="000000" w:themeColor="text1"/>
          <w:lang w:val="en-GB"/>
          <w14:textFill>
            <w14:solidFill>
              <w14:schemeClr w14:val="tx1"/>
            </w14:solidFill>
          </w14:textFill>
        </w:rPr>
        <w:t xml:space="preserve">eaks; </w:t>
      </w:r>
      <w:r>
        <w:rPr>
          <w:rFonts w:hint="default" w:ascii="Times New Roman" w:hAnsi="Times New Roman" w:cs="Times New Roman"/>
          <w:color w:val="000000" w:themeColor="text1"/>
          <w:lang w:val="en-US" w:eastAsia="zh-CN"/>
          <w14:textFill>
            <w14:solidFill>
              <w14:schemeClr w14:val="tx1"/>
            </w14:solidFill>
          </w14:textFill>
        </w:rPr>
        <w:t>P</w:t>
      </w:r>
      <w:r>
        <w:rPr>
          <w:rFonts w:hint="default" w:ascii="Times New Roman" w:hAnsi="Times New Roman" w:cs="Times New Roman"/>
          <w:color w:val="000000" w:themeColor="text1"/>
          <w:lang w:val="en-GB"/>
          <w14:textFill>
            <w14:solidFill>
              <w14:schemeClr w14:val="tx1"/>
            </w14:solidFill>
          </w14:textFill>
        </w:rPr>
        <w:t xml:space="preserve">assive </w:t>
      </w:r>
      <w:r>
        <w:rPr>
          <w:rFonts w:hint="default" w:ascii="Times New Roman" w:hAnsi="Times New Roman" w:cs="Times New Roman"/>
          <w:color w:val="000000" w:themeColor="text1"/>
          <w:lang w:val="en-US" w:eastAsia="zh-CN"/>
          <w14:textFill>
            <w14:solidFill>
              <w14:schemeClr w14:val="tx1"/>
            </w14:solidFill>
          </w14:textFill>
        </w:rPr>
        <w:t>D</w:t>
      </w:r>
      <w:r>
        <w:rPr>
          <w:rFonts w:hint="default" w:ascii="Times New Roman" w:hAnsi="Times New Roman" w:cs="Times New Roman"/>
          <w:color w:val="000000" w:themeColor="text1"/>
          <w:lang w:val="en-GB"/>
          <w14:textFill>
            <w14:solidFill>
              <w14:schemeClr w14:val="tx1"/>
            </w14:solidFill>
          </w14:textFill>
        </w:rPr>
        <w:t xml:space="preserve">amping; </w:t>
      </w:r>
      <w:r>
        <w:rPr>
          <w:rFonts w:hint="default" w:ascii="Times New Roman" w:hAnsi="Times New Roman" w:cs="Times New Roman"/>
          <w:color w:val="000000" w:themeColor="text1"/>
          <w:lang w:val="en-US" w:eastAsia="zh-CN"/>
          <w14:textFill>
            <w14:solidFill>
              <w14:schemeClr w14:val="tx1"/>
            </w14:solidFill>
          </w14:textFill>
        </w:rPr>
        <w:t>I</w:t>
      </w:r>
      <w:r>
        <w:rPr>
          <w:rFonts w:hint="default" w:ascii="Times New Roman" w:hAnsi="Times New Roman" w:cs="Times New Roman"/>
          <w:color w:val="000000" w:themeColor="text1"/>
          <w:lang w:val="en-GB"/>
          <w14:textFill>
            <w14:solidFill>
              <w14:schemeClr w14:val="tx1"/>
            </w14:solidFill>
          </w14:textFill>
        </w:rPr>
        <w:t xml:space="preserve">mpedance </w:t>
      </w:r>
      <w:r>
        <w:rPr>
          <w:rFonts w:hint="default" w:ascii="Times New Roman" w:hAnsi="Times New Roman" w:cs="Times New Roman"/>
          <w:color w:val="000000" w:themeColor="text1"/>
          <w:lang w:val="en-US" w:eastAsia="zh-CN"/>
          <w14:textFill>
            <w14:solidFill>
              <w14:schemeClr w14:val="tx1"/>
            </w14:solidFill>
          </w14:textFill>
        </w:rPr>
        <w:t>C</w:t>
      </w:r>
      <w:r>
        <w:rPr>
          <w:rFonts w:hint="default" w:ascii="Times New Roman" w:hAnsi="Times New Roman" w:cs="Times New Roman"/>
          <w:color w:val="000000" w:themeColor="text1"/>
          <w:lang w:val="en-GB"/>
          <w14:textFill>
            <w14:solidFill>
              <w14:schemeClr w14:val="tx1"/>
            </w14:solidFill>
          </w14:textFill>
        </w:rPr>
        <w:t xml:space="preserve">haracteristics; </w:t>
      </w:r>
      <w:r>
        <w:rPr>
          <w:rFonts w:hint="default" w:ascii="Times New Roman" w:hAnsi="Times New Roman" w:cs="Times New Roman"/>
          <w:color w:val="000000" w:themeColor="text1"/>
          <w:lang w:val="en-US" w:eastAsia="zh-CN"/>
          <w14:textFill>
            <w14:solidFill>
              <w14:schemeClr w14:val="tx1"/>
            </w14:solidFill>
          </w14:textFill>
        </w:rPr>
        <w:t>D</w:t>
      </w:r>
      <w:r>
        <w:rPr>
          <w:rFonts w:hint="default" w:ascii="Times New Roman" w:hAnsi="Times New Roman" w:cs="Times New Roman"/>
          <w:color w:val="000000" w:themeColor="text1"/>
          <w:lang w:val="en-GB"/>
          <w14:textFill>
            <w14:solidFill>
              <w14:schemeClr w14:val="tx1"/>
            </w14:solidFill>
          </w14:textFill>
        </w:rPr>
        <w:t xml:space="preserve">istribution </w:t>
      </w:r>
      <w:r>
        <w:rPr>
          <w:rFonts w:hint="default" w:ascii="Times New Roman" w:hAnsi="Times New Roman" w:cs="Times New Roman"/>
          <w:color w:val="000000" w:themeColor="text1"/>
          <w:lang w:val="en-US" w:eastAsia="zh-CN"/>
          <w14:textFill>
            <w14:solidFill>
              <w14:schemeClr w14:val="tx1"/>
            </w14:solidFill>
          </w14:textFill>
        </w:rPr>
        <w:t>N</w:t>
      </w:r>
      <w:r>
        <w:rPr>
          <w:rFonts w:hint="default" w:ascii="Times New Roman" w:hAnsi="Times New Roman" w:cs="Times New Roman"/>
          <w:color w:val="000000" w:themeColor="text1"/>
          <w:lang w:val="en-GB"/>
          <w14:textFill>
            <w14:solidFill>
              <w14:schemeClr w14:val="tx1"/>
            </w14:solidFill>
          </w14:textFill>
        </w:rPr>
        <w:t xml:space="preserve">etwork; </w:t>
      </w:r>
      <w:r>
        <w:rPr>
          <w:rFonts w:hint="default" w:ascii="Times New Roman" w:hAnsi="Times New Roman" w:cs="Times New Roman"/>
          <w:color w:val="000000" w:themeColor="text1"/>
          <w:lang w:val="en-US" w:eastAsia="zh-CN"/>
          <w14:textFill>
            <w14:solidFill>
              <w14:schemeClr w14:val="tx1"/>
            </w14:solidFill>
          </w14:textFill>
        </w:rPr>
        <w:t>L</w:t>
      </w:r>
      <w:r>
        <w:rPr>
          <w:rFonts w:hint="default" w:ascii="Times New Roman" w:hAnsi="Times New Roman" w:cs="Times New Roman"/>
          <w:color w:val="000000" w:themeColor="text1"/>
          <w:lang w:val="en-GB"/>
          <w14:textFill>
            <w14:solidFill>
              <w14:schemeClr w14:val="tx1"/>
            </w14:solidFill>
          </w14:textFill>
        </w:rPr>
        <w:t>ow-</w:t>
      </w:r>
      <w:r>
        <w:rPr>
          <w:rFonts w:hint="default" w:ascii="Times New Roman" w:hAnsi="Times New Roman" w:cs="Times New Roman"/>
          <w:color w:val="000000" w:themeColor="text1"/>
          <w:lang w:val="en-US" w:eastAsia="zh-CN"/>
          <w14:textFill>
            <w14:solidFill>
              <w14:schemeClr w14:val="tx1"/>
            </w14:solidFill>
          </w14:textFill>
        </w:rPr>
        <w:t>V</w:t>
      </w:r>
      <w:r>
        <w:rPr>
          <w:rFonts w:hint="default" w:ascii="Times New Roman" w:hAnsi="Times New Roman" w:cs="Times New Roman"/>
          <w:color w:val="000000" w:themeColor="text1"/>
          <w:lang w:val="en-GB"/>
          <w14:textFill>
            <w14:solidFill>
              <w14:schemeClr w14:val="tx1"/>
            </w14:solidFill>
          </w14:textFill>
        </w:rPr>
        <w:t xml:space="preserve">oltage </w:t>
      </w:r>
      <w:r>
        <w:rPr>
          <w:rFonts w:hint="default" w:ascii="Times New Roman" w:hAnsi="Times New Roman" w:cs="Times New Roman"/>
          <w:color w:val="000000" w:themeColor="text1"/>
          <w:lang w:val="en-US" w:eastAsia="zh-CN"/>
          <w14:textFill>
            <w14:solidFill>
              <w14:schemeClr w14:val="tx1"/>
            </w14:solidFill>
          </w14:textFill>
        </w:rPr>
        <w:t>G</w:t>
      </w:r>
      <w:r>
        <w:rPr>
          <w:rFonts w:hint="default" w:ascii="Times New Roman" w:hAnsi="Times New Roman" w:cs="Times New Roman"/>
          <w:color w:val="000000" w:themeColor="text1"/>
          <w:lang w:val="en-GB"/>
          <w14:textFill>
            <w14:solidFill>
              <w14:schemeClr w14:val="tx1"/>
            </w14:solidFill>
          </w14:textFill>
        </w:rPr>
        <w:t>rids</w:t>
      </w:r>
    </w:p>
    <w:p>
      <w:pPr>
        <w:pStyle w:val="40"/>
        <w:rPr>
          <w:color w:val="000000" w:themeColor="text1"/>
          <w:lang w:val="en-GB"/>
          <w14:textFill>
            <w14:solidFill>
              <w14:schemeClr w14:val="tx1"/>
            </w14:solidFill>
          </w14:textFill>
        </w:rPr>
      </w:pPr>
      <w:r>
        <w:rPr>
          <w:color w:val="000000" w:themeColor="text1"/>
          <w:sz w:val="20"/>
          <w:szCs w:val="20"/>
          <w:lang w:val="en-GB"/>
          <w14:textFill>
            <w14:solidFill>
              <w14:schemeClr w14:val="tx1"/>
            </w14:solidFill>
          </w14:textFill>
        </w:rPr>
        <w:t>Introduction</w:t>
      </w:r>
    </w:p>
    <w:p>
      <w:pPr>
        <w:ind w:firstLine="400"/>
        <w:jc w:val="both"/>
        <w:rPr>
          <w:rFonts w:hint="default" w:ascii="Times New Roman" w:hAnsi="Times New Roman" w:eastAsia="宋体" w:cs="Times New Roman"/>
          <w:color w:val="000000" w:themeColor="text1"/>
          <w:sz w:val="20"/>
          <w:szCs w:val="20"/>
          <w:lang w:val="en-US" w:eastAsia="zh-CN"/>
          <w14:textFill>
            <w14:solidFill>
              <w14:schemeClr w14:val="tx1"/>
            </w14:solidFill>
          </w14:textFill>
        </w:rPr>
      </w:pPr>
      <w:r>
        <w:rPr>
          <w:rFonts w:hint="default" w:ascii="Times New Roman" w:hAnsi="Times New Roman" w:cs="Times New Roman"/>
          <w:color w:val="000000" w:themeColor="text1"/>
          <w:sz w:val="20"/>
          <w:szCs w:val="20"/>
          <w:lang w:val="en-GB"/>
          <w14:textFill>
            <w14:solidFill>
              <w14:schemeClr w14:val="tx1"/>
            </w14:solidFill>
          </w14:textFill>
        </w:rPr>
        <w:t xml:space="preserve">With the increasing penetration of </w:t>
      </w:r>
      <w:r>
        <w:rPr>
          <w:rFonts w:hint="eastAsia" w:ascii="Times New Roman" w:hAnsi="Times New Roman" w:cs="Times New Roman"/>
          <w:color w:val="000000" w:themeColor="text1"/>
          <w:sz w:val="20"/>
          <w:szCs w:val="20"/>
          <w:lang w:val="en-US" w:eastAsia="zh-CN"/>
          <w14:textFill>
            <w14:solidFill>
              <w14:schemeClr w14:val="tx1"/>
            </w14:solidFill>
          </w14:textFill>
        </w:rPr>
        <w:t>distributed generations (DGs)</w:t>
      </w:r>
      <w:r>
        <w:rPr>
          <w:rFonts w:hint="default" w:ascii="Times New Roman" w:hAnsi="Times New Roman" w:cs="Times New Roman"/>
          <w:color w:val="000000" w:themeColor="text1"/>
          <w:sz w:val="20"/>
          <w:szCs w:val="20"/>
          <w:lang w:val="en-GB"/>
          <w14:textFill>
            <w14:solidFill>
              <w14:schemeClr w14:val="tx1"/>
            </w14:solidFill>
          </w14:textFill>
        </w:rPr>
        <w:t xml:space="preserve"> and the widespread integration of power electronic devices into distribution networks, power systems exhibit low inertia, weak damping, and insufficient voltage support</w:t>
      </w:r>
      <w:r>
        <w:rPr>
          <w:rFonts w:hint="default" w:ascii="Times New Roman" w:hAnsi="Times New Roman" w:cs="Times New Roman"/>
          <w:color w:val="000000" w:themeColor="text1"/>
          <w:sz w:val="20"/>
          <w:szCs w:val="20"/>
          <w:vertAlign w:val="superscript"/>
          <w:lang w:val="en-GB"/>
          <w14:textFill>
            <w14:solidFill>
              <w14:schemeClr w14:val="tx1"/>
            </w14:solidFill>
          </w14:textFill>
        </w:rPr>
        <w:t>[1,</w:t>
      </w:r>
      <w:r>
        <w:rPr>
          <w:rFonts w:hint="default" w:ascii="Times New Roman" w:hAnsi="Times New Roman" w:cs="Times New Roman"/>
          <w:color w:val="000000" w:themeColor="text1"/>
          <w:sz w:val="20"/>
          <w:szCs w:val="20"/>
          <w:vertAlign w:val="superscript"/>
          <w:lang w:val="en-US" w:eastAsia="zh-CN"/>
          <w14:textFill>
            <w14:solidFill>
              <w14:schemeClr w14:val="tx1"/>
            </w14:solidFill>
          </w14:textFill>
        </w:rPr>
        <w:t xml:space="preserve"> </w:t>
      </w:r>
      <w:r>
        <w:rPr>
          <w:rFonts w:hint="default" w:ascii="Times New Roman" w:hAnsi="Times New Roman" w:cs="Times New Roman"/>
          <w:color w:val="000000" w:themeColor="text1"/>
          <w:sz w:val="20"/>
          <w:szCs w:val="20"/>
          <w:vertAlign w:val="superscript"/>
          <w:lang w:val="en-GB"/>
          <w14:textFill>
            <w14:solidFill>
              <w14:schemeClr w14:val="tx1"/>
            </w14:solidFill>
          </w14:textFill>
        </w:rPr>
        <w:t>2]</w:t>
      </w:r>
      <w:r>
        <w:rPr>
          <w:rFonts w:hint="default" w:ascii="Times New Roman" w:hAnsi="Times New Roman" w:cs="Times New Roman"/>
          <w:color w:val="000000" w:themeColor="text1"/>
          <w:sz w:val="20"/>
          <w:szCs w:val="20"/>
          <w:lang w:val="en-GB"/>
          <w14:textFill>
            <w14:solidFill>
              <w14:schemeClr w14:val="tx1"/>
            </w14:solidFill>
          </w14:textFill>
        </w:rPr>
        <w:t>.</w:t>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 Broadband background harmonics, high density inverter connections (both grid-connected and islanded), diverse inverter operating modes, and significant transmission power fluctuations increase the likelihood of harmonic oscillations across multiple frequency bands following system disturbances, leading to severe distortion of grid-connected waveforms</w:t>
      </w:r>
      <w:r>
        <w:rPr>
          <w:rFonts w:hint="default" w:ascii="Times New Roman" w:hAnsi="Times New Roman" w:cs="Times New Roman"/>
          <w:color w:val="000000" w:themeColor="text1"/>
          <w:sz w:val="20"/>
          <w:szCs w:val="20"/>
          <w:vertAlign w:val="superscript"/>
          <w:lang w:val="en-US" w:eastAsia="zh-CN"/>
          <w14:textFill>
            <w14:solidFill>
              <w14:schemeClr w14:val="tx1"/>
            </w14:solidFill>
          </w14:textFill>
        </w:rPr>
        <w:t>[3, 4]</w:t>
      </w:r>
      <w:r>
        <w:rPr>
          <w:rFonts w:hint="default" w:ascii="Times New Roman" w:hAnsi="Times New Roman" w:cs="Times New Roman"/>
          <w:color w:val="000000" w:themeColor="text1"/>
          <w:sz w:val="20"/>
          <w:szCs w:val="20"/>
          <w:lang w:val="en-US" w:eastAsia="zh-CN"/>
          <w14:textFill>
            <w14:solidFill>
              <w14:schemeClr w14:val="tx1"/>
            </w14:solidFill>
          </w14:textFill>
        </w:rPr>
        <w:t>. When these oscillations propagate to the load side, they can impair electrical equipment and further impact the main grid, potentially leading to large-scale power outages and compromising the safety and stability of the entire system</w:t>
      </w:r>
      <w:r>
        <w:rPr>
          <w:rFonts w:hint="default" w:ascii="Times New Roman" w:hAnsi="Times New Roman" w:cs="Times New Roman"/>
          <w:color w:val="000000" w:themeColor="text1"/>
          <w:sz w:val="20"/>
          <w:szCs w:val="20"/>
          <w:vertAlign w:val="superscript"/>
          <w:lang w:val="en-US" w:eastAsia="zh-CN"/>
          <w14:textFill>
            <w14:solidFill>
              <w14:schemeClr w14:val="tx1"/>
            </w14:solidFill>
          </w14:textFill>
        </w:rPr>
        <w:t>[5, 6]</w:t>
      </w:r>
      <w:r>
        <w:rPr>
          <w:rFonts w:hint="default" w:ascii="Times New Roman" w:hAnsi="Times New Roman" w:cs="Times New Roman"/>
          <w:color w:val="000000" w:themeColor="text1"/>
          <w:sz w:val="20"/>
          <w:szCs w:val="20"/>
          <w:lang w:val="en-US" w:eastAsia="zh-CN"/>
          <w14:textFill>
            <w14:solidFill>
              <w14:schemeClr w14:val="tx1"/>
            </w14:solidFill>
          </w14:textFill>
        </w:rPr>
        <w:t>.</w:t>
      </w:r>
    </w:p>
    <w:p>
      <w:pPr>
        <w:ind w:firstLine="400"/>
        <w:jc w:val="both"/>
        <w:rPr>
          <w:rFonts w:hint="default" w:ascii="Times New Roman" w:hAnsi="Times New Roman" w:eastAsia="宋体" w:cs="Times New Roman"/>
          <w:color w:val="000000" w:themeColor="text1"/>
          <w:sz w:val="20"/>
          <w:szCs w:val="20"/>
          <w:lang w:val="en-US" w:eastAsia="zh-CN"/>
          <w14:textFill>
            <w14:solidFill>
              <w14:schemeClr w14:val="tx1"/>
            </w14:solidFill>
          </w14:textFill>
        </w:rPr>
      </w:pPr>
      <w:r>
        <w:rPr>
          <w:rFonts w:hint="default" w:ascii="Times New Roman" w:hAnsi="Times New Roman" w:cs="Times New Roman"/>
          <w:color w:val="000000" w:themeColor="text1"/>
          <w:sz w:val="20"/>
          <w:szCs w:val="20"/>
          <w:lang w:val="en-GB"/>
          <w14:textFill>
            <w14:solidFill>
              <w14:schemeClr w14:val="tx1"/>
            </w14:solidFill>
          </w14:textFill>
        </w:rPr>
        <w:t>The impedance-based modeling approach enables effective stability analysis of distribution networks with high DG penetration.</w:t>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 By representing DG as a single-port impedance, the resonance characteristics of a network composed of multiple port impedances can be analyzed</w:t>
      </w:r>
      <w:r>
        <w:rPr>
          <w:rFonts w:hint="default" w:ascii="Times New Roman" w:hAnsi="Times New Roman" w:cs="Times New Roman"/>
          <w:color w:val="000000" w:themeColor="text1"/>
          <w:sz w:val="20"/>
          <w:szCs w:val="20"/>
          <w:vertAlign w:val="superscript"/>
          <w:lang w:val="en-US" w:eastAsia="zh-CN"/>
          <w14:textFill>
            <w14:solidFill>
              <w14:schemeClr w14:val="tx1"/>
            </w14:solidFill>
          </w14:textFill>
        </w:rPr>
        <w:t>[7]</w:t>
      </w:r>
      <w:r>
        <w:rPr>
          <w:rFonts w:hint="default" w:ascii="Times New Roman" w:hAnsi="Times New Roman" w:cs="Times New Roman"/>
          <w:color w:val="000000" w:themeColor="text1"/>
          <w:sz w:val="20"/>
          <w:szCs w:val="20"/>
          <w:lang w:val="en-US" w:eastAsia="zh-CN"/>
          <w14:textFill>
            <w14:solidFill>
              <w14:schemeClr w14:val="tx1"/>
            </w14:solidFill>
          </w14:textFill>
        </w:rPr>
        <w:t>. The magnitude–frequency response of the equivalent impedance indicates the extent of harmonic amplification</w:t>
      </w:r>
      <w:r>
        <w:rPr>
          <w:rFonts w:hint="default" w:ascii="Times New Roman" w:hAnsi="Times New Roman" w:cs="Times New Roman"/>
          <w:color w:val="000000" w:themeColor="text1"/>
          <w:sz w:val="20"/>
          <w:szCs w:val="20"/>
          <w:vertAlign w:val="superscript"/>
          <w:lang w:val="en-US" w:eastAsia="zh-CN"/>
          <w14:textFill>
            <w14:solidFill>
              <w14:schemeClr w14:val="tx1"/>
            </w14:solidFill>
          </w14:textFill>
        </w:rPr>
        <w:t>[</w:t>
      </w:r>
      <w:r>
        <w:rPr>
          <w:rFonts w:hint="eastAsia" w:cs="Times New Roman"/>
          <w:color w:val="000000" w:themeColor="text1"/>
          <w:sz w:val="20"/>
          <w:szCs w:val="20"/>
          <w:vertAlign w:val="superscript"/>
          <w:lang w:val="en-US" w:eastAsia="zh-CN"/>
          <w14:textFill>
            <w14:solidFill>
              <w14:schemeClr w14:val="tx1"/>
            </w14:solidFill>
          </w14:textFill>
        </w:rPr>
        <w:t>8</w:t>
      </w:r>
      <w:r>
        <w:rPr>
          <w:rFonts w:hint="default" w:ascii="Times New Roman" w:hAnsi="Times New Roman" w:cs="Times New Roman"/>
          <w:color w:val="000000" w:themeColor="text1"/>
          <w:sz w:val="20"/>
          <w:szCs w:val="20"/>
          <w:vertAlign w:val="superscript"/>
          <w:lang w:val="en-US" w:eastAsia="zh-CN"/>
          <w14:textFill>
            <w14:solidFill>
              <w14:schemeClr w14:val="tx1"/>
            </w14:solidFill>
          </w14:textFill>
        </w:rPr>
        <w:t>]</w:t>
      </w:r>
      <w:r>
        <w:rPr>
          <w:rFonts w:hint="default" w:ascii="Times New Roman" w:hAnsi="Times New Roman" w:cs="Times New Roman"/>
          <w:color w:val="000000" w:themeColor="text1"/>
          <w:sz w:val="20"/>
          <w:szCs w:val="20"/>
          <w:lang w:val="en-US" w:eastAsia="zh-CN"/>
          <w14:textFill>
            <w14:solidFill>
              <w14:schemeClr w14:val="tx1"/>
            </w14:solidFill>
          </w14:textFill>
        </w:rPr>
        <w:t>, while its phase–frequency response characterizes system stability</w:t>
      </w:r>
      <w:r>
        <w:rPr>
          <w:rFonts w:hint="default" w:ascii="Times New Roman" w:hAnsi="Times New Roman" w:cs="Times New Roman"/>
          <w:color w:val="000000" w:themeColor="text1"/>
          <w:sz w:val="20"/>
          <w:szCs w:val="20"/>
          <w:vertAlign w:val="superscript"/>
          <w:lang w:val="en-US" w:eastAsia="zh-CN"/>
          <w14:textFill>
            <w14:solidFill>
              <w14:schemeClr w14:val="tx1"/>
            </w14:solidFill>
          </w14:textFill>
        </w:rPr>
        <w:t>[</w:t>
      </w:r>
      <w:r>
        <w:rPr>
          <w:rFonts w:hint="eastAsia" w:cs="Times New Roman"/>
          <w:color w:val="000000" w:themeColor="text1"/>
          <w:sz w:val="20"/>
          <w:szCs w:val="20"/>
          <w:vertAlign w:val="superscript"/>
          <w:lang w:val="en-US" w:eastAsia="zh-CN"/>
          <w14:textFill>
            <w14:solidFill>
              <w14:schemeClr w14:val="tx1"/>
            </w14:solidFill>
          </w14:textFill>
        </w:rPr>
        <w:t>9</w:t>
      </w:r>
      <w:r>
        <w:rPr>
          <w:rFonts w:hint="default" w:ascii="Times New Roman" w:hAnsi="Times New Roman" w:cs="Times New Roman"/>
          <w:color w:val="000000" w:themeColor="text1"/>
          <w:sz w:val="20"/>
          <w:szCs w:val="20"/>
          <w:vertAlign w:val="superscript"/>
          <w:lang w:val="en-US" w:eastAsia="zh-CN"/>
          <w14:textFill>
            <w14:solidFill>
              <w14:schemeClr w14:val="tx1"/>
            </w14:solidFill>
          </w14:textFill>
        </w:rPr>
        <w:t>]</w:t>
      </w:r>
      <w:r>
        <w:rPr>
          <w:rFonts w:hint="default" w:ascii="Times New Roman" w:hAnsi="Times New Roman" w:cs="Times New Roman"/>
          <w:color w:val="000000" w:themeColor="text1"/>
          <w:sz w:val="20"/>
          <w:szCs w:val="20"/>
          <w:lang w:val="en-US" w:eastAsia="zh-CN"/>
          <w14:textFill>
            <w14:solidFill>
              <w14:schemeClr w14:val="tx1"/>
            </w14:solidFill>
          </w14:textFill>
        </w:rPr>
        <w:t>. Broadband</w:t>
      </w:r>
      <w:r>
        <w:rPr>
          <w:rFonts w:hint="eastAsia" w:ascii="Times New Roman" w:hAnsi="Times New Roman" w:cs="Times New Roman"/>
          <w:color w:val="000000" w:themeColor="text1"/>
          <w:sz w:val="20"/>
          <w:szCs w:val="20"/>
          <w:lang w:val="en-US" w:eastAsia="zh-CN"/>
          <w14:textFill>
            <w14:solidFill>
              <w14:schemeClr w14:val="tx1"/>
            </w14:solidFill>
          </w14:textFill>
        </w:rPr>
        <w:t xml:space="preserve"> </w:t>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oscillations can be mitigated by regulating both the magnitude and phase characteristics. Depending on the </w:t>
      </w:r>
      <w:r>
        <w:rPr>
          <w:rFonts w:hint="default" w:ascii="Times New Roman" w:hAnsi="Times New Roman" w:cs="Times New Roman"/>
          <w:color w:val="000000" w:themeColor="text1"/>
          <w:sz w:val="20"/>
          <w:szCs w:val="20"/>
          <w:lang w:val="en-GB"/>
          <w14:textFill>
            <w14:solidFill>
              <w14:schemeClr w14:val="tx1"/>
            </w14:solidFill>
          </w14:textFill>
        </w:rPr>
        <w:t>approach</w:t>
      </w:r>
      <w:r>
        <w:rPr>
          <w:rFonts w:hint="default" w:ascii="Times New Roman" w:hAnsi="Times New Roman" w:cs="Times New Roman"/>
          <w:color w:val="000000" w:themeColor="text1"/>
          <w:sz w:val="20"/>
          <w:szCs w:val="20"/>
          <w:lang w:val="en-US" w:eastAsia="zh-CN"/>
          <w14:textFill>
            <w14:solidFill>
              <w14:schemeClr w14:val="tx1"/>
            </w14:solidFill>
          </w14:textFill>
        </w:rPr>
        <w:t>, suppression strategies are classified into inverter-level active damping methods and station-level passive damping methods</w:t>
      </w:r>
      <w:r>
        <w:rPr>
          <w:rFonts w:hint="default" w:ascii="Times New Roman" w:hAnsi="Times New Roman" w:cs="Times New Roman"/>
          <w:color w:val="000000" w:themeColor="text1"/>
          <w:sz w:val="20"/>
          <w:szCs w:val="20"/>
          <w:vertAlign w:val="superscript"/>
          <w:lang w:val="en-US" w:eastAsia="zh-CN"/>
          <w14:textFill>
            <w14:solidFill>
              <w14:schemeClr w14:val="tx1"/>
            </w14:solidFill>
          </w14:textFill>
        </w:rPr>
        <w:t>[1</w:t>
      </w:r>
      <w:r>
        <w:rPr>
          <w:rFonts w:hint="eastAsia" w:cs="Times New Roman"/>
          <w:color w:val="000000" w:themeColor="text1"/>
          <w:sz w:val="20"/>
          <w:szCs w:val="20"/>
          <w:vertAlign w:val="superscript"/>
          <w:lang w:val="en-US" w:eastAsia="zh-CN"/>
          <w14:textFill>
            <w14:solidFill>
              <w14:schemeClr w14:val="tx1"/>
            </w14:solidFill>
          </w14:textFill>
        </w:rPr>
        <w:t>0-25</w:t>
      </w:r>
      <w:r>
        <w:rPr>
          <w:rFonts w:hint="default" w:ascii="Times New Roman" w:hAnsi="Times New Roman" w:cs="Times New Roman"/>
          <w:color w:val="000000" w:themeColor="text1"/>
          <w:sz w:val="20"/>
          <w:szCs w:val="20"/>
          <w:vertAlign w:val="superscript"/>
          <w:lang w:val="en-US" w:eastAsia="zh-CN"/>
          <w14:textFill>
            <w14:solidFill>
              <w14:schemeClr w14:val="tx1"/>
            </w14:solidFill>
          </w14:textFill>
        </w:rPr>
        <w:t>]</w:t>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 The active damping method introduces proportional and differential links into the inverter control loop to suppress resonance peaks </w:t>
      </w:r>
      <w:r>
        <w:rPr>
          <w:rFonts w:hint="default" w:ascii="Times New Roman" w:hAnsi="Times New Roman" w:cs="Times New Roman"/>
          <w:color w:val="000000" w:themeColor="text1"/>
          <w:sz w:val="20"/>
          <w:szCs w:val="20"/>
          <w:vertAlign w:val="superscript"/>
          <w:lang w:val="en-US" w:eastAsia="zh-CN"/>
          <w14:textFill>
            <w14:solidFill>
              <w14:schemeClr w14:val="tx1"/>
            </w14:solidFill>
          </w14:textFill>
        </w:rPr>
        <w:t>[1</w:t>
      </w:r>
      <w:r>
        <w:rPr>
          <w:rFonts w:hint="eastAsia" w:cs="Times New Roman"/>
          <w:color w:val="000000" w:themeColor="text1"/>
          <w:sz w:val="20"/>
          <w:szCs w:val="20"/>
          <w:vertAlign w:val="superscript"/>
          <w:lang w:val="en-US" w:eastAsia="zh-CN"/>
          <w14:textFill>
            <w14:solidFill>
              <w14:schemeClr w14:val="tx1"/>
            </w14:solidFill>
          </w14:textFill>
        </w:rPr>
        <w:t>0</w:t>
      </w:r>
      <w:r>
        <w:rPr>
          <w:rFonts w:hint="default" w:ascii="Times New Roman" w:hAnsi="Times New Roman" w:cs="Times New Roman"/>
          <w:color w:val="000000" w:themeColor="text1"/>
          <w:sz w:val="20"/>
          <w:szCs w:val="20"/>
          <w:vertAlign w:val="superscript"/>
          <w:lang w:val="en-US" w:eastAsia="zh-CN"/>
          <w14:textFill>
            <w14:solidFill>
              <w14:schemeClr w14:val="tx1"/>
            </w14:solidFill>
          </w14:textFill>
        </w:rPr>
        <w:t>–1</w:t>
      </w:r>
      <w:r>
        <w:rPr>
          <w:rFonts w:hint="eastAsia" w:cs="Times New Roman"/>
          <w:color w:val="000000" w:themeColor="text1"/>
          <w:sz w:val="20"/>
          <w:szCs w:val="20"/>
          <w:vertAlign w:val="superscript"/>
          <w:lang w:val="en-US" w:eastAsia="zh-CN"/>
          <w14:textFill>
            <w14:solidFill>
              <w14:schemeClr w14:val="tx1"/>
            </w14:solidFill>
          </w14:textFill>
        </w:rPr>
        <w:t>2</w:t>
      </w:r>
      <w:r>
        <w:rPr>
          <w:rFonts w:hint="default" w:ascii="Times New Roman" w:hAnsi="Times New Roman" w:cs="Times New Roman"/>
          <w:color w:val="000000" w:themeColor="text1"/>
          <w:sz w:val="20"/>
          <w:szCs w:val="20"/>
          <w:vertAlign w:val="superscript"/>
          <w:lang w:val="en-US" w:eastAsia="zh-CN"/>
          <w14:textFill>
            <w14:solidFill>
              <w14:schemeClr w14:val="tx1"/>
            </w14:solidFill>
          </w14:textFill>
        </w:rPr>
        <w:t>]</w:t>
      </w:r>
      <w:r>
        <w:rPr>
          <w:rFonts w:hint="default" w:ascii="Times New Roman" w:hAnsi="Times New Roman" w:cs="Times New Roman"/>
          <w:color w:val="000000" w:themeColor="text1"/>
          <w:sz w:val="20"/>
          <w:szCs w:val="20"/>
          <w:lang w:val="en-US" w:eastAsia="zh-CN"/>
          <w14:textFill>
            <w14:solidFill>
              <w14:schemeClr w14:val="tx1"/>
            </w14:solidFill>
          </w14:textFill>
        </w:rPr>
        <w:t>, or employs a virtual impedance in parallel at the point of common coupling (PCC), combined with frequency-domain passivity theory</w:t>
      </w:r>
      <w:r>
        <w:rPr>
          <w:rFonts w:hint="default" w:ascii="Times New Roman" w:hAnsi="Times New Roman" w:cs="Times New Roman"/>
          <w:color w:val="000000" w:themeColor="text1"/>
          <w:sz w:val="20"/>
          <w:szCs w:val="20"/>
          <w:vertAlign w:val="superscript"/>
          <w:lang w:val="en-US" w:eastAsia="zh-CN"/>
          <w14:textFill>
            <w14:solidFill>
              <w14:schemeClr w14:val="tx1"/>
            </w14:solidFill>
          </w14:textFill>
        </w:rPr>
        <w:t>[1</w:t>
      </w:r>
      <w:r>
        <w:rPr>
          <w:rFonts w:hint="eastAsia" w:cs="Times New Roman"/>
          <w:color w:val="000000" w:themeColor="text1"/>
          <w:sz w:val="20"/>
          <w:szCs w:val="20"/>
          <w:vertAlign w:val="superscript"/>
          <w:lang w:val="en-US" w:eastAsia="zh-CN"/>
          <w14:textFill>
            <w14:solidFill>
              <w14:schemeClr w14:val="tx1"/>
            </w14:solidFill>
          </w14:textFill>
        </w:rPr>
        <w:t>3</w:t>
      </w:r>
      <w:r>
        <w:rPr>
          <w:rFonts w:hint="default" w:ascii="Times New Roman" w:hAnsi="Times New Roman" w:cs="Times New Roman"/>
          <w:color w:val="000000" w:themeColor="text1"/>
          <w:sz w:val="20"/>
          <w:szCs w:val="20"/>
          <w:vertAlign w:val="superscript"/>
          <w:lang w:val="en-US" w:eastAsia="zh-CN"/>
          <w14:textFill>
            <w14:solidFill>
              <w14:schemeClr w14:val="tx1"/>
            </w14:solidFill>
          </w14:textFill>
        </w:rPr>
        <w:t>]</w:t>
      </w:r>
      <w:r>
        <w:rPr>
          <w:rFonts w:hint="default" w:ascii="Times New Roman" w:hAnsi="Times New Roman" w:cs="Times New Roman"/>
          <w:color w:val="000000" w:themeColor="text1"/>
          <w:sz w:val="20"/>
          <w:szCs w:val="20"/>
          <w:lang w:val="en-US" w:eastAsia="zh-CN"/>
          <w14:textFill>
            <w14:solidFill>
              <w14:schemeClr w14:val="tx1"/>
            </w14:solidFill>
          </w14:textFill>
        </w:rPr>
        <w:t>, to enhance the stability margin of grid-connected inverters (GCIs)</w:t>
      </w:r>
      <w:r>
        <w:rPr>
          <w:rFonts w:hint="default" w:ascii="Times New Roman" w:hAnsi="Times New Roman" w:cs="Times New Roman"/>
          <w:color w:val="000000" w:themeColor="text1"/>
          <w:sz w:val="20"/>
          <w:szCs w:val="20"/>
          <w:vertAlign w:val="superscript"/>
          <w:lang w:val="en-US" w:eastAsia="zh-CN"/>
          <w14:textFill>
            <w14:solidFill>
              <w14:schemeClr w14:val="tx1"/>
            </w14:solidFill>
          </w14:textFill>
        </w:rPr>
        <w:t>[1</w:t>
      </w:r>
      <w:r>
        <w:rPr>
          <w:rFonts w:hint="eastAsia" w:cs="Times New Roman"/>
          <w:color w:val="000000" w:themeColor="text1"/>
          <w:sz w:val="20"/>
          <w:szCs w:val="20"/>
          <w:vertAlign w:val="superscript"/>
          <w:lang w:val="en-US" w:eastAsia="zh-CN"/>
          <w14:textFill>
            <w14:solidFill>
              <w14:schemeClr w14:val="tx1"/>
            </w14:solidFill>
          </w14:textFill>
        </w:rPr>
        <w:t>4</w:t>
      </w:r>
      <w:r>
        <w:rPr>
          <w:rFonts w:hint="default" w:ascii="Times New Roman" w:hAnsi="Times New Roman" w:cs="Times New Roman"/>
          <w:color w:val="000000" w:themeColor="text1"/>
          <w:sz w:val="20"/>
          <w:szCs w:val="20"/>
          <w:vertAlign w:val="superscript"/>
          <w:lang w:val="en-US" w:eastAsia="zh-CN"/>
          <w14:textFill>
            <w14:solidFill>
              <w14:schemeClr w14:val="tx1"/>
            </w14:solidFill>
          </w14:textFill>
        </w:rPr>
        <w:t>, 1</w:t>
      </w:r>
      <w:r>
        <w:rPr>
          <w:rFonts w:hint="eastAsia" w:cs="Times New Roman"/>
          <w:color w:val="000000" w:themeColor="text1"/>
          <w:sz w:val="20"/>
          <w:szCs w:val="20"/>
          <w:vertAlign w:val="superscript"/>
          <w:lang w:val="en-US" w:eastAsia="zh-CN"/>
          <w14:textFill>
            <w14:solidFill>
              <w14:schemeClr w14:val="tx1"/>
            </w14:solidFill>
          </w14:textFill>
        </w:rPr>
        <w:t>5</w:t>
      </w:r>
      <w:r>
        <w:rPr>
          <w:rFonts w:hint="default" w:ascii="Times New Roman" w:hAnsi="Times New Roman" w:cs="Times New Roman"/>
          <w:color w:val="000000" w:themeColor="text1"/>
          <w:sz w:val="20"/>
          <w:szCs w:val="20"/>
          <w:vertAlign w:val="superscript"/>
          <w:lang w:val="en-US" w:eastAsia="zh-CN"/>
          <w14:textFill>
            <w14:solidFill>
              <w14:schemeClr w14:val="tx1"/>
            </w14:solidFill>
          </w14:textFill>
        </w:rPr>
        <w:t>]</w:t>
      </w:r>
      <w:r>
        <w:rPr>
          <w:rFonts w:hint="default" w:ascii="Times New Roman" w:hAnsi="Times New Roman" w:cs="Times New Roman"/>
          <w:color w:val="000000" w:themeColor="text1"/>
          <w:sz w:val="20"/>
          <w:szCs w:val="20"/>
          <w:lang w:val="en-US" w:eastAsia="zh-CN"/>
          <w14:textFill>
            <w14:solidFill>
              <w14:schemeClr w14:val="tx1"/>
            </w14:solidFill>
          </w14:textFill>
        </w:rPr>
        <w:t>. In multi-inverter grid-connected systems, the presence of numerous nonlinear control links makes it difficult to effectively suppress multiple resonance peaks simultaneously through parameter optimization or additional control methods, as current research still focuses on parameter design for specific control structures</w:t>
      </w:r>
      <w:r>
        <w:rPr>
          <w:rFonts w:hint="default" w:ascii="Times New Roman" w:hAnsi="Times New Roman" w:cs="Times New Roman"/>
          <w:color w:val="000000" w:themeColor="text1"/>
          <w:sz w:val="20"/>
          <w:szCs w:val="20"/>
          <w:vertAlign w:val="superscript"/>
          <w:lang w:val="en-US" w:eastAsia="zh-CN"/>
          <w14:textFill>
            <w14:solidFill>
              <w14:schemeClr w14:val="tx1"/>
            </w14:solidFill>
          </w14:textFill>
        </w:rPr>
        <w:t>[</w:t>
      </w:r>
      <w:r>
        <w:rPr>
          <w:rFonts w:hint="eastAsia" w:cs="Times New Roman"/>
          <w:color w:val="000000" w:themeColor="text1"/>
          <w:sz w:val="20"/>
          <w:szCs w:val="20"/>
          <w:vertAlign w:val="superscript"/>
          <w:lang w:val="en-US" w:eastAsia="zh-CN"/>
          <w14:textFill>
            <w14:solidFill>
              <w14:schemeClr w14:val="tx1"/>
            </w14:solidFill>
          </w14:textFill>
        </w:rPr>
        <w:t>16,17</w:t>
      </w:r>
      <w:r>
        <w:rPr>
          <w:rFonts w:hint="default" w:ascii="Times New Roman" w:hAnsi="Times New Roman" w:cs="Times New Roman"/>
          <w:color w:val="000000" w:themeColor="text1"/>
          <w:sz w:val="20"/>
          <w:szCs w:val="20"/>
          <w:vertAlign w:val="superscript"/>
          <w:lang w:val="en-US" w:eastAsia="zh-CN"/>
          <w14:textFill>
            <w14:solidFill>
              <w14:schemeClr w14:val="tx1"/>
            </w14:solidFill>
          </w14:textFill>
        </w:rPr>
        <w:t>]</w:t>
      </w:r>
      <w:r>
        <w:rPr>
          <w:rFonts w:hint="default" w:ascii="Times New Roman" w:hAnsi="Times New Roman" w:cs="Times New Roman"/>
          <w:color w:val="000000" w:themeColor="text1"/>
          <w:sz w:val="20"/>
          <w:szCs w:val="20"/>
          <w:lang w:val="en-US" w:eastAsia="zh-CN"/>
          <w14:textFill>
            <w14:solidFill>
              <w14:schemeClr w14:val="tx1"/>
            </w14:solidFill>
          </w14:textFill>
        </w:rPr>
        <w:t>, and the methods lack general applicability.</w:t>
      </w:r>
    </w:p>
    <w:p>
      <w:pPr>
        <w:ind w:firstLine="400"/>
        <w:jc w:val="both"/>
        <w:rPr>
          <w:rFonts w:hint="default" w:ascii="Times New Roman" w:hAnsi="Times New Roman" w:cs="Times New Roman"/>
          <w:color w:val="000000" w:themeColor="text1"/>
          <w:sz w:val="20"/>
          <w:szCs w:val="20"/>
          <w:lang w:val="en-GB"/>
          <w14:textFill>
            <w14:solidFill>
              <w14:schemeClr w14:val="tx1"/>
            </w14:solidFill>
          </w14:textFill>
        </w:rPr>
      </w:pPr>
      <w:r>
        <w:rPr>
          <w:rFonts w:hint="default" w:ascii="Times New Roman" w:hAnsi="Times New Roman" w:cs="Times New Roman"/>
          <w:color w:val="000000" w:themeColor="text1"/>
          <w:sz w:val="20"/>
          <w:szCs w:val="20"/>
          <w:lang w:val="en-GB"/>
          <w14:textFill>
            <w14:solidFill>
              <w14:schemeClr w14:val="tx1"/>
            </w14:solidFill>
          </w14:textFill>
        </w:rPr>
        <w:t xml:space="preserve">The passive damping method reshapes the system impedance by connecting passive devices in parallel at the </w:t>
      </w:r>
      <w:r>
        <w:rPr>
          <w:rFonts w:hint="default" w:ascii="Times New Roman" w:hAnsi="Times New Roman" w:cs="Times New Roman"/>
          <w:color w:val="000000" w:themeColor="text1"/>
          <w:sz w:val="20"/>
          <w:szCs w:val="20"/>
          <w:lang w:val="en-US" w:eastAsia="zh-CN"/>
          <w14:textFill>
            <w14:solidFill>
              <w14:schemeClr w14:val="tx1"/>
            </w14:solidFill>
          </w14:textFill>
        </w:rPr>
        <w:t>aggregation</w:t>
      </w:r>
      <w:r>
        <w:rPr>
          <w:rFonts w:hint="default" w:ascii="Times New Roman" w:hAnsi="Times New Roman" w:cs="Times New Roman"/>
          <w:color w:val="000000" w:themeColor="text1"/>
          <w:sz w:val="20"/>
          <w:szCs w:val="20"/>
          <w:lang w:val="en-GB"/>
          <w14:textFill>
            <w14:solidFill>
              <w14:schemeClr w14:val="tx1"/>
            </w14:solidFill>
          </w14:textFill>
        </w:rPr>
        <w:t xml:space="preserve"> point of </w:t>
      </w:r>
      <w:r>
        <w:rPr>
          <w:rFonts w:hint="default" w:ascii="Times New Roman" w:hAnsi="Times New Roman" w:cs="Times New Roman"/>
          <w:color w:val="000000" w:themeColor="text1"/>
          <w:sz w:val="20"/>
          <w:szCs w:val="20"/>
          <w:lang w:val="en-US" w:eastAsia="zh-CN"/>
          <w14:textFill>
            <w14:solidFill>
              <w14:schemeClr w14:val="tx1"/>
            </w14:solidFill>
          </w14:textFill>
        </w:rPr>
        <w:t>DGs</w:t>
      </w:r>
      <w:r>
        <w:rPr>
          <w:rFonts w:hint="default" w:ascii="Times New Roman" w:hAnsi="Times New Roman" w:cs="Times New Roman"/>
          <w:color w:val="000000" w:themeColor="text1"/>
          <w:sz w:val="20"/>
          <w:szCs w:val="20"/>
          <w:lang w:val="en-GB"/>
          <w14:textFill>
            <w14:solidFill>
              <w14:schemeClr w14:val="tx1"/>
            </w14:solidFill>
          </w14:textFill>
        </w:rPr>
        <w:t>. Commonly used devices include passive filters</w:t>
      </w:r>
      <w:r>
        <w:rPr>
          <w:rFonts w:hint="default" w:ascii="Times New Roman" w:hAnsi="Times New Roman" w:cs="Times New Roman"/>
          <w:color w:val="000000" w:themeColor="text1"/>
          <w:sz w:val="20"/>
          <w:szCs w:val="20"/>
          <w:vertAlign w:val="superscript"/>
          <w:lang w:val="en-GB"/>
          <w14:textFill>
            <w14:solidFill>
              <w14:schemeClr w14:val="tx1"/>
            </w14:solidFill>
          </w14:textFill>
        </w:rPr>
        <w:t>[</w:t>
      </w:r>
      <w:r>
        <w:rPr>
          <w:rFonts w:hint="eastAsia" w:cs="Times New Roman"/>
          <w:color w:val="000000" w:themeColor="text1"/>
          <w:sz w:val="20"/>
          <w:szCs w:val="20"/>
          <w:vertAlign w:val="superscript"/>
          <w:lang w:val="en-US" w:eastAsia="zh-CN"/>
          <w14:textFill>
            <w14:solidFill>
              <w14:schemeClr w14:val="tx1"/>
            </w14:solidFill>
          </w14:textFill>
        </w:rPr>
        <w:t>18</w:t>
      </w:r>
      <w:r>
        <w:rPr>
          <w:rFonts w:hint="default" w:ascii="Times New Roman" w:hAnsi="Times New Roman" w:cs="Times New Roman"/>
          <w:color w:val="000000" w:themeColor="text1"/>
          <w:sz w:val="20"/>
          <w:szCs w:val="20"/>
          <w:vertAlign w:val="superscript"/>
          <w:lang w:val="en-GB"/>
          <w14:textFill>
            <w14:solidFill>
              <w14:schemeClr w14:val="tx1"/>
            </w14:solidFill>
          </w14:textFill>
        </w:rPr>
        <w:t>–</w:t>
      </w:r>
      <w:r>
        <w:rPr>
          <w:rFonts w:hint="eastAsia" w:cs="Times New Roman"/>
          <w:color w:val="000000" w:themeColor="text1"/>
          <w:sz w:val="20"/>
          <w:szCs w:val="20"/>
          <w:vertAlign w:val="superscript"/>
          <w:lang w:val="en-US" w:eastAsia="zh-CN"/>
          <w14:textFill>
            <w14:solidFill>
              <w14:schemeClr w14:val="tx1"/>
            </w14:solidFill>
          </w14:textFill>
        </w:rPr>
        <w:t>22</w:t>
      </w:r>
      <w:r>
        <w:rPr>
          <w:rFonts w:hint="default" w:ascii="Times New Roman" w:hAnsi="Times New Roman" w:cs="Times New Roman"/>
          <w:color w:val="000000" w:themeColor="text1"/>
          <w:sz w:val="20"/>
          <w:szCs w:val="20"/>
          <w:vertAlign w:val="superscript"/>
          <w:lang w:val="en-GB"/>
          <w14:textFill>
            <w14:solidFill>
              <w14:schemeClr w14:val="tx1"/>
            </w14:solidFill>
          </w14:textFill>
        </w:rPr>
        <w:t>]</w:t>
      </w:r>
      <w:r>
        <w:rPr>
          <w:rFonts w:hint="default" w:ascii="Times New Roman" w:hAnsi="Times New Roman" w:cs="Times New Roman"/>
          <w:color w:val="000000" w:themeColor="text1"/>
          <w:sz w:val="20"/>
          <w:szCs w:val="20"/>
          <w:lang w:val="en-GB"/>
          <w14:textFill>
            <w14:solidFill>
              <w14:schemeClr w14:val="tx1"/>
            </w14:solidFill>
          </w14:textFill>
        </w:rPr>
        <w:t>, static var generators (SVGs), and transformer windings</w:t>
      </w:r>
      <w:r>
        <w:rPr>
          <w:rFonts w:hint="default" w:ascii="Times New Roman" w:hAnsi="Times New Roman" w:cs="Times New Roman"/>
          <w:color w:val="000000" w:themeColor="text1"/>
          <w:sz w:val="20"/>
          <w:szCs w:val="20"/>
          <w:vertAlign w:val="superscript"/>
          <w:lang w:val="en-GB"/>
          <w14:textFill>
            <w14:solidFill>
              <w14:schemeClr w14:val="tx1"/>
            </w14:solidFill>
          </w14:textFill>
        </w:rPr>
        <w:t>[2</w:t>
      </w:r>
      <w:r>
        <w:rPr>
          <w:rFonts w:hint="eastAsia" w:cs="Times New Roman"/>
          <w:color w:val="000000" w:themeColor="text1"/>
          <w:sz w:val="20"/>
          <w:szCs w:val="20"/>
          <w:vertAlign w:val="superscript"/>
          <w:lang w:val="en-US" w:eastAsia="zh-CN"/>
          <w14:textFill>
            <w14:solidFill>
              <w14:schemeClr w14:val="tx1"/>
            </w14:solidFill>
          </w14:textFill>
        </w:rPr>
        <w:t>3</w:t>
      </w:r>
      <w:r>
        <w:rPr>
          <w:rFonts w:hint="default" w:ascii="Times New Roman" w:hAnsi="Times New Roman" w:cs="Times New Roman"/>
          <w:color w:val="000000" w:themeColor="text1"/>
          <w:sz w:val="20"/>
          <w:szCs w:val="20"/>
          <w:vertAlign w:val="superscript"/>
          <w:lang w:val="en-GB"/>
          <w14:textFill>
            <w14:solidFill>
              <w14:schemeClr w14:val="tx1"/>
            </w14:solidFill>
          </w14:textFill>
        </w:rPr>
        <w:t>–</w:t>
      </w:r>
      <w:r>
        <w:rPr>
          <w:rFonts w:hint="eastAsia" w:cs="Times New Roman"/>
          <w:color w:val="000000" w:themeColor="text1"/>
          <w:sz w:val="20"/>
          <w:szCs w:val="20"/>
          <w:vertAlign w:val="superscript"/>
          <w:lang w:val="en-US" w:eastAsia="zh-CN"/>
          <w14:textFill>
            <w14:solidFill>
              <w14:schemeClr w14:val="tx1"/>
            </w14:solidFill>
          </w14:textFill>
        </w:rPr>
        <w:t>25</w:t>
      </w:r>
      <w:r>
        <w:rPr>
          <w:rFonts w:hint="default" w:ascii="Times New Roman" w:hAnsi="Times New Roman" w:cs="Times New Roman"/>
          <w:color w:val="000000" w:themeColor="text1"/>
          <w:sz w:val="20"/>
          <w:szCs w:val="20"/>
          <w:vertAlign w:val="superscript"/>
          <w:lang w:val="en-GB"/>
          <w14:textFill>
            <w14:solidFill>
              <w14:schemeClr w14:val="tx1"/>
            </w14:solidFill>
          </w14:textFill>
        </w:rPr>
        <w:t>]</w:t>
      </w:r>
      <w:r>
        <w:rPr>
          <w:rFonts w:hint="default" w:ascii="Times New Roman" w:hAnsi="Times New Roman" w:cs="Times New Roman"/>
          <w:color w:val="000000" w:themeColor="text1"/>
          <w:sz w:val="20"/>
          <w:szCs w:val="20"/>
          <w:lang w:val="en-GB"/>
          <w14:textFill>
            <w14:solidFill>
              <w14:schemeClr w14:val="tx1"/>
            </w14:solidFill>
          </w14:textFill>
        </w:rPr>
        <w:t>. Passive filters are further classified by order into second-order</w:t>
      </w:r>
      <w:r>
        <w:rPr>
          <w:rFonts w:hint="default" w:ascii="Times New Roman" w:hAnsi="Times New Roman" w:cs="Times New Roman"/>
          <w:color w:val="000000" w:themeColor="text1"/>
          <w:sz w:val="20"/>
          <w:szCs w:val="20"/>
          <w:vertAlign w:val="superscript"/>
          <w:lang w:val="en-GB"/>
          <w14:textFill>
            <w14:solidFill>
              <w14:schemeClr w14:val="tx1"/>
            </w14:solidFill>
          </w14:textFill>
        </w:rPr>
        <w:t>[</w:t>
      </w:r>
      <w:r>
        <w:rPr>
          <w:rFonts w:hint="eastAsia" w:cs="Times New Roman"/>
          <w:color w:val="000000" w:themeColor="text1"/>
          <w:sz w:val="20"/>
          <w:szCs w:val="20"/>
          <w:vertAlign w:val="superscript"/>
          <w:lang w:val="en-US" w:eastAsia="zh-CN"/>
          <w14:textFill>
            <w14:solidFill>
              <w14:schemeClr w14:val="tx1"/>
            </w14:solidFill>
          </w14:textFill>
        </w:rPr>
        <w:t>18</w:t>
      </w:r>
      <w:r>
        <w:rPr>
          <w:rFonts w:hint="default" w:ascii="Times New Roman" w:hAnsi="Times New Roman" w:cs="Times New Roman"/>
          <w:color w:val="000000" w:themeColor="text1"/>
          <w:sz w:val="20"/>
          <w:szCs w:val="20"/>
          <w:vertAlign w:val="superscript"/>
          <w:lang w:val="en-GB"/>
          <w14:textFill>
            <w14:solidFill>
              <w14:schemeClr w14:val="tx1"/>
            </w14:solidFill>
          </w14:textFill>
        </w:rPr>
        <w:t xml:space="preserve">, </w:t>
      </w:r>
      <w:r>
        <w:rPr>
          <w:rFonts w:hint="eastAsia" w:cs="Times New Roman"/>
          <w:color w:val="000000" w:themeColor="text1"/>
          <w:sz w:val="20"/>
          <w:szCs w:val="20"/>
          <w:vertAlign w:val="superscript"/>
          <w:lang w:val="en-US" w:eastAsia="zh-CN"/>
          <w14:textFill>
            <w14:solidFill>
              <w14:schemeClr w14:val="tx1"/>
            </w14:solidFill>
          </w14:textFill>
        </w:rPr>
        <w:t>19</w:t>
      </w:r>
      <w:r>
        <w:rPr>
          <w:rFonts w:hint="default" w:ascii="Times New Roman" w:hAnsi="Times New Roman" w:cs="Times New Roman"/>
          <w:color w:val="000000" w:themeColor="text1"/>
          <w:sz w:val="20"/>
          <w:szCs w:val="20"/>
          <w:vertAlign w:val="superscript"/>
          <w:lang w:val="en-GB"/>
          <w14:textFill>
            <w14:solidFill>
              <w14:schemeClr w14:val="tx1"/>
            </w14:solidFill>
          </w14:textFill>
        </w:rPr>
        <w:t>]</w:t>
      </w:r>
      <w:r>
        <w:rPr>
          <w:rFonts w:hint="default" w:ascii="Times New Roman" w:hAnsi="Times New Roman" w:cs="Times New Roman"/>
          <w:color w:val="000000" w:themeColor="text1"/>
          <w:sz w:val="20"/>
          <w:szCs w:val="20"/>
          <w:lang w:val="en-GB"/>
          <w14:textFill>
            <w14:solidFill>
              <w14:schemeClr w14:val="tx1"/>
            </w14:solidFill>
          </w14:textFill>
        </w:rPr>
        <w:t>, third-order</w:t>
      </w:r>
      <w:r>
        <w:rPr>
          <w:rFonts w:hint="default" w:ascii="Times New Roman" w:hAnsi="Times New Roman" w:cs="Times New Roman"/>
          <w:color w:val="000000" w:themeColor="text1"/>
          <w:sz w:val="20"/>
          <w:szCs w:val="20"/>
          <w:vertAlign w:val="superscript"/>
          <w:lang w:val="en-GB"/>
          <w14:textFill>
            <w14:solidFill>
              <w14:schemeClr w14:val="tx1"/>
            </w14:solidFill>
          </w14:textFill>
        </w:rPr>
        <w:t>[2</w:t>
      </w:r>
      <w:r>
        <w:rPr>
          <w:rFonts w:hint="eastAsia" w:cs="Times New Roman"/>
          <w:color w:val="000000" w:themeColor="text1"/>
          <w:sz w:val="20"/>
          <w:szCs w:val="20"/>
          <w:vertAlign w:val="superscript"/>
          <w:lang w:val="en-US" w:eastAsia="zh-CN"/>
          <w14:textFill>
            <w14:solidFill>
              <w14:schemeClr w14:val="tx1"/>
            </w14:solidFill>
          </w14:textFill>
        </w:rPr>
        <w:t>0</w:t>
      </w:r>
      <w:r>
        <w:rPr>
          <w:rFonts w:hint="default" w:ascii="Times New Roman" w:hAnsi="Times New Roman" w:cs="Times New Roman"/>
          <w:color w:val="000000" w:themeColor="text1"/>
          <w:sz w:val="20"/>
          <w:szCs w:val="20"/>
          <w:vertAlign w:val="superscript"/>
          <w:lang w:val="en-GB"/>
          <w14:textFill>
            <w14:solidFill>
              <w14:schemeClr w14:val="tx1"/>
            </w14:solidFill>
          </w14:textFill>
        </w:rPr>
        <w:t>, 2</w:t>
      </w:r>
      <w:r>
        <w:rPr>
          <w:rFonts w:hint="eastAsia" w:cs="Times New Roman"/>
          <w:color w:val="000000" w:themeColor="text1"/>
          <w:sz w:val="20"/>
          <w:szCs w:val="20"/>
          <w:vertAlign w:val="superscript"/>
          <w:lang w:val="en-US" w:eastAsia="zh-CN"/>
          <w14:textFill>
            <w14:solidFill>
              <w14:schemeClr w14:val="tx1"/>
            </w14:solidFill>
          </w14:textFill>
        </w:rPr>
        <w:t>1</w:t>
      </w:r>
      <w:r>
        <w:rPr>
          <w:rFonts w:hint="default" w:ascii="Times New Roman" w:hAnsi="Times New Roman" w:cs="Times New Roman"/>
          <w:color w:val="000000" w:themeColor="text1"/>
          <w:sz w:val="20"/>
          <w:szCs w:val="20"/>
          <w:vertAlign w:val="superscript"/>
          <w:lang w:val="en-GB"/>
          <w14:textFill>
            <w14:solidFill>
              <w14:schemeClr w14:val="tx1"/>
            </w14:solidFill>
          </w14:textFill>
        </w:rPr>
        <w:t>]</w:t>
      </w:r>
      <w:r>
        <w:rPr>
          <w:rFonts w:hint="default" w:ascii="Times New Roman" w:hAnsi="Times New Roman" w:cs="Times New Roman"/>
          <w:color w:val="000000" w:themeColor="text1"/>
          <w:sz w:val="20"/>
          <w:szCs w:val="20"/>
          <w:lang w:val="en-GB"/>
          <w14:textFill>
            <w14:solidFill>
              <w14:schemeClr w14:val="tx1"/>
            </w14:solidFill>
          </w14:textFill>
        </w:rPr>
        <w:t>, and fourth-order types</w:t>
      </w:r>
      <w:r>
        <w:rPr>
          <w:rFonts w:hint="default" w:ascii="Times New Roman" w:hAnsi="Times New Roman" w:cs="Times New Roman"/>
          <w:color w:val="000000" w:themeColor="text1"/>
          <w:sz w:val="20"/>
          <w:szCs w:val="20"/>
          <w:vertAlign w:val="superscript"/>
          <w:lang w:val="en-GB"/>
          <w14:textFill>
            <w14:solidFill>
              <w14:schemeClr w14:val="tx1"/>
            </w14:solidFill>
          </w14:textFill>
        </w:rPr>
        <w:t>[2</w:t>
      </w:r>
      <w:r>
        <w:rPr>
          <w:rFonts w:hint="eastAsia" w:cs="Times New Roman"/>
          <w:color w:val="000000" w:themeColor="text1"/>
          <w:sz w:val="20"/>
          <w:szCs w:val="20"/>
          <w:vertAlign w:val="superscript"/>
          <w:lang w:val="en-US" w:eastAsia="zh-CN"/>
          <w14:textFill>
            <w14:solidFill>
              <w14:schemeClr w14:val="tx1"/>
            </w14:solidFill>
          </w14:textFill>
        </w:rPr>
        <w:t>2</w:t>
      </w:r>
      <w:r>
        <w:rPr>
          <w:rFonts w:hint="default" w:ascii="Times New Roman" w:hAnsi="Times New Roman" w:cs="Times New Roman"/>
          <w:color w:val="000000" w:themeColor="text1"/>
          <w:sz w:val="20"/>
          <w:szCs w:val="20"/>
          <w:vertAlign w:val="superscript"/>
          <w:lang w:val="en-GB"/>
          <w14:textFill>
            <w14:solidFill>
              <w14:schemeClr w14:val="tx1"/>
            </w14:solidFill>
          </w14:textFill>
        </w:rPr>
        <w:t>]</w:t>
      </w:r>
      <w:r>
        <w:rPr>
          <w:rFonts w:hint="default" w:ascii="Times New Roman" w:hAnsi="Times New Roman" w:cs="Times New Roman"/>
          <w:color w:val="000000" w:themeColor="text1"/>
          <w:sz w:val="20"/>
          <w:szCs w:val="20"/>
          <w:lang w:val="en-GB"/>
          <w14:textFill>
            <w14:solidFill>
              <w14:schemeClr w14:val="tx1"/>
            </w14:solidFill>
          </w14:textFill>
        </w:rPr>
        <w:t>. However, most existing passive damping methods focus on constraining the system impedance phase to ensure that phase jumps at resonance peaks do not exceed 180</w:t>
      </w:r>
      <w:r>
        <w:rPr>
          <w:rFonts w:hint="default" w:ascii="Times New Roman" w:hAnsi="Times New Roman" w:cs="Times New Roman"/>
          <w:color w:val="000000" w:themeColor="text1"/>
          <w:sz w:val="20"/>
          <w:szCs w:val="20"/>
          <w:vertAlign w:val="superscript"/>
          <w:lang w:val="en-GB"/>
          <w14:textFill>
            <w14:solidFill>
              <w14:schemeClr w14:val="tx1"/>
            </w14:solidFill>
          </w14:textFill>
        </w:rPr>
        <w:t>°</w:t>
      </w:r>
      <w:r>
        <w:rPr>
          <w:rFonts w:hint="default" w:ascii="Times New Roman" w:hAnsi="Times New Roman" w:cs="Times New Roman"/>
          <w:color w:val="000000" w:themeColor="text1"/>
          <w:sz w:val="20"/>
          <w:szCs w:val="20"/>
          <w:lang w:val="en-GB"/>
          <w14:textFill>
            <w14:solidFill>
              <w14:schemeClr w14:val="tx1"/>
            </w14:solidFill>
          </w14:textFill>
        </w:rPr>
        <w:t>. Although this prevents oscillatory divergence under harmonic disturbances, the waveform remains severely distorted because the system damping is nearly zero</w:t>
      </w:r>
      <w:r>
        <w:rPr>
          <w:rFonts w:hint="default" w:ascii="Times New Roman" w:hAnsi="Times New Roman" w:cs="Times New Roman"/>
          <w:color w:val="000000" w:themeColor="text1"/>
          <w:sz w:val="20"/>
          <w:szCs w:val="20"/>
          <w:vertAlign w:val="superscript"/>
          <w:lang w:val="en-GB"/>
          <w14:textFill>
            <w14:solidFill>
              <w14:schemeClr w14:val="tx1"/>
            </w14:solidFill>
          </w14:textFill>
        </w:rPr>
        <w:t>[2</w:t>
      </w:r>
      <w:r>
        <w:rPr>
          <w:rFonts w:hint="eastAsia" w:cs="Times New Roman"/>
          <w:color w:val="000000" w:themeColor="text1"/>
          <w:sz w:val="20"/>
          <w:szCs w:val="20"/>
          <w:vertAlign w:val="superscript"/>
          <w:lang w:val="en-US" w:eastAsia="zh-CN"/>
          <w14:textFill>
            <w14:solidFill>
              <w14:schemeClr w14:val="tx1"/>
            </w14:solidFill>
          </w14:textFill>
        </w:rPr>
        <w:t>2</w:t>
      </w:r>
      <w:r>
        <w:rPr>
          <w:rFonts w:hint="default" w:ascii="Times New Roman" w:hAnsi="Times New Roman" w:cs="Times New Roman"/>
          <w:color w:val="000000" w:themeColor="text1"/>
          <w:sz w:val="20"/>
          <w:szCs w:val="20"/>
          <w:vertAlign w:val="superscript"/>
          <w:lang w:val="en-GB"/>
          <w14:textFill>
            <w14:solidFill>
              <w14:schemeClr w14:val="tx1"/>
            </w14:solidFill>
          </w14:textFill>
        </w:rPr>
        <w:t>, 2</w:t>
      </w:r>
      <w:r>
        <w:rPr>
          <w:rFonts w:hint="eastAsia" w:cs="Times New Roman"/>
          <w:color w:val="000000" w:themeColor="text1"/>
          <w:sz w:val="20"/>
          <w:szCs w:val="20"/>
          <w:vertAlign w:val="superscript"/>
          <w:lang w:val="en-US" w:eastAsia="zh-CN"/>
          <w14:textFill>
            <w14:solidFill>
              <w14:schemeClr w14:val="tx1"/>
            </w14:solidFill>
          </w14:textFill>
        </w:rPr>
        <w:t>3</w:t>
      </w:r>
      <w:r>
        <w:rPr>
          <w:rFonts w:hint="default" w:ascii="Times New Roman" w:hAnsi="Times New Roman" w:cs="Times New Roman"/>
          <w:color w:val="000000" w:themeColor="text1"/>
          <w:sz w:val="20"/>
          <w:szCs w:val="20"/>
          <w:vertAlign w:val="superscript"/>
          <w:lang w:val="en-GB"/>
          <w14:textFill>
            <w14:solidFill>
              <w14:schemeClr w14:val="tx1"/>
            </w14:solidFill>
          </w14:textFill>
        </w:rPr>
        <w:t>]</w:t>
      </w:r>
      <w:r>
        <w:rPr>
          <w:rFonts w:hint="default" w:ascii="Times New Roman" w:hAnsi="Times New Roman" w:cs="Times New Roman"/>
          <w:color w:val="000000" w:themeColor="text1"/>
          <w:sz w:val="20"/>
          <w:szCs w:val="20"/>
          <w:lang w:val="en-GB"/>
          <w14:textFill>
            <w14:solidFill>
              <w14:schemeClr w14:val="tx1"/>
            </w14:solidFill>
          </w14:textFill>
        </w:rPr>
        <w:t>. The inductor filtering method proposed in [</w:t>
      </w:r>
      <w:r>
        <w:rPr>
          <w:rFonts w:hint="eastAsia" w:cs="Times New Roman"/>
          <w:color w:val="000000" w:themeColor="text1"/>
          <w:sz w:val="20"/>
          <w:szCs w:val="20"/>
          <w:lang w:val="en-US" w:eastAsia="zh-CN"/>
          <w14:textFill>
            <w14:solidFill>
              <w14:schemeClr w14:val="tx1"/>
            </w14:solidFill>
          </w14:textFill>
        </w:rPr>
        <w:t>25</w:t>
      </w:r>
      <w:r>
        <w:rPr>
          <w:rFonts w:hint="default" w:ascii="Times New Roman" w:hAnsi="Times New Roman" w:cs="Times New Roman"/>
          <w:color w:val="000000" w:themeColor="text1"/>
          <w:sz w:val="20"/>
          <w:szCs w:val="20"/>
          <w:lang w:val="en-GB"/>
          <w14:textFill>
            <w14:solidFill>
              <w14:schemeClr w14:val="tx1"/>
            </w14:solidFill>
          </w14:textFill>
        </w:rPr>
        <w:t xml:space="preserve">] effectively shifts the system resonance point and enhances system damping to suppress oscillations, but it requires redesigning the transformer winding topology, making the method difficult to implement in practice. The multimodal resonance peaks observed in systems with high </w:t>
      </w:r>
      <w:r>
        <w:rPr>
          <w:rFonts w:hint="default" w:ascii="Times New Roman" w:hAnsi="Times New Roman" w:cs="Times New Roman"/>
          <w:color w:val="000000" w:themeColor="text1"/>
          <w:sz w:val="20"/>
          <w:szCs w:val="20"/>
          <w:lang w:val="en-US" w:eastAsia="zh-CN"/>
          <w14:textFill>
            <w14:solidFill>
              <w14:schemeClr w14:val="tx1"/>
            </w14:solidFill>
          </w14:textFill>
        </w:rPr>
        <w:t>DG</w:t>
      </w:r>
      <w:r>
        <w:rPr>
          <w:rFonts w:hint="default" w:ascii="Times New Roman" w:hAnsi="Times New Roman" w:cs="Times New Roman"/>
          <w:color w:val="000000" w:themeColor="text1"/>
          <w:sz w:val="20"/>
          <w:szCs w:val="20"/>
          <w:lang w:val="en-GB"/>
          <w14:textFill>
            <w14:solidFill>
              <w14:schemeClr w14:val="tx1"/>
            </w14:solidFill>
          </w14:textFill>
        </w:rPr>
        <w:t xml:space="preserve"> penetration result from the coupling of multiple LC passive networks. Damping serves as an effective indicator of resonance peak magnitude. Lower damping corresponds to higher resonance peak </w:t>
      </w:r>
      <w:r>
        <w:rPr>
          <w:rFonts w:hint="default" w:ascii="Times New Roman" w:hAnsi="Times New Roman" w:cs="Times New Roman"/>
          <w:color w:val="000000" w:themeColor="text1"/>
          <w:sz w:val="20"/>
          <w:szCs w:val="20"/>
          <w:lang w:val="en-US" w:eastAsia="zh-CN"/>
          <w14:textFill>
            <w14:solidFill>
              <w14:schemeClr w14:val="tx1"/>
            </w14:solidFill>
          </w14:textFill>
        </w:rPr>
        <w:t>magni</w:t>
      </w:r>
      <w:r>
        <w:rPr>
          <w:rFonts w:hint="default" w:ascii="Times New Roman" w:hAnsi="Times New Roman" w:cs="Times New Roman"/>
          <w:color w:val="000000" w:themeColor="text1"/>
          <w:sz w:val="20"/>
          <w:szCs w:val="20"/>
          <w:lang w:val="en-GB"/>
          <w14:textFill>
            <w14:solidFill>
              <w14:schemeClr w14:val="tx1"/>
            </w14:solidFill>
          </w14:textFill>
        </w:rPr>
        <w:t xml:space="preserve">tudes and reduced system stability. By focusing on the </w:t>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magnitude </w:t>
      </w:r>
      <w:r>
        <w:rPr>
          <w:rFonts w:hint="default" w:ascii="Times New Roman" w:hAnsi="Times New Roman" w:cs="Times New Roman"/>
          <w:color w:val="000000" w:themeColor="text1"/>
          <w:sz w:val="20"/>
          <w:szCs w:val="20"/>
          <w:lang w:val="en-GB"/>
          <w14:textFill>
            <w14:solidFill>
              <w14:schemeClr w14:val="tx1"/>
            </w14:solidFill>
          </w14:textFill>
        </w:rPr>
        <w:t>frequency characteristics of system port impedance and aiming to improve system damping, reshaping the system impedance through parallel passive devices at the station level can effectively mitigate broadband harmonic oscillations caused by interactions between background harmonics and impedance networks.</w:t>
      </w:r>
    </w:p>
    <w:p>
      <w:pPr>
        <w:ind w:firstLine="400"/>
        <w:jc w:val="both"/>
        <w:rPr>
          <w:rFonts w:hint="default" w:ascii="Times New Roman" w:hAnsi="Times New Roman" w:cs="Times New Roman"/>
          <w:color w:val="000000" w:themeColor="text1"/>
          <w:sz w:val="20"/>
          <w:szCs w:val="20"/>
          <w:lang w:val="en-GB"/>
          <w14:textFill>
            <w14:solidFill>
              <w14:schemeClr w14:val="tx1"/>
            </w14:solidFill>
          </w14:textFill>
        </w:rPr>
      </w:pPr>
      <w:r>
        <w:rPr>
          <w:rFonts w:hint="default" w:ascii="Times New Roman" w:hAnsi="Times New Roman" w:cs="Times New Roman"/>
          <w:color w:val="000000" w:themeColor="text1"/>
          <w:sz w:val="20"/>
          <w:szCs w:val="20"/>
          <w:lang w:val="en-GB"/>
          <w14:textFill>
            <w14:solidFill>
              <w14:schemeClr w14:val="tx1"/>
            </w14:solidFill>
          </w14:textFill>
        </w:rPr>
        <w:t xml:space="preserve">The primary objective of parallel passive devices is to suppress multimodal resonance peaks and enhance the system’s operational stability margin, while minimizing associated fundamental-frequency losses. In </w:t>
      </w:r>
      <w:r>
        <w:rPr>
          <w:rFonts w:hint="default" w:ascii="Times New Roman" w:hAnsi="Times New Roman" w:cs="Times New Roman"/>
          <w:color w:val="000000" w:themeColor="text1"/>
          <w:sz w:val="20"/>
          <w:szCs w:val="20"/>
          <w:lang w:val="en-US" w:eastAsia="zh-CN"/>
          <w14:textFill>
            <w14:solidFill>
              <w14:schemeClr w14:val="tx1"/>
            </w14:solidFill>
          </w14:textFill>
        </w:rPr>
        <w:t>high DG penetration</w:t>
      </w:r>
      <w:r>
        <w:rPr>
          <w:rFonts w:hint="default" w:ascii="Times New Roman" w:hAnsi="Times New Roman" w:cs="Times New Roman"/>
          <w:color w:val="000000" w:themeColor="text1"/>
          <w:sz w:val="20"/>
          <w:szCs w:val="20"/>
          <w:lang w:val="en-GB"/>
          <w14:textFill>
            <w14:solidFill>
              <w14:schemeClr w14:val="tx1"/>
            </w14:solidFill>
          </w14:textFill>
        </w:rPr>
        <w:t xml:space="preserve"> distribution networks, the coupled impedance network often exhibits multiple series–parallel resonance modes. </w:t>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Selecting appropriate nodes to simultaneously mitigate multiple resonance modes has therefore become a pressing challenge. Moreover, conventional passive devices are limited by their inherent topological structures, making it difficult to achieve effective broadband resonance suppression. </w:t>
      </w:r>
      <w:r>
        <w:rPr>
          <w:rFonts w:hint="default" w:ascii="Times New Roman" w:hAnsi="Times New Roman" w:cs="Times New Roman"/>
          <w:color w:val="000000" w:themeColor="text1"/>
          <w:sz w:val="20"/>
          <w:szCs w:val="20"/>
          <w:lang w:val="en-GB"/>
          <w14:textFill>
            <w14:solidFill>
              <w14:schemeClr w14:val="tx1"/>
            </w14:solidFill>
          </w14:textFill>
        </w:rPr>
        <w:t>Developing novel passive devices with broadband tunability to suppress harmonic oscillations under complex operating conditions has become an important research focus. It is well established that parallel passive devices inevitably interact with the original system impedance network. Traditional parameter design methods that rely solely on background harmonic currents fail to meet the requirements of high</w:t>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 </w:t>
      </w:r>
      <w:r>
        <w:rPr>
          <w:rFonts w:hint="default" w:ascii="Times New Roman" w:hAnsi="Times New Roman" w:cs="Times New Roman"/>
          <w:color w:val="000000" w:themeColor="text1"/>
          <w:sz w:val="20"/>
          <w:szCs w:val="20"/>
          <w:lang w:val="en-GB"/>
          <w14:textFill>
            <w14:solidFill>
              <w14:schemeClr w14:val="tx1"/>
            </w14:solidFill>
          </w14:textFill>
        </w:rPr>
        <w:t>DG</w:t>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 </w:t>
      </w:r>
      <w:r>
        <w:rPr>
          <w:rFonts w:hint="default" w:ascii="Times New Roman" w:hAnsi="Times New Roman" w:cs="Times New Roman"/>
          <w:color w:val="000000" w:themeColor="text1"/>
          <w:sz w:val="20"/>
          <w:szCs w:val="20"/>
          <w:lang w:val="en-GB"/>
          <w14:textFill>
            <w14:solidFill>
              <w14:schemeClr w14:val="tx1"/>
            </w14:solidFill>
          </w14:textFill>
        </w:rPr>
        <w:t>penetration distribution networks. Avoiding the introduction of new resonance points during parameter design, while effectively enhancing system damping to suppress resonance peaks and quantitatively evaluate damping effects, remains a key technical challenge to be addressed.</w:t>
      </w:r>
    </w:p>
    <w:p>
      <w:pPr>
        <w:ind w:firstLine="400"/>
        <w:jc w:val="both"/>
        <w:rPr>
          <w:rFonts w:hint="default" w:ascii="Times New Roman" w:hAnsi="Times New Roman" w:eastAsia="宋体" w:cs="Times New Roman"/>
          <w:color w:val="000000" w:themeColor="text1"/>
          <w:sz w:val="20"/>
          <w:szCs w:val="20"/>
          <w:highlight w:val="yellow"/>
          <w:lang w:val="en-US" w:eastAsia="zh-CN"/>
          <w14:textFill>
            <w14:solidFill>
              <w14:schemeClr w14:val="tx1"/>
            </w14:solidFill>
          </w14:textFill>
        </w:rPr>
      </w:pPr>
      <w:r>
        <w:rPr>
          <w:rFonts w:hint="default" w:ascii="Times New Roman" w:hAnsi="Times New Roman" w:cs="Times New Roman"/>
          <w:color w:val="000000" w:themeColor="text1"/>
          <w:sz w:val="20"/>
          <w:szCs w:val="20"/>
          <w:lang w:val="en-GB"/>
          <w14:textFill>
            <w14:solidFill>
              <w14:schemeClr w14:val="tx1"/>
            </w14:solidFill>
          </w14:textFill>
        </w:rPr>
        <w:t>Building upon the above background, this paper first employs modal analysis</w:t>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 </w:t>
      </w:r>
      <w:r>
        <w:rPr>
          <w:rFonts w:hint="default" w:ascii="Times New Roman" w:hAnsi="Times New Roman" w:cs="Times New Roman"/>
          <w:color w:val="000000" w:themeColor="text1"/>
          <w:sz w:val="20"/>
          <w:szCs w:val="20"/>
          <w:lang w:val="en-GB"/>
          <w14:textFill>
            <w14:solidFill>
              <w14:schemeClr w14:val="tx1"/>
            </w14:solidFill>
          </w14:textFill>
        </w:rPr>
        <w:t xml:space="preserve">to investigate the oscillation characteristics of a system comprising two </w:t>
      </w:r>
      <w:r>
        <w:rPr>
          <w:rFonts w:hint="default" w:ascii="Times New Roman" w:hAnsi="Times New Roman" w:cs="Times New Roman"/>
          <w:color w:val="000000" w:themeColor="text1"/>
          <w:sz w:val="20"/>
          <w:szCs w:val="20"/>
          <w:lang w:val="en-US" w:eastAsia="zh-CN"/>
          <w14:textFill>
            <w14:solidFill>
              <w14:schemeClr w14:val="tx1"/>
            </w14:solidFill>
          </w14:textFill>
        </w:rPr>
        <w:t>GCIs</w:t>
      </w:r>
      <w:r>
        <w:rPr>
          <w:rFonts w:hint="default" w:ascii="Times New Roman" w:hAnsi="Times New Roman" w:cs="Times New Roman"/>
          <w:color w:val="000000" w:themeColor="text1"/>
          <w:sz w:val="20"/>
          <w:szCs w:val="20"/>
          <w:lang w:val="en-GB"/>
          <w14:textFill>
            <w14:solidFill>
              <w14:schemeClr w14:val="tx1"/>
            </w14:solidFill>
          </w14:textFill>
        </w:rPr>
        <w:t>, thereby identifying key nodes for mitigating multiple oscillation modes.</w:t>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 Based on a comparative study of three common passive filter types, a novel direct-mounted damping device is proposed. The port characteristics and oscillation suppression mechanism of the proposed device are systematically analyzed. A parameter design methodology is developed to minimize fundamental</w:t>
      </w:r>
      <w:r>
        <w:rPr>
          <w:rFonts w:hint="eastAsia" w:ascii="Times New Roman" w:hAnsi="Times New Roman" w:cs="Times New Roman"/>
          <w:color w:val="000000" w:themeColor="text1"/>
          <w:sz w:val="20"/>
          <w:szCs w:val="20"/>
          <w:lang w:val="en-US" w:eastAsia="zh-CN"/>
          <w14:textFill>
            <w14:solidFill>
              <w14:schemeClr w14:val="tx1"/>
            </w14:solidFill>
          </w14:textFill>
        </w:rPr>
        <w:t xml:space="preserve"> </w:t>
      </w:r>
      <w:r>
        <w:rPr>
          <w:rFonts w:hint="default" w:ascii="Times New Roman" w:hAnsi="Times New Roman" w:cs="Times New Roman"/>
          <w:color w:val="000000" w:themeColor="text1"/>
          <w:sz w:val="20"/>
          <w:szCs w:val="20"/>
          <w:lang w:val="en-US" w:eastAsia="zh-CN"/>
          <w14:textFill>
            <w14:solidFill>
              <w14:schemeClr w14:val="tx1"/>
            </w14:solidFill>
          </w14:textFill>
        </w:rPr>
        <w:t>frequency losses and suppress the system’s multimodal resonance peaks. Considering the IEC-specified electromagnetic compatibility (EMC) levels for low-voltage distribution networks, a unified quantitative ind</w:t>
      </w:r>
      <w:r>
        <w:rPr>
          <w:rFonts w:hint="eastAsia" w:ascii="Times New Roman" w:hAnsi="Times New Roman" w:cs="Times New Roman"/>
          <w:color w:val="000000" w:themeColor="text1"/>
          <w:sz w:val="20"/>
          <w:szCs w:val="20"/>
          <w:lang w:val="en-US" w:eastAsia="zh-CN"/>
          <w14:textFill>
            <w14:solidFill>
              <w14:schemeClr w14:val="tx1"/>
            </w14:solidFill>
          </w14:textFill>
        </w:rPr>
        <w:t>icators</w:t>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 for broadband oscillation </w:t>
      </w:r>
      <w:r>
        <w:rPr>
          <w:rFonts w:hint="eastAsia" w:ascii="Times New Roman" w:hAnsi="Times New Roman" w:cs="Times New Roman"/>
          <w:color w:val="000000" w:themeColor="text1"/>
          <w:sz w:val="20"/>
          <w:szCs w:val="20"/>
          <w:lang w:val="en-US" w:eastAsia="zh-CN"/>
          <w14:textFill>
            <w14:solidFill>
              <w14:schemeClr w14:val="tx1"/>
            </w14:solidFill>
          </w14:textFill>
        </w:rPr>
        <w:t>analysis</w:t>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 is established. The device parameters are subsequently optimized using a particle swarm optimization (PSO) algorithm. Simulation results demonstrate that the proposed damping device achieves high effectiveness in broadband oscillation suppression. Experimental validation on a multi-inverter grid-connected system further confirms the generality and effectiveness of the proposed method in suppressing multimodal broadband harmonic oscillations within high DG penetration distribution networks.</w:t>
      </w:r>
    </w:p>
    <w:p>
      <w:pPr>
        <w:pStyle w:val="40"/>
        <w:rPr>
          <w:color w:val="000000" w:themeColor="text1"/>
          <w:sz w:val="20"/>
          <w:szCs w:val="20"/>
          <w:lang w:val="en-GB"/>
          <w14:textFill>
            <w14:solidFill>
              <w14:schemeClr w14:val="tx1"/>
            </w14:solidFill>
          </w14:textFill>
        </w:rPr>
      </w:pPr>
      <w:r>
        <w:rPr>
          <w:rFonts w:hint="eastAsia"/>
          <w:color w:val="000000" w:themeColor="text1"/>
          <w:sz w:val="20"/>
          <w:szCs w:val="20"/>
          <w:lang w:val="en-US" w:eastAsia="zh-CN"/>
          <w14:textFill>
            <w14:solidFill>
              <w14:schemeClr w14:val="tx1"/>
            </w14:solidFill>
          </w14:textFill>
        </w:rPr>
        <w:t>Gray box impedance modeling and oscillation mode analysis of GCI system</w:t>
      </w:r>
    </w:p>
    <w:p>
      <w:pPr>
        <w:pStyle w:val="44"/>
        <w:numPr>
          <w:ilvl w:val="0"/>
          <w:numId w:val="0"/>
        </w:numPr>
        <w:ind w:left="360"/>
        <w:rPr>
          <w:color w:val="000000" w:themeColor="text1"/>
          <w:lang w:val="en-US"/>
          <w14:textFill>
            <w14:solidFill>
              <w14:schemeClr w14:val="tx1"/>
            </w14:solidFill>
          </w14:textFill>
        </w:rPr>
      </w:pPr>
      <w:r>
        <w:rPr>
          <w:color w:val="000000" w:themeColor="text1"/>
          <w14:textFill>
            <w14:solidFill>
              <w14:schemeClr w14:val="tx1"/>
            </w14:solidFill>
          </w14:textFill>
        </w:rPr>
        <w:t xml:space="preserve">2.1 </w:t>
      </w:r>
      <w:r>
        <w:t xml:space="preserve"> Grey-Box Impedance Modeling</w:t>
      </w:r>
    </w:p>
    <w:p>
      <w:pPr>
        <w:ind w:firstLine="400"/>
        <w:jc w:val="both"/>
        <w:rPr>
          <w:color w:val="000000" w:themeColor="text1"/>
          <w:sz w:val="20"/>
          <w:szCs w:val="20"/>
          <w:lang w:val="en-GB"/>
          <w14:textFill>
            <w14:solidFill>
              <w14:schemeClr w14:val="tx1"/>
            </w14:solidFill>
          </w14:textFill>
        </w:rPr>
      </w:pPr>
      <w:r>
        <w:rPr>
          <w:rFonts w:hint="eastAsia"/>
          <w:color w:val="000000" w:themeColor="text1"/>
          <w:sz w:val="20"/>
          <w:szCs w:val="20"/>
          <w:lang w:val="en-US" w:eastAsia="zh-CN"/>
          <w14:textFill>
            <w14:solidFill>
              <w14:schemeClr w14:val="tx1"/>
            </w14:solidFill>
          </w14:textFill>
        </w:rPr>
        <w:t>T</w:t>
      </w:r>
      <w:r>
        <w:rPr>
          <w:color w:val="000000" w:themeColor="text1"/>
          <w:sz w:val="20"/>
          <w:szCs w:val="20"/>
          <w14:textFill>
            <w14:solidFill>
              <w14:schemeClr w14:val="tx1"/>
            </w14:solidFill>
          </w14:textFill>
        </w:rPr>
        <w:t xml:space="preserve">opology of </w:t>
      </w:r>
      <w:r>
        <w:rPr>
          <w:rFonts w:hint="eastAsia"/>
          <w:color w:val="000000" w:themeColor="text1"/>
          <w:sz w:val="20"/>
          <w:szCs w:val="20"/>
          <w:lang w:val="en-US" w:eastAsia="zh-CN"/>
          <w14:textFill>
            <w14:solidFill>
              <w14:schemeClr w14:val="tx1"/>
            </w14:solidFill>
          </w14:textFill>
        </w:rPr>
        <w:t>the</w:t>
      </w:r>
      <w:r>
        <w:rPr>
          <w:color w:val="000000" w:themeColor="text1"/>
          <w:sz w:val="20"/>
          <w:szCs w:val="20"/>
          <w14:textFill>
            <w14:solidFill>
              <w14:schemeClr w14:val="tx1"/>
            </w14:solidFill>
          </w14:textFill>
        </w:rPr>
        <w:t xml:space="preserve"> typical LCL grid-connected inverter </w:t>
      </w:r>
      <w:r>
        <w:rPr>
          <w:rFonts w:hint="eastAsia"/>
          <w:color w:val="000000" w:themeColor="text1"/>
          <w:sz w:val="20"/>
          <w:szCs w:val="20"/>
          <w:lang w:val="en-US" w:eastAsia="zh-CN"/>
          <w14:textFill>
            <w14:solidFill>
              <w14:schemeClr w14:val="tx1"/>
            </w14:solidFill>
          </w14:textFill>
        </w:rPr>
        <w:t>(GCI)</w:t>
      </w:r>
      <w:r>
        <w:rPr>
          <w:color w:val="000000" w:themeColor="text1"/>
          <w:sz w:val="20"/>
          <w:szCs w:val="20"/>
          <w14:textFill>
            <w14:solidFill>
              <w14:schemeClr w14:val="tx1"/>
            </w14:solidFill>
          </w14:textFill>
        </w:rPr>
        <w:t xml:space="preserve"> is shown in Fig. 1.</w:t>
      </w:r>
    </w:p>
    <w:p>
      <w:pPr>
        <w:jc w:val="center"/>
      </w:pPr>
      <w:r>
        <w:rPr>
          <w:spacing w:val="6"/>
          <w:kern w:val="20"/>
          <w:sz w:val="20"/>
          <w:lang w:val="en-US"/>
        </w:rPr>
        <w:object>
          <v:shape id="_x0000_i1025" o:spt="75" type="#_x0000_t75" style="height:67.2pt;width:210.6pt;" o:ole="t" filled="f" o:preferrelative="t" stroked="f" coordsize="21600,21600">
            <v:path/>
            <v:fill on="f" focussize="0,0"/>
            <v:stroke on="f" joinstyle="miter"/>
            <v:imagedata r:id="rId17" o:title=""/>
            <o:lock v:ext="edit" aspectratio="f"/>
            <w10:wrap type="none"/>
            <w10:anchorlock/>
          </v:shape>
          <o:OLEObject Type="Embed" ProgID="Visio.Drawing.15" ShapeID="_x0000_i1025" DrawAspect="Content" ObjectID="_1468075725" r:id="rId16">
            <o:LockedField>false</o:LockedField>
          </o:OLEObject>
        </w:object>
      </w:r>
    </w:p>
    <w:p>
      <w:pPr>
        <w:jc w:val="center"/>
        <w:rPr>
          <w:rFonts w:hint="default"/>
          <w:sz w:val="20"/>
          <w:szCs w:val="20"/>
          <w:lang w:val="en-US"/>
        </w:rPr>
      </w:pPr>
      <w:r>
        <w:rPr>
          <w:b/>
          <w:bCs/>
          <w:i/>
          <w:iCs/>
          <w:sz w:val="20"/>
          <w:szCs w:val="20"/>
        </w:rPr>
        <w:t>Fig. 1</w:t>
      </w:r>
      <w:bookmarkStart w:id="0" w:name="_Hlk92188053"/>
      <w:r>
        <w:rPr>
          <w:rFonts w:hint="eastAsia"/>
          <w:b/>
          <w:bCs/>
          <w:i/>
          <w:iCs/>
          <w:sz w:val="20"/>
          <w:szCs w:val="20"/>
          <w:lang w:val="en-US"/>
        </w:rPr>
        <w:t xml:space="preserve"> </w:t>
      </w:r>
      <w:bookmarkEnd w:id="0"/>
      <w:r>
        <w:rPr>
          <w:rFonts w:hint="eastAsia"/>
          <w:i/>
          <w:iCs/>
          <w:sz w:val="20"/>
          <w:szCs w:val="20"/>
          <w:lang w:val="en-US"/>
        </w:rPr>
        <w:t xml:space="preserve">Topology of LCL </w:t>
      </w:r>
      <w:r>
        <w:rPr>
          <w:rFonts w:hint="eastAsia"/>
          <w:i/>
          <w:iCs/>
          <w:sz w:val="20"/>
          <w:szCs w:val="20"/>
          <w:lang w:val="en-US" w:eastAsia="zh-CN"/>
        </w:rPr>
        <w:t>GCI system</w:t>
      </w:r>
    </w:p>
    <w:p>
      <w:pPr>
        <w:ind w:firstLine="400"/>
        <w:jc w:val="both"/>
        <w:rPr>
          <w:sz w:val="20"/>
          <w:szCs w:val="20"/>
        </w:rPr>
      </w:pPr>
      <w:r>
        <w:rPr>
          <w:color w:val="000000" w:themeColor="text1"/>
          <w:sz w:val="20"/>
          <w:szCs w:val="20"/>
          <w14:textFill>
            <w14:solidFill>
              <w14:schemeClr w14:val="tx1"/>
            </w14:solidFill>
          </w14:textFill>
        </w:rPr>
        <w:t xml:space="preserve">Here, </w:t>
      </w:r>
      <w:r>
        <w:rPr>
          <w:i/>
          <w:iCs/>
          <w:spacing w:val="6"/>
          <w:kern w:val="20"/>
          <w:sz w:val="20"/>
          <w:szCs w:val="20"/>
          <w:lang w:val="en-US"/>
        </w:rPr>
        <w:t>L</w:t>
      </w:r>
      <w:r>
        <w:rPr>
          <w:spacing w:val="6"/>
          <w:kern w:val="20"/>
          <w:sz w:val="20"/>
          <w:szCs w:val="20"/>
          <w:vertAlign w:val="subscript"/>
          <w:lang w:val="en-US"/>
        </w:rPr>
        <w:t>1</w:t>
      </w:r>
      <w:r>
        <w:rPr>
          <w:rFonts w:hint="eastAsia"/>
          <w:spacing w:val="6"/>
          <w:kern w:val="20"/>
          <w:sz w:val="20"/>
          <w:szCs w:val="20"/>
          <w:vertAlign w:val="subscript"/>
          <w:lang w:val="en-US" w:eastAsia="zh-CN"/>
        </w:rPr>
        <w:t xml:space="preserve"> </w:t>
      </w:r>
      <w:r>
        <w:rPr>
          <w:rFonts w:hint="eastAsia"/>
          <w:color w:val="000000" w:themeColor="text1"/>
          <w:sz w:val="20"/>
          <w:szCs w:val="20"/>
          <w:lang w:val="en-US" w:eastAsia="zh-CN"/>
          <w14:textFill>
            <w14:solidFill>
              <w14:schemeClr w14:val="tx1"/>
            </w14:solidFill>
          </w14:textFill>
        </w:rPr>
        <w:t>i</w:t>
      </w:r>
      <w:r>
        <w:rPr>
          <w:color w:val="000000" w:themeColor="text1"/>
          <w:sz w:val="20"/>
          <w:szCs w:val="20"/>
          <w14:textFill>
            <w14:solidFill>
              <w14:schemeClr w14:val="tx1"/>
            </w14:solidFill>
          </w14:textFill>
        </w:rPr>
        <w:t xml:space="preserve">s the inverter-side inductance, </w:t>
      </w:r>
      <w:r>
        <w:rPr>
          <w:i/>
          <w:iCs/>
          <w:spacing w:val="6"/>
          <w:kern w:val="20"/>
          <w:sz w:val="20"/>
          <w:szCs w:val="20"/>
          <w:lang w:val="en-US"/>
        </w:rPr>
        <w:t>C</w:t>
      </w:r>
      <w:r>
        <w:rPr>
          <w:color w:val="000000" w:themeColor="text1"/>
          <w:sz w:val="20"/>
          <w:szCs w:val="20"/>
          <w14:textFill>
            <w14:solidFill>
              <w14:schemeClr w14:val="tx1"/>
            </w14:solidFill>
          </w14:textFill>
        </w:rPr>
        <w:t xml:space="preserve"> </w:t>
      </w:r>
      <w:r>
        <w:rPr>
          <w:rFonts w:hint="eastAsia"/>
          <w:color w:val="000000" w:themeColor="text1"/>
          <w:sz w:val="20"/>
          <w:szCs w:val="20"/>
          <w:lang w:val="en-US" w:eastAsia="zh-CN"/>
          <w14:textFill>
            <w14:solidFill>
              <w14:schemeClr w14:val="tx1"/>
            </w14:solidFill>
          </w14:textFill>
        </w:rPr>
        <w:t xml:space="preserve">is </w:t>
      </w:r>
      <w:r>
        <w:rPr>
          <w:color w:val="000000" w:themeColor="text1"/>
          <w:sz w:val="20"/>
          <w:szCs w:val="20"/>
          <w14:textFill>
            <w14:solidFill>
              <w14:schemeClr w14:val="tx1"/>
            </w14:solidFill>
          </w14:textFill>
        </w:rPr>
        <w:t xml:space="preserve">the filter capacitor, </w:t>
      </w:r>
      <w:r>
        <w:rPr>
          <w:i/>
          <w:iCs/>
          <w:spacing w:val="6"/>
          <w:kern w:val="20"/>
          <w:sz w:val="20"/>
          <w:szCs w:val="20"/>
          <w:lang w:val="en-US"/>
        </w:rPr>
        <w:t>L</w:t>
      </w:r>
      <w:r>
        <w:rPr>
          <w:spacing w:val="6"/>
          <w:kern w:val="20"/>
          <w:sz w:val="20"/>
          <w:szCs w:val="20"/>
          <w:vertAlign w:val="subscript"/>
          <w:lang w:val="en-US"/>
        </w:rPr>
        <w:t>2</w:t>
      </w:r>
      <w:r>
        <w:rPr>
          <w:color w:val="000000" w:themeColor="text1"/>
          <w:sz w:val="20"/>
          <w:szCs w:val="20"/>
          <w14:textFill>
            <w14:solidFill>
              <w14:schemeClr w14:val="tx1"/>
            </w14:solidFill>
          </w14:textFill>
        </w:rPr>
        <w:t xml:space="preserve"> </w:t>
      </w:r>
      <w:r>
        <w:rPr>
          <w:rFonts w:hint="eastAsia"/>
          <w:color w:val="000000" w:themeColor="text1"/>
          <w:sz w:val="20"/>
          <w:szCs w:val="20"/>
          <w:lang w:val="en-US" w:eastAsia="zh-CN"/>
          <w14:textFill>
            <w14:solidFill>
              <w14:schemeClr w14:val="tx1"/>
            </w14:solidFill>
          </w14:textFill>
        </w:rPr>
        <w:t xml:space="preserve">is </w:t>
      </w:r>
      <w:r>
        <w:rPr>
          <w:color w:val="000000" w:themeColor="text1"/>
          <w:sz w:val="20"/>
          <w:szCs w:val="20"/>
          <w14:textFill>
            <w14:solidFill>
              <w14:schemeClr w14:val="tx1"/>
            </w14:solidFill>
          </w14:textFill>
        </w:rPr>
        <w:t>the grid-side inductance, and</w:t>
      </w:r>
      <w:r>
        <w:rPr>
          <w:rFonts w:hint="eastAsia"/>
          <w:color w:val="000000" w:themeColor="text1"/>
          <w:sz w:val="20"/>
          <w:szCs w:val="20"/>
          <w14:textFill>
            <w14:solidFill>
              <w14:schemeClr w14:val="tx1"/>
            </w14:solidFill>
          </w14:textFill>
        </w:rPr>
        <w:t xml:space="preserve"> </w:t>
      </w:r>
      <w:r>
        <w:rPr>
          <w:i/>
          <w:iCs/>
          <w:spacing w:val="6"/>
          <w:kern w:val="20"/>
          <w:sz w:val="20"/>
          <w:szCs w:val="20"/>
          <w:lang w:val="en-US"/>
        </w:rPr>
        <w:t>L</w:t>
      </w:r>
      <w:r>
        <w:rPr>
          <w:spacing w:val="6"/>
          <w:kern w:val="20"/>
          <w:sz w:val="20"/>
          <w:szCs w:val="20"/>
          <w:vertAlign w:val="subscript"/>
          <w:lang w:val="en-US"/>
        </w:rPr>
        <w:t>g</w:t>
      </w:r>
      <w:r>
        <w:rPr>
          <w:rFonts w:hint="eastAsia"/>
          <w:color w:val="000000" w:themeColor="text1"/>
          <w:sz w:val="20"/>
          <w:szCs w:val="20"/>
          <w14:textFill>
            <w14:solidFill>
              <w14:schemeClr w14:val="tx1"/>
            </w14:solidFill>
          </w14:textFill>
        </w:rPr>
        <w:t xml:space="preserve"> </w:t>
      </w:r>
      <w:r>
        <w:rPr>
          <w:rFonts w:hint="eastAsia"/>
          <w:color w:val="000000" w:themeColor="text1"/>
          <w:sz w:val="20"/>
          <w:szCs w:val="20"/>
          <w:lang w:val="en-US" w:eastAsia="zh-CN"/>
          <w14:textFill>
            <w14:solidFill>
              <w14:schemeClr w14:val="tx1"/>
            </w14:solidFill>
          </w14:textFill>
        </w:rPr>
        <w:t xml:space="preserve">is </w:t>
      </w:r>
      <w:r>
        <w:rPr>
          <w:color w:val="000000" w:themeColor="text1"/>
          <w:sz w:val="20"/>
          <w:szCs w:val="20"/>
          <w14:textFill>
            <w14:solidFill>
              <w14:schemeClr w14:val="tx1"/>
            </w14:solidFill>
          </w14:textFill>
        </w:rPr>
        <w:t>the equivalent grid inductance.</w:t>
      </w:r>
      <w:r>
        <w:rPr>
          <w:sz w:val="20"/>
          <w:szCs w:val="20"/>
        </w:rPr>
        <w:t xml:space="preserve"> </w:t>
      </w:r>
      <w:r>
        <w:rPr>
          <w:rFonts w:hint="eastAsia"/>
          <w:i/>
          <w:iCs/>
          <w:spacing w:val="6"/>
          <w:kern w:val="20"/>
          <w:sz w:val="20"/>
          <w:szCs w:val="20"/>
          <w:lang w:val="en-US"/>
        </w:rPr>
        <w:t>V</w:t>
      </w:r>
      <w:r>
        <w:rPr>
          <w:spacing w:val="6"/>
          <w:kern w:val="20"/>
          <w:sz w:val="20"/>
          <w:szCs w:val="20"/>
          <w:vertAlign w:val="subscript"/>
          <w:lang w:val="en-US"/>
        </w:rPr>
        <w:t>dc</w:t>
      </w:r>
      <w:r>
        <w:rPr>
          <w:color w:val="000000" w:themeColor="text1"/>
          <w:sz w:val="20"/>
          <w:szCs w:val="20"/>
          <w14:textFill>
            <w14:solidFill>
              <w14:schemeClr w14:val="tx1"/>
            </w14:solidFill>
          </w14:textFill>
        </w:rPr>
        <w:t xml:space="preserve"> </w:t>
      </w:r>
      <w:r>
        <w:rPr>
          <w:rFonts w:hint="eastAsia"/>
          <w:color w:val="000000" w:themeColor="text1"/>
          <w:sz w:val="20"/>
          <w:szCs w:val="20"/>
          <w14:textFill>
            <w14:solidFill>
              <w14:schemeClr w14:val="tx1"/>
            </w14:solidFill>
          </w14:textFill>
        </w:rPr>
        <w:t>denotes</w:t>
      </w:r>
      <w:r>
        <w:rPr>
          <w:color w:val="000000" w:themeColor="text1"/>
          <w:sz w:val="20"/>
          <w:szCs w:val="20"/>
          <w14:textFill>
            <w14:solidFill>
              <w14:schemeClr w14:val="tx1"/>
            </w14:solidFill>
          </w14:textFill>
        </w:rPr>
        <w:t xml:space="preserve"> the inverter DC-side voltage, </w:t>
      </w:r>
      <w:r>
        <w:rPr>
          <w:rFonts w:hint="eastAsia"/>
          <w:i/>
          <w:iCs/>
          <w:color w:val="000000" w:themeColor="text1"/>
          <w:sz w:val="20"/>
          <w:szCs w:val="20"/>
          <w14:textFill>
            <w14:solidFill>
              <w14:schemeClr w14:val="tx1"/>
            </w14:solidFill>
          </w14:textFill>
        </w:rPr>
        <w:t>u</w:t>
      </w:r>
      <w:r>
        <w:rPr>
          <w:rFonts w:hint="eastAsia"/>
          <w:color w:val="000000" w:themeColor="text1"/>
          <w:sz w:val="20"/>
          <w:szCs w:val="20"/>
          <w:vertAlign w:val="subscript"/>
          <w14:textFill>
            <w14:solidFill>
              <w14:schemeClr w14:val="tx1"/>
            </w14:solidFill>
          </w14:textFill>
        </w:rPr>
        <w:t>inv</w:t>
      </w:r>
      <w:r>
        <w:rPr>
          <w:rFonts w:hint="eastAsia"/>
          <w:color w:val="000000" w:themeColor="text1"/>
          <w:sz w:val="20"/>
          <w:szCs w:val="20"/>
          <w14:textFill>
            <w14:solidFill>
              <w14:schemeClr w14:val="tx1"/>
            </w14:solidFill>
          </w14:textFill>
        </w:rPr>
        <w:t>,</w:t>
      </w:r>
      <w:r>
        <w:rPr>
          <w:rFonts w:hint="eastAsia"/>
          <w:color w:val="000000" w:themeColor="text1"/>
          <w:sz w:val="20"/>
          <w:szCs w:val="20"/>
          <w:lang w:val="en-US" w:eastAsia="zh-CN"/>
          <w14:textFill>
            <w14:solidFill>
              <w14:schemeClr w14:val="tx1"/>
            </w14:solidFill>
          </w14:textFill>
        </w:rPr>
        <w:t xml:space="preserve"> </w:t>
      </w:r>
      <w:r>
        <w:rPr>
          <w:rFonts w:hint="eastAsia"/>
          <w:i/>
          <w:iCs/>
          <w:color w:val="000000" w:themeColor="text1"/>
          <w:sz w:val="20"/>
          <w:szCs w:val="20"/>
          <w14:textFill>
            <w14:solidFill>
              <w14:schemeClr w14:val="tx1"/>
            </w14:solidFill>
          </w14:textFill>
        </w:rPr>
        <w:t>u</w:t>
      </w:r>
      <w:r>
        <w:rPr>
          <w:rFonts w:hint="eastAsia"/>
          <w:i/>
          <w:iCs/>
          <w:color w:val="000000" w:themeColor="text1"/>
          <w:sz w:val="20"/>
          <w:szCs w:val="20"/>
          <w:vertAlign w:val="subscript"/>
          <w14:textFill>
            <w14:solidFill>
              <w14:schemeClr w14:val="tx1"/>
            </w14:solidFill>
          </w14:textFill>
        </w:rPr>
        <w:t>C</w:t>
      </w:r>
      <w:r>
        <w:rPr>
          <w:rFonts w:hint="eastAsia"/>
          <w:color w:val="000000" w:themeColor="text1"/>
          <w:sz w:val="20"/>
          <w:szCs w:val="20"/>
          <w14:textFill>
            <w14:solidFill>
              <w14:schemeClr w14:val="tx1"/>
            </w14:solidFill>
          </w14:textFill>
        </w:rPr>
        <w:t>,</w:t>
      </w:r>
      <w:r>
        <w:rPr>
          <w:rFonts w:hint="eastAsia"/>
          <w:color w:val="000000" w:themeColor="text1"/>
          <w:sz w:val="20"/>
          <w:szCs w:val="20"/>
          <w:lang w:val="en-US" w:eastAsia="zh-CN"/>
          <w14:textFill>
            <w14:solidFill>
              <w14:schemeClr w14:val="tx1"/>
            </w14:solidFill>
          </w14:textFill>
        </w:rPr>
        <w:t xml:space="preserve"> </w:t>
      </w:r>
      <w:r>
        <w:rPr>
          <w:rFonts w:hint="eastAsia"/>
          <w:i/>
          <w:iCs/>
          <w:color w:val="000000" w:themeColor="text1"/>
          <w:sz w:val="20"/>
          <w:szCs w:val="20"/>
          <w14:textFill>
            <w14:solidFill>
              <w14:schemeClr w14:val="tx1"/>
            </w14:solidFill>
          </w14:textFill>
        </w:rPr>
        <w:t>u</w:t>
      </w:r>
      <w:r>
        <w:rPr>
          <w:rFonts w:hint="eastAsia"/>
          <w:color w:val="000000" w:themeColor="text1"/>
          <w:sz w:val="20"/>
          <w:szCs w:val="20"/>
          <w:vertAlign w:val="subscript"/>
          <w14:textFill>
            <w14:solidFill>
              <w14:schemeClr w14:val="tx1"/>
            </w14:solidFill>
          </w14:textFill>
        </w:rPr>
        <w:t>PCC</w:t>
      </w:r>
      <w:r>
        <w:rPr>
          <w:rFonts w:hint="eastAsia"/>
          <w:color w:val="000000" w:themeColor="text1"/>
          <w:sz w:val="20"/>
          <w:szCs w:val="20"/>
          <w:vertAlign w:val="subscript"/>
          <w:lang w:val="en-US" w:eastAsia="zh-CN"/>
          <w14:textFill>
            <w14:solidFill>
              <w14:schemeClr w14:val="tx1"/>
            </w14:solidFill>
          </w14:textFill>
        </w:rPr>
        <w:t xml:space="preserve"> </w:t>
      </w:r>
      <w:r>
        <w:rPr>
          <w:rFonts w:hint="eastAsia"/>
          <w:color w:val="000000" w:themeColor="text1"/>
          <w:sz w:val="20"/>
          <w:szCs w:val="20"/>
          <w14:textFill>
            <w14:solidFill>
              <w14:schemeClr w14:val="tx1"/>
            </w14:solidFill>
          </w14:textFill>
        </w:rPr>
        <w:t>and </w:t>
      </w:r>
      <w:r>
        <w:rPr>
          <w:rFonts w:hint="eastAsia"/>
          <w:i/>
          <w:iCs/>
          <w:color w:val="000000" w:themeColor="text1"/>
          <w:sz w:val="20"/>
          <w:szCs w:val="20"/>
          <w14:textFill>
            <w14:solidFill>
              <w14:schemeClr w14:val="tx1"/>
            </w14:solidFill>
          </w14:textFill>
        </w:rPr>
        <w:t>u</w:t>
      </w:r>
      <w:r>
        <w:rPr>
          <w:rFonts w:hint="eastAsia"/>
          <w:color w:val="000000" w:themeColor="text1"/>
          <w:sz w:val="20"/>
          <w:szCs w:val="20"/>
          <w:vertAlign w:val="subscript"/>
          <w14:textFill>
            <w14:solidFill>
              <w14:schemeClr w14:val="tx1"/>
            </w14:solidFill>
          </w14:textFill>
        </w:rPr>
        <w:t>g</w:t>
      </w:r>
      <w:r>
        <w:rPr>
          <w:rFonts w:hint="eastAsia"/>
          <w:color w:val="000000" w:themeColor="text1"/>
          <w:sz w:val="20"/>
          <w:szCs w:val="20"/>
          <w14:textFill>
            <w14:solidFill>
              <w14:schemeClr w14:val="tx1"/>
            </w14:solidFill>
          </w14:textFill>
        </w:rPr>
        <w:t xml:space="preserve"> denote the inverter AC-side output voltage, the filter-capacitor voltage, the PCC voltage, and the grid voltage, respectively.</w:t>
      </w:r>
      <w:r>
        <w:rPr>
          <w:rFonts w:hint="eastAsia"/>
          <w:i/>
          <w:iCs/>
          <w:spacing w:val="6"/>
          <w:kern w:val="20"/>
          <w:sz w:val="20"/>
          <w:szCs w:val="20"/>
          <w:lang w:val="en-US"/>
        </w:rPr>
        <w:t xml:space="preserve"> i</w:t>
      </w:r>
      <w:r>
        <w:rPr>
          <w:i/>
          <w:iCs/>
          <w:spacing w:val="6"/>
          <w:kern w:val="20"/>
          <w:sz w:val="20"/>
          <w:szCs w:val="20"/>
          <w:vertAlign w:val="subscript"/>
          <w:lang w:val="en-US"/>
        </w:rPr>
        <w:t>L</w:t>
      </w:r>
      <w:r>
        <w:rPr>
          <w:spacing w:val="6"/>
          <w:kern w:val="20"/>
          <w:sz w:val="20"/>
          <w:szCs w:val="20"/>
          <w:vertAlign w:val="subscript"/>
          <w:lang w:val="en-US"/>
        </w:rPr>
        <w:t>1</w:t>
      </w:r>
      <w:r>
        <w:rPr>
          <w:color w:val="000000" w:themeColor="text1"/>
          <w:sz w:val="20"/>
          <w:szCs w:val="20"/>
          <w14:textFill>
            <w14:solidFill>
              <w14:schemeClr w14:val="tx1"/>
            </w14:solidFill>
          </w14:textFill>
        </w:rPr>
        <w:t xml:space="preserve"> </w:t>
      </w:r>
      <w:r>
        <w:rPr>
          <w:rFonts w:hint="eastAsia"/>
          <w:color w:val="000000" w:themeColor="text1"/>
          <w:sz w:val="20"/>
          <w:szCs w:val="20"/>
          <w:lang w:val="en-US" w:eastAsia="zh-CN"/>
          <w14:textFill>
            <w14:solidFill>
              <w14:schemeClr w14:val="tx1"/>
            </w14:solidFill>
          </w14:textFill>
        </w:rPr>
        <w:t>i</w:t>
      </w:r>
      <w:r>
        <w:rPr>
          <w:color w:val="000000" w:themeColor="text1"/>
          <w:sz w:val="20"/>
          <w:szCs w:val="20"/>
          <w14:textFill>
            <w14:solidFill>
              <w14:schemeClr w14:val="tx1"/>
            </w14:solidFill>
          </w14:textFill>
        </w:rPr>
        <w:t xml:space="preserve">s the inverter-side inductor current, </w:t>
      </w:r>
      <w:r>
        <w:rPr>
          <w:rFonts w:hint="eastAsia"/>
          <w:i/>
          <w:iCs/>
          <w:spacing w:val="6"/>
          <w:kern w:val="20"/>
          <w:sz w:val="20"/>
          <w:szCs w:val="20"/>
          <w:lang w:val="en-US"/>
        </w:rPr>
        <w:t>i</w:t>
      </w:r>
      <w:r>
        <w:rPr>
          <w:i/>
          <w:iCs/>
          <w:spacing w:val="6"/>
          <w:kern w:val="20"/>
          <w:sz w:val="20"/>
          <w:szCs w:val="20"/>
          <w:vertAlign w:val="subscript"/>
          <w:lang w:val="en-US"/>
        </w:rPr>
        <w:t>C</w:t>
      </w:r>
      <w:r>
        <w:rPr>
          <w:color w:val="000000" w:themeColor="text1"/>
          <w:sz w:val="20"/>
          <w:szCs w:val="20"/>
          <w14:textFill>
            <w14:solidFill>
              <w14:schemeClr w14:val="tx1"/>
            </w14:solidFill>
          </w14:textFill>
        </w:rPr>
        <w:t xml:space="preserve"> </w:t>
      </w:r>
      <w:r>
        <w:rPr>
          <w:rFonts w:hint="eastAsia"/>
          <w:color w:val="000000" w:themeColor="text1"/>
          <w:sz w:val="20"/>
          <w:szCs w:val="20"/>
          <w:lang w:val="en-US" w:eastAsia="zh-CN"/>
          <w14:textFill>
            <w14:solidFill>
              <w14:schemeClr w14:val="tx1"/>
            </w14:solidFill>
          </w14:textFill>
        </w:rPr>
        <w:t xml:space="preserve">is </w:t>
      </w:r>
      <w:r>
        <w:rPr>
          <w:color w:val="000000" w:themeColor="text1"/>
          <w:sz w:val="20"/>
          <w:szCs w:val="20"/>
          <w14:textFill>
            <w14:solidFill>
              <w14:schemeClr w14:val="tx1"/>
            </w14:solidFill>
          </w14:textFill>
        </w:rPr>
        <w:t xml:space="preserve">the filter capacitor current, and </w:t>
      </w:r>
      <w:r>
        <w:rPr>
          <w:rFonts w:hint="eastAsia"/>
          <w:i/>
          <w:iCs/>
          <w:spacing w:val="6"/>
          <w:kern w:val="20"/>
          <w:sz w:val="20"/>
          <w:szCs w:val="20"/>
          <w:lang w:val="en-US"/>
        </w:rPr>
        <w:t>i</w:t>
      </w:r>
      <w:r>
        <w:rPr>
          <w:i/>
          <w:iCs/>
          <w:spacing w:val="6"/>
          <w:kern w:val="20"/>
          <w:sz w:val="20"/>
          <w:szCs w:val="20"/>
          <w:vertAlign w:val="subscript"/>
          <w:lang w:val="en-US"/>
        </w:rPr>
        <w:t>L</w:t>
      </w:r>
      <w:r>
        <w:rPr>
          <w:spacing w:val="6"/>
          <w:kern w:val="20"/>
          <w:sz w:val="20"/>
          <w:szCs w:val="20"/>
          <w:vertAlign w:val="subscript"/>
          <w:lang w:val="en-US"/>
        </w:rPr>
        <w:t>2</w:t>
      </w:r>
      <w:r>
        <w:rPr>
          <w:rFonts w:hint="eastAsia"/>
          <w:spacing w:val="6"/>
          <w:kern w:val="20"/>
          <w:sz w:val="20"/>
          <w:szCs w:val="20"/>
          <w:vertAlign w:val="subscript"/>
          <w:lang w:val="en-US"/>
        </w:rPr>
        <w:t xml:space="preserve"> </w:t>
      </w:r>
      <w:r>
        <w:rPr>
          <w:rFonts w:hint="eastAsia"/>
          <w:spacing w:val="6"/>
          <w:kern w:val="20"/>
          <w:sz w:val="20"/>
          <w:szCs w:val="20"/>
          <w:vertAlign w:val="baseline"/>
          <w:lang w:val="en-US" w:eastAsia="zh-CN"/>
        </w:rPr>
        <w:t>is</w:t>
      </w:r>
      <w:r>
        <w:rPr>
          <w:rFonts w:hint="eastAsia"/>
          <w:spacing w:val="6"/>
          <w:kern w:val="20"/>
          <w:sz w:val="20"/>
          <w:szCs w:val="20"/>
          <w:vertAlign w:val="subscript"/>
          <w:lang w:val="en-US" w:eastAsia="zh-CN"/>
        </w:rPr>
        <w:t xml:space="preserve"> </w:t>
      </w:r>
      <w:r>
        <w:rPr>
          <w:color w:val="000000" w:themeColor="text1"/>
          <w:sz w:val="20"/>
          <w:szCs w:val="20"/>
          <w14:textFill>
            <w14:solidFill>
              <w14:schemeClr w14:val="tx1"/>
            </w14:solidFill>
          </w14:textFill>
        </w:rPr>
        <w:t>the grid-</w:t>
      </w:r>
      <w:r>
        <w:rPr>
          <w:rFonts w:hint="eastAsia"/>
          <w:color w:val="000000" w:themeColor="text1"/>
          <w:sz w:val="20"/>
          <w:szCs w:val="20"/>
          <w:lang w:val="en-US" w:eastAsia="zh-CN"/>
          <w14:textFill>
            <w14:solidFill>
              <w14:schemeClr w14:val="tx1"/>
            </w14:solidFill>
          </w14:textFill>
        </w:rPr>
        <w:t>connected</w:t>
      </w:r>
      <w:r>
        <w:rPr>
          <w:color w:val="000000" w:themeColor="text1"/>
          <w:sz w:val="20"/>
          <w:szCs w:val="20"/>
          <w14:textFill>
            <w14:solidFill>
              <w14:schemeClr w14:val="tx1"/>
            </w14:solidFill>
          </w14:textFill>
        </w:rPr>
        <w:t xml:space="preserve"> current.</w:t>
      </w:r>
    </w:p>
    <w:p>
      <w:pPr>
        <w:ind w:firstLine="400"/>
        <w:jc w:val="both"/>
        <w:rPr>
          <w:color w:val="000000" w:themeColor="text1"/>
          <w:sz w:val="20"/>
          <w:szCs w:val="20"/>
          <w14:textFill>
            <w14:solidFill>
              <w14:schemeClr w14:val="tx1"/>
            </w14:solidFill>
          </w14:textFill>
        </w:rPr>
      </w:pPr>
      <w:r>
        <w:rPr>
          <w:color w:val="000000" w:themeColor="text1"/>
          <w:sz w:val="20"/>
          <w:szCs w:val="20"/>
          <w14:textFill>
            <w14:solidFill>
              <w14:schemeClr w14:val="tx1"/>
            </w14:solidFill>
          </w14:textFill>
        </w:rPr>
        <w:t>Based on the impedance analysis method</w:t>
      </w:r>
      <w:r>
        <w:rPr>
          <w:rFonts w:hint="eastAsia"/>
          <w:color w:val="000000" w:themeColor="text1"/>
          <w:sz w:val="20"/>
          <w:szCs w:val="20"/>
          <w:vertAlign w:val="superscript"/>
          <w:lang w:val="en-US" w:eastAsia="zh-CN"/>
          <w14:textFill>
            <w14:solidFill>
              <w14:schemeClr w14:val="tx1"/>
            </w14:solidFill>
          </w14:textFill>
        </w:rPr>
        <w:t>[7]</w:t>
      </w:r>
      <w:r>
        <w:rPr>
          <w:color w:val="000000" w:themeColor="text1"/>
          <w:sz w:val="20"/>
          <w:szCs w:val="20"/>
          <w14:textFill>
            <w14:solidFill>
              <w14:schemeClr w14:val="tx1"/>
            </w14:solidFill>
          </w14:textFill>
        </w:rPr>
        <w:t xml:space="preserve">, </w:t>
      </w:r>
      <w:r>
        <w:rPr>
          <w:rFonts w:hint="eastAsia"/>
          <w:color w:val="000000" w:themeColor="text1"/>
          <w:sz w:val="20"/>
          <w:szCs w:val="20"/>
          <w14:textFill>
            <w14:solidFill>
              <w14:schemeClr w14:val="tx1"/>
            </w14:solidFill>
          </w14:textFill>
        </w:rPr>
        <w:t>the inverter can be modeled as a one-port network characterized by an equivalent output impedance.</w:t>
      </w:r>
      <w:r>
        <w:rPr>
          <w:color w:val="000000" w:themeColor="text1"/>
          <w:sz w:val="20"/>
          <w:szCs w:val="20"/>
          <w14:textFill>
            <w14:solidFill>
              <w14:schemeClr w14:val="tx1"/>
            </w14:solidFill>
          </w14:textFill>
        </w:rPr>
        <w:t xml:space="preserve"> Fig. 2 </w:t>
      </w:r>
      <w:r>
        <w:rPr>
          <w:rFonts w:hint="eastAsia"/>
          <w:color w:val="000000" w:themeColor="text1"/>
          <w:sz w:val="20"/>
          <w:szCs w:val="20"/>
          <w14:textFill>
            <w14:solidFill>
              <w14:schemeClr w14:val="tx1"/>
            </w14:solidFill>
          </w14:textFill>
        </w:rPr>
        <w:t xml:space="preserve">depicts the equivalent circuit of </w:t>
      </w:r>
      <w:r>
        <w:rPr>
          <w:rFonts w:hint="eastAsia"/>
          <w:color w:val="000000" w:themeColor="text1"/>
          <w:sz w:val="20"/>
          <w:szCs w:val="20"/>
          <w:lang w:val="en-US" w:eastAsia="zh-CN"/>
          <w14:textFill>
            <w14:solidFill>
              <w14:schemeClr w14:val="tx1"/>
            </w14:solidFill>
          </w14:textFill>
        </w:rPr>
        <w:t>two GCIs system</w:t>
      </w:r>
      <w:r>
        <w:rPr>
          <w:color w:val="000000" w:themeColor="text1"/>
          <w:sz w:val="20"/>
          <w:szCs w:val="20"/>
          <w14:textFill>
            <w14:solidFill>
              <w14:schemeClr w14:val="tx1"/>
            </w14:solidFill>
          </w14:textFill>
        </w:rPr>
        <w:t>.</w:t>
      </w:r>
    </w:p>
    <w:p>
      <w:pPr>
        <w:ind w:firstLine="400"/>
        <w:jc w:val="both"/>
        <w:rPr>
          <w:color w:val="000000" w:themeColor="text1"/>
          <w:sz w:val="20"/>
          <w:szCs w:val="20"/>
          <w14:textFill>
            <w14:solidFill>
              <w14:schemeClr w14:val="tx1"/>
            </w14:solidFill>
          </w14:textFill>
        </w:rPr>
      </w:pPr>
      <w:r>
        <w:rPr>
          <w:rFonts w:hint="eastAsia"/>
        </w:rPr>
        <w:object>
          <v:shape id="_x0000_i1026" o:spt="75" type="#_x0000_t75" style="height:97pt;width:207.5pt;" o:ole="t" filled="f" o:preferrelative="t" stroked="f" coordsize="21600,21600">
            <v:path/>
            <v:fill on="f" focussize="0,0"/>
            <v:stroke on="f"/>
            <v:imagedata r:id="rId19" o:title=""/>
            <o:lock v:ext="edit" aspectratio="f"/>
            <w10:wrap type="none"/>
            <w10:anchorlock/>
          </v:shape>
          <o:OLEObject Type="Embed" ProgID="Visio.Drawing.15" ShapeID="_x0000_i1026" DrawAspect="Content" ObjectID="_1468075726" r:id="rId18">
            <o:LockedField>false</o:LockedField>
          </o:OLEObject>
        </w:object>
      </w:r>
    </w:p>
    <w:p>
      <w:pPr>
        <w:jc w:val="center"/>
        <w:rPr>
          <w:i/>
          <w:iCs/>
          <w:color w:val="000000" w:themeColor="text1"/>
          <w:sz w:val="20"/>
          <w:szCs w:val="20"/>
          <w14:textFill>
            <w14:solidFill>
              <w14:schemeClr w14:val="tx1"/>
            </w14:solidFill>
          </w14:textFill>
        </w:rPr>
      </w:pPr>
      <w:r>
        <w:rPr>
          <w:b/>
          <w:bCs/>
          <w:i/>
          <w:iCs/>
          <w:color w:val="000000" w:themeColor="text1"/>
          <w:sz w:val="20"/>
          <w:szCs w:val="20"/>
          <w:lang w:val="en-GB"/>
          <w14:textFill>
            <w14:solidFill>
              <w14:schemeClr w14:val="tx1"/>
            </w14:solidFill>
          </w14:textFill>
        </w:rPr>
        <w:t>Fig. 2</w:t>
      </w:r>
      <w:bookmarkStart w:id="1" w:name="_Hlk92188077"/>
      <w:r>
        <w:rPr>
          <w:b/>
          <w:bCs/>
          <w:i/>
          <w:iCs/>
          <w:color w:val="000000" w:themeColor="text1"/>
          <w:sz w:val="20"/>
          <w:szCs w:val="20"/>
          <w:lang w:val="en-GB"/>
          <w14:textFill>
            <w14:solidFill>
              <w14:schemeClr w14:val="tx1"/>
            </w14:solidFill>
          </w14:textFill>
        </w:rPr>
        <w:t xml:space="preserve"> </w:t>
      </w:r>
      <w:bookmarkEnd w:id="1"/>
      <w:r>
        <w:rPr>
          <w:i/>
          <w:iCs/>
          <w:color w:val="000000" w:themeColor="text1"/>
          <w:sz w:val="20"/>
          <w:szCs w:val="20"/>
          <w14:textFill>
            <w14:solidFill>
              <w14:schemeClr w14:val="tx1"/>
            </w14:solidFill>
          </w14:textFill>
        </w:rPr>
        <w:t xml:space="preserve">Equivalent </w:t>
      </w:r>
      <w:r>
        <w:rPr>
          <w:rFonts w:hint="eastAsia"/>
          <w:i/>
          <w:iCs/>
          <w:color w:val="000000" w:themeColor="text1"/>
          <w:sz w:val="20"/>
          <w:szCs w:val="20"/>
          <w:lang w:val="en-US" w:eastAsia="zh-CN"/>
          <w14:textFill>
            <w14:solidFill>
              <w14:schemeClr w14:val="tx1"/>
            </w14:solidFill>
          </w14:textFill>
        </w:rPr>
        <w:t>c</w:t>
      </w:r>
      <w:r>
        <w:rPr>
          <w:i/>
          <w:iCs/>
          <w:color w:val="000000" w:themeColor="text1"/>
          <w:sz w:val="20"/>
          <w:szCs w:val="20"/>
          <w14:textFill>
            <w14:solidFill>
              <w14:schemeClr w14:val="tx1"/>
            </w14:solidFill>
          </w14:textFill>
        </w:rPr>
        <w:t xml:space="preserve">ircuit of </w:t>
      </w:r>
      <w:r>
        <w:rPr>
          <w:rFonts w:hint="eastAsia"/>
          <w:i/>
          <w:iCs/>
          <w:color w:val="000000" w:themeColor="text1"/>
          <w:sz w:val="20"/>
          <w:szCs w:val="20"/>
          <w14:textFill>
            <w14:solidFill>
              <w14:schemeClr w14:val="tx1"/>
            </w14:solidFill>
          </w14:textFill>
        </w:rPr>
        <w:t>two GCIs</w:t>
      </w:r>
      <w:r>
        <w:rPr>
          <w:rFonts w:hint="eastAsia"/>
          <w:i/>
          <w:iCs/>
          <w:color w:val="000000" w:themeColor="text1"/>
          <w:sz w:val="20"/>
          <w:szCs w:val="20"/>
          <w:lang w:val="en-US" w:eastAsia="zh-CN"/>
          <w14:textFill>
            <w14:solidFill>
              <w14:schemeClr w14:val="tx1"/>
            </w14:solidFill>
          </w14:textFill>
        </w:rPr>
        <w:t xml:space="preserve"> </w:t>
      </w:r>
      <w:r>
        <w:rPr>
          <w:rFonts w:hint="eastAsia"/>
          <w:i/>
          <w:iCs/>
          <w:color w:val="000000" w:themeColor="text1"/>
          <w:sz w:val="20"/>
          <w:szCs w:val="20"/>
          <w14:textFill>
            <w14:solidFill>
              <w14:schemeClr w14:val="tx1"/>
            </w14:solidFill>
          </w14:textFill>
        </w:rPr>
        <w:t>system</w:t>
      </w:r>
    </w:p>
    <w:p>
      <w:pPr>
        <w:keepNext w:val="0"/>
        <w:keepLines w:val="0"/>
        <w:pageBreakBefore w:val="0"/>
        <w:widowControl/>
        <w:kinsoku/>
        <w:wordWrap/>
        <w:overflowPunct/>
        <w:topLinePunct w:val="0"/>
        <w:autoSpaceDE/>
        <w:autoSpaceDN/>
        <w:bidi w:val="0"/>
        <w:adjustRightInd/>
        <w:snapToGrid/>
        <w:ind w:firstLine="403"/>
        <w:jc w:val="both"/>
        <w:textAlignment w:val="center"/>
        <w:rPr>
          <w:rFonts w:hint="default" w:ascii="Times New Roman" w:hAnsi="Times New Roman" w:cs="Times New Roman"/>
          <w:color w:val="000000" w:themeColor="text1"/>
          <w:position w:val="0"/>
          <w:sz w:val="20"/>
          <w:szCs w:val="20"/>
          <w:lang w:val="en-US" w:eastAsia="zh-CN"/>
          <w14:textFill>
            <w14:solidFill>
              <w14:schemeClr w14:val="tx1"/>
            </w14:solidFill>
          </w14:textFill>
        </w:rPr>
      </w:pPr>
      <w:r>
        <w:rPr>
          <w:rFonts w:hint="default" w:ascii="Times New Roman" w:hAnsi="Times New Roman" w:cs="Times New Roman"/>
          <w:color w:val="000000" w:themeColor="text1"/>
          <w:position w:val="0"/>
          <w:sz w:val="20"/>
          <w:szCs w:val="20"/>
          <w14:textFill>
            <w14:solidFill>
              <w14:schemeClr w14:val="tx1"/>
            </w14:solidFill>
          </w14:textFill>
        </w:rPr>
        <w:t>For the two inverters (</w:t>
      </w:r>
      <w:r>
        <w:rPr>
          <w:rFonts w:hint="default" w:ascii="Times New Roman" w:hAnsi="Times New Roman" w:cs="Times New Roman"/>
          <w:i/>
          <w:iCs/>
          <w:color w:val="000000" w:themeColor="text1"/>
          <w:position w:val="0"/>
          <w:sz w:val="20"/>
          <w:szCs w:val="20"/>
          <w14:textFill>
            <w14:solidFill>
              <w14:schemeClr w14:val="tx1"/>
            </w14:solidFill>
          </w14:textFill>
        </w:rPr>
        <w:t>i</w:t>
      </w:r>
      <w:r>
        <w:rPr>
          <w:rFonts w:hint="default" w:ascii="Times New Roman" w:hAnsi="Times New Roman" w:cs="Times New Roman"/>
          <w:i/>
          <w:iCs/>
          <w:color w:val="000000" w:themeColor="text1"/>
          <w:position w:val="0"/>
          <w:sz w:val="20"/>
          <w:szCs w:val="20"/>
          <w:lang w:val="en-US" w:eastAsia="zh-CN"/>
          <w14:textFill>
            <w14:solidFill>
              <w14:schemeClr w14:val="tx1"/>
            </w14:solidFill>
          </w14:textFill>
        </w:rPr>
        <w:t xml:space="preserve"> </w:t>
      </w:r>
      <w:r>
        <w:rPr>
          <w:rFonts w:hint="default" w:ascii="Times New Roman" w:hAnsi="Times New Roman" w:cs="Times New Roman"/>
          <w:color w:val="000000" w:themeColor="text1"/>
          <w:position w:val="0"/>
          <w:sz w:val="20"/>
          <w:szCs w:val="20"/>
          <w14:textFill>
            <w14:solidFill>
              <w14:schemeClr w14:val="tx1"/>
            </w14:solidFill>
          </w14:textFill>
        </w:rPr>
        <w:t>=</w:t>
      </w:r>
      <w:r>
        <w:rPr>
          <w:rFonts w:hint="default" w:ascii="Times New Roman" w:hAnsi="Times New Roman" w:cs="Times New Roman"/>
          <w:color w:val="000000" w:themeColor="text1"/>
          <w:position w:val="0"/>
          <w:sz w:val="20"/>
          <w:szCs w:val="20"/>
          <w:lang w:val="en-US" w:eastAsia="zh-CN"/>
          <w14:textFill>
            <w14:solidFill>
              <w14:schemeClr w14:val="tx1"/>
            </w14:solidFill>
          </w14:textFill>
        </w:rPr>
        <w:t xml:space="preserve"> </w:t>
      </w:r>
      <w:r>
        <w:rPr>
          <w:rFonts w:hint="default" w:ascii="Times New Roman" w:hAnsi="Times New Roman" w:cs="Times New Roman"/>
          <w:color w:val="000000" w:themeColor="text1"/>
          <w:position w:val="0"/>
          <w:sz w:val="20"/>
          <w:szCs w:val="20"/>
          <w14:textFill>
            <w14:solidFill>
              <w14:schemeClr w14:val="tx1"/>
            </w14:solidFill>
          </w14:textFill>
        </w:rPr>
        <w:t>1,</w:t>
      </w:r>
      <w:r>
        <w:rPr>
          <w:rFonts w:hint="default" w:ascii="Times New Roman" w:hAnsi="Times New Roman" w:cs="Times New Roman"/>
          <w:color w:val="000000" w:themeColor="text1"/>
          <w:position w:val="0"/>
          <w:sz w:val="20"/>
          <w:szCs w:val="20"/>
          <w:lang w:val="en-US" w:eastAsia="zh-CN"/>
          <w14:textFill>
            <w14:solidFill>
              <w14:schemeClr w14:val="tx1"/>
            </w14:solidFill>
          </w14:textFill>
        </w:rPr>
        <w:t xml:space="preserve"> </w:t>
      </w:r>
      <w:r>
        <w:rPr>
          <w:rFonts w:hint="default" w:ascii="Times New Roman" w:hAnsi="Times New Roman" w:cs="Times New Roman"/>
          <w:color w:val="000000" w:themeColor="text1"/>
          <w:position w:val="0"/>
          <w:sz w:val="20"/>
          <w:szCs w:val="20"/>
          <w14:textFill>
            <w14:solidFill>
              <w14:schemeClr w14:val="tx1"/>
            </w14:solidFill>
          </w14:textFill>
        </w:rPr>
        <w:t>2), the equivalent current sources are denoted</w:t>
      </w:r>
      <w:r>
        <w:rPr>
          <w:rFonts w:hint="default" w:ascii="Times New Roman" w:hAnsi="Times New Roman" w:cs="Times New Roman"/>
          <w:color w:val="000000" w:themeColor="text1"/>
          <w:position w:val="0"/>
          <w:sz w:val="20"/>
          <w:szCs w:val="20"/>
          <w:lang w:val="en-US" w:eastAsia="zh-CN"/>
          <w14:textFill>
            <w14:solidFill>
              <w14:schemeClr w14:val="tx1"/>
            </w14:solidFill>
          </w14:textFill>
        </w:rPr>
        <w:t xml:space="preserve"> </w:t>
      </w:r>
      <w:r>
        <w:rPr>
          <w:rFonts w:hint="default" w:ascii="Times New Roman" w:hAnsi="Times New Roman" w:cs="Times New Roman"/>
          <w:i/>
          <w:iCs/>
          <w:color w:val="000000" w:themeColor="text1"/>
          <w:position w:val="0"/>
          <w:sz w:val="20"/>
          <w:szCs w:val="20"/>
          <w14:textFill>
            <w14:solidFill>
              <w14:schemeClr w14:val="tx1"/>
            </w14:solidFill>
          </w14:textFill>
        </w:rPr>
        <w:t>i</w:t>
      </w:r>
      <w:r>
        <w:rPr>
          <w:rFonts w:hint="default" w:ascii="Times New Roman" w:hAnsi="Times New Roman" w:cs="Times New Roman"/>
          <w:color w:val="000000" w:themeColor="text1"/>
          <w:position w:val="0"/>
          <w:sz w:val="20"/>
          <w:szCs w:val="20"/>
          <w:vertAlign w:val="subscript"/>
          <w14:textFill>
            <w14:solidFill>
              <w14:schemeClr w14:val="tx1"/>
            </w14:solidFill>
          </w14:textFill>
        </w:rPr>
        <w:t>s</w:t>
      </w:r>
      <w:r>
        <w:rPr>
          <w:rFonts w:hint="default" w:ascii="Times New Roman" w:hAnsi="Times New Roman" w:cs="Times New Roman"/>
          <w:i/>
          <w:iCs/>
          <w:color w:val="000000" w:themeColor="text1"/>
          <w:position w:val="0"/>
          <w:sz w:val="20"/>
          <w:szCs w:val="20"/>
          <w:vertAlign w:val="subscript"/>
          <w14:textFill>
            <w14:solidFill>
              <w14:schemeClr w14:val="tx1"/>
            </w14:solidFill>
          </w14:textFill>
        </w:rPr>
        <w:t>i</w:t>
      </w:r>
      <w:r>
        <w:rPr>
          <w:rFonts w:hint="default" w:ascii="Times New Roman" w:hAnsi="Times New Roman" w:cs="Times New Roman"/>
          <w:color w:val="000000" w:themeColor="text1"/>
          <w:position w:val="0"/>
          <w:sz w:val="20"/>
          <w:szCs w:val="20"/>
          <w14:textFill>
            <w14:solidFill>
              <w14:schemeClr w14:val="tx1"/>
            </w14:solidFill>
          </w14:textFill>
        </w:rPr>
        <w:t>, and the grid-</w:t>
      </w:r>
      <w:r>
        <w:rPr>
          <w:rFonts w:hint="default" w:ascii="Times New Roman" w:hAnsi="Times New Roman" w:cs="Times New Roman"/>
          <w:color w:val="000000" w:themeColor="text1"/>
          <w:position w:val="0"/>
          <w:sz w:val="20"/>
          <w:szCs w:val="20"/>
          <w:lang w:val="en-US" w:eastAsia="zh-CN"/>
          <w14:textFill>
            <w14:solidFill>
              <w14:schemeClr w14:val="tx1"/>
            </w14:solidFill>
          </w14:textFill>
        </w:rPr>
        <w:t>connected</w:t>
      </w:r>
      <w:r>
        <w:rPr>
          <w:rFonts w:hint="default" w:ascii="Times New Roman" w:hAnsi="Times New Roman" w:cs="Times New Roman"/>
          <w:color w:val="000000" w:themeColor="text1"/>
          <w:position w:val="0"/>
          <w:sz w:val="20"/>
          <w:szCs w:val="20"/>
          <w14:textFill>
            <w14:solidFill>
              <w14:schemeClr w14:val="tx1"/>
            </w14:solidFill>
          </w14:textFill>
        </w:rPr>
        <w:t xml:space="preserve"> currents are denoted </w:t>
      </w:r>
      <w:r>
        <w:rPr>
          <w:rFonts w:hint="default" w:ascii="Times New Roman" w:hAnsi="Times New Roman" w:cs="Times New Roman"/>
          <w:color w:val="000000" w:themeColor="text1"/>
          <w:position w:val="0"/>
          <w:sz w:val="20"/>
          <w:szCs w:val="20"/>
          <w14:textFill>
            <w14:solidFill>
              <w14:schemeClr w14:val="tx1"/>
            </w14:solidFill>
          </w14:textFill>
        </w:rPr>
        <w:object>
          <v:shape id="_x0000_i1027" o:spt="75" type="#_x0000_t75" style="height:17pt;width:13.95pt;" o:ole="t" filled="f" o:preferrelative="t" stroked="f" coordsize="21600,21600">
            <v:path/>
            <v:fill on="f" focussize="0,0"/>
            <v:stroke on="f"/>
            <v:imagedata r:id="rId21" o:title=""/>
            <o:lock v:ext="edit" aspectratio="t"/>
            <w10:wrap type="none"/>
            <w10:anchorlock/>
          </v:shape>
          <o:OLEObject Type="Embed" ProgID="Equation.DSMT4" ShapeID="_x0000_i1027" DrawAspect="Content" ObjectID="_1468075727" r:id="rId20">
            <o:LockedField>false</o:LockedField>
          </o:OLEObject>
        </w:object>
      </w:r>
      <w:r>
        <w:rPr>
          <w:rFonts w:hint="default" w:ascii="Times New Roman" w:hAnsi="Times New Roman" w:cs="Times New Roman"/>
          <w:color w:val="000000" w:themeColor="text1"/>
          <w:position w:val="0"/>
          <w:sz w:val="20"/>
          <w:szCs w:val="20"/>
          <w14:textFill>
            <w14:solidFill>
              <w14:schemeClr w14:val="tx1"/>
            </w14:solidFill>
          </w14:textFill>
        </w:rPr>
        <w:t>.</w:t>
      </w:r>
      <w:r>
        <w:rPr>
          <w:rFonts w:hint="default" w:ascii="Times New Roman" w:hAnsi="Times New Roman" w:cs="Times New Roman"/>
          <w:color w:val="000000" w:themeColor="text1"/>
          <w:position w:val="0"/>
          <w:sz w:val="20"/>
          <w:szCs w:val="20"/>
          <w:lang w:val="en-US" w:eastAsia="zh-CN"/>
          <w14:textFill>
            <w14:solidFill>
              <w14:schemeClr w14:val="tx1"/>
            </w14:solidFill>
          </w14:textFill>
        </w:rPr>
        <w:t xml:space="preserve"> </w:t>
      </w:r>
      <w:r>
        <w:rPr>
          <w:rFonts w:hint="default" w:ascii="Times New Roman" w:hAnsi="Times New Roman" w:cs="Times New Roman"/>
          <w:color w:val="000000" w:themeColor="text1"/>
          <w:position w:val="0"/>
          <w:sz w:val="20"/>
          <w:szCs w:val="20"/>
          <w14:textFill>
            <w14:solidFill>
              <w14:schemeClr w14:val="tx1"/>
            </w14:solidFill>
          </w14:textFill>
        </w:rPr>
        <w:t xml:space="preserve">Their equivalent impedances are denoted </w:t>
      </w:r>
      <w:r>
        <w:rPr>
          <w:rFonts w:hint="default" w:ascii="Times New Roman" w:hAnsi="Times New Roman" w:cs="Times New Roman"/>
          <w:i/>
          <w:iCs/>
          <w:color w:val="000000" w:themeColor="text1"/>
          <w:position w:val="0"/>
          <w:sz w:val="20"/>
          <w:szCs w:val="20"/>
          <w:lang w:val="en-US" w:eastAsia="zh-CN"/>
          <w14:textFill>
            <w14:solidFill>
              <w14:schemeClr w14:val="tx1"/>
            </w14:solidFill>
          </w14:textFill>
        </w:rPr>
        <w:t>Z</w:t>
      </w:r>
      <w:r>
        <w:rPr>
          <w:rFonts w:hint="default" w:ascii="Times New Roman" w:hAnsi="Times New Roman" w:cs="Times New Roman"/>
          <w:color w:val="000000" w:themeColor="text1"/>
          <w:position w:val="0"/>
          <w:sz w:val="20"/>
          <w:szCs w:val="20"/>
          <w:vertAlign w:val="subscript"/>
          <w:lang w:val="en-US" w:eastAsia="zh-CN"/>
          <w14:textFill>
            <w14:solidFill>
              <w14:schemeClr w14:val="tx1"/>
            </w14:solidFill>
          </w14:textFill>
        </w:rPr>
        <w:t>out</w:t>
      </w:r>
      <w:r>
        <w:rPr>
          <w:rFonts w:hint="default" w:ascii="Times New Roman" w:hAnsi="Times New Roman" w:cs="Times New Roman"/>
          <w:i/>
          <w:iCs/>
          <w:color w:val="000000" w:themeColor="text1"/>
          <w:position w:val="0"/>
          <w:sz w:val="20"/>
          <w:szCs w:val="20"/>
          <w:vertAlign w:val="subscript"/>
          <w:lang w:val="en-US" w:eastAsia="zh-CN"/>
          <w14:textFill>
            <w14:solidFill>
              <w14:schemeClr w14:val="tx1"/>
            </w14:solidFill>
          </w14:textFill>
        </w:rPr>
        <w:t>i</w:t>
      </w:r>
      <w:r>
        <w:rPr>
          <w:rFonts w:hint="default" w:ascii="Times New Roman" w:hAnsi="Times New Roman" w:cs="Times New Roman"/>
          <w:color w:val="000000" w:themeColor="text1"/>
          <w:position w:val="0"/>
          <w:sz w:val="20"/>
          <w:szCs w:val="20"/>
          <w:lang w:val="en-US" w:eastAsia="zh-CN"/>
          <w14:textFill>
            <w14:solidFill>
              <w14:schemeClr w14:val="tx1"/>
            </w14:solidFill>
          </w14:textFill>
        </w:rPr>
        <w:t xml:space="preserve"> and </w:t>
      </w:r>
      <w:r>
        <w:rPr>
          <w:rFonts w:hint="default" w:ascii="Times New Roman" w:hAnsi="Times New Roman" w:cs="Times New Roman"/>
          <w:color w:val="000000" w:themeColor="text1"/>
          <w:position w:val="0"/>
          <w:sz w:val="20"/>
          <w:szCs w:val="20"/>
          <w:lang w:val="en-US" w:eastAsia="zh-CN"/>
          <w14:textFill>
            <w14:solidFill>
              <w14:schemeClr w14:val="tx1"/>
            </w14:solidFill>
          </w14:textFill>
        </w:rPr>
        <w:object>
          <v:shape id="_x0000_i1028" o:spt="75" type="#_x0000_t75" style="height:17pt;width:18pt;" o:ole="t" filled="f" o:preferrelative="t" stroked="f" coordsize="21600,21600">
            <v:path/>
            <v:fill on="f" focussize="0,0"/>
            <v:stroke on="f"/>
            <v:imagedata r:id="rId23" o:title=""/>
            <o:lock v:ext="edit" aspectratio="t"/>
            <w10:wrap type="none"/>
            <w10:anchorlock/>
          </v:shape>
          <o:OLEObject Type="Embed" ProgID="Equation.DSMT4" ShapeID="_x0000_i1028" DrawAspect="Content" ObjectID="_1468075728" r:id="rId22">
            <o:LockedField>false</o:LockedField>
          </o:OLEObject>
        </w:object>
      </w:r>
      <w:r>
        <w:rPr>
          <w:rFonts w:hint="default" w:ascii="Times New Roman" w:hAnsi="Times New Roman" w:cs="Times New Roman"/>
          <w:color w:val="000000" w:themeColor="text1"/>
          <w:position w:val="0"/>
          <w:sz w:val="20"/>
          <w:szCs w:val="20"/>
          <w14:textFill>
            <w14:solidFill>
              <w14:schemeClr w14:val="tx1"/>
            </w14:solidFill>
          </w14:textFill>
        </w:rPr>
        <w:t>, respectively.</w:t>
      </w:r>
      <w:r>
        <w:rPr>
          <w:rFonts w:hint="default" w:ascii="Times New Roman" w:hAnsi="Times New Roman" w:cs="Times New Roman"/>
          <w:color w:val="000000" w:themeColor="text1"/>
          <w:position w:val="0"/>
          <w:sz w:val="20"/>
          <w:szCs w:val="20"/>
          <w:lang w:val="en-US" w:eastAsia="zh-CN"/>
          <w14:textFill>
            <w14:solidFill>
              <w14:schemeClr w14:val="tx1"/>
            </w14:solidFill>
          </w14:textFill>
        </w:rPr>
        <w:t xml:space="preserve"> The two inverters are connected in parallel at Node 3. The total grid current is denoted </w:t>
      </w:r>
      <w:r>
        <w:rPr>
          <w:rFonts w:hint="default" w:ascii="Times New Roman" w:hAnsi="Times New Roman" w:cs="Times New Roman"/>
          <w:i/>
          <w:iCs/>
          <w:color w:val="000000" w:themeColor="text1"/>
          <w:position w:val="0"/>
          <w:sz w:val="20"/>
          <w:szCs w:val="20"/>
          <w:lang w:val="en-US" w:eastAsia="zh-CN"/>
          <w14:textFill>
            <w14:solidFill>
              <w14:schemeClr w14:val="tx1"/>
            </w14:solidFill>
          </w14:textFill>
        </w:rPr>
        <w:t>i</w:t>
      </w:r>
      <w:r>
        <w:rPr>
          <w:rFonts w:hint="default" w:ascii="Times New Roman" w:hAnsi="Times New Roman" w:cs="Times New Roman"/>
          <w:color w:val="000000" w:themeColor="text1"/>
          <w:position w:val="0"/>
          <w:sz w:val="20"/>
          <w:szCs w:val="20"/>
          <w:vertAlign w:val="subscript"/>
          <w:lang w:val="en-US" w:eastAsia="zh-CN"/>
          <w14:textFill>
            <w14:solidFill>
              <w14:schemeClr w14:val="tx1"/>
            </w14:solidFill>
          </w14:textFill>
        </w:rPr>
        <w:t>g</w:t>
      </w:r>
      <w:r>
        <w:rPr>
          <w:rFonts w:hint="default" w:ascii="Times New Roman" w:hAnsi="Times New Roman" w:cs="Times New Roman"/>
          <w:color w:val="000000" w:themeColor="text1"/>
          <w:position w:val="0"/>
          <w:sz w:val="20"/>
          <w:szCs w:val="20"/>
          <w:lang w:val="en-US" w:eastAsia="zh-CN"/>
          <w14:textFill>
            <w14:solidFill>
              <w14:schemeClr w14:val="tx1"/>
            </w14:solidFill>
          </w14:textFill>
        </w:rPr>
        <w:t xml:space="preserve">, and the grid’s equivalent impedance is </w:t>
      </w:r>
      <w:r>
        <w:rPr>
          <w:rFonts w:hint="eastAsia" w:cs="Times New Roman"/>
          <w:i/>
          <w:iCs/>
          <w:color w:val="000000" w:themeColor="text1"/>
          <w:position w:val="0"/>
          <w:sz w:val="20"/>
          <w:szCs w:val="20"/>
          <w:lang w:val="en-US" w:eastAsia="zh-CN"/>
          <w14:textFill>
            <w14:solidFill>
              <w14:schemeClr w14:val="tx1"/>
            </w14:solidFill>
          </w14:textFill>
        </w:rPr>
        <w:t>Z</w:t>
      </w:r>
      <w:r>
        <w:rPr>
          <w:rFonts w:hint="eastAsia" w:cs="Times New Roman"/>
          <w:color w:val="000000" w:themeColor="text1"/>
          <w:position w:val="0"/>
          <w:sz w:val="20"/>
          <w:szCs w:val="20"/>
          <w:vertAlign w:val="subscript"/>
          <w:lang w:val="en-US" w:eastAsia="zh-CN"/>
          <w14:textFill>
            <w14:solidFill>
              <w14:schemeClr w14:val="tx1"/>
            </w14:solidFill>
          </w14:textFill>
        </w:rPr>
        <w:t>g</w:t>
      </w:r>
      <w:r>
        <w:rPr>
          <w:rFonts w:hint="eastAsia" w:cs="Times New Roman"/>
          <w:color w:val="000000" w:themeColor="text1"/>
          <w:position w:val="0"/>
          <w:sz w:val="20"/>
          <w:szCs w:val="20"/>
          <w:lang w:val="en-US" w:eastAsia="zh-CN"/>
          <w14:textFill>
            <w14:solidFill>
              <w14:schemeClr w14:val="tx1"/>
            </w14:solidFill>
          </w14:textFill>
        </w:rPr>
        <w:t>.</w:t>
      </w:r>
    </w:p>
    <w:p>
      <w:pPr>
        <w:ind w:firstLine="400"/>
        <w:jc w:val="both"/>
        <w:rPr>
          <w:rFonts w:hint="default" w:ascii="Times New Roman" w:hAnsi="Times New Roman" w:cs="Times New Roman"/>
          <w:color w:val="000000" w:themeColor="text1"/>
          <w:sz w:val="20"/>
          <w:szCs w:val="20"/>
          <w14:textFill>
            <w14:solidFill>
              <w14:schemeClr w14:val="tx1"/>
            </w14:solidFill>
          </w14:textFill>
        </w:rPr>
      </w:pPr>
      <w:r>
        <w:rPr>
          <w:rFonts w:hint="default" w:ascii="Times New Roman" w:hAnsi="Times New Roman" w:cs="Times New Roman"/>
          <w:color w:val="000000" w:themeColor="text1"/>
          <w:sz w:val="20"/>
          <w:szCs w:val="20"/>
          <w14:textFill>
            <w14:solidFill>
              <w14:schemeClr w14:val="tx1"/>
            </w14:solidFill>
          </w14:textFill>
        </w:rPr>
        <w:t>Under practical operating conditions, the inverter’s terminal and internal parameters are often unknown (e.g., due to manufacturer confidentiality). Therefore, a disturbance-injection approach is adopted: broadband harmonic perturbations are injected at PCC to measure the frequency response of the terminal (port) impedance. Subsequently, a rational transfer-function model of the terminal impedance is identified using the vector-fitting (VF) algorithm. The resulting form is given in Eq. (1).</w:t>
      </w:r>
    </w:p>
    <w:p>
      <w:pPr>
        <w:keepNext w:val="0"/>
        <w:keepLines w:val="0"/>
        <w:pageBreakBefore w:val="0"/>
        <w:widowControl/>
        <w:kinsoku/>
        <w:wordWrap/>
        <w:overflowPunct/>
        <w:topLinePunct w:val="0"/>
        <w:autoSpaceDE/>
        <w:autoSpaceDN/>
        <w:bidi w:val="0"/>
        <w:adjustRightInd/>
        <w:snapToGrid/>
        <w:jc w:val="right"/>
        <w:textAlignment w:val="center"/>
        <w:rPr>
          <w:rFonts w:hint="default" w:eastAsia="宋体"/>
          <w:color w:val="000000" w:themeColor="text1"/>
          <w:position w:val="0"/>
          <w:sz w:val="20"/>
          <w:szCs w:val="20"/>
          <w:lang w:val="en-US" w:eastAsia="zh-CN"/>
          <w14:textFill>
            <w14:solidFill>
              <w14:schemeClr w14:val="tx1"/>
            </w14:solidFill>
          </w14:textFill>
        </w:rPr>
      </w:pPr>
      <w:r>
        <w:rPr>
          <w:rFonts w:hint="eastAsia" w:eastAsia="宋体"/>
          <w:color w:val="000000" w:themeColor="text1"/>
          <w:position w:val="0"/>
          <w:sz w:val="20"/>
          <w:szCs w:val="20"/>
          <w:lang w:eastAsia="zh-CN"/>
          <w14:textFill>
            <w14:solidFill>
              <w14:schemeClr w14:val="tx1"/>
            </w14:solidFill>
          </w14:textFill>
        </w:rPr>
        <w:object>
          <v:shape id="_x0000_i1029" o:spt="75" type="#_x0000_t75" style="height:95pt;width:144pt;" o:ole="t" filled="f" o:preferrelative="t" stroked="f" coordsize="21600,21600">
            <v:path/>
            <v:fill on="f" focussize="0,0"/>
            <v:stroke on="f"/>
            <v:imagedata r:id="rId25" o:title=""/>
            <o:lock v:ext="edit" aspectratio="t"/>
            <w10:wrap type="none"/>
            <w10:anchorlock/>
          </v:shape>
          <o:OLEObject Type="Embed" ProgID="Equation.DSMT4" ShapeID="_x0000_i1029" DrawAspect="Content" ObjectID="_1468075729" r:id="rId24">
            <o:LockedField>false</o:LockedField>
          </o:OLEObject>
        </w:object>
      </w:r>
      <w:r>
        <w:rPr>
          <w:rFonts w:hint="eastAsia"/>
          <w:color w:val="000000" w:themeColor="text1"/>
          <w:position w:val="0"/>
          <w:sz w:val="20"/>
          <w:szCs w:val="20"/>
          <w:lang w:val="en-US" w:eastAsia="zh-CN"/>
          <w14:textFill>
            <w14:solidFill>
              <w14:schemeClr w14:val="tx1"/>
            </w14:solidFill>
          </w14:textFill>
        </w:rPr>
        <w:t xml:space="preserve">       (1)</w:t>
      </w:r>
    </w:p>
    <w:p>
      <w:pPr>
        <w:ind w:firstLine="403"/>
        <w:jc w:val="both"/>
        <w:rPr>
          <w:rFonts w:hint="default" w:ascii="Times New Roman" w:hAnsi="Times New Roman" w:cs="Times New Roman"/>
          <w:color w:val="000000" w:themeColor="text1"/>
          <w:sz w:val="20"/>
          <w:szCs w:val="20"/>
          <w14:textFill>
            <w14:solidFill>
              <w14:schemeClr w14:val="tx1"/>
            </w14:solidFill>
          </w14:textFill>
        </w:rPr>
      </w:pPr>
      <w:r>
        <w:rPr>
          <w:rFonts w:hint="default" w:ascii="Times New Roman" w:hAnsi="Times New Roman" w:cs="Times New Roman"/>
          <w:color w:val="000000" w:themeColor="text1"/>
          <w:sz w:val="20"/>
          <w:szCs w:val="20"/>
          <w14:textFill>
            <w14:solidFill>
              <w14:schemeClr w14:val="tx1"/>
            </w14:solidFill>
          </w14:textFill>
        </w:rPr>
        <w:t xml:space="preserve">Table 1 lists the numerator and denominator coefficients of the </w:t>
      </w:r>
      <w:r>
        <w:rPr>
          <w:rFonts w:hint="eastAsia" w:cs="Times New Roman"/>
          <w:i/>
          <w:iCs/>
          <w:color w:val="000000" w:themeColor="text1"/>
          <w:sz w:val="20"/>
          <w:szCs w:val="20"/>
          <w:lang w:val="en-US" w:eastAsia="zh-CN"/>
          <w14:textFill>
            <w14:solidFill>
              <w14:schemeClr w14:val="tx1"/>
            </w14:solidFill>
          </w14:textFill>
        </w:rPr>
        <w:t>Z</w:t>
      </w:r>
      <w:r>
        <w:rPr>
          <w:rFonts w:hint="eastAsia" w:cs="Times New Roman"/>
          <w:color w:val="000000" w:themeColor="text1"/>
          <w:sz w:val="20"/>
          <w:szCs w:val="20"/>
          <w:vertAlign w:val="subscript"/>
          <w:lang w:val="en-US" w:eastAsia="zh-CN"/>
          <w14:textFill>
            <w14:solidFill>
              <w14:schemeClr w14:val="tx1"/>
            </w14:solidFill>
          </w14:textFill>
        </w:rPr>
        <w:t>out</w:t>
      </w:r>
      <w:r>
        <w:rPr>
          <w:rFonts w:hint="eastAsia" w:cs="Times New Roman"/>
          <w:i/>
          <w:iCs/>
          <w:color w:val="000000" w:themeColor="text1"/>
          <w:sz w:val="20"/>
          <w:szCs w:val="20"/>
          <w:vertAlign w:val="subscript"/>
          <w:lang w:val="en-US" w:eastAsia="zh-CN"/>
          <w14:textFill>
            <w14:solidFill>
              <w14:schemeClr w14:val="tx1"/>
            </w14:solidFill>
          </w14:textFill>
        </w:rPr>
        <w:t>i</w:t>
      </w:r>
      <w:r>
        <w:rPr>
          <w:rFonts w:hint="default" w:ascii="Times New Roman" w:hAnsi="Times New Roman" w:cs="Times New Roman"/>
          <w:color w:val="000000" w:themeColor="text1"/>
          <w:sz w:val="20"/>
          <w:szCs w:val="20"/>
          <w14:textFill>
            <w14:solidFill>
              <w14:schemeClr w14:val="tx1"/>
            </w14:solidFill>
          </w14:textFill>
        </w:rPr>
        <w:t xml:space="preserve"> in Eq</w:t>
      </w:r>
      <w:r>
        <w:rPr>
          <w:rFonts w:hint="eastAsia" w:cs="Times New Roman"/>
          <w:color w:val="000000" w:themeColor="text1"/>
          <w:sz w:val="20"/>
          <w:szCs w:val="20"/>
          <w:lang w:val="en-US" w:eastAsia="zh-CN"/>
          <w14:textFill>
            <w14:solidFill>
              <w14:schemeClr w14:val="tx1"/>
            </w14:solidFill>
          </w14:textFill>
        </w:rPr>
        <w:t>.</w:t>
      </w:r>
      <w:r>
        <w:rPr>
          <w:rFonts w:hint="default" w:ascii="Times New Roman" w:hAnsi="Times New Roman" w:cs="Times New Roman"/>
          <w:color w:val="000000" w:themeColor="text1"/>
          <w:sz w:val="20"/>
          <w:szCs w:val="20"/>
          <w14:textFill>
            <w14:solidFill>
              <w14:schemeClr w14:val="tx1"/>
            </w14:solidFill>
          </w14:textFill>
        </w:rPr>
        <w:t xml:space="preserve"> (1), as well as the inductance values.</w:t>
      </w:r>
    </w:p>
    <w:p>
      <w:pPr>
        <w:jc w:val="center"/>
        <w:rPr>
          <w:rFonts w:hint="default"/>
          <w:i/>
          <w:iCs/>
          <w:color w:val="000000" w:themeColor="text1"/>
          <w:sz w:val="20"/>
          <w:szCs w:val="20"/>
          <w:lang w:val="en-US"/>
          <w14:textFill>
            <w14:solidFill>
              <w14:schemeClr w14:val="tx1"/>
            </w14:solidFill>
          </w14:textFill>
        </w:rPr>
      </w:pPr>
      <w:r>
        <w:rPr>
          <w:rFonts w:hint="eastAsia"/>
          <w:b/>
          <w:bCs/>
          <w:i/>
          <w:iCs/>
          <w:color w:val="000000" w:themeColor="text1"/>
          <w:sz w:val="20"/>
          <w:szCs w:val="20"/>
          <w:lang w:val="en-US"/>
          <w14:textFill>
            <w14:solidFill>
              <w14:schemeClr w14:val="tx1"/>
            </w14:solidFill>
          </w14:textFill>
        </w:rPr>
        <w:t>T</w:t>
      </w:r>
      <w:r>
        <w:rPr>
          <w:b/>
          <w:bCs/>
          <w:i/>
          <w:iCs/>
          <w:color w:val="000000" w:themeColor="text1"/>
          <w:sz w:val="20"/>
          <w:szCs w:val="20"/>
          <w:lang w:val="en-US"/>
          <w14:textFill>
            <w14:solidFill>
              <w14:schemeClr w14:val="tx1"/>
            </w14:solidFill>
          </w14:textFill>
        </w:rPr>
        <w:t xml:space="preserve">able </w:t>
      </w:r>
      <w:r>
        <w:rPr>
          <w:rFonts w:hint="eastAsia"/>
          <w:b/>
          <w:bCs/>
          <w:i/>
          <w:iCs/>
          <w:color w:val="000000" w:themeColor="text1"/>
          <w:sz w:val="20"/>
          <w:szCs w:val="20"/>
          <w:lang w:val="en-US" w:eastAsia="zh-CN"/>
          <w14:textFill>
            <w14:solidFill>
              <w14:schemeClr w14:val="tx1"/>
            </w14:solidFill>
          </w14:textFill>
        </w:rPr>
        <w:t>1</w:t>
      </w:r>
      <w:r>
        <w:rPr>
          <w:b/>
          <w:bCs/>
          <w:i/>
          <w:iCs/>
          <w:color w:val="000000" w:themeColor="text1"/>
          <w:sz w:val="20"/>
          <w:szCs w:val="20"/>
          <w:lang w:val="en-US"/>
          <w14:textFill>
            <w14:solidFill>
              <w14:schemeClr w14:val="tx1"/>
            </w14:solidFill>
          </w14:textFill>
        </w:rPr>
        <w:t xml:space="preserve"> </w:t>
      </w:r>
      <w:r>
        <w:rPr>
          <w:rFonts w:hint="eastAsia"/>
          <w:i/>
          <w:iCs/>
          <w:spacing w:val="6"/>
          <w:kern w:val="20"/>
          <w:sz w:val="20"/>
          <w:lang w:val="en-US"/>
        </w:rPr>
        <w:t xml:space="preserve">Parameters of the </w:t>
      </w:r>
      <w:r>
        <w:rPr>
          <w:rFonts w:hint="eastAsia"/>
          <w:i/>
          <w:iCs/>
          <w:spacing w:val="6"/>
          <w:kern w:val="20"/>
          <w:sz w:val="20"/>
          <w:lang w:val="en-US" w:eastAsia="zh-CN"/>
        </w:rPr>
        <w:t>two GCIs system</w:t>
      </w:r>
    </w:p>
    <w:tbl>
      <w:tblPr>
        <w:tblStyle w:val="16"/>
        <w:tblW w:w="4996"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237"/>
        <w:gridCol w:w="1193"/>
        <w:gridCol w:w="1237"/>
        <w:gridCol w:w="119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72" w:type="pct"/>
            <w:tcBorders>
              <w:top w:val="single" w:color="auto" w:sz="4" w:space="0"/>
              <w:bottom w:val="single" w:color="auto" w:sz="4" w:space="0"/>
            </w:tcBorders>
            <w:vAlign w:val="bottom"/>
          </w:tcPr>
          <w:p>
            <w:pPr>
              <w:widowControl w:val="0"/>
              <w:topLinePunct/>
              <w:jc w:val="center"/>
              <w:rPr>
                <w:spacing w:val="6"/>
                <w:kern w:val="20"/>
                <w:sz w:val="16"/>
                <w:szCs w:val="16"/>
                <w:lang w:val="en-US" w:eastAsia="en-GB"/>
              </w:rPr>
            </w:pPr>
            <w:r>
              <w:rPr>
                <w:rFonts w:hint="eastAsia"/>
                <w:spacing w:val="6"/>
                <w:kern w:val="20"/>
                <w:sz w:val="16"/>
                <w:szCs w:val="16"/>
                <w:lang w:val="en-US" w:eastAsia="en-GB"/>
              </w:rPr>
              <w:t>Parameters</w:t>
            </w:r>
          </w:p>
        </w:tc>
        <w:tc>
          <w:tcPr>
            <w:tcW w:w="1227" w:type="pct"/>
            <w:tcBorders>
              <w:top w:val="single" w:color="auto" w:sz="4" w:space="0"/>
              <w:bottom w:val="single" w:color="auto" w:sz="4" w:space="0"/>
            </w:tcBorders>
            <w:vAlign w:val="bottom"/>
          </w:tcPr>
          <w:p>
            <w:pPr>
              <w:widowControl w:val="0"/>
              <w:topLinePunct/>
              <w:jc w:val="center"/>
              <w:rPr>
                <w:spacing w:val="6"/>
                <w:kern w:val="20"/>
                <w:sz w:val="16"/>
                <w:szCs w:val="16"/>
                <w:lang w:val="en-US" w:eastAsia="en-GB"/>
              </w:rPr>
            </w:pPr>
            <w:r>
              <w:rPr>
                <w:color w:val="000000"/>
                <w:sz w:val="16"/>
                <w:szCs w:val="16"/>
                <w:lang w:val="en-US" w:eastAsia="zh-CN"/>
              </w:rPr>
              <w:t>Values</w:t>
            </w:r>
          </w:p>
        </w:tc>
        <w:tc>
          <w:tcPr>
            <w:tcW w:w="1272" w:type="pct"/>
            <w:tcBorders>
              <w:top w:val="single" w:color="auto" w:sz="4" w:space="0"/>
              <w:bottom w:val="single" w:color="auto" w:sz="4" w:space="0"/>
            </w:tcBorders>
            <w:vAlign w:val="bottom"/>
          </w:tcPr>
          <w:p>
            <w:pPr>
              <w:widowControl w:val="0"/>
              <w:topLinePunct/>
              <w:jc w:val="center"/>
              <w:rPr>
                <w:rFonts w:ascii="Times New Roman" w:hAnsi="Times New Roman" w:eastAsia="宋体" w:cs="Times New Roman"/>
                <w:spacing w:val="6"/>
                <w:kern w:val="20"/>
                <w:sz w:val="16"/>
                <w:szCs w:val="16"/>
                <w:lang w:val="en-US" w:eastAsia="zh-CN" w:bidi="ar-SA"/>
              </w:rPr>
            </w:pPr>
            <w:r>
              <w:rPr>
                <w:rFonts w:hint="eastAsia"/>
                <w:spacing w:val="6"/>
                <w:kern w:val="20"/>
                <w:sz w:val="16"/>
                <w:szCs w:val="16"/>
                <w:lang w:val="en-US" w:eastAsia="en-GB"/>
              </w:rPr>
              <w:t>Parameters</w:t>
            </w:r>
          </w:p>
        </w:tc>
        <w:tc>
          <w:tcPr>
            <w:tcW w:w="1227" w:type="pct"/>
            <w:tcBorders>
              <w:top w:val="single" w:color="auto" w:sz="4" w:space="0"/>
              <w:bottom w:val="single" w:color="auto" w:sz="4" w:space="0"/>
            </w:tcBorders>
            <w:vAlign w:val="bottom"/>
          </w:tcPr>
          <w:p>
            <w:pPr>
              <w:widowControl w:val="0"/>
              <w:topLinePunct/>
              <w:jc w:val="center"/>
              <w:rPr>
                <w:rFonts w:ascii="Times New Roman" w:hAnsi="Times New Roman" w:eastAsia="宋体" w:cs="Times New Roman"/>
                <w:spacing w:val="6"/>
                <w:kern w:val="20"/>
                <w:sz w:val="16"/>
                <w:szCs w:val="16"/>
                <w:lang w:val="en-US" w:eastAsia="zh-CN" w:bidi="ar-SA"/>
              </w:rPr>
            </w:pPr>
            <w:r>
              <w:rPr>
                <w:color w:val="000000"/>
                <w:sz w:val="16"/>
                <w:szCs w:val="16"/>
                <w:lang w:val="en-US" w:eastAsia="zh-CN"/>
              </w:rPr>
              <w:t>Values</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72" w:type="pct"/>
            <w:tcBorders>
              <w:top w:val="single" w:color="auto" w:sz="4" w:space="0"/>
              <w:bottom w:val="nil"/>
            </w:tcBorders>
            <w:vAlign w:val="bottom"/>
          </w:tcPr>
          <w:p>
            <w:pPr>
              <w:widowControl w:val="0"/>
              <w:topLinePunct/>
              <w:jc w:val="center"/>
              <w:rPr>
                <w:rFonts w:hint="default"/>
                <w:spacing w:val="6"/>
                <w:kern w:val="20"/>
                <w:sz w:val="16"/>
                <w:szCs w:val="16"/>
                <w:lang w:val="en-US" w:eastAsia="en-GB"/>
              </w:rPr>
            </w:pPr>
            <w:r>
              <w:rPr>
                <w:rFonts w:hint="eastAsia"/>
                <w:i/>
                <w:iCs/>
                <w:color w:val="000000"/>
                <w:sz w:val="16"/>
                <w:szCs w:val="16"/>
                <w:lang w:val="en-US" w:eastAsia="zh-CN"/>
              </w:rPr>
              <w:t>a</w:t>
            </w:r>
            <w:r>
              <w:rPr>
                <w:rFonts w:hint="eastAsia"/>
                <w:color w:val="000000"/>
                <w:sz w:val="16"/>
                <w:szCs w:val="16"/>
                <w:vertAlign w:val="subscript"/>
                <w:lang w:val="en-US" w:eastAsia="zh-CN"/>
              </w:rPr>
              <w:t>0</w:t>
            </w:r>
          </w:p>
        </w:tc>
        <w:tc>
          <w:tcPr>
            <w:tcW w:w="1227" w:type="pct"/>
            <w:tcBorders>
              <w:top w:val="single" w:color="auto" w:sz="4" w:space="0"/>
              <w:bottom w:val="nil"/>
            </w:tcBorders>
            <w:vAlign w:val="bottom"/>
          </w:tcPr>
          <w:p>
            <w:pPr>
              <w:widowControl w:val="0"/>
              <w:topLinePunct/>
              <w:jc w:val="center"/>
              <w:rPr>
                <w:spacing w:val="6"/>
                <w:kern w:val="20"/>
                <w:sz w:val="16"/>
                <w:szCs w:val="16"/>
                <w:lang w:val="en-US" w:eastAsia="en-GB"/>
              </w:rPr>
            </w:pPr>
            <w:r>
              <w:rPr>
                <w:rFonts w:hint="default" w:ascii="Times New Roman" w:hAnsi="Times New Roman" w:cs="Times New Roman"/>
                <w:spacing w:val="6"/>
                <w:kern w:val="20"/>
                <w:sz w:val="16"/>
                <w:szCs w:val="16"/>
                <w:lang w:val="en-US" w:eastAsia="en-GB"/>
              </w:rPr>
              <w:t>2.075</w:t>
            </w:r>
            <w:r>
              <w:rPr>
                <w:rFonts w:hint="default" w:ascii="Times New Roman" w:hAnsi="Times New Roman" w:cs="Times New Roman"/>
                <w:spacing w:val="6"/>
                <w:kern w:val="20"/>
                <w:sz w:val="16"/>
                <w:szCs w:val="16"/>
                <w:lang w:val="en-US" w:eastAsia="zh-CN"/>
              </w:rPr>
              <w:t>·10</w:t>
            </w:r>
            <w:r>
              <w:rPr>
                <w:rFonts w:hint="default" w:ascii="Times New Roman" w:hAnsi="Times New Roman" w:cs="Times New Roman"/>
                <w:spacing w:val="6"/>
                <w:kern w:val="20"/>
                <w:sz w:val="16"/>
                <w:szCs w:val="16"/>
                <w:vertAlign w:val="superscript"/>
                <w:lang w:val="en-US" w:eastAsia="en-GB"/>
              </w:rPr>
              <w:t>25</w:t>
            </w:r>
          </w:p>
        </w:tc>
        <w:tc>
          <w:tcPr>
            <w:tcW w:w="1272" w:type="pct"/>
            <w:tcBorders>
              <w:top w:val="single" w:color="auto" w:sz="4" w:space="0"/>
              <w:bottom w:val="nil"/>
            </w:tcBorders>
            <w:vAlign w:val="bottom"/>
          </w:tcPr>
          <w:p>
            <w:pPr>
              <w:widowControl w:val="0"/>
              <w:topLinePunct/>
              <w:jc w:val="center"/>
              <w:rPr>
                <w:rFonts w:hint="default" w:eastAsia="宋体"/>
                <w:spacing w:val="6"/>
                <w:kern w:val="20"/>
                <w:sz w:val="16"/>
                <w:szCs w:val="16"/>
                <w:lang w:val="en-US" w:eastAsia="zh-CN"/>
              </w:rPr>
            </w:pPr>
            <w:r>
              <w:rPr>
                <w:rFonts w:hint="eastAsia"/>
                <w:i/>
                <w:iCs/>
                <w:spacing w:val="6"/>
                <w:kern w:val="20"/>
                <w:sz w:val="16"/>
                <w:szCs w:val="16"/>
                <w:lang w:val="en-US" w:eastAsia="zh-CN"/>
              </w:rPr>
              <w:t>c</w:t>
            </w:r>
            <w:r>
              <w:rPr>
                <w:rFonts w:hint="eastAsia"/>
                <w:spacing w:val="6"/>
                <w:kern w:val="20"/>
                <w:sz w:val="16"/>
                <w:szCs w:val="16"/>
                <w:vertAlign w:val="subscript"/>
                <w:lang w:val="en-US" w:eastAsia="zh-CN"/>
              </w:rPr>
              <w:t>0</w:t>
            </w:r>
          </w:p>
        </w:tc>
        <w:tc>
          <w:tcPr>
            <w:tcW w:w="1227" w:type="pct"/>
            <w:tcBorders>
              <w:top w:val="single" w:color="auto" w:sz="4" w:space="0"/>
              <w:bottom w:val="nil"/>
            </w:tcBorders>
            <w:vAlign w:val="bottom"/>
          </w:tcPr>
          <w:p>
            <w:pPr>
              <w:widowControl w:val="0"/>
              <w:topLinePunct/>
              <w:jc w:val="center"/>
              <w:rPr>
                <w:spacing w:val="6"/>
                <w:kern w:val="20"/>
                <w:sz w:val="16"/>
                <w:szCs w:val="16"/>
                <w:lang w:val="en-US" w:eastAsia="en-GB"/>
              </w:rPr>
            </w:pPr>
            <w:r>
              <w:rPr>
                <w:rFonts w:hint="eastAsia"/>
                <w:spacing w:val="6"/>
                <w:kern w:val="20"/>
                <w:sz w:val="16"/>
                <w:szCs w:val="16"/>
                <w:lang w:val="en-US" w:eastAsia="en-GB"/>
              </w:rPr>
              <w:t>0.00018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72" w:type="pct"/>
            <w:tcBorders>
              <w:top w:val="nil"/>
              <w:bottom w:val="nil"/>
            </w:tcBorders>
            <w:vAlign w:val="bottom"/>
          </w:tcPr>
          <w:p>
            <w:pPr>
              <w:widowControl w:val="0"/>
              <w:topLinePunct/>
              <w:jc w:val="center"/>
              <w:rPr>
                <w:rFonts w:hint="default"/>
                <w:color w:val="000000"/>
                <w:sz w:val="16"/>
                <w:szCs w:val="16"/>
                <w:lang w:val="en-US" w:eastAsia="zh-CN"/>
              </w:rPr>
            </w:pPr>
            <w:r>
              <w:rPr>
                <w:rFonts w:hint="eastAsia"/>
                <w:i/>
                <w:iCs/>
                <w:color w:val="000000"/>
                <w:sz w:val="16"/>
                <w:szCs w:val="16"/>
                <w:lang w:val="en-US" w:eastAsia="zh-CN"/>
              </w:rPr>
              <w:t>a</w:t>
            </w:r>
            <w:r>
              <w:rPr>
                <w:rFonts w:hint="eastAsia"/>
                <w:color w:val="000000"/>
                <w:sz w:val="16"/>
                <w:szCs w:val="16"/>
                <w:vertAlign w:val="subscript"/>
                <w:lang w:val="en-US" w:eastAsia="zh-CN"/>
              </w:rPr>
              <w:t>1</w:t>
            </w:r>
          </w:p>
        </w:tc>
        <w:tc>
          <w:tcPr>
            <w:tcW w:w="1227" w:type="pct"/>
            <w:tcBorders>
              <w:top w:val="nil"/>
              <w:bottom w:val="nil"/>
            </w:tcBorders>
            <w:vAlign w:val="bottom"/>
          </w:tcPr>
          <w:p>
            <w:pPr>
              <w:widowControl w:val="0"/>
              <w:topLinePunct/>
              <w:jc w:val="center"/>
              <w:rPr>
                <w:spacing w:val="6"/>
                <w:kern w:val="20"/>
                <w:sz w:val="16"/>
                <w:szCs w:val="16"/>
                <w:lang w:val="en-US" w:eastAsia="en-GB"/>
              </w:rPr>
            </w:pPr>
            <w:r>
              <w:rPr>
                <w:rFonts w:hint="eastAsia"/>
                <w:spacing w:val="6"/>
                <w:kern w:val="20"/>
                <w:sz w:val="16"/>
                <w:szCs w:val="16"/>
                <w:lang w:val="en-US" w:eastAsia="en-GB"/>
              </w:rPr>
              <w:t>3.0</w:t>
            </w:r>
            <w:r>
              <w:rPr>
                <w:rFonts w:hint="default" w:ascii="Times New Roman" w:hAnsi="Times New Roman" w:cs="Times New Roman"/>
                <w:spacing w:val="6"/>
                <w:kern w:val="20"/>
                <w:sz w:val="16"/>
                <w:szCs w:val="16"/>
                <w:lang w:val="en-US" w:eastAsia="zh-CN"/>
              </w:rPr>
              <w:t>·10</w:t>
            </w:r>
            <w:r>
              <w:rPr>
                <w:rFonts w:hint="default" w:ascii="Times New Roman" w:hAnsi="Times New Roman" w:cs="Times New Roman"/>
                <w:spacing w:val="6"/>
                <w:kern w:val="20"/>
                <w:sz w:val="16"/>
                <w:szCs w:val="16"/>
                <w:vertAlign w:val="superscript"/>
                <w:lang w:val="en-US" w:eastAsia="en-GB"/>
              </w:rPr>
              <w:t>2</w:t>
            </w:r>
            <w:r>
              <w:rPr>
                <w:rFonts w:hint="eastAsia" w:cs="Times New Roman"/>
                <w:spacing w:val="6"/>
                <w:kern w:val="20"/>
                <w:sz w:val="16"/>
                <w:szCs w:val="16"/>
                <w:vertAlign w:val="superscript"/>
                <w:lang w:val="en-US" w:eastAsia="zh-CN"/>
              </w:rPr>
              <w:t>6</w:t>
            </w:r>
          </w:p>
        </w:tc>
        <w:tc>
          <w:tcPr>
            <w:tcW w:w="1272" w:type="pct"/>
            <w:tcBorders>
              <w:top w:val="nil"/>
              <w:bottom w:val="nil"/>
            </w:tcBorders>
            <w:vAlign w:val="bottom"/>
          </w:tcPr>
          <w:p>
            <w:pPr>
              <w:widowControl w:val="0"/>
              <w:topLinePunct/>
              <w:jc w:val="center"/>
              <w:rPr>
                <w:rFonts w:hint="default" w:eastAsia="宋体"/>
                <w:spacing w:val="6"/>
                <w:kern w:val="20"/>
                <w:sz w:val="16"/>
                <w:szCs w:val="16"/>
                <w:lang w:val="en-US" w:eastAsia="zh-CN"/>
              </w:rPr>
            </w:pPr>
            <w:r>
              <w:rPr>
                <w:rFonts w:hint="eastAsia"/>
                <w:i/>
                <w:iCs/>
                <w:spacing w:val="6"/>
                <w:kern w:val="20"/>
                <w:sz w:val="16"/>
                <w:szCs w:val="16"/>
                <w:lang w:val="en-US" w:eastAsia="zh-CN"/>
              </w:rPr>
              <w:t>c</w:t>
            </w:r>
            <w:r>
              <w:rPr>
                <w:rFonts w:hint="eastAsia"/>
                <w:spacing w:val="6"/>
                <w:kern w:val="20"/>
                <w:sz w:val="16"/>
                <w:szCs w:val="16"/>
                <w:vertAlign w:val="subscript"/>
                <w:lang w:val="en-US" w:eastAsia="zh-CN"/>
              </w:rPr>
              <w:t>1</w:t>
            </w:r>
          </w:p>
        </w:tc>
        <w:tc>
          <w:tcPr>
            <w:tcW w:w="1227" w:type="pct"/>
            <w:tcBorders>
              <w:top w:val="nil"/>
              <w:bottom w:val="nil"/>
            </w:tcBorders>
            <w:vAlign w:val="bottom"/>
          </w:tcPr>
          <w:p>
            <w:pPr>
              <w:widowControl w:val="0"/>
              <w:topLinePunct/>
              <w:jc w:val="center"/>
              <w:rPr>
                <w:spacing w:val="6"/>
                <w:kern w:val="20"/>
                <w:sz w:val="16"/>
                <w:szCs w:val="16"/>
                <w:lang w:val="en-US" w:eastAsia="en-GB"/>
              </w:rPr>
            </w:pPr>
            <w:r>
              <w:rPr>
                <w:rFonts w:hint="eastAsia"/>
                <w:spacing w:val="6"/>
                <w:kern w:val="20"/>
                <w:sz w:val="16"/>
                <w:szCs w:val="16"/>
                <w:lang w:val="en-US" w:eastAsia="en-GB"/>
              </w:rPr>
              <w:t>6.009</w:t>
            </w:r>
            <w:r>
              <w:rPr>
                <w:rFonts w:hint="default" w:ascii="Times New Roman" w:hAnsi="Times New Roman" w:cs="Times New Roman"/>
                <w:spacing w:val="6"/>
                <w:kern w:val="20"/>
                <w:sz w:val="16"/>
                <w:szCs w:val="16"/>
                <w:lang w:val="en-US" w:eastAsia="zh-CN"/>
              </w:rPr>
              <w:t>·10</w:t>
            </w:r>
            <w:r>
              <w:rPr>
                <w:rFonts w:hint="default" w:ascii="Times New Roman" w:hAnsi="Times New Roman" w:cs="Times New Roman"/>
                <w:spacing w:val="6"/>
                <w:kern w:val="20"/>
                <w:sz w:val="16"/>
                <w:szCs w:val="16"/>
                <w:vertAlign w:val="superscript"/>
                <w:lang w:val="en-US" w:eastAsia="en-GB"/>
              </w:rPr>
              <w:t>25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72" w:type="pct"/>
            <w:tcBorders>
              <w:top w:val="nil"/>
              <w:bottom w:val="nil"/>
            </w:tcBorders>
            <w:vAlign w:val="bottom"/>
          </w:tcPr>
          <w:p>
            <w:pPr>
              <w:widowControl w:val="0"/>
              <w:topLinePunct/>
              <w:jc w:val="center"/>
              <w:rPr>
                <w:rFonts w:hint="default"/>
                <w:color w:val="000000"/>
                <w:sz w:val="16"/>
                <w:szCs w:val="16"/>
                <w:lang w:val="en-US" w:eastAsia="zh-CN"/>
              </w:rPr>
            </w:pPr>
            <w:r>
              <w:rPr>
                <w:rFonts w:hint="eastAsia"/>
                <w:i/>
                <w:iCs/>
                <w:color w:val="000000"/>
                <w:sz w:val="16"/>
                <w:szCs w:val="16"/>
                <w:lang w:val="en-US" w:eastAsia="zh-CN"/>
              </w:rPr>
              <w:t>a</w:t>
            </w:r>
            <w:r>
              <w:rPr>
                <w:rFonts w:hint="eastAsia"/>
                <w:color w:val="000000"/>
                <w:sz w:val="16"/>
                <w:szCs w:val="16"/>
                <w:vertAlign w:val="subscript"/>
                <w:lang w:val="en-US" w:eastAsia="zh-CN"/>
              </w:rPr>
              <w:t>2</w:t>
            </w:r>
          </w:p>
        </w:tc>
        <w:tc>
          <w:tcPr>
            <w:tcW w:w="1227" w:type="pct"/>
            <w:tcBorders>
              <w:top w:val="nil"/>
              <w:bottom w:val="nil"/>
            </w:tcBorders>
            <w:vAlign w:val="bottom"/>
          </w:tcPr>
          <w:p>
            <w:pPr>
              <w:widowControl w:val="0"/>
              <w:topLinePunct/>
              <w:jc w:val="center"/>
              <w:rPr>
                <w:rFonts w:hint="default"/>
                <w:spacing w:val="6"/>
                <w:kern w:val="20"/>
                <w:sz w:val="16"/>
                <w:szCs w:val="16"/>
                <w:lang w:val="en-US" w:eastAsia="en-GB"/>
              </w:rPr>
            </w:pPr>
            <w:r>
              <w:rPr>
                <w:rFonts w:hint="eastAsia"/>
                <w:spacing w:val="6"/>
                <w:kern w:val="20"/>
                <w:sz w:val="16"/>
                <w:szCs w:val="16"/>
                <w:lang w:val="en-US" w:eastAsia="zh-CN"/>
              </w:rPr>
              <w:t>1.8</w:t>
            </w:r>
            <w:r>
              <w:rPr>
                <w:rFonts w:hint="default" w:ascii="Times New Roman" w:hAnsi="Times New Roman" w:cs="Times New Roman"/>
                <w:spacing w:val="6"/>
                <w:kern w:val="20"/>
                <w:sz w:val="16"/>
                <w:szCs w:val="16"/>
                <w:lang w:val="en-US" w:eastAsia="zh-CN"/>
              </w:rPr>
              <w:t>·10</w:t>
            </w:r>
            <w:r>
              <w:rPr>
                <w:rFonts w:hint="default" w:ascii="Times New Roman" w:hAnsi="Times New Roman" w:cs="Times New Roman"/>
                <w:spacing w:val="6"/>
                <w:kern w:val="20"/>
                <w:sz w:val="16"/>
                <w:szCs w:val="16"/>
                <w:vertAlign w:val="superscript"/>
                <w:lang w:val="en-US" w:eastAsia="en-GB"/>
              </w:rPr>
              <w:t>2</w:t>
            </w:r>
            <w:r>
              <w:rPr>
                <w:rFonts w:hint="eastAsia" w:cs="Times New Roman"/>
                <w:spacing w:val="6"/>
                <w:kern w:val="20"/>
                <w:sz w:val="16"/>
                <w:szCs w:val="16"/>
                <w:vertAlign w:val="superscript"/>
                <w:lang w:val="en-US" w:eastAsia="zh-CN"/>
              </w:rPr>
              <w:t>9</w:t>
            </w:r>
          </w:p>
        </w:tc>
        <w:tc>
          <w:tcPr>
            <w:tcW w:w="1272" w:type="pct"/>
            <w:tcBorders>
              <w:top w:val="nil"/>
              <w:bottom w:val="nil"/>
            </w:tcBorders>
            <w:vAlign w:val="bottom"/>
          </w:tcPr>
          <w:p>
            <w:pPr>
              <w:widowControl w:val="0"/>
              <w:topLinePunct/>
              <w:jc w:val="center"/>
              <w:rPr>
                <w:rFonts w:hint="default" w:eastAsia="宋体"/>
                <w:spacing w:val="6"/>
                <w:kern w:val="20"/>
                <w:sz w:val="16"/>
                <w:szCs w:val="16"/>
                <w:lang w:val="en-US" w:eastAsia="zh-CN"/>
              </w:rPr>
            </w:pPr>
            <w:r>
              <w:rPr>
                <w:rFonts w:hint="eastAsia"/>
                <w:i/>
                <w:iCs/>
                <w:spacing w:val="6"/>
                <w:kern w:val="20"/>
                <w:sz w:val="16"/>
                <w:szCs w:val="16"/>
                <w:lang w:val="en-US" w:eastAsia="zh-CN"/>
              </w:rPr>
              <w:t>c</w:t>
            </w:r>
            <w:r>
              <w:rPr>
                <w:rFonts w:hint="eastAsia"/>
                <w:spacing w:val="6"/>
                <w:kern w:val="20"/>
                <w:sz w:val="16"/>
                <w:szCs w:val="16"/>
                <w:vertAlign w:val="subscript"/>
                <w:lang w:val="en-US" w:eastAsia="zh-CN"/>
              </w:rPr>
              <w:t>2</w:t>
            </w:r>
          </w:p>
        </w:tc>
        <w:tc>
          <w:tcPr>
            <w:tcW w:w="1227" w:type="pct"/>
            <w:tcBorders>
              <w:top w:val="nil"/>
              <w:bottom w:val="nil"/>
            </w:tcBorders>
            <w:vAlign w:val="bottom"/>
          </w:tcPr>
          <w:p>
            <w:pPr>
              <w:widowControl w:val="0"/>
              <w:topLinePunct/>
              <w:jc w:val="center"/>
              <w:rPr>
                <w:spacing w:val="6"/>
                <w:kern w:val="20"/>
                <w:sz w:val="16"/>
                <w:szCs w:val="16"/>
                <w:lang w:val="en-US" w:eastAsia="en-GB"/>
              </w:rPr>
            </w:pPr>
            <w:r>
              <w:rPr>
                <w:rFonts w:hint="eastAsia"/>
                <w:spacing w:val="6"/>
                <w:kern w:val="20"/>
                <w:sz w:val="16"/>
                <w:szCs w:val="16"/>
                <w:lang w:val="en-US" w:eastAsia="en-GB"/>
              </w:rPr>
              <w:t>3.0</w:t>
            </w:r>
            <w:r>
              <w:rPr>
                <w:rFonts w:hint="default" w:ascii="Times New Roman" w:hAnsi="Times New Roman" w:cs="Times New Roman"/>
                <w:spacing w:val="6"/>
                <w:kern w:val="20"/>
                <w:sz w:val="16"/>
                <w:szCs w:val="16"/>
                <w:lang w:val="en-US" w:eastAsia="zh-CN"/>
              </w:rPr>
              <w:t>·10</w:t>
            </w:r>
            <w:r>
              <w:rPr>
                <w:rFonts w:hint="default" w:ascii="Times New Roman" w:hAnsi="Times New Roman" w:cs="Times New Roman"/>
                <w:spacing w:val="6"/>
                <w:kern w:val="20"/>
                <w:sz w:val="16"/>
                <w:szCs w:val="16"/>
                <w:vertAlign w:val="superscript"/>
                <w:lang w:val="en-US" w:eastAsia="en-GB"/>
              </w:rPr>
              <w:t>25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72" w:type="pct"/>
            <w:tcBorders>
              <w:top w:val="nil"/>
              <w:bottom w:val="nil"/>
            </w:tcBorders>
            <w:vAlign w:val="bottom"/>
          </w:tcPr>
          <w:p>
            <w:pPr>
              <w:widowControl w:val="0"/>
              <w:topLinePunct/>
              <w:jc w:val="center"/>
              <w:rPr>
                <w:rFonts w:hint="default"/>
                <w:color w:val="000000"/>
                <w:sz w:val="16"/>
                <w:szCs w:val="16"/>
                <w:lang w:val="en-US" w:eastAsia="zh-CN"/>
              </w:rPr>
            </w:pPr>
            <w:r>
              <w:rPr>
                <w:rFonts w:hint="eastAsia"/>
                <w:i/>
                <w:iCs/>
                <w:color w:val="000000"/>
                <w:sz w:val="16"/>
                <w:szCs w:val="16"/>
                <w:lang w:val="en-US" w:eastAsia="zh-CN"/>
              </w:rPr>
              <w:t>b</w:t>
            </w:r>
            <w:r>
              <w:rPr>
                <w:rFonts w:hint="eastAsia"/>
                <w:color w:val="000000"/>
                <w:sz w:val="16"/>
                <w:szCs w:val="16"/>
                <w:vertAlign w:val="subscript"/>
                <w:lang w:val="en-US" w:eastAsia="zh-CN"/>
              </w:rPr>
              <w:t>0</w:t>
            </w:r>
          </w:p>
        </w:tc>
        <w:tc>
          <w:tcPr>
            <w:tcW w:w="1227" w:type="pct"/>
            <w:tcBorders>
              <w:top w:val="nil"/>
              <w:bottom w:val="nil"/>
            </w:tcBorders>
            <w:vAlign w:val="bottom"/>
          </w:tcPr>
          <w:p>
            <w:pPr>
              <w:widowControl w:val="0"/>
              <w:topLinePunct/>
              <w:jc w:val="center"/>
              <w:rPr>
                <w:rFonts w:hint="default" w:eastAsia="宋体"/>
                <w:spacing w:val="6"/>
                <w:kern w:val="20"/>
                <w:sz w:val="16"/>
                <w:szCs w:val="16"/>
                <w:lang w:val="en-US" w:eastAsia="zh-CN"/>
              </w:rPr>
            </w:pPr>
            <w:r>
              <w:rPr>
                <w:rFonts w:hint="eastAsia"/>
                <w:spacing w:val="6"/>
                <w:kern w:val="20"/>
                <w:sz w:val="16"/>
                <w:szCs w:val="16"/>
                <w:lang w:val="en-US" w:eastAsia="zh-CN"/>
              </w:rPr>
              <w:t>9.24</w:t>
            </w:r>
            <w:r>
              <w:rPr>
                <w:rFonts w:hint="default" w:ascii="Times New Roman" w:hAnsi="Times New Roman" w:cs="Times New Roman"/>
                <w:spacing w:val="6"/>
                <w:kern w:val="20"/>
                <w:sz w:val="16"/>
                <w:szCs w:val="16"/>
                <w:lang w:val="en-US" w:eastAsia="zh-CN"/>
              </w:rPr>
              <w:t>·10</w:t>
            </w:r>
            <w:r>
              <w:rPr>
                <w:rFonts w:hint="default" w:ascii="Times New Roman" w:hAnsi="Times New Roman" w:cs="Times New Roman"/>
                <w:spacing w:val="6"/>
                <w:kern w:val="20"/>
                <w:sz w:val="16"/>
                <w:szCs w:val="16"/>
                <w:vertAlign w:val="superscript"/>
                <w:lang w:val="en-US" w:eastAsia="en-GB"/>
              </w:rPr>
              <w:t>2</w:t>
            </w:r>
            <w:r>
              <w:rPr>
                <w:rFonts w:hint="eastAsia" w:cs="Times New Roman"/>
                <w:spacing w:val="6"/>
                <w:kern w:val="20"/>
                <w:sz w:val="16"/>
                <w:szCs w:val="16"/>
                <w:vertAlign w:val="superscript"/>
                <w:lang w:val="en-US" w:eastAsia="zh-CN"/>
              </w:rPr>
              <w:t>0</w:t>
            </w:r>
          </w:p>
        </w:tc>
        <w:tc>
          <w:tcPr>
            <w:tcW w:w="1272" w:type="pct"/>
            <w:tcBorders>
              <w:top w:val="nil"/>
              <w:bottom w:val="nil"/>
            </w:tcBorders>
            <w:vAlign w:val="bottom"/>
          </w:tcPr>
          <w:p>
            <w:pPr>
              <w:widowControl w:val="0"/>
              <w:topLinePunct/>
              <w:jc w:val="center"/>
              <w:rPr>
                <w:rFonts w:hint="default" w:eastAsia="宋体"/>
                <w:spacing w:val="6"/>
                <w:kern w:val="20"/>
                <w:sz w:val="16"/>
                <w:szCs w:val="16"/>
                <w:lang w:val="en-US" w:eastAsia="zh-CN"/>
              </w:rPr>
            </w:pPr>
            <w:r>
              <w:rPr>
                <w:rFonts w:hint="eastAsia"/>
                <w:i/>
                <w:iCs/>
                <w:spacing w:val="6"/>
                <w:kern w:val="20"/>
                <w:sz w:val="16"/>
                <w:szCs w:val="16"/>
                <w:lang w:val="en-US" w:eastAsia="zh-CN"/>
              </w:rPr>
              <w:t>c</w:t>
            </w:r>
            <w:r>
              <w:rPr>
                <w:rFonts w:hint="eastAsia"/>
                <w:spacing w:val="6"/>
                <w:kern w:val="20"/>
                <w:sz w:val="16"/>
                <w:szCs w:val="16"/>
                <w:vertAlign w:val="subscript"/>
                <w:lang w:val="en-US" w:eastAsia="zh-CN"/>
              </w:rPr>
              <w:t>3</w:t>
            </w:r>
          </w:p>
        </w:tc>
        <w:tc>
          <w:tcPr>
            <w:tcW w:w="1227" w:type="pct"/>
            <w:tcBorders>
              <w:top w:val="nil"/>
              <w:bottom w:val="nil"/>
            </w:tcBorders>
            <w:vAlign w:val="bottom"/>
          </w:tcPr>
          <w:p>
            <w:pPr>
              <w:widowControl w:val="0"/>
              <w:topLinePunct/>
              <w:jc w:val="center"/>
              <w:rPr>
                <w:spacing w:val="6"/>
                <w:kern w:val="20"/>
                <w:sz w:val="16"/>
                <w:szCs w:val="16"/>
                <w:lang w:val="en-US" w:eastAsia="en-GB"/>
              </w:rPr>
            </w:pPr>
            <w:r>
              <w:rPr>
                <w:rFonts w:hint="eastAsia"/>
                <w:spacing w:val="6"/>
                <w:kern w:val="20"/>
                <w:sz w:val="16"/>
                <w:szCs w:val="16"/>
                <w:lang w:val="en-US" w:eastAsia="en-GB"/>
              </w:rPr>
              <w:t>1.8</w:t>
            </w:r>
            <w:r>
              <w:rPr>
                <w:rFonts w:hint="default" w:ascii="Times New Roman" w:hAnsi="Times New Roman" w:cs="Times New Roman"/>
                <w:spacing w:val="6"/>
                <w:kern w:val="20"/>
                <w:sz w:val="16"/>
                <w:szCs w:val="16"/>
                <w:lang w:val="en-US" w:eastAsia="zh-CN"/>
              </w:rPr>
              <w:t>·10</w:t>
            </w:r>
            <w:r>
              <w:rPr>
                <w:rFonts w:hint="default" w:ascii="Times New Roman" w:hAnsi="Times New Roman" w:cs="Times New Roman"/>
                <w:spacing w:val="6"/>
                <w:kern w:val="20"/>
                <w:sz w:val="16"/>
                <w:szCs w:val="16"/>
                <w:vertAlign w:val="superscript"/>
                <w:lang w:val="en-US" w:eastAsia="en-GB"/>
              </w:rPr>
              <w:t>2</w:t>
            </w:r>
            <w:r>
              <w:rPr>
                <w:rFonts w:hint="eastAsia" w:cs="Times New Roman"/>
                <w:spacing w:val="6"/>
                <w:kern w:val="20"/>
                <w:sz w:val="16"/>
                <w:szCs w:val="16"/>
                <w:vertAlign w:val="superscript"/>
                <w:lang w:val="en-US" w:eastAsia="zh-CN"/>
              </w:rPr>
              <w:t>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72" w:type="pct"/>
            <w:tcBorders>
              <w:top w:val="nil"/>
              <w:bottom w:val="nil"/>
            </w:tcBorders>
            <w:vAlign w:val="bottom"/>
          </w:tcPr>
          <w:p>
            <w:pPr>
              <w:widowControl w:val="0"/>
              <w:topLinePunct/>
              <w:jc w:val="center"/>
              <w:rPr>
                <w:rFonts w:hint="default"/>
                <w:color w:val="000000"/>
                <w:sz w:val="16"/>
                <w:szCs w:val="16"/>
                <w:lang w:val="en-US" w:eastAsia="zh-CN"/>
              </w:rPr>
            </w:pPr>
            <w:r>
              <w:rPr>
                <w:rFonts w:hint="eastAsia"/>
                <w:i/>
                <w:iCs/>
                <w:color w:val="000000"/>
                <w:sz w:val="16"/>
                <w:szCs w:val="16"/>
                <w:lang w:val="en-US" w:eastAsia="zh-CN"/>
              </w:rPr>
              <w:t>b</w:t>
            </w:r>
            <w:r>
              <w:rPr>
                <w:rFonts w:hint="eastAsia"/>
                <w:color w:val="000000"/>
                <w:sz w:val="16"/>
                <w:szCs w:val="16"/>
                <w:vertAlign w:val="subscript"/>
                <w:lang w:val="en-US" w:eastAsia="zh-CN"/>
              </w:rPr>
              <w:t>1</w:t>
            </w:r>
          </w:p>
        </w:tc>
        <w:tc>
          <w:tcPr>
            <w:tcW w:w="1227" w:type="pct"/>
            <w:tcBorders>
              <w:top w:val="nil"/>
              <w:bottom w:val="nil"/>
            </w:tcBorders>
            <w:vAlign w:val="bottom"/>
          </w:tcPr>
          <w:p>
            <w:pPr>
              <w:widowControl w:val="0"/>
              <w:topLinePunct/>
              <w:jc w:val="center"/>
              <w:rPr>
                <w:rFonts w:hint="default"/>
                <w:spacing w:val="6"/>
                <w:kern w:val="20"/>
                <w:sz w:val="16"/>
                <w:szCs w:val="16"/>
                <w:lang w:val="en-US" w:eastAsia="en-GB"/>
              </w:rPr>
            </w:pPr>
            <w:r>
              <w:rPr>
                <w:rFonts w:hint="eastAsia"/>
                <w:spacing w:val="6"/>
                <w:kern w:val="20"/>
                <w:sz w:val="16"/>
                <w:szCs w:val="16"/>
                <w:lang w:val="en-US" w:eastAsia="zh-CN"/>
              </w:rPr>
              <w:t>1.68</w:t>
            </w:r>
            <w:r>
              <w:rPr>
                <w:rFonts w:hint="default" w:ascii="Times New Roman" w:hAnsi="Times New Roman" w:cs="Times New Roman"/>
                <w:spacing w:val="6"/>
                <w:kern w:val="20"/>
                <w:sz w:val="16"/>
                <w:szCs w:val="16"/>
                <w:lang w:val="en-US" w:eastAsia="zh-CN"/>
              </w:rPr>
              <w:t>·10</w:t>
            </w:r>
            <w:r>
              <w:rPr>
                <w:rFonts w:hint="default" w:ascii="Times New Roman" w:hAnsi="Times New Roman" w:cs="Times New Roman"/>
                <w:spacing w:val="6"/>
                <w:kern w:val="20"/>
                <w:sz w:val="16"/>
                <w:szCs w:val="16"/>
                <w:vertAlign w:val="superscript"/>
                <w:lang w:val="en-US" w:eastAsia="en-GB"/>
              </w:rPr>
              <w:t>2</w:t>
            </w:r>
            <w:r>
              <w:rPr>
                <w:rFonts w:hint="eastAsia" w:cs="Times New Roman"/>
                <w:spacing w:val="6"/>
                <w:kern w:val="20"/>
                <w:sz w:val="16"/>
                <w:szCs w:val="16"/>
                <w:vertAlign w:val="superscript"/>
                <w:lang w:val="en-US" w:eastAsia="zh-CN"/>
              </w:rPr>
              <w:t>2</w:t>
            </w:r>
          </w:p>
        </w:tc>
        <w:tc>
          <w:tcPr>
            <w:tcW w:w="1272" w:type="pct"/>
            <w:tcBorders>
              <w:top w:val="nil"/>
              <w:bottom w:val="nil"/>
            </w:tcBorders>
            <w:vAlign w:val="bottom"/>
          </w:tcPr>
          <w:p>
            <w:pPr>
              <w:widowControl w:val="0"/>
              <w:topLinePunct/>
              <w:jc w:val="center"/>
              <w:rPr>
                <w:rFonts w:hint="default" w:eastAsia="宋体"/>
                <w:spacing w:val="6"/>
                <w:kern w:val="20"/>
                <w:sz w:val="16"/>
                <w:szCs w:val="16"/>
                <w:lang w:val="en-US" w:eastAsia="zh-CN"/>
              </w:rPr>
            </w:pPr>
            <w:r>
              <w:rPr>
                <w:rFonts w:hint="eastAsia"/>
                <w:i/>
                <w:iCs/>
                <w:spacing w:val="6"/>
                <w:kern w:val="20"/>
                <w:sz w:val="16"/>
                <w:szCs w:val="16"/>
                <w:lang w:val="en-US" w:eastAsia="zh-CN"/>
              </w:rPr>
              <w:t>d</w:t>
            </w:r>
            <w:r>
              <w:rPr>
                <w:rFonts w:hint="eastAsia"/>
                <w:spacing w:val="6"/>
                <w:kern w:val="20"/>
                <w:sz w:val="16"/>
                <w:szCs w:val="16"/>
                <w:vertAlign w:val="subscript"/>
                <w:lang w:val="en-US" w:eastAsia="zh-CN"/>
              </w:rPr>
              <w:t>0</w:t>
            </w:r>
          </w:p>
        </w:tc>
        <w:tc>
          <w:tcPr>
            <w:tcW w:w="1227" w:type="pct"/>
            <w:tcBorders>
              <w:top w:val="nil"/>
              <w:bottom w:val="nil"/>
            </w:tcBorders>
            <w:vAlign w:val="bottom"/>
          </w:tcPr>
          <w:p>
            <w:pPr>
              <w:widowControl w:val="0"/>
              <w:topLinePunct/>
              <w:jc w:val="center"/>
              <w:rPr>
                <w:spacing w:val="6"/>
                <w:kern w:val="20"/>
                <w:sz w:val="16"/>
                <w:szCs w:val="16"/>
                <w:lang w:val="en-US" w:eastAsia="en-GB"/>
              </w:rPr>
            </w:pPr>
            <w:r>
              <w:rPr>
                <w:rFonts w:hint="eastAsia"/>
                <w:spacing w:val="6"/>
                <w:kern w:val="20"/>
                <w:sz w:val="16"/>
                <w:szCs w:val="16"/>
                <w:lang w:val="en-US" w:eastAsia="en-GB"/>
              </w:rPr>
              <w:t>4.2</w:t>
            </w:r>
            <w:r>
              <w:rPr>
                <w:rFonts w:hint="default" w:ascii="Times New Roman" w:hAnsi="Times New Roman" w:cs="Times New Roman"/>
                <w:spacing w:val="6"/>
                <w:kern w:val="20"/>
                <w:sz w:val="16"/>
                <w:szCs w:val="16"/>
                <w:lang w:val="en-US" w:eastAsia="zh-CN"/>
              </w:rPr>
              <w:t>·10</w:t>
            </w:r>
            <w:r>
              <w:rPr>
                <w:rFonts w:hint="eastAsia" w:cs="Times New Roman"/>
                <w:spacing w:val="6"/>
                <w:kern w:val="20"/>
                <w:sz w:val="16"/>
                <w:szCs w:val="16"/>
                <w:vertAlign w:val="superscript"/>
                <w:lang w:val="en-US" w:eastAsia="zh-CN"/>
              </w:rPr>
              <w:t>18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72" w:type="pct"/>
            <w:tcBorders>
              <w:top w:val="nil"/>
              <w:bottom w:val="nil"/>
            </w:tcBorders>
            <w:vAlign w:val="bottom"/>
          </w:tcPr>
          <w:p>
            <w:pPr>
              <w:widowControl w:val="0"/>
              <w:topLinePunct/>
              <w:jc w:val="center"/>
              <w:rPr>
                <w:rFonts w:hint="default"/>
                <w:color w:val="000000"/>
                <w:sz w:val="16"/>
                <w:szCs w:val="16"/>
                <w:lang w:val="en-US" w:eastAsia="zh-CN"/>
              </w:rPr>
            </w:pPr>
            <w:r>
              <w:rPr>
                <w:rFonts w:hint="eastAsia"/>
                <w:i/>
                <w:iCs/>
                <w:color w:val="000000"/>
                <w:sz w:val="16"/>
                <w:szCs w:val="16"/>
                <w:lang w:val="en-US" w:eastAsia="zh-CN"/>
              </w:rPr>
              <w:t>b</w:t>
            </w:r>
            <w:r>
              <w:rPr>
                <w:rFonts w:hint="eastAsia"/>
                <w:color w:val="000000"/>
                <w:sz w:val="16"/>
                <w:szCs w:val="16"/>
                <w:vertAlign w:val="subscript"/>
                <w:lang w:val="en-US" w:eastAsia="zh-CN"/>
              </w:rPr>
              <w:t>2</w:t>
            </w:r>
          </w:p>
        </w:tc>
        <w:tc>
          <w:tcPr>
            <w:tcW w:w="1227" w:type="pct"/>
            <w:tcBorders>
              <w:top w:val="nil"/>
              <w:bottom w:val="nil"/>
            </w:tcBorders>
            <w:vAlign w:val="bottom"/>
          </w:tcPr>
          <w:p>
            <w:pPr>
              <w:widowControl w:val="0"/>
              <w:topLinePunct/>
              <w:jc w:val="center"/>
              <w:rPr>
                <w:rFonts w:hint="default"/>
                <w:spacing w:val="6"/>
                <w:kern w:val="20"/>
                <w:sz w:val="16"/>
                <w:szCs w:val="16"/>
                <w:lang w:val="en-US" w:eastAsia="en-GB"/>
              </w:rPr>
            </w:pPr>
            <w:r>
              <w:rPr>
                <w:rFonts w:hint="eastAsia"/>
                <w:spacing w:val="6"/>
                <w:kern w:val="20"/>
                <w:sz w:val="16"/>
                <w:szCs w:val="16"/>
                <w:lang w:val="en-US" w:eastAsia="zh-CN"/>
              </w:rPr>
              <w:t>1.008</w:t>
            </w:r>
            <w:r>
              <w:rPr>
                <w:rFonts w:hint="default" w:ascii="Times New Roman" w:hAnsi="Times New Roman" w:cs="Times New Roman"/>
                <w:spacing w:val="6"/>
                <w:kern w:val="20"/>
                <w:sz w:val="16"/>
                <w:szCs w:val="16"/>
                <w:lang w:val="en-US" w:eastAsia="zh-CN"/>
              </w:rPr>
              <w:t>·10</w:t>
            </w:r>
            <w:r>
              <w:rPr>
                <w:rFonts w:hint="default" w:ascii="Times New Roman" w:hAnsi="Times New Roman" w:cs="Times New Roman"/>
                <w:spacing w:val="6"/>
                <w:kern w:val="20"/>
                <w:sz w:val="16"/>
                <w:szCs w:val="16"/>
                <w:vertAlign w:val="superscript"/>
                <w:lang w:val="en-US" w:eastAsia="en-GB"/>
              </w:rPr>
              <w:t>2</w:t>
            </w:r>
            <w:r>
              <w:rPr>
                <w:rFonts w:hint="eastAsia" w:cs="Times New Roman"/>
                <w:spacing w:val="6"/>
                <w:kern w:val="20"/>
                <w:sz w:val="16"/>
                <w:szCs w:val="16"/>
                <w:vertAlign w:val="superscript"/>
                <w:lang w:val="en-US" w:eastAsia="zh-CN"/>
              </w:rPr>
              <w:t>5</w:t>
            </w:r>
          </w:p>
        </w:tc>
        <w:tc>
          <w:tcPr>
            <w:tcW w:w="1272" w:type="pct"/>
            <w:tcBorders>
              <w:top w:val="nil"/>
              <w:bottom w:val="nil"/>
            </w:tcBorders>
            <w:vAlign w:val="bottom"/>
          </w:tcPr>
          <w:p>
            <w:pPr>
              <w:widowControl w:val="0"/>
              <w:topLinePunct/>
              <w:jc w:val="center"/>
              <w:rPr>
                <w:rFonts w:hint="default" w:eastAsia="宋体"/>
                <w:spacing w:val="6"/>
                <w:kern w:val="20"/>
                <w:sz w:val="16"/>
                <w:szCs w:val="16"/>
                <w:lang w:val="en-US" w:eastAsia="zh-CN"/>
              </w:rPr>
            </w:pPr>
            <w:r>
              <w:rPr>
                <w:rFonts w:hint="eastAsia"/>
                <w:i/>
                <w:iCs/>
                <w:spacing w:val="6"/>
                <w:kern w:val="20"/>
                <w:sz w:val="16"/>
                <w:szCs w:val="16"/>
                <w:lang w:val="en-US" w:eastAsia="zh-CN"/>
              </w:rPr>
              <w:t>d</w:t>
            </w:r>
            <w:r>
              <w:rPr>
                <w:rFonts w:hint="eastAsia"/>
                <w:spacing w:val="6"/>
                <w:kern w:val="20"/>
                <w:sz w:val="16"/>
                <w:szCs w:val="16"/>
                <w:vertAlign w:val="subscript"/>
                <w:lang w:val="en-US" w:eastAsia="zh-CN"/>
              </w:rPr>
              <w:t>1</w:t>
            </w:r>
          </w:p>
        </w:tc>
        <w:tc>
          <w:tcPr>
            <w:tcW w:w="1227" w:type="pct"/>
            <w:tcBorders>
              <w:top w:val="nil"/>
              <w:bottom w:val="nil"/>
            </w:tcBorders>
            <w:vAlign w:val="bottom"/>
          </w:tcPr>
          <w:p>
            <w:pPr>
              <w:widowControl w:val="0"/>
              <w:topLinePunct/>
              <w:jc w:val="center"/>
              <w:rPr>
                <w:spacing w:val="6"/>
                <w:kern w:val="20"/>
                <w:sz w:val="16"/>
                <w:szCs w:val="16"/>
                <w:lang w:val="en-US" w:eastAsia="en-GB"/>
              </w:rPr>
            </w:pPr>
            <w:r>
              <w:rPr>
                <w:rFonts w:hint="eastAsia"/>
                <w:spacing w:val="6"/>
                <w:kern w:val="20"/>
                <w:sz w:val="16"/>
                <w:szCs w:val="16"/>
                <w:lang w:val="en-US" w:eastAsia="en-GB"/>
              </w:rPr>
              <w:t>1.855</w:t>
            </w:r>
            <w:r>
              <w:rPr>
                <w:rFonts w:hint="default" w:ascii="Times New Roman" w:hAnsi="Times New Roman" w:cs="Times New Roman"/>
                <w:spacing w:val="6"/>
                <w:kern w:val="20"/>
                <w:sz w:val="16"/>
                <w:szCs w:val="16"/>
                <w:lang w:val="en-US" w:eastAsia="zh-CN"/>
              </w:rPr>
              <w:t>·10</w:t>
            </w:r>
            <w:r>
              <w:rPr>
                <w:rFonts w:hint="eastAsia" w:cs="Times New Roman"/>
                <w:spacing w:val="6"/>
                <w:kern w:val="20"/>
                <w:sz w:val="16"/>
                <w:szCs w:val="16"/>
                <w:vertAlign w:val="superscript"/>
                <w:lang w:val="en-US" w:eastAsia="zh-CN"/>
              </w:rPr>
              <w:t>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5" w:hRule="atLeast"/>
          <w:jc w:val="center"/>
        </w:trPr>
        <w:tc>
          <w:tcPr>
            <w:tcW w:w="1272" w:type="pct"/>
            <w:tcBorders>
              <w:top w:val="nil"/>
              <w:bottom w:val="nil"/>
            </w:tcBorders>
            <w:vAlign w:val="bottom"/>
          </w:tcPr>
          <w:p>
            <w:pPr>
              <w:widowControl w:val="0"/>
              <w:topLinePunct/>
              <w:jc w:val="center"/>
              <w:rPr>
                <w:rFonts w:hint="default"/>
                <w:color w:val="000000"/>
                <w:sz w:val="16"/>
                <w:szCs w:val="16"/>
                <w:lang w:val="en-US" w:eastAsia="zh-CN"/>
              </w:rPr>
            </w:pPr>
            <w:r>
              <w:rPr>
                <w:rFonts w:hint="eastAsia"/>
                <w:i/>
                <w:iCs/>
                <w:color w:val="000000"/>
                <w:sz w:val="16"/>
                <w:szCs w:val="16"/>
                <w:lang w:val="en-US" w:eastAsia="zh-CN"/>
              </w:rPr>
              <w:t>L</w:t>
            </w:r>
            <w:r>
              <w:rPr>
                <w:rFonts w:hint="eastAsia"/>
                <w:color w:val="000000"/>
                <w:sz w:val="16"/>
                <w:szCs w:val="16"/>
                <w:vertAlign w:val="subscript"/>
                <w:lang w:val="en-US" w:eastAsia="zh-CN"/>
              </w:rPr>
              <w:t>21</w:t>
            </w:r>
          </w:p>
        </w:tc>
        <w:tc>
          <w:tcPr>
            <w:tcW w:w="1227" w:type="pct"/>
            <w:tcBorders>
              <w:top w:val="nil"/>
              <w:bottom w:val="nil"/>
            </w:tcBorders>
            <w:vAlign w:val="bottom"/>
          </w:tcPr>
          <w:p>
            <w:pPr>
              <w:widowControl w:val="0"/>
              <w:topLinePunct/>
              <w:jc w:val="center"/>
              <w:rPr>
                <w:rFonts w:hint="default" w:eastAsia="宋体"/>
                <w:spacing w:val="6"/>
                <w:kern w:val="20"/>
                <w:sz w:val="16"/>
                <w:szCs w:val="16"/>
                <w:lang w:val="en-US" w:eastAsia="zh-CN"/>
              </w:rPr>
            </w:pPr>
            <w:r>
              <w:rPr>
                <w:rFonts w:hint="eastAsia"/>
                <w:spacing w:val="6"/>
                <w:kern w:val="20"/>
                <w:sz w:val="16"/>
                <w:szCs w:val="16"/>
                <w:lang w:val="en-US" w:eastAsia="zh-CN"/>
              </w:rPr>
              <w:t>0.425mH</w:t>
            </w:r>
          </w:p>
        </w:tc>
        <w:tc>
          <w:tcPr>
            <w:tcW w:w="1272" w:type="pct"/>
            <w:tcBorders>
              <w:top w:val="nil"/>
              <w:bottom w:val="nil"/>
            </w:tcBorders>
            <w:vAlign w:val="bottom"/>
          </w:tcPr>
          <w:p>
            <w:pPr>
              <w:widowControl w:val="0"/>
              <w:topLinePunct/>
              <w:jc w:val="center"/>
              <w:rPr>
                <w:rFonts w:hint="default" w:eastAsia="宋体"/>
                <w:spacing w:val="6"/>
                <w:kern w:val="20"/>
                <w:sz w:val="16"/>
                <w:szCs w:val="16"/>
                <w:lang w:val="en-US" w:eastAsia="zh-CN"/>
              </w:rPr>
            </w:pPr>
            <w:r>
              <w:rPr>
                <w:rFonts w:hint="eastAsia"/>
                <w:i/>
                <w:iCs/>
                <w:spacing w:val="6"/>
                <w:kern w:val="20"/>
                <w:sz w:val="16"/>
                <w:szCs w:val="16"/>
                <w:lang w:val="en-US" w:eastAsia="zh-CN"/>
              </w:rPr>
              <w:t>d</w:t>
            </w:r>
            <w:r>
              <w:rPr>
                <w:rFonts w:hint="eastAsia"/>
                <w:spacing w:val="6"/>
                <w:kern w:val="20"/>
                <w:sz w:val="16"/>
                <w:szCs w:val="16"/>
                <w:vertAlign w:val="subscript"/>
                <w:lang w:val="en-US" w:eastAsia="zh-CN"/>
              </w:rPr>
              <w:t>2</w:t>
            </w:r>
          </w:p>
        </w:tc>
        <w:tc>
          <w:tcPr>
            <w:tcW w:w="1227" w:type="pct"/>
            <w:tcBorders>
              <w:top w:val="nil"/>
              <w:bottom w:val="nil"/>
            </w:tcBorders>
            <w:vAlign w:val="bottom"/>
          </w:tcPr>
          <w:p>
            <w:pPr>
              <w:widowControl w:val="0"/>
              <w:topLinePunct/>
              <w:jc w:val="center"/>
              <w:rPr>
                <w:rFonts w:hint="default"/>
                <w:spacing w:val="6"/>
                <w:kern w:val="20"/>
                <w:sz w:val="16"/>
                <w:szCs w:val="16"/>
                <w:lang w:val="en-US" w:eastAsia="en-GB"/>
              </w:rPr>
            </w:pPr>
            <w:r>
              <w:rPr>
                <w:rFonts w:hint="eastAsia"/>
                <w:spacing w:val="6"/>
                <w:kern w:val="20"/>
                <w:sz w:val="16"/>
                <w:szCs w:val="16"/>
                <w:lang w:val="en-US" w:eastAsia="en-GB"/>
              </w:rPr>
              <w:t>9.975</w:t>
            </w:r>
            <w:r>
              <w:rPr>
                <w:rFonts w:hint="default" w:ascii="Times New Roman" w:hAnsi="Times New Roman" w:cs="Times New Roman"/>
                <w:spacing w:val="6"/>
                <w:kern w:val="20"/>
                <w:sz w:val="16"/>
                <w:szCs w:val="16"/>
                <w:lang w:val="en-US" w:eastAsia="zh-CN"/>
              </w:rPr>
              <w:t>·10</w:t>
            </w:r>
            <w:r>
              <w:rPr>
                <w:rFonts w:hint="eastAsia" w:cs="Times New Roman"/>
                <w:spacing w:val="6"/>
                <w:kern w:val="20"/>
                <w:sz w:val="16"/>
                <w:szCs w:val="16"/>
                <w:vertAlign w:val="superscript"/>
                <w:lang w:val="en-US" w:eastAsia="zh-CN"/>
              </w:rPr>
              <w:t>26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272" w:type="pct"/>
            <w:tcBorders>
              <w:top w:val="nil"/>
              <w:bottom w:val="single" w:color="auto" w:sz="4" w:space="0"/>
            </w:tcBorders>
            <w:vAlign w:val="bottom"/>
          </w:tcPr>
          <w:p>
            <w:pPr>
              <w:widowControl w:val="0"/>
              <w:topLinePunct/>
              <w:jc w:val="center"/>
              <w:rPr>
                <w:rFonts w:hint="default"/>
                <w:color w:val="000000"/>
                <w:sz w:val="16"/>
                <w:szCs w:val="16"/>
                <w:lang w:val="en-US" w:eastAsia="zh-CN"/>
              </w:rPr>
            </w:pPr>
            <w:r>
              <w:rPr>
                <w:rFonts w:hint="eastAsia"/>
                <w:i/>
                <w:iCs/>
                <w:color w:val="000000"/>
                <w:sz w:val="16"/>
                <w:szCs w:val="16"/>
                <w:lang w:val="en-US" w:eastAsia="zh-CN"/>
              </w:rPr>
              <w:t>L</w:t>
            </w:r>
            <w:r>
              <w:rPr>
                <w:rFonts w:hint="eastAsia"/>
                <w:color w:val="000000"/>
                <w:sz w:val="16"/>
                <w:szCs w:val="16"/>
                <w:vertAlign w:val="subscript"/>
                <w:lang w:val="en-US" w:eastAsia="zh-CN"/>
              </w:rPr>
              <w:t>22</w:t>
            </w:r>
          </w:p>
        </w:tc>
        <w:tc>
          <w:tcPr>
            <w:tcW w:w="1227" w:type="pct"/>
            <w:tcBorders>
              <w:top w:val="nil"/>
              <w:bottom w:val="single" w:color="auto" w:sz="4" w:space="0"/>
            </w:tcBorders>
            <w:vAlign w:val="bottom"/>
          </w:tcPr>
          <w:p>
            <w:pPr>
              <w:widowControl w:val="0"/>
              <w:topLinePunct/>
              <w:jc w:val="center"/>
              <w:rPr>
                <w:rFonts w:hint="default" w:eastAsia="宋体"/>
                <w:spacing w:val="6"/>
                <w:kern w:val="20"/>
                <w:sz w:val="16"/>
                <w:szCs w:val="16"/>
                <w:lang w:val="en-US" w:eastAsia="zh-CN"/>
              </w:rPr>
            </w:pPr>
            <w:r>
              <w:rPr>
                <w:rFonts w:hint="eastAsia"/>
                <w:spacing w:val="6"/>
                <w:kern w:val="20"/>
                <w:sz w:val="16"/>
                <w:szCs w:val="16"/>
                <w:lang w:val="en-US" w:eastAsia="zh-CN"/>
              </w:rPr>
              <w:t>0.36mH</w:t>
            </w:r>
          </w:p>
        </w:tc>
        <w:tc>
          <w:tcPr>
            <w:tcW w:w="1272" w:type="pct"/>
            <w:tcBorders>
              <w:top w:val="nil"/>
              <w:bottom w:val="single" w:color="auto" w:sz="4" w:space="0"/>
            </w:tcBorders>
            <w:vAlign w:val="bottom"/>
          </w:tcPr>
          <w:p>
            <w:pPr>
              <w:widowControl w:val="0"/>
              <w:topLinePunct/>
              <w:jc w:val="center"/>
              <w:rPr>
                <w:rFonts w:hint="default" w:eastAsia="宋体"/>
                <w:spacing w:val="6"/>
                <w:kern w:val="20"/>
                <w:sz w:val="16"/>
                <w:szCs w:val="16"/>
                <w:lang w:val="en-US" w:eastAsia="zh-CN"/>
              </w:rPr>
            </w:pPr>
            <w:r>
              <w:rPr>
                <w:rFonts w:hint="eastAsia"/>
                <w:i/>
                <w:iCs/>
                <w:spacing w:val="6"/>
                <w:kern w:val="20"/>
                <w:sz w:val="16"/>
                <w:szCs w:val="16"/>
                <w:lang w:val="en-US" w:eastAsia="zh-CN"/>
              </w:rPr>
              <w:t>L</w:t>
            </w:r>
            <w:r>
              <w:rPr>
                <w:rFonts w:hint="eastAsia"/>
                <w:spacing w:val="6"/>
                <w:kern w:val="20"/>
                <w:sz w:val="16"/>
                <w:szCs w:val="16"/>
                <w:vertAlign w:val="subscript"/>
                <w:lang w:val="en-US" w:eastAsia="zh-CN"/>
              </w:rPr>
              <w:t>g</w:t>
            </w:r>
          </w:p>
        </w:tc>
        <w:tc>
          <w:tcPr>
            <w:tcW w:w="1227" w:type="pct"/>
            <w:tcBorders>
              <w:top w:val="nil"/>
              <w:bottom w:val="single" w:color="auto" w:sz="4" w:space="0"/>
            </w:tcBorders>
            <w:vAlign w:val="bottom"/>
          </w:tcPr>
          <w:p>
            <w:pPr>
              <w:widowControl w:val="0"/>
              <w:topLinePunct/>
              <w:jc w:val="center"/>
              <w:rPr>
                <w:rFonts w:hint="default" w:eastAsia="宋体"/>
                <w:spacing w:val="6"/>
                <w:kern w:val="20"/>
                <w:sz w:val="16"/>
                <w:szCs w:val="16"/>
                <w:lang w:val="en-US" w:eastAsia="zh-CN"/>
              </w:rPr>
            </w:pPr>
            <w:r>
              <w:rPr>
                <w:rFonts w:hint="eastAsia"/>
                <w:spacing w:val="6"/>
                <w:kern w:val="20"/>
                <w:sz w:val="16"/>
                <w:szCs w:val="16"/>
                <w:lang w:val="en-US" w:eastAsia="zh-CN"/>
              </w:rPr>
              <w:t>1mH</w:t>
            </w:r>
          </w:p>
        </w:tc>
      </w:tr>
    </w:tbl>
    <w:p>
      <w:pPr>
        <w:ind w:firstLine="400"/>
        <w:jc w:val="both"/>
        <w:rPr>
          <w:rFonts w:hint="eastAsia"/>
          <w:lang w:val="en-GB"/>
        </w:rPr>
      </w:pPr>
      <w:r>
        <w:rPr>
          <w:rFonts w:hint="default" w:ascii="Times New Roman" w:hAnsi="Times New Roman" w:cs="Times New Roman"/>
          <w:color w:val="000000" w:themeColor="text1"/>
          <w:sz w:val="20"/>
          <w:szCs w:val="20"/>
          <w14:textFill>
            <w14:solidFill>
              <w14:schemeClr w14:val="tx1"/>
            </w14:solidFill>
          </w14:textFill>
        </w:rPr>
        <w:t>By substituting the parameters from Table 1 into Eq</w:t>
      </w:r>
      <w:r>
        <w:rPr>
          <w:rFonts w:hint="eastAsia" w:cs="Times New Roman"/>
          <w:color w:val="000000" w:themeColor="text1"/>
          <w:sz w:val="20"/>
          <w:szCs w:val="20"/>
          <w:lang w:val="en-US" w:eastAsia="zh-CN"/>
          <w14:textFill>
            <w14:solidFill>
              <w14:schemeClr w14:val="tx1"/>
            </w14:solidFill>
          </w14:textFill>
        </w:rPr>
        <w:t>.</w:t>
      </w:r>
      <w:r>
        <w:rPr>
          <w:rFonts w:hint="default" w:ascii="Times New Roman" w:hAnsi="Times New Roman" w:cs="Times New Roman"/>
          <w:color w:val="000000" w:themeColor="text1"/>
          <w:sz w:val="20"/>
          <w:szCs w:val="20"/>
          <w14:textFill>
            <w14:solidFill>
              <w14:schemeClr w14:val="tx1"/>
            </w14:solidFill>
          </w14:textFill>
        </w:rPr>
        <w:t xml:space="preserve"> (1), Fig</w:t>
      </w:r>
      <w:r>
        <w:rPr>
          <w:rFonts w:hint="eastAsia" w:cs="Times New Roman"/>
          <w:color w:val="000000" w:themeColor="text1"/>
          <w:sz w:val="20"/>
          <w:szCs w:val="20"/>
          <w:lang w:val="en-US" w:eastAsia="zh-CN"/>
          <w14:textFill>
            <w14:solidFill>
              <w14:schemeClr w14:val="tx1"/>
            </w14:solidFill>
          </w14:textFill>
        </w:rPr>
        <w:t>.</w:t>
      </w:r>
      <w:r>
        <w:rPr>
          <w:rFonts w:hint="default" w:ascii="Times New Roman" w:hAnsi="Times New Roman" w:cs="Times New Roman"/>
          <w:color w:val="000000" w:themeColor="text1"/>
          <w:sz w:val="20"/>
          <w:szCs w:val="20"/>
          <w14:textFill>
            <w14:solidFill>
              <w14:schemeClr w14:val="tx1"/>
            </w14:solidFill>
          </w14:textFill>
        </w:rPr>
        <w:t xml:space="preserve"> 3 presents a comparison of the frequency</w:t>
      </w:r>
      <w:r>
        <w:rPr>
          <w:rFonts w:hint="eastAsia" w:cs="Times New Roman"/>
          <w:color w:val="000000" w:themeColor="text1"/>
          <w:sz w:val="20"/>
          <w:szCs w:val="20"/>
          <w:lang w:val="en-US" w:eastAsia="zh-CN"/>
          <w14:textFill>
            <w14:solidFill>
              <w14:schemeClr w14:val="tx1"/>
            </w14:solidFill>
          </w14:textFill>
        </w:rPr>
        <w:t xml:space="preserve"> </w:t>
      </w:r>
      <w:r>
        <w:rPr>
          <w:rFonts w:hint="default" w:ascii="Times New Roman" w:hAnsi="Times New Roman" w:cs="Times New Roman"/>
          <w:color w:val="000000" w:themeColor="text1"/>
          <w:sz w:val="20"/>
          <w:szCs w:val="20"/>
          <w14:textFill>
            <w14:solidFill>
              <w14:schemeClr w14:val="tx1"/>
            </w14:solidFill>
          </w14:textFill>
        </w:rPr>
        <w:t>response curves obtained from the fitted and measured impedance data.</w:t>
      </w:r>
    </w:p>
    <w:p>
      <w:pPr>
        <w:jc w:val="center"/>
        <w:rPr>
          <w:rFonts w:hint="eastAsia"/>
          <w:lang w:val="en-GB"/>
        </w:rPr>
      </w:pPr>
      <w:r>
        <w:rPr>
          <w:rFonts w:hint="eastAsia"/>
          <w:lang w:val="en-GB"/>
        </w:rPr>
        <w:object>
          <v:shape id="_x0000_i1030" o:spt="75" type="#_x0000_t75" style="height:153.5pt;width:182pt;" o:ole="t" filled="f" o:preferrelative="t" stroked="f" coordsize="21600,21600">
            <v:path/>
            <v:fill on="f" focussize="0,0"/>
            <v:stroke on="f"/>
            <v:imagedata r:id="rId27" o:title=""/>
            <o:lock v:ext="edit" aspectratio="f"/>
            <w10:wrap type="none"/>
            <w10:anchorlock/>
          </v:shape>
          <o:OLEObject Type="Embed" ProgID="Visio.Drawing.15" ShapeID="_x0000_i1030" DrawAspect="Content" ObjectID="_1468075730" r:id="rId26">
            <o:LockedField>false</o:LockedField>
          </o:OLEObject>
        </w:object>
      </w:r>
    </w:p>
    <w:p>
      <w:pPr>
        <w:jc w:val="center"/>
        <w:rPr>
          <w:i/>
          <w:iCs/>
          <w:color w:val="000000" w:themeColor="text1"/>
          <w:sz w:val="20"/>
          <w:szCs w:val="20"/>
          <w14:textFill>
            <w14:solidFill>
              <w14:schemeClr w14:val="tx1"/>
            </w14:solidFill>
          </w14:textFill>
        </w:rPr>
      </w:pPr>
      <w:bookmarkStart w:id="2" w:name="_Hlk208933010"/>
      <w:r>
        <w:rPr>
          <w:rFonts w:hint="eastAsia"/>
          <w:b/>
          <w:bCs/>
          <w:i/>
          <w:iCs/>
          <w:sz w:val="20"/>
          <w:szCs w:val="20"/>
          <w:lang w:val="en-US"/>
        </w:rPr>
        <w:t>F</w:t>
      </w:r>
      <w:r>
        <w:rPr>
          <w:b/>
          <w:bCs/>
          <w:i/>
          <w:iCs/>
          <w:sz w:val="20"/>
          <w:szCs w:val="20"/>
          <w:lang w:val="en-US"/>
        </w:rPr>
        <w:t xml:space="preserve">ig. </w:t>
      </w:r>
      <w:r>
        <w:rPr>
          <w:rFonts w:hint="eastAsia"/>
          <w:b/>
          <w:bCs/>
          <w:i/>
          <w:iCs/>
          <w:sz w:val="20"/>
          <w:szCs w:val="20"/>
          <w:lang w:val="en-US"/>
        </w:rPr>
        <w:t>3</w:t>
      </w:r>
      <w:bookmarkEnd w:id="2"/>
      <w:r>
        <w:rPr>
          <w:rFonts w:hint="eastAsia"/>
        </w:rPr>
        <w:t xml:space="preserve"> </w:t>
      </w:r>
      <w:r>
        <w:rPr>
          <w:rFonts w:hint="eastAsia"/>
          <w:i/>
          <w:iCs/>
          <w:color w:val="000000" w:themeColor="text1"/>
          <w:sz w:val="20"/>
          <w:szCs w:val="20"/>
          <w14:textFill>
            <w14:solidFill>
              <w14:schemeClr w14:val="tx1"/>
            </w14:solidFill>
          </w14:textFill>
        </w:rPr>
        <w:t>Comparison of frequency response curves</w:t>
      </w:r>
      <w:r>
        <w:rPr>
          <w:rFonts w:hint="eastAsia"/>
          <w:i/>
          <w:iCs/>
          <w:color w:val="000000" w:themeColor="text1"/>
          <w:sz w:val="20"/>
          <w:szCs w:val="20"/>
          <w:lang w:val="en-US" w:eastAsia="zh-CN"/>
          <w14:textFill>
            <w14:solidFill>
              <w14:schemeClr w14:val="tx1"/>
            </w14:solidFill>
          </w14:textFill>
        </w:rPr>
        <w:t xml:space="preserve"> </w:t>
      </w:r>
      <w:r>
        <w:rPr>
          <w:rFonts w:hint="eastAsia"/>
          <w:i/>
          <w:iCs/>
          <w:color w:val="000000" w:themeColor="text1"/>
          <w:sz w:val="20"/>
          <w:szCs w:val="20"/>
          <w14:textFill>
            <w14:solidFill>
              <w14:schemeClr w14:val="tx1"/>
            </w14:solidFill>
          </w14:textFill>
        </w:rPr>
        <w:t>obtained from</w:t>
      </w:r>
      <w:r>
        <w:rPr>
          <w:rFonts w:hint="eastAsia"/>
          <w:i/>
          <w:iCs/>
          <w:color w:val="000000" w:themeColor="text1"/>
          <w:sz w:val="20"/>
          <w:szCs w:val="20"/>
          <w:lang w:val="en-US" w:eastAsia="zh-CN"/>
          <w14:textFill>
            <w14:solidFill>
              <w14:schemeClr w14:val="tx1"/>
            </w14:solidFill>
          </w14:textFill>
        </w:rPr>
        <w:t xml:space="preserve"> </w:t>
      </w:r>
      <w:r>
        <w:rPr>
          <w:rFonts w:hint="eastAsia"/>
          <w:i/>
          <w:iCs/>
          <w:color w:val="000000" w:themeColor="text1"/>
          <w:sz w:val="20"/>
          <w:szCs w:val="20"/>
          <w14:textFill>
            <w14:solidFill>
              <w14:schemeClr w14:val="tx1"/>
            </w14:solidFill>
          </w14:textFill>
        </w:rPr>
        <w:t>impedance measurement and vector fitting</w:t>
      </w:r>
    </w:p>
    <w:p>
      <w:pPr>
        <w:ind w:firstLine="403"/>
        <w:jc w:val="both"/>
        <w:rPr>
          <w:rFonts w:hint="default" w:ascii="Times New Roman" w:hAnsi="Times New Roman" w:cs="Times New Roman"/>
          <w:color w:val="000000" w:themeColor="text1"/>
          <w:sz w:val="20"/>
          <w:szCs w:val="20"/>
          <w:lang w:val="en-GB"/>
          <w14:textFill>
            <w14:solidFill>
              <w14:schemeClr w14:val="tx1"/>
            </w14:solidFill>
          </w14:textFill>
        </w:rPr>
      </w:pPr>
      <w:r>
        <w:rPr>
          <w:rFonts w:hint="default" w:ascii="Times New Roman" w:hAnsi="Times New Roman" w:cs="Times New Roman"/>
          <w:color w:val="000000" w:themeColor="text1"/>
          <w:sz w:val="20"/>
          <w:szCs w:val="20"/>
          <w:lang w:val="en-GB"/>
          <w14:textFill>
            <w14:solidFill>
              <w14:schemeClr w14:val="tx1"/>
            </w14:solidFill>
          </w14:textFill>
        </w:rPr>
        <w:t>As shown in Fig</w:t>
      </w:r>
      <w:r>
        <w:rPr>
          <w:rFonts w:hint="eastAsia" w:cs="Times New Roman"/>
          <w:color w:val="000000" w:themeColor="text1"/>
          <w:sz w:val="20"/>
          <w:szCs w:val="20"/>
          <w:lang w:val="en-US" w:eastAsia="zh-CN"/>
          <w14:textFill>
            <w14:solidFill>
              <w14:schemeClr w14:val="tx1"/>
            </w14:solidFill>
          </w14:textFill>
        </w:rPr>
        <w:t>.</w:t>
      </w:r>
      <w:r>
        <w:rPr>
          <w:rFonts w:hint="default" w:ascii="Times New Roman" w:hAnsi="Times New Roman" w:cs="Times New Roman"/>
          <w:color w:val="000000" w:themeColor="text1"/>
          <w:sz w:val="20"/>
          <w:szCs w:val="20"/>
          <w:lang w:val="en-GB"/>
          <w14:textFill>
            <w14:solidFill>
              <w14:schemeClr w14:val="tx1"/>
            </w14:solidFill>
          </w14:textFill>
        </w:rPr>
        <w:t xml:space="preserve"> 3, within the frequency range of 10²</w:t>
      </w:r>
      <w:r>
        <w:rPr>
          <w:rFonts w:hint="eastAsia" w:cs="Times New Roman"/>
          <w:color w:val="000000" w:themeColor="text1"/>
          <w:sz w:val="20"/>
          <w:szCs w:val="20"/>
          <w:lang w:val="en-US" w:eastAsia="zh-CN"/>
          <w14:textFill>
            <w14:solidFill>
              <w14:schemeClr w14:val="tx1"/>
            </w14:solidFill>
          </w14:textFill>
        </w:rPr>
        <w:t xml:space="preserve"> </w:t>
      </w:r>
      <w:r>
        <w:rPr>
          <w:rFonts w:hint="default" w:ascii="Times New Roman" w:hAnsi="Times New Roman" w:cs="Times New Roman"/>
          <w:color w:val="000000" w:themeColor="text1"/>
          <w:sz w:val="20"/>
          <w:szCs w:val="20"/>
          <w:lang w:val="en-GB"/>
          <w14:textFill>
            <w14:solidFill>
              <w14:schemeClr w14:val="tx1"/>
            </w14:solidFill>
          </w14:textFill>
        </w:rPr>
        <w:t>–</w:t>
      </w:r>
      <w:r>
        <w:rPr>
          <w:rFonts w:hint="eastAsia" w:cs="Times New Roman"/>
          <w:color w:val="000000" w:themeColor="text1"/>
          <w:sz w:val="20"/>
          <w:szCs w:val="20"/>
          <w:lang w:val="en-US" w:eastAsia="zh-CN"/>
          <w14:textFill>
            <w14:solidFill>
              <w14:schemeClr w14:val="tx1"/>
            </w14:solidFill>
          </w14:textFill>
        </w:rPr>
        <w:t xml:space="preserve"> </w:t>
      </w:r>
      <w:r>
        <w:rPr>
          <w:rFonts w:hint="default" w:ascii="Times New Roman" w:hAnsi="Times New Roman" w:cs="Times New Roman"/>
          <w:color w:val="000000" w:themeColor="text1"/>
          <w:sz w:val="20"/>
          <w:szCs w:val="20"/>
          <w:lang w:val="en-GB"/>
          <w14:textFill>
            <w14:solidFill>
              <w14:schemeClr w14:val="tx1"/>
            </w14:solidFill>
          </w14:textFill>
        </w:rPr>
        <w:t xml:space="preserve">10⁴ Hz, the fitted impedance agrees well with the measured data, confirming the accuracy of the impedance model derived using the </w:t>
      </w:r>
      <w:r>
        <w:rPr>
          <w:rFonts w:hint="eastAsia" w:cs="Times New Roman"/>
          <w:color w:val="000000" w:themeColor="text1"/>
          <w:sz w:val="20"/>
          <w:szCs w:val="20"/>
          <w:lang w:val="en-US" w:eastAsia="zh-CN"/>
          <w14:textFill>
            <w14:solidFill>
              <w14:schemeClr w14:val="tx1"/>
            </w14:solidFill>
          </w14:textFill>
        </w:rPr>
        <w:t>VF</w:t>
      </w:r>
      <w:r>
        <w:rPr>
          <w:rFonts w:hint="default" w:ascii="Times New Roman" w:hAnsi="Times New Roman" w:cs="Times New Roman"/>
          <w:color w:val="000000" w:themeColor="text1"/>
          <w:sz w:val="20"/>
          <w:szCs w:val="20"/>
          <w:lang w:val="en-GB"/>
          <w14:textFill>
            <w14:solidFill>
              <w14:schemeClr w14:val="tx1"/>
            </w14:solidFill>
          </w14:textFill>
        </w:rPr>
        <w:t xml:space="preserve"> algorithm.</w:t>
      </w:r>
    </w:p>
    <w:p>
      <w:pPr>
        <w:ind w:firstLine="403"/>
        <w:jc w:val="both"/>
        <w:rPr>
          <w:rFonts w:hint="default" w:ascii="Times New Roman" w:hAnsi="Times New Roman" w:cs="Times New Roman"/>
          <w:color w:val="000000" w:themeColor="text1"/>
          <w:sz w:val="20"/>
          <w:szCs w:val="20"/>
          <w:lang w:val="en-GB"/>
          <w14:textFill>
            <w14:solidFill>
              <w14:schemeClr w14:val="tx1"/>
            </w14:solidFill>
          </w14:textFill>
        </w:rPr>
      </w:pPr>
      <w:r>
        <w:rPr>
          <w:rFonts w:hint="default" w:ascii="Times New Roman" w:hAnsi="Times New Roman" w:cs="Times New Roman"/>
          <w:color w:val="000000" w:themeColor="text1"/>
          <w:sz w:val="20"/>
          <w:szCs w:val="20"/>
          <w:lang w:val="en-GB"/>
          <w14:textFill>
            <w14:solidFill>
              <w14:schemeClr w14:val="tx1"/>
            </w14:solidFill>
          </w14:textFill>
        </w:rPr>
        <w:t>From the magnitude–frequency characteristics in Fig</w:t>
      </w:r>
      <w:r>
        <w:rPr>
          <w:rFonts w:hint="eastAsia" w:cs="Times New Roman"/>
          <w:color w:val="000000" w:themeColor="text1"/>
          <w:sz w:val="20"/>
          <w:szCs w:val="20"/>
          <w:lang w:val="en-US" w:eastAsia="zh-CN"/>
          <w14:textFill>
            <w14:solidFill>
              <w14:schemeClr w14:val="tx1"/>
            </w14:solidFill>
          </w14:textFill>
        </w:rPr>
        <w:t>.</w:t>
      </w:r>
      <w:r>
        <w:rPr>
          <w:rFonts w:hint="default" w:ascii="Times New Roman" w:hAnsi="Times New Roman" w:cs="Times New Roman"/>
          <w:color w:val="000000" w:themeColor="text1"/>
          <w:sz w:val="20"/>
          <w:szCs w:val="20"/>
          <w:lang w:val="en-GB"/>
          <w14:textFill>
            <w14:solidFill>
              <w14:schemeClr w14:val="tx1"/>
            </w14:solidFill>
          </w14:textFill>
        </w:rPr>
        <w:t xml:space="preserve"> 3, the GCI system exhibits two pole</w:t>
      </w:r>
      <w:r>
        <w:rPr>
          <w:rFonts w:hint="eastAsia" w:cs="Times New Roman"/>
          <w:color w:val="000000" w:themeColor="text1"/>
          <w:sz w:val="20"/>
          <w:szCs w:val="20"/>
          <w:lang w:val="en-US" w:eastAsia="zh-CN"/>
          <w14:textFill>
            <w14:solidFill>
              <w14:schemeClr w14:val="tx1"/>
            </w14:solidFill>
          </w14:textFill>
        </w:rPr>
        <w:t xml:space="preserve"> </w:t>
      </w:r>
      <w:r>
        <w:rPr>
          <w:rFonts w:hint="default" w:ascii="Times New Roman" w:hAnsi="Times New Roman" w:cs="Times New Roman"/>
          <w:color w:val="000000" w:themeColor="text1"/>
          <w:sz w:val="20"/>
          <w:szCs w:val="20"/>
          <w:lang w:val="en-GB"/>
          <w14:textFill>
            <w14:solidFill>
              <w14:schemeClr w14:val="tx1"/>
            </w14:solidFill>
          </w14:textFill>
        </w:rPr>
        <w:t>–</w:t>
      </w:r>
      <w:r>
        <w:rPr>
          <w:rFonts w:hint="eastAsia" w:cs="Times New Roman"/>
          <w:color w:val="000000" w:themeColor="text1"/>
          <w:sz w:val="20"/>
          <w:szCs w:val="20"/>
          <w:lang w:val="en-US" w:eastAsia="zh-CN"/>
          <w14:textFill>
            <w14:solidFill>
              <w14:schemeClr w14:val="tx1"/>
            </w14:solidFill>
          </w14:textFill>
        </w:rPr>
        <w:t xml:space="preserve"> </w:t>
      </w:r>
      <w:r>
        <w:rPr>
          <w:rFonts w:hint="default" w:ascii="Times New Roman" w:hAnsi="Times New Roman" w:cs="Times New Roman"/>
          <w:color w:val="000000" w:themeColor="text1"/>
          <w:sz w:val="20"/>
          <w:szCs w:val="20"/>
          <w:lang w:val="en-GB"/>
          <w14:textFill>
            <w14:solidFill>
              <w14:schemeClr w14:val="tx1"/>
            </w14:solidFill>
          </w14:textFill>
        </w:rPr>
        <w:t xml:space="preserve">zero pairs, labeled </w:t>
      </w:r>
      <w:r>
        <w:rPr>
          <w:rFonts w:hint="default" w:ascii="Times New Roman" w:hAnsi="Times New Roman" w:cs="Times New Roman"/>
          <w:i/>
          <w:iCs/>
          <w:color w:val="000000" w:themeColor="text1"/>
          <w:sz w:val="20"/>
          <w:szCs w:val="20"/>
          <w:lang w:val="en-GB"/>
          <w14:textFill>
            <w14:solidFill>
              <w14:schemeClr w14:val="tx1"/>
            </w14:solidFill>
          </w14:textFill>
        </w:rPr>
        <w:t>p</w:t>
      </w:r>
      <w:r>
        <w:rPr>
          <w:rFonts w:hint="default" w:ascii="Times New Roman" w:hAnsi="Times New Roman" w:cs="Times New Roman"/>
          <w:color w:val="000000" w:themeColor="text1"/>
          <w:sz w:val="20"/>
          <w:szCs w:val="20"/>
          <w:vertAlign w:val="subscript"/>
          <w:lang w:val="en-GB"/>
          <w14:textFill>
            <w14:solidFill>
              <w14:schemeClr w14:val="tx1"/>
            </w14:solidFill>
          </w14:textFill>
        </w:rPr>
        <w:t>1</w:t>
      </w:r>
      <w:r>
        <w:rPr>
          <w:rFonts w:hint="default" w:ascii="Times New Roman" w:hAnsi="Times New Roman" w:cs="Times New Roman"/>
          <w:color w:val="000000" w:themeColor="text1"/>
          <w:sz w:val="20"/>
          <w:szCs w:val="20"/>
          <w:lang w:val="en-GB"/>
          <w14:textFill>
            <w14:solidFill>
              <w14:schemeClr w14:val="tx1"/>
            </w14:solidFill>
          </w14:textFill>
        </w:rPr>
        <w:t xml:space="preserve">, </w:t>
      </w:r>
      <w:r>
        <w:rPr>
          <w:rFonts w:hint="default" w:ascii="Times New Roman" w:hAnsi="Times New Roman" w:cs="Times New Roman"/>
          <w:i/>
          <w:iCs/>
          <w:color w:val="000000" w:themeColor="text1"/>
          <w:sz w:val="20"/>
          <w:szCs w:val="20"/>
          <w:lang w:val="en-GB"/>
          <w14:textFill>
            <w14:solidFill>
              <w14:schemeClr w14:val="tx1"/>
            </w14:solidFill>
          </w14:textFill>
        </w:rPr>
        <w:t>z</w:t>
      </w:r>
      <w:r>
        <w:rPr>
          <w:rFonts w:hint="default" w:ascii="Times New Roman" w:hAnsi="Times New Roman" w:cs="Times New Roman"/>
          <w:color w:val="000000" w:themeColor="text1"/>
          <w:sz w:val="20"/>
          <w:szCs w:val="20"/>
          <w:vertAlign w:val="subscript"/>
          <w:lang w:val="en-GB"/>
          <w14:textFill>
            <w14:solidFill>
              <w14:schemeClr w14:val="tx1"/>
            </w14:solidFill>
          </w14:textFill>
        </w:rPr>
        <w:t>1</w:t>
      </w:r>
      <w:r>
        <w:rPr>
          <w:rFonts w:hint="default" w:ascii="Times New Roman" w:hAnsi="Times New Roman" w:cs="Times New Roman"/>
          <w:color w:val="000000" w:themeColor="text1"/>
          <w:sz w:val="20"/>
          <w:szCs w:val="20"/>
          <w:lang w:val="en-GB"/>
          <w14:textFill>
            <w14:solidFill>
              <w14:schemeClr w14:val="tx1"/>
            </w14:solidFill>
          </w14:textFill>
        </w:rPr>
        <w:t xml:space="preserve">, </w:t>
      </w:r>
      <w:r>
        <w:rPr>
          <w:rFonts w:hint="default" w:ascii="Times New Roman" w:hAnsi="Times New Roman" w:cs="Times New Roman"/>
          <w:i/>
          <w:iCs/>
          <w:color w:val="000000" w:themeColor="text1"/>
          <w:sz w:val="20"/>
          <w:szCs w:val="20"/>
          <w:lang w:val="en-GB"/>
          <w14:textFill>
            <w14:solidFill>
              <w14:schemeClr w14:val="tx1"/>
            </w14:solidFill>
          </w14:textFill>
        </w:rPr>
        <w:t>p</w:t>
      </w:r>
      <w:r>
        <w:rPr>
          <w:rFonts w:hint="default" w:ascii="Times New Roman" w:hAnsi="Times New Roman" w:cs="Times New Roman"/>
          <w:color w:val="000000" w:themeColor="text1"/>
          <w:sz w:val="20"/>
          <w:szCs w:val="20"/>
          <w:vertAlign w:val="subscript"/>
          <w:lang w:val="en-GB"/>
          <w14:textFill>
            <w14:solidFill>
              <w14:schemeClr w14:val="tx1"/>
            </w14:solidFill>
          </w14:textFill>
        </w:rPr>
        <w:t>2</w:t>
      </w:r>
      <w:r>
        <w:rPr>
          <w:rFonts w:hint="default" w:ascii="Times New Roman" w:hAnsi="Times New Roman" w:cs="Times New Roman"/>
          <w:color w:val="000000" w:themeColor="text1"/>
          <w:sz w:val="20"/>
          <w:szCs w:val="20"/>
          <w:lang w:val="en-GB"/>
          <w14:textFill>
            <w14:solidFill>
              <w14:schemeClr w14:val="tx1"/>
            </w14:solidFill>
          </w14:textFill>
        </w:rPr>
        <w:t xml:space="preserve">, and </w:t>
      </w:r>
      <w:r>
        <w:rPr>
          <w:rFonts w:hint="default" w:ascii="Times New Roman" w:hAnsi="Times New Roman" w:cs="Times New Roman"/>
          <w:i/>
          <w:iCs/>
          <w:color w:val="000000" w:themeColor="text1"/>
          <w:sz w:val="20"/>
          <w:szCs w:val="20"/>
          <w:lang w:val="en-GB"/>
          <w14:textFill>
            <w14:solidFill>
              <w14:schemeClr w14:val="tx1"/>
            </w14:solidFill>
          </w14:textFill>
        </w:rPr>
        <w:t>z</w:t>
      </w:r>
      <w:r>
        <w:rPr>
          <w:rFonts w:hint="default" w:ascii="Times New Roman" w:hAnsi="Times New Roman" w:cs="Times New Roman"/>
          <w:color w:val="000000" w:themeColor="text1"/>
          <w:sz w:val="20"/>
          <w:szCs w:val="20"/>
          <w:vertAlign w:val="subscript"/>
          <w:lang w:val="en-GB"/>
          <w14:textFill>
            <w14:solidFill>
              <w14:schemeClr w14:val="tx1"/>
            </w14:solidFill>
          </w14:textFill>
        </w:rPr>
        <w:t>2</w:t>
      </w:r>
      <w:r>
        <w:rPr>
          <w:rFonts w:hint="default" w:ascii="Times New Roman" w:hAnsi="Times New Roman" w:cs="Times New Roman"/>
          <w:color w:val="000000" w:themeColor="text1"/>
          <w:sz w:val="20"/>
          <w:szCs w:val="20"/>
          <w:lang w:val="en-GB"/>
          <w14:textFill>
            <w14:solidFill>
              <w14:schemeClr w14:val="tx1"/>
            </w14:solidFill>
          </w14:textFill>
        </w:rPr>
        <w:t>, in ascending frequency. These features arise from parallel and series resonance interactions introduced by the two GCIs. The resonance magnitudes are substantially higher than those at neighboring frequencies. Consequently, if background grid harmonics coincide with these resonant frequencies, the impedance network can be excited into broadband harmonic oscillations.</w:t>
      </w:r>
    </w:p>
    <w:p>
      <w:pPr>
        <w:ind w:firstLine="403"/>
        <w:jc w:val="both"/>
        <w:rPr>
          <w:rFonts w:hint="default" w:ascii="Times New Roman" w:hAnsi="Times New Roman" w:cs="Times New Roman"/>
          <w:color w:val="000000" w:themeColor="text1"/>
          <w:sz w:val="20"/>
          <w:szCs w:val="20"/>
          <w:lang w:val="en-GB"/>
          <w14:textFill>
            <w14:solidFill>
              <w14:schemeClr w14:val="tx1"/>
            </w14:solidFill>
          </w14:textFill>
        </w:rPr>
      </w:pPr>
      <w:r>
        <w:rPr>
          <w:rFonts w:hint="default" w:ascii="Times New Roman" w:hAnsi="Times New Roman" w:cs="Times New Roman"/>
          <w:color w:val="000000" w:themeColor="text1"/>
          <w:sz w:val="20"/>
          <w:szCs w:val="20"/>
          <w:lang w:val="en-GB"/>
          <w14:textFill>
            <w14:solidFill>
              <w14:schemeClr w14:val="tx1"/>
            </w14:solidFill>
          </w14:textFill>
        </w:rPr>
        <w:t xml:space="preserve">From the </w:t>
      </w:r>
      <w:r>
        <w:rPr>
          <w:rFonts w:hint="eastAsia" w:ascii="Times New Roman" w:hAnsi="Times New Roman" w:cs="Times New Roman"/>
          <w:color w:val="000000" w:themeColor="text1"/>
          <w:sz w:val="20"/>
          <w:szCs w:val="20"/>
          <w:lang w:val="en-US" w:eastAsia="zh-CN"/>
          <w14:textFill>
            <w14:solidFill>
              <w14:schemeClr w14:val="tx1"/>
            </w14:solidFill>
          </w14:textFill>
        </w:rPr>
        <w:t>phase</w:t>
      </w:r>
      <w:r>
        <w:rPr>
          <w:rFonts w:hint="default" w:ascii="Times New Roman" w:hAnsi="Times New Roman" w:cs="Times New Roman"/>
          <w:color w:val="000000" w:themeColor="text1"/>
          <w:sz w:val="20"/>
          <w:szCs w:val="20"/>
          <w:lang w:val="en-GB"/>
          <w14:textFill>
            <w14:solidFill>
              <w14:schemeClr w14:val="tx1"/>
            </w14:solidFill>
          </w14:textFill>
        </w:rPr>
        <w:t>–frequency characteristics in Fig</w:t>
      </w:r>
      <w:r>
        <w:rPr>
          <w:rFonts w:hint="eastAsia" w:cs="Times New Roman"/>
          <w:color w:val="000000" w:themeColor="text1"/>
          <w:sz w:val="20"/>
          <w:szCs w:val="20"/>
          <w:lang w:val="en-US" w:eastAsia="zh-CN"/>
          <w14:textFill>
            <w14:solidFill>
              <w14:schemeClr w14:val="tx1"/>
            </w14:solidFill>
          </w14:textFill>
        </w:rPr>
        <w:t>.</w:t>
      </w:r>
      <w:r>
        <w:rPr>
          <w:rFonts w:hint="default" w:ascii="Times New Roman" w:hAnsi="Times New Roman" w:cs="Times New Roman"/>
          <w:color w:val="000000" w:themeColor="text1"/>
          <w:sz w:val="20"/>
          <w:szCs w:val="20"/>
          <w:lang w:val="en-GB"/>
          <w14:textFill>
            <w14:solidFill>
              <w14:schemeClr w14:val="tx1"/>
            </w14:solidFill>
          </w14:textFill>
        </w:rPr>
        <w:t xml:space="preserve"> 3</w:t>
      </w:r>
      <w:r>
        <w:rPr>
          <w:rFonts w:hint="default" w:ascii="Times New Roman" w:hAnsi="Times New Roman" w:cs="Times New Roman"/>
          <w:color w:val="000000" w:themeColor="text1"/>
          <w:sz w:val="20"/>
          <w:szCs w:val="20"/>
          <w14:textFill>
            <w14:solidFill>
              <w14:schemeClr w14:val="tx1"/>
            </w14:solidFill>
          </w14:textFill>
        </w:rPr>
        <w:t>, the GCI terminal impedance exhibits predominantly inductive behavior across a broad frequency range. Phase transitions occur only in the neighborhoods of adjacent resonant peaks, at which the terminal impedance becomes capacitive. Therefore, to attenuate these resonances using an external shunt device, the device should present capacitive impedance over a wide frequency band. When connected in parallel (e.g., at PCC), the shunt branch offsets the system’s broadband inductive behavior and thereby suppresses multiple resonant peaks.</w:t>
      </w:r>
    </w:p>
    <w:p>
      <w:pPr>
        <w:pStyle w:val="44"/>
        <w:numPr>
          <w:ilvl w:val="0"/>
          <w:numId w:val="0"/>
        </w:numPr>
        <w:ind w:left="360"/>
        <w:rPr>
          <w:color w:val="000000" w:themeColor="text1"/>
          <w:sz w:val="20"/>
          <w:szCs w:val="20"/>
          <w:lang w:val="en-GB"/>
          <w14:textFill>
            <w14:solidFill>
              <w14:schemeClr w14:val="tx1"/>
            </w14:solidFill>
          </w14:textFill>
        </w:rPr>
      </w:pPr>
      <w:r>
        <w:rPr>
          <w:color w:val="000000" w:themeColor="text1"/>
          <w14:textFill>
            <w14:solidFill>
              <w14:schemeClr w14:val="tx1"/>
            </w14:solidFill>
          </w14:textFill>
        </w:rPr>
        <w:t>2.2 Identification of Key Nodes for Oscillation Suppression</w:t>
      </w:r>
    </w:p>
    <w:p>
      <w:pPr>
        <w:ind w:firstLine="403"/>
        <w:jc w:val="both"/>
        <w:rPr>
          <w:color w:val="000000" w:themeColor="text1"/>
          <w:sz w:val="20"/>
          <w:szCs w:val="20"/>
          <w14:textFill>
            <w14:solidFill>
              <w14:schemeClr w14:val="tx1"/>
            </w14:solidFill>
          </w14:textFill>
        </w:rPr>
      </w:pPr>
      <w:r>
        <w:rPr>
          <w:color w:val="000000" w:themeColor="text1"/>
          <w:sz w:val="20"/>
          <w:szCs w:val="20"/>
          <w14:textFill>
            <w14:solidFill>
              <w14:schemeClr w14:val="tx1"/>
            </w14:solidFill>
          </w14:textFill>
        </w:rPr>
        <w:t xml:space="preserve">Modal analysis </w:t>
      </w:r>
      <w:r>
        <w:rPr>
          <w:rFonts w:hint="eastAsia"/>
          <w:color w:val="000000" w:themeColor="text1"/>
          <w:sz w:val="20"/>
          <w:szCs w:val="20"/>
          <w:lang w:val="en-US" w:eastAsia="zh-CN"/>
          <w14:textFill>
            <w14:solidFill>
              <w14:schemeClr w14:val="tx1"/>
            </w14:solidFill>
          </w14:textFill>
        </w:rPr>
        <w:t xml:space="preserve">method </w:t>
      </w:r>
      <w:r>
        <w:rPr>
          <w:color w:val="000000" w:themeColor="text1"/>
          <w:sz w:val="20"/>
          <w:szCs w:val="20"/>
          <w14:textFill>
            <w14:solidFill>
              <w14:schemeClr w14:val="tx1"/>
            </w14:solidFill>
          </w14:textFill>
        </w:rPr>
        <w:t>is employed to identify the system’s oscillation modes</w:t>
      </w:r>
      <w:r>
        <w:rPr>
          <w:rFonts w:hint="eastAsia"/>
          <w:color w:val="000000" w:themeColor="text1"/>
          <w:sz w:val="20"/>
          <w:szCs w:val="20"/>
          <w:vertAlign w:val="superscript"/>
          <w:lang w:val="en-US" w:eastAsia="zh-CN"/>
          <w14:textFill>
            <w14:solidFill>
              <w14:schemeClr w14:val="tx1"/>
            </w14:solidFill>
          </w14:textFill>
        </w:rPr>
        <w:t>[26, 27]</w:t>
      </w:r>
      <w:r>
        <w:rPr>
          <w:rFonts w:hint="eastAsia"/>
          <w:color w:val="000000" w:themeColor="text1"/>
          <w:sz w:val="20"/>
          <w:szCs w:val="20"/>
          <w:lang w:val="en-US" w:eastAsia="zh-CN"/>
          <w14:textFill>
            <w14:solidFill>
              <w14:schemeClr w14:val="tx1"/>
            </w14:solidFill>
          </w14:textFill>
        </w:rPr>
        <w:t>.</w:t>
      </w:r>
      <w:r>
        <w:rPr>
          <w:color w:val="000000" w:themeColor="text1"/>
          <w:sz w:val="20"/>
          <w:szCs w:val="20"/>
          <w14:textFill>
            <w14:solidFill>
              <w14:schemeClr w14:val="tx1"/>
            </w14:solidFill>
          </w14:textFill>
        </w:rPr>
        <w:t xml:space="preserve"> </w:t>
      </w:r>
      <w:r>
        <w:rPr>
          <w:rFonts w:hint="eastAsia"/>
          <w:color w:val="000000" w:themeColor="text1"/>
          <w:sz w:val="20"/>
          <w:szCs w:val="20"/>
          <w:lang w:val="en-US" w:eastAsia="zh-CN"/>
          <w14:textFill>
            <w14:solidFill>
              <w14:schemeClr w14:val="tx1"/>
            </w14:solidFill>
          </w14:textFill>
        </w:rPr>
        <w:t>T</w:t>
      </w:r>
      <w:r>
        <w:rPr>
          <w:color w:val="000000" w:themeColor="text1"/>
          <w:sz w:val="20"/>
          <w:szCs w:val="20"/>
          <w14:textFill>
            <w14:solidFill>
              <w14:schemeClr w14:val="tx1"/>
            </w14:solidFill>
          </w14:textFill>
        </w:rPr>
        <w:t>he excitability, observability, and participation factors of each node with respect to these modes are calculated. The results are presented in Tab</w:t>
      </w:r>
      <w:r>
        <w:rPr>
          <w:rFonts w:hint="eastAsia"/>
          <w:color w:val="000000" w:themeColor="text1"/>
          <w:sz w:val="20"/>
          <w:szCs w:val="20"/>
          <w:lang w:val="en-US" w:eastAsia="zh-CN"/>
          <w14:textFill>
            <w14:solidFill>
              <w14:schemeClr w14:val="tx1"/>
            </w14:solidFill>
          </w14:textFill>
        </w:rPr>
        <w:t>le</w:t>
      </w:r>
      <w:r>
        <w:rPr>
          <w:color w:val="000000" w:themeColor="text1"/>
          <w:sz w:val="20"/>
          <w:szCs w:val="20"/>
          <w14:textFill>
            <w14:solidFill>
              <w14:schemeClr w14:val="tx1"/>
            </w14:solidFill>
          </w14:textFill>
        </w:rPr>
        <w:t xml:space="preserve"> </w:t>
      </w:r>
      <w:r>
        <w:rPr>
          <w:rFonts w:hint="eastAsia"/>
          <w:color w:val="000000" w:themeColor="text1"/>
          <w:sz w:val="20"/>
          <w:szCs w:val="20"/>
          <w:lang w:val="en-US" w:eastAsia="zh-CN"/>
          <w14:textFill>
            <w14:solidFill>
              <w14:schemeClr w14:val="tx1"/>
            </w14:solidFill>
          </w14:textFill>
        </w:rPr>
        <w:t>2</w:t>
      </w:r>
      <w:r>
        <w:rPr>
          <w:color w:val="000000" w:themeColor="text1"/>
          <w:sz w:val="20"/>
          <w:szCs w:val="20"/>
          <w14:textFill>
            <w14:solidFill>
              <w14:schemeClr w14:val="tx1"/>
            </w14:solidFill>
          </w14:textFill>
        </w:rPr>
        <w:t>.</w:t>
      </w:r>
    </w:p>
    <w:p>
      <w:pPr>
        <w:ind w:firstLine="403"/>
        <w:jc w:val="center"/>
        <w:rPr>
          <w:i/>
          <w:iCs/>
          <w:spacing w:val="6"/>
          <w:kern w:val="20"/>
          <w:sz w:val="20"/>
          <w:lang w:val="en-US"/>
        </w:rPr>
      </w:pPr>
      <w:r>
        <w:rPr>
          <w:rFonts w:hint="eastAsia"/>
          <w:b/>
          <w:bCs/>
          <w:i/>
          <w:iCs/>
          <w:color w:val="000000" w:themeColor="text1"/>
          <w:sz w:val="20"/>
          <w:szCs w:val="20"/>
          <w:lang w:val="en-US"/>
          <w14:textFill>
            <w14:solidFill>
              <w14:schemeClr w14:val="tx1"/>
            </w14:solidFill>
          </w14:textFill>
        </w:rPr>
        <w:t>T</w:t>
      </w:r>
      <w:r>
        <w:rPr>
          <w:b/>
          <w:bCs/>
          <w:i/>
          <w:iCs/>
          <w:color w:val="000000" w:themeColor="text1"/>
          <w:sz w:val="20"/>
          <w:szCs w:val="20"/>
          <w:lang w:val="en-US"/>
          <w14:textFill>
            <w14:solidFill>
              <w14:schemeClr w14:val="tx1"/>
            </w14:solidFill>
          </w14:textFill>
        </w:rPr>
        <w:t xml:space="preserve">able </w:t>
      </w:r>
      <w:r>
        <w:rPr>
          <w:rFonts w:hint="eastAsia"/>
          <w:b/>
          <w:bCs/>
          <w:i/>
          <w:iCs/>
          <w:color w:val="000000" w:themeColor="text1"/>
          <w:sz w:val="20"/>
          <w:szCs w:val="20"/>
          <w:lang w:val="en-US" w:eastAsia="zh-CN"/>
          <w14:textFill>
            <w14:solidFill>
              <w14:schemeClr w14:val="tx1"/>
            </w14:solidFill>
          </w14:textFill>
        </w:rPr>
        <w:t>2</w:t>
      </w:r>
      <w:r>
        <w:rPr>
          <w:b/>
          <w:bCs/>
          <w:i/>
          <w:iCs/>
          <w:color w:val="000000" w:themeColor="text1"/>
          <w:sz w:val="20"/>
          <w:szCs w:val="20"/>
          <w:lang w:val="en-US"/>
          <w14:textFill>
            <w14:solidFill>
              <w14:schemeClr w14:val="tx1"/>
            </w14:solidFill>
          </w14:textFill>
        </w:rPr>
        <w:t xml:space="preserve"> </w:t>
      </w:r>
      <w:r>
        <w:rPr>
          <w:rFonts w:hint="eastAsia"/>
          <w:i/>
          <w:iCs/>
          <w:spacing w:val="6"/>
          <w:kern w:val="20"/>
          <w:sz w:val="20"/>
          <w:lang w:val="en-US"/>
        </w:rPr>
        <w:t xml:space="preserve">Resonant modal analysis results of the </w:t>
      </w:r>
      <w:r>
        <w:rPr>
          <w:rFonts w:hint="eastAsia"/>
          <w:i/>
          <w:iCs/>
          <w:spacing w:val="6"/>
          <w:kern w:val="20"/>
          <w:sz w:val="20"/>
          <w:lang w:val="en-US" w:eastAsia="zh-CN"/>
        </w:rPr>
        <w:t>GCIs</w:t>
      </w:r>
      <w:r>
        <w:rPr>
          <w:rFonts w:hint="eastAsia"/>
          <w:i/>
          <w:iCs/>
          <w:spacing w:val="6"/>
          <w:kern w:val="20"/>
          <w:sz w:val="20"/>
          <w:lang w:val="en-US"/>
        </w:rPr>
        <w:t xml:space="preserve"> system</w:t>
      </w:r>
    </w:p>
    <w:tbl>
      <w:tblPr>
        <w:tblStyle w:val="56"/>
        <w:tblW w:w="5242"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30"/>
        <w:gridCol w:w="1087"/>
        <w:gridCol w:w="1026"/>
        <w:gridCol w:w="1079"/>
        <w:gridCol w:w="10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4" w:hRule="atLeast"/>
          <w:jc w:val="center"/>
        </w:trPr>
        <w:tc>
          <w:tcPr>
            <w:tcW w:w="1879" w:type="pct"/>
            <w:gridSpan w:val="2"/>
            <w:tcBorders>
              <w:top w:val="single" w:color="auto" w:sz="4" w:space="0"/>
              <w:left w:val="nil"/>
              <w:bottom w:val="single" w:color="auto" w:sz="4" w:space="0"/>
              <w:right w:val="nil"/>
            </w:tcBorders>
            <w:vAlign w:val="center"/>
          </w:tcPr>
          <w:p>
            <w:pPr>
              <w:widowControl w:val="0"/>
              <w:spacing w:line="252" w:lineRule="auto"/>
              <w:ind w:right="1120"/>
              <w:jc w:val="both"/>
              <w:rPr>
                <w:color w:val="000000"/>
                <w:sz w:val="16"/>
                <w:szCs w:val="16"/>
                <w:lang w:val="en-US"/>
              </w:rPr>
            </w:pPr>
          </w:p>
        </w:tc>
        <w:tc>
          <w:tcPr>
            <w:tcW w:w="1005" w:type="pct"/>
            <w:tcBorders>
              <w:top w:val="single" w:color="auto" w:sz="4" w:space="0"/>
              <w:left w:val="nil"/>
              <w:bottom w:val="single" w:color="auto" w:sz="4" w:space="0"/>
              <w:right w:val="nil"/>
            </w:tcBorders>
            <w:vAlign w:val="center"/>
          </w:tcPr>
          <w:p>
            <w:pPr>
              <w:widowControl w:val="0"/>
              <w:spacing w:line="252" w:lineRule="auto"/>
              <w:ind w:firstLine="160" w:firstLineChars="100"/>
              <w:jc w:val="center"/>
              <w:rPr>
                <w:color w:val="000000"/>
                <w:sz w:val="16"/>
                <w:szCs w:val="16"/>
                <w:lang w:val="en-US"/>
              </w:rPr>
            </w:pPr>
            <w:r>
              <w:rPr>
                <w:color w:val="000000"/>
                <w:sz w:val="16"/>
                <w:szCs w:val="16"/>
                <w:lang w:val="en-US"/>
              </w:rPr>
              <w:t>1</w:t>
            </w:r>
          </w:p>
        </w:tc>
        <w:tc>
          <w:tcPr>
            <w:tcW w:w="1057" w:type="pct"/>
            <w:tcBorders>
              <w:top w:val="single" w:color="auto" w:sz="4" w:space="0"/>
              <w:left w:val="nil"/>
              <w:bottom w:val="single" w:color="auto" w:sz="4" w:space="0"/>
              <w:right w:val="nil"/>
            </w:tcBorders>
            <w:vAlign w:val="center"/>
          </w:tcPr>
          <w:p>
            <w:pPr>
              <w:widowControl w:val="0"/>
              <w:spacing w:line="252" w:lineRule="auto"/>
              <w:ind w:firstLine="160" w:firstLineChars="100"/>
              <w:jc w:val="center"/>
              <w:rPr>
                <w:color w:val="000000"/>
                <w:sz w:val="16"/>
                <w:szCs w:val="16"/>
                <w:lang w:val="en-US"/>
              </w:rPr>
            </w:pPr>
            <w:r>
              <w:rPr>
                <w:color w:val="000000"/>
                <w:sz w:val="16"/>
                <w:szCs w:val="16"/>
                <w:lang w:val="en-US"/>
              </w:rPr>
              <w:t>2</w:t>
            </w:r>
          </w:p>
        </w:tc>
        <w:tc>
          <w:tcPr>
            <w:tcW w:w="1057" w:type="pct"/>
            <w:tcBorders>
              <w:top w:val="single" w:color="auto" w:sz="4" w:space="0"/>
              <w:left w:val="nil"/>
              <w:bottom w:val="single" w:color="auto" w:sz="4" w:space="0"/>
              <w:right w:val="nil"/>
            </w:tcBorders>
            <w:vAlign w:val="center"/>
          </w:tcPr>
          <w:p>
            <w:pPr>
              <w:widowControl w:val="0"/>
              <w:spacing w:line="252" w:lineRule="auto"/>
              <w:ind w:firstLine="160" w:firstLineChars="100"/>
              <w:jc w:val="center"/>
              <w:rPr>
                <w:color w:val="000000"/>
                <w:sz w:val="16"/>
                <w:szCs w:val="16"/>
                <w:lang w:val="en-US"/>
              </w:rPr>
            </w:pPr>
            <w:r>
              <w:rPr>
                <w:color w:val="000000"/>
                <w:sz w:val="16"/>
                <w:szCs w:val="16"/>
                <w:lang w:val="en-US"/>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813" w:type="pct"/>
            <w:vMerge w:val="restart"/>
            <w:tcBorders>
              <w:top w:val="single" w:color="auto" w:sz="4" w:space="0"/>
              <w:left w:val="nil"/>
              <w:bottom w:val="nil"/>
              <w:right w:val="nil"/>
            </w:tcBorders>
            <w:vAlign w:val="center"/>
          </w:tcPr>
          <w:p>
            <w:pPr>
              <w:widowControl w:val="0"/>
              <w:spacing w:line="252" w:lineRule="auto"/>
              <w:jc w:val="center"/>
              <w:rPr>
                <w:color w:val="000000"/>
                <w:sz w:val="16"/>
                <w:szCs w:val="16"/>
                <w:lang w:val="en-US"/>
              </w:rPr>
            </w:pPr>
            <w:r>
              <w:rPr>
                <w:color w:val="000000"/>
                <w:sz w:val="16"/>
                <w:szCs w:val="16"/>
                <w:lang w:val="en-US"/>
              </w:rPr>
              <w:t>1</w:t>
            </w:r>
          </w:p>
          <w:p>
            <w:pPr>
              <w:widowControl w:val="0"/>
              <w:spacing w:line="252" w:lineRule="auto"/>
              <w:jc w:val="center"/>
              <w:rPr>
                <w:color w:val="000000"/>
                <w:sz w:val="16"/>
                <w:szCs w:val="16"/>
                <w:lang w:val="en-US"/>
              </w:rPr>
            </w:pPr>
            <w:r>
              <w:rPr>
                <w:color w:val="000000"/>
                <w:sz w:val="16"/>
                <w:szCs w:val="16"/>
                <w:lang w:val="en-US"/>
              </w:rPr>
              <w:t>(712Hz)</w:t>
            </w:r>
          </w:p>
        </w:tc>
        <w:tc>
          <w:tcPr>
            <w:tcW w:w="1065" w:type="pct"/>
            <w:tcBorders>
              <w:top w:val="single" w:color="auto" w:sz="4" w:space="0"/>
              <w:left w:val="nil"/>
              <w:bottom w:val="nil"/>
              <w:right w:val="nil"/>
            </w:tcBorders>
            <w:vAlign w:val="center"/>
          </w:tcPr>
          <w:p>
            <w:pPr>
              <w:widowControl w:val="0"/>
              <w:spacing w:line="252" w:lineRule="auto"/>
              <w:jc w:val="left"/>
              <w:rPr>
                <w:rFonts w:eastAsia="Times New Roman"/>
                <w:color w:val="000000"/>
                <w:sz w:val="16"/>
                <w:szCs w:val="16"/>
                <w:lang w:val="en-US" w:eastAsia="en-US"/>
              </w:rPr>
            </w:pPr>
            <w:r>
              <w:rPr>
                <w:rFonts w:hint="eastAsia"/>
                <w:color w:val="000000"/>
                <w:sz w:val="16"/>
                <w:szCs w:val="16"/>
                <w:lang w:val="en-US"/>
              </w:rPr>
              <w:t>E</w:t>
            </w:r>
            <w:r>
              <w:rPr>
                <w:rFonts w:eastAsia="Times New Roman"/>
                <w:color w:val="000000"/>
                <w:sz w:val="16"/>
                <w:szCs w:val="16"/>
                <w:lang w:val="en-US" w:eastAsia="en-US"/>
              </w:rPr>
              <w:t>xcitability</w:t>
            </w:r>
          </w:p>
        </w:tc>
        <w:tc>
          <w:tcPr>
            <w:tcW w:w="1005" w:type="pct"/>
            <w:tcBorders>
              <w:top w:val="single" w:color="auto" w:sz="4" w:space="0"/>
              <w:left w:val="nil"/>
              <w:bottom w:val="nil"/>
              <w:right w:val="nil"/>
            </w:tcBorders>
            <w:vAlign w:val="center"/>
          </w:tcPr>
          <w:p>
            <w:pPr>
              <w:widowControl w:val="0"/>
              <w:spacing w:line="252" w:lineRule="auto"/>
              <w:jc w:val="center"/>
              <w:rPr>
                <w:color w:val="000000"/>
                <w:sz w:val="16"/>
                <w:szCs w:val="16"/>
                <w:lang w:val="en-US"/>
              </w:rPr>
            </w:pPr>
            <w:r>
              <w:rPr>
                <w:color w:val="000000"/>
                <w:sz w:val="16"/>
                <w:szCs w:val="16"/>
                <w:lang w:val="en-US"/>
              </w:rPr>
              <w:t>0.</w:t>
            </w:r>
            <w:r>
              <w:rPr>
                <w:rFonts w:hint="eastAsia"/>
                <w:color w:val="000000"/>
                <w:sz w:val="16"/>
                <w:szCs w:val="16"/>
                <w:lang w:val="en-US"/>
              </w:rPr>
              <w:t>839</w:t>
            </w:r>
            <w:r>
              <w:rPr>
                <w:rFonts w:ascii="Cambria Math" w:hAnsi="Cambria Math" w:cs="Cambria Math"/>
                <w:bCs/>
                <w:sz w:val="16"/>
                <w:szCs w:val="16"/>
                <w:lang w:val="en-US"/>
              </w:rPr>
              <w:t>∠</w:t>
            </w:r>
            <w:r>
              <w:rPr>
                <w:rFonts w:hint="eastAsia"/>
                <w:bCs/>
                <w:sz w:val="16"/>
                <w:szCs w:val="16"/>
                <w:lang w:val="en-US"/>
              </w:rPr>
              <w:t>0</w:t>
            </w:r>
            <w:r>
              <w:rPr>
                <w:spacing w:val="6"/>
                <w:kern w:val="20"/>
                <w:sz w:val="20"/>
                <w:lang w:val="en-US"/>
              </w:rPr>
              <w:t>°</w:t>
            </w:r>
          </w:p>
        </w:tc>
        <w:tc>
          <w:tcPr>
            <w:tcW w:w="1057" w:type="pct"/>
            <w:tcBorders>
              <w:top w:val="single" w:color="auto" w:sz="4" w:space="0"/>
              <w:left w:val="nil"/>
              <w:bottom w:val="nil"/>
              <w:right w:val="nil"/>
            </w:tcBorders>
            <w:vAlign w:val="center"/>
          </w:tcPr>
          <w:p>
            <w:pPr>
              <w:widowControl w:val="0"/>
              <w:spacing w:line="252" w:lineRule="auto"/>
              <w:jc w:val="left"/>
              <w:rPr>
                <w:color w:val="000000"/>
                <w:sz w:val="16"/>
                <w:szCs w:val="16"/>
                <w:lang w:val="en-US"/>
              </w:rPr>
            </w:pPr>
            <w:r>
              <w:rPr>
                <w:rFonts w:hint="eastAsia"/>
                <w:color w:val="000000"/>
                <w:sz w:val="16"/>
                <w:szCs w:val="16"/>
                <w:lang w:val="en-US"/>
              </w:rPr>
              <w:t>0.297</w:t>
            </w:r>
            <w:r>
              <w:rPr>
                <w:rFonts w:ascii="Cambria Math" w:hAnsi="Cambria Math" w:cs="Cambria Math"/>
                <w:color w:val="000000"/>
                <w:sz w:val="16"/>
                <w:szCs w:val="16"/>
                <w:lang w:val="en-US"/>
              </w:rPr>
              <w:t>∠</w:t>
            </w:r>
            <w:r>
              <w:rPr>
                <w:rFonts w:hint="eastAsia"/>
                <w:color w:val="000000"/>
                <w:sz w:val="16"/>
                <w:szCs w:val="16"/>
                <w:lang w:val="en-US"/>
              </w:rPr>
              <w:t>-0.25</w:t>
            </w:r>
            <w:r>
              <w:rPr>
                <w:color w:val="000000"/>
                <w:sz w:val="16"/>
                <w:szCs w:val="16"/>
                <w:lang w:val="en-US"/>
              </w:rPr>
              <w:t>°</w:t>
            </w:r>
          </w:p>
        </w:tc>
        <w:tc>
          <w:tcPr>
            <w:tcW w:w="1057" w:type="pct"/>
            <w:tcBorders>
              <w:top w:val="single" w:color="auto" w:sz="4" w:space="0"/>
              <w:left w:val="nil"/>
              <w:bottom w:val="nil"/>
              <w:right w:val="nil"/>
            </w:tcBorders>
            <w:vAlign w:val="center"/>
          </w:tcPr>
          <w:p>
            <w:pPr>
              <w:widowControl w:val="0"/>
              <w:spacing w:line="252" w:lineRule="auto"/>
              <w:jc w:val="left"/>
              <w:rPr>
                <w:color w:val="000000"/>
                <w:sz w:val="16"/>
                <w:szCs w:val="16"/>
                <w:lang w:val="en-US"/>
              </w:rPr>
            </w:pPr>
            <w:r>
              <w:rPr>
                <w:rFonts w:hint="eastAsia"/>
                <w:color w:val="000000"/>
                <w:sz w:val="16"/>
                <w:szCs w:val="16"/>
                <w:lang w:val="en-US"/>
              </w:rPr>
              <w:t>0.457</w:t>
            </w:r>
            <w:r>
              <w:rPr>
                <w:rFonts w:ascii="Cambria Math" w:hAnsi="Cambria Math" w:cs="Cambria Math"/>
                <w:color w:val="000000"/>
                <w:sz w:val="16"/>
                <w:szCs w:val="16"/>
                <w:lang w:val="en-US"/>
              </w:rPr>
              <w:t>∠</w:t>
            </w:r>
            <w:r>
              <w:rPr>
                <w:rFonts w:hint="eastAsia"/>
                <w:color w:val="000000"/>
                <w:sz w:val="16"/>
                <w:szCs w:val="16"/>
                <w:lang w:val="en-US"/>
              </w:rPr>
              <w:t>-0.05</w:t>
            </w:r>
            <w:r>
              <w:rPr>
                <w:color w:val="000000"/>
                <w:sz w:val="16"/>
                <w:szCs w:val="16"/>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13" w:type="pct"/>
            <w:vMerge w:val="continue"/>
            <w:tcBorders>
              <w:top w:val="nil"/>
              <w:left w:val="nil"/>
              <w:bottom w:val="nil"/>
              <w:right w:val="nil"/>
            </w:tcBorders>
            <w:vAlign w:val="center"/>
          </w:tcPr>
          <w:p>
            <w:pPr>
              <w:widowControl w:val="0"/>
              <w:spacing w:line="252" w:lineRule="auto"/>
              <w:ind w:firstLine="344"/>
              <w:jc w:val="center"/>
              <w:rPr>
                <w:rFonts w:eastAsia="Times New Roman"/>
                <w:color w:val="000000"/>
                <w:sz w:val="16"/>
                <w:szCs w:val="16"/>
                <w:lang w:val="en-US" w:eastAsia="en-US"/>
              </w:rPr>
            </w:pPr>
          </w:p>
        </w:tc>
        <w:tc>
          <w:tcPr>
            <w:tcW w:w="1065" w:type="pct"/>
            <w:tcBorders>
              <w:top w:val="nil"/>
              <w:left w:val="nil"/>
              <w:bottom w:val="nil"/>
              <w:right w:val="nil"/>
            </w:tcBorders>
            <w:vAlign w:val="center"/>
          </w:tcPr>
          <w:p>
            <w:pPr>
              <w:widowControl w:val="0"/>
              <w:spacing w:line="252" w:lineRule="auto"/>
              <w:jc w:val="left"/>
              <w:rPr>
                <w:rFonts w:eastAsia="Times New Roman"/>
                <w:color w:val="000000"/>
                <w:sz w:val="16"/>
                <w:szCs w:val="16"/>
                <w:lang w:val="en-US" w:eastAsia="en-US"/>
              </w:rPr>
            </w:pPr>
            <w:r>
              <w:rPr>
                <w:rFonts w:eastAsia="Times New Roman"/>
                <w:color w:val="000000"/>
                <w:sz w:val="16"/>
                <w:szCs w:val="16"/>
                <w:lang w:val="en-US" w:eastAsia="en-US"/>
              </w:rPr>
              <w:t>Observability</w:t>
            </w:r>
          </w:p>
        </w:tc>
        <w:tc>
          <w:tcPr>
            <w:tcW w:w="1005" w:type="pct"/>
            <w:tcBorders>
              <w:top w:val="nil"/>
              <w:left w:val="nil"/>
              <w:bottom w:val="nil"/>
              <w:right w:val="nil"/>
            </w:tcBorders>
            <w:vAlign w:val="center"/>
          </w:tcPr>
          <w:p>
            <w:pPr>
              <w:widowControl w:val="0"/>
              <w:spacing w:line="280" w:lineRule="exact"/>
              <w:jc w:val="center"/>
              <w:rPr>
                <w:bCs/>
                <w:sz w:val="16"/>
                <w:szCs w:val="16"/>
                <w:lang w:val="en-US"/>
              </w:rPr>
            </w:pPr>
            <w:r>
              <w:rPr>
                <w:rFonts w:hint="eastAsia"/>
                <w:bCs/>
                <w:sz w:val="16"/>
                <w:szCs w:val="16"/>
                <w:lang w:val="en-US"/>
              </w:rPr>
              <w:t>0.839</w:t>
            </w:r>
            <w:r>
              <w:rPr>
                <w:rFonts w:ascii="Cambria Math" w:hAnsi="Cambria Math" w:cs="Cambria Math"/>
                <w:bCs/>
                <w:sz w:val="16"/>
                <w:szCs w:val="16"/>
                <w:lang w:val="en-US"/>
              </w:rPr>
              <w:t>∠</w:t>
            </w:r>
            <w:r>
              <w:rPr>
                <w:rFonts w:hint="eastAsia"/>
                <w:bCs/>
                <w:sz w:val="16"/>
                <w:szCs w:val="16"/>
                <w:lang w:val="en-US"/>
              </w:rPr>
              <w:t>0.07</w:t>
            </w:r>
            <w:r>
              <w:rPr>
                <w:bCs/>
                <w:sz w:val="16"/>
                <w:szCs w:val="16"/>
                <w:lang w:val="en-US"/>
              </w:rPr>
              <w:t>°</w:t>
            </w:r>
          </w:p>
        </w:tc>
        <w:tc>
          <w:tcPr>
            <w:tcW w:w="1057" w:type="pct"/>
            <w:tcBorders>
              <w:top w:val="nil"/>
              <w:left w:val="nil"/>
              <w:bottom w:val="nil"/>
              <w:right w:val="nil"/>
            </w:tcBorders>
            <w:vAlign w:val="center"/>
          </w:tcPr>
          <w:p>
            <w:pPr>
              <w:widowControl w:val="0"/>
              <w:spacing w:line="280" w:lineRule="exact"/>
              <w:jc w:val="center"/>
              <w:rPr>
                <w:bCs/>
                <w:sz w:val="16"/>
                <w:szCs w:val="16"/>
                <w:lang w:val="en-US"/>
              </w:rPr>
            </w:pPr>
            <w:r>
              <w:rPr>
                <w:rFonts w:hint="eastAsia"/>
                <w:bCs/>
                <w:sz w:val="16"/>
                <w:szCs w:val="16"/>
                <w:lang w:val="en-US"/>
              </w:rPr>
              <w:t>0.297</w:t>
            </w:r>
            <w:r>
              <w:rPr>
                <w:rFonts w:ascii="Cambria Math" w:hAnsi="Cambria Math" w:cs="Cambria Math"/>
                <w:bCs/>
                <w:sz w:val="16"/>
                <w:szCs w:val="16"/>
                <w:lang w:val="en-US"/>
              </w:rPr>
              <w:t>∠</w:t>
            </w:r>
            <w:r>
              <w:rPr>
                <w:rFonts w:hint="eastAsia"/>
                <w:bCs/>
                <w:sz w:val="16"/>
                <w:szCs w:val="16"/>
                <w:lang w:val="en-US"/>
              </w:rPr>
              <w:t>-0.19</w:t>
            </w:r>
            <w:r>
              <w:rPr>
                <w:bCs/>
                <w:sz w:val="16"/>
                <w:szCs w:val="16"/>
                <w:lang w:val="en-US"/>
              </w:rPr>
              <w:t>°</w:t>
            </w:r>
          </w:p>
        </w:tc>
        <w:tc>
          <w:tcPr>
            <w:tcW w:w="1057" w:type="pct"/>
            <w:tcBorders>
              <w:top w:val="nil"/>
              <w:left w:val="nil"/>
              <w:bottom w:val="nil"/>
              <w:right w:val="nil"/>
            </w:tcBorders>
            <w:vAlign w:val="center"/>
          </w:tcPr>
          <w:p>
            <w:pPr>
              <w:widowControl w:val="0"/>
              <w:spacing w:line="252" w:lineRule="auto"/>
              <w:jc w:val="center"/>
              <w:rPr>
                <w:color w:val="000000"/>
                <w:sz w:val="16"/>
                <w:szCs w:val="16"/>
                <w:lang w:val="en-US"/>
              </w:rPr>
            </w:pPr>
            <w:r>
              <w:rPr>
                <w:rFonts w:hint="eastAsia"/>
                <w:color w:val="000000"/>
                <w:sz w:val="16"/>
                <w:szCs w:val="16"/>
                <w:lang w:val="en-US"/>
              </w:rPr>
              <w:t>0.457</w:t>
            </w:r>
            <w:r>
              <w:rPr>
                <w:rFonts w:ascii="Cambria Math" w:hAnsi="Cambria Math" w:cs="Cambria Math"/>
                <w:color w:val="000000"/>
                <w:sz w:val="16"/>
                <w:szCs w:val="16"/>
                <w:lang w:val="en-US"/>
              </w:rPr>
              <w:t>∠</w:t>
            </w:r>
            <w:r>
              <w:rPr>
                <w:rFonts w:hint="eastAsia"/>
                <w:color w:val="000000"/>
                <w:sz w:val="16"/>
                <w:szCs w:val="16"/>
                <w:lang w:val="en-US"/>
              </w:rPr>
              <w:t>0.13</w:t>
            </w:r>
            <w:r>
              <w:rPr>
                <w:color w:val="000000"/>
                <w:sz w:val="16"/>
                <w:szCs w:val="16"/>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13" w:type="pct"/>
            <w:vMerge w:val="continue"/>
            <w:tcBorders>
              <w:top w:val="nil"/>
              <w:left w:val="nil"/>
              <w:bottom w:val="nil"/>
              <w:right w:val="nil"/>
            </w:tcBorders>
            <w:vAlign w:val="center"/>
          </w:tcPr>
          <w:p>
            <w:pPr>
              <w:widowControl w:val="0"/>
              <w:spacing w:line="252" w:lineRule="auto"/>
              <w:ind w:firstLine="344"/>
              <w:jc w:val="center"/>
              <w:rPr>
                <w:rFonts w:eastAsia="Times New Roman"/>
                <w:color w:val="000000"/>
                <w:sz w:val="16"/>
                <w:szCs w:val="16"/>
                <w:lang w:val="en-US" w:eastAsia="en-US"/>
              </w:rPr>
            </w:pPr>
          </w:p>
        </w:tc>
        <w:tc>
          <w:tcPr>
            <w:tcW w:w="1065" w:type="pct"/>
            <w:tcBorders>
              <w:top w:val="nil"/>
              <w:left w:val="nil"/>
              <w:bottom w:val="nil"/>
              <w:right w:val="nil"/>
            </w:tcBorders>
            <w:vAlign w:val="center"/>
          </w:tcPr>
          <w:p>
            <w:pPr>
              <w:widowControl w:val="0"/>
              <w:spacing w:line="252" w:lineRule="auto"/>
              <w:ind w:firstLine="344"/>
              <w:jc w:val="left"/>
              <w:rPr>
                <w:color w:val="000000"/>
                <w:sz w:val="16"/>
                <w:szCs w:val="16"/>
                <w:lang w:val="en-US"/>
              </w:rPr>
            </w:pPr>
            <w:r>
              <w:rPr>
                <w:rFonts w:eastAsia="Times New Roman"/>
                <w:color w:val="000000"/>
                <w:sz w:val="16"/>
                <w:szCs w:val="16"/>
                <w:lang w:val="en-US" w:eastAsia="en-US"/>
              </w:rPr>
              <w:t>P</w:t>
            </w:r>
            <w:r>
              <w:rPr>
                <w:rFonts w:hint="eastAsia"/>
                <w:color w:val="000000"/>
                <w:sz w:val="16"/>
                <w:szCs w:val="16"/>
                <w:lang w:val="en-US"/>
              </w:rPr>
              <w:t>.F.</w:t>
            </w:r>
          </w:p>
        </w:tc>
        <w:tc>
          <w:tcPr>
            <w:tcW w:w="1005" w:type="pct"/>
            <w:tcBorders>
              <w:top w:val="nil"/>
              <w:left w:val="nil"/>
              <w:bottom w:val="nil"/>
              <w:right w:val="nil"/>
            </w:tcBorders>
            <w:vAlign w:val="center"/>
          </w:tcPr>
          <w:p>
            <w:pPr>
              <w:widowControl w:val="0"/>
              <w:spacing w:line="280" w:lineRule="exact"/>
              <w:jc w:val="center"/>
              <w:rPr>
                <w:bCs/>
                <w:sz w:val="16"/>
                <w:szCs w:val="16"/>
                <w:lang w:val="en-US"/>
              </w:rPr>
            </w:pPr>
            <w:r>
              <w:rPr>
                <w:bCs/>
                <w:sz w:val="16"/>
                <w:szCs w:val="16"/>
                <w:lang w:val="en-US"/>
              </w:rPr>
              <w:t>0.</w:t>
            </w:r>
            <w:r>
              <w:rPr>
                <w:rFonts w:hint="eastAsia"/>
                <w:bCs/>
                <w:sz w:val="16"/>
                <w:szCs w:val="16"/>
                <w:lang w:val="en-US"/>
              </w:rPr>
              <w:t>703</w:t>
            </w:r>
          </w:p>
        </w:tc>
        <w:tc>
          <w:tcPr>
            <w:tcW w:w="1057" w:type="pct"/>
            <w:tcBorders>
              <w:top w:val="nil"/>
              <w:left w:val="nil"/>
              <w:bottom w:val="nil"/>
              <w:right w:val="nil"/>
            </w:tcBorders>
            <w:vAlign w:val="center"/>
          </w:tcPr>
          <w:p>
            <w:pPr>
              <w:widowControl w:val="0"/>
              <w:spacing w:line="280" w:lineRule="exact"/>
              <w:jc w:val="center"/>
              <w:rPr>
                <w:bCs/>
                <w:sz w:val="16"/>
                <w:szCs w:val="16"/>
                <w:lang w:val="en-US"/>
              </w:rPr>
            </w:pPr>
            <w:r>
              <w:rPr>
                <w:bCs/>
                <w:sz w:val="16"/>
                <w:szCs w:val="16"/>
                <w:lang w:val="en-US"/>
              </w:rPr>
              <w:t>0.</w:t>
            </w:r>
            <w:r>
              <w:rPr>
                <w:rFonts w:hint="eastAsia"/>
                <w:bCs/>
                <w:sz w:val="16"/>
                <w:szCs w:val="16"/>
                <w:lang w:val="en-US"/>
              </w:rPr>
              <w:t>088</w:t>
            </w:r>
          </w:p>
        </w:tc>
        <w:tc>
          <w:tcPr>
            <w:tcW w:w="1057" w:type="pct"/>
            <w:tcBorders>
              <w:top w:val="nil"/>
              <w:left w:val="nil"/>
              <w:bottom w:val="nil"/>
              <w:right w:val="nil"/>
            </w:tcBorders>
            <w:vAlign w:val="center"/>
          </w:tcPr>
          <w:p>
            <w:pPr>
              <w:widowControl w:val="0"/>
              <w:spacing w:line="252" w:lineRule="auto"/>
              <w:jc w:val="center"/>
              <w:rPr>
                <w:color w:val="000000"/>
                <w:sz w:val="16"/>
                <w:szCs w:val="16"/>
                <w:lang w:val="en-US"/>
              </w:rPr>
            </w:pPr>
            <w:r>
              <w:rPr>
                <w:color w:val="000000"/>
                <w:sz w:val="16"/>
                <w:szCs w:val="16"/>
                <w:lang w:val="en-US"/>
              </w:rPr>
              <w:t>0.</w:t>
            </w:r>
            <w:r>
              <w:rPr>
                <w:rFonts w:hint="eastAsia"/>
                <w:color w:val="000000"/>
                <w:sz w:val="16"/>
                <w:szCs w:val="16"/>
                <w:lang w:val="en-US"/>
              </w:rPr>
              <w:t>208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13" w:type="pct"/>
            <w:vMerge w:val="restart"/>
            <w:tcBorders>
              <w:top w:val="nil"/>
              <w:left w:val="nil"/>
              <w:bottom w:val="nil"/>
              <w:right w:val="nil"/>
            </w:tcBorders>
            <w:vAlign w:val="center"/>
          </w:tcPr>
          <w:p>
            <w:pPr>
              <w:widowControl w:val="0"/>
              <w:spacing w:line="252" w:lineRule="auto"/>
              <w:jc w:val="center"/>
              <w:rPr>
                <w:color w:val="000000"/>
                <w:sz w:val="16"/>
                <w:szCs w:val="16"/>
                <w:lang w:val="en-US"/>
              </w:rPr>
            </w:pPr>
            <w:r>
              <w:rPr>
                <w:color w:val="000000"/>
                <w:sz w:val="16"/>
                <w:szCs w:val="16"/>
                <w:lang w:val="en-US"/>
              </w:rPr>
              <w:t>2</w:t>
            </w:r>
          </w:p>
          <w:p>
            <w:pPr>
              <w:widowControl w:val="0"/>
              <w:spacing w:line="252" w:lineRule="auto"/>
              <w:jc w:val="center"/>
              <w:rPr>
                <w:color w:val="000000"/>
                <w:sz w:val="16"/>
                <w:szCs w:val="16"/>
                <w:lang w:val="en-US"/>
              </w:rPr>
            </w:pPr>
            <w:r>
              <w:rPr>
                <w:color w:val="000000"/>
                <w:sz w:val="16"/>
                <w:szCs w:val="16"/>
                <w:lang w:val="en-US"/>
              </w:rPr>
              <w:t>(2752Hz)</w:t>
            </w:r>
          </w:p>
        </w:tc>
        <w:tc>
          <w:tcPr>
            <w:tcW w:w="1065" w:type="pct"/>
            <w:tcBorders>
              <w:top w:val="nil"/>
              <w:left w:val="nil"/>
              <w:bottom w:val="nil"/>
              <w:right w:val="nil"/>
            </w:tcBorders>
            <w:vAlign w:val="center"/>
          </w:tcPr>
          <w:p>
            <w:pPr>
              <w:widowControl w:val="0"/>
              <w:spacing w:line="252" w:lineRule="auto"/>
              <w:jc w:val="left"/>
              <w:rPr>
                <w:rFonts w:eastAsia="Times New Roman"/>
                <w:color w:val="000000"/>
                <w:sz w:val="16"/>
                <w:szCs w:val="16"/>
                <w:lang w:val="en-US" w:eastAsia="en-US"/>
              </w:rPr>
            </w:pPr>
            <w:r>
              <w:rPr>
                <w:rFonts w:hint="eastAsia"/>
                <w:color w:val="000000"/>
                <w:sz w:val="16"/>
                <w:szCs w:val="16"/>
                <w:lang w:val="en-US"/>
              </w:rPr>
              <w:t>E</w:t>
            </w:r>
            <w:r>
              <w:rPr>
                <w:rFonts w:eastAsia="Times New Roman"/>
                <w:color w:val="000000"/>
                <w:sz w:val="16"/>
                <w:szCs w:val="16"/>
                <w:lang w:val="en-US" w:eastAsia="en-US"/>
              </w:rPr>
              <w:t>xcitability</w:t>
            </w:r>
          </w:p>
        </w:tc>
        <w:tc>
          <w:tcPr>
            <w:tcW w:w="1005" w:type="pct"/>
            <w:tcBorders>
              <w:top w:val="nil"/>
              <w:left w:val="nil"/>
              <w:bottom w:val="nil"/>
              <w:right w:val="nil"/>
            </w:tcBorders>
            <w:vAlign w:val="center"/>
          </w:tcPr>
          <w:p>
            <w:pPr>
              <w:widowControl w:val="0"/>
              <w:spacing w:line="280" w:lineRule="exact"/>
              <w:jc w:val="center"/>
              <w:rPr>
                <w:bCs/>
                <w:sz w:val="16"/>
                <w:szCs w:val="16"/>
                <w:lang w:val="en-US"/>
              </w:rPr>
            </w:pPr>
            <w:r>
              <w:rPr>
                <w:rFonts w:hint="eastAsia"/>
                <w:bCs/>
                <w:sz w:val="16"/>
                <w:szCs w:val="16"/>
                <w:lang w:val="en-US"/>
              </w:rPr>
              <w:t>0.05</w:t>
            </w:r>
            <w:r>
              <w:rPr>
                <w:rFonts w:ascii="Cambria Math" w:hAnsi="Cambria Math" w:cs="Cambria Math"/>
                <w:bCs/>
                <w:sz w:val="16"/>
                <w:szCs w:val="16"/>
                <w:lang w:val="en-US"/>
              </w:rPr>
              <w:t>∠</w:t>
            </w:r>
            <w:r>
              <w:rPr>
                <w:rFonts w:hint="eastAsia"/>
                <w:bCs/>
                <w:sz w:val="16"/>
                <w:szCs w:val="16"/>
                <w:lang w:val="en-US"/>
              </w:rPr>
              <w:t>0</w:t>
            </w:r>
            <w:r>
              <w:rPr>
                <w:bCs/>
                <w:sz w:val="16"/>
                <w:szCs w:val="16"/>
                <w:lang w:val="en-US"/>
              </w:rPr>
              <w:t>°</w:t>
            </w:r>
          </w:p>
        </w:tc>
        <w:tc>
          <w:tcPr>
            <w:tcW w:w="1057" w:type="pct"/>
            <w:tcBorders>
              <w:top w:val="nil"/>
              <w:left w:val="nil"/>
              <w:bottom w:val="nil"/>
              <w:right w:val="nil"/>
            </w:tcBorders>
            <w:vAlign w:val="center"/>
          </w:tcPr>
          <w:p>
            <w:pPr>
              <w:widowControl w:val="0"/>
              <w:spacing w:line="280" w:lineRule="exact"/>
              <w:jc w:val="center"/>
              <w:rPr>
                <w:bCs/>
                <w:sz w:val="16"/>
                <w:szCs w:val="16"/>
                <w:lang w:val="en-US"/>
              </w:rPr>
            </w:pPr>
            <w:r>
              <w:rPr>
                <w:rFonts w:hint="eastAsia"/>
                <w:bCs/>
                <w:sz w:val="16"/>
                <w:szCs w:val="16"/>
                <w:lang w:val="en-US"/>
              </w:rPr>
              <w:t>0.917</w:t>
            </w:r>
            <w:r>
              <w:rPr>
                <w:rFonts w:ascii="Cambria Math" w:hAnsi="Cambria Math" w:cs="Cambria Math"/>
                <w:bCs/>
                <w:sz w:val="16"/>
                <w:szCs w:val="16"/>
                <w:lang w:val="en-US"/>
              </w:rPr>
              <w:t>∠</w:t>
            </w:r>
            <w:r>
              <w:rPr>
                <w:rFonts w:hint="eastAsia"/>
                <w:bCs/>
                <w:sz w:val="16"/>
                <w:szCs w:val="16"/>
                <w:lang w:val="en-US"/>
              </w:rPr>
              <w:t>0</w:t>
            </w:r>
            <w:r>
              <w:rPr>
                <w:bCs/>
                <w:sz w:val="16"/>
                <w:szCs w:val="16"/>
                <w:lang w:val="en-US"/>
              </w:rPr>
              <w:t>°</w:t>
            </w:r>
          </w:p>
        </w:tc>
        <w:tc>
          <w:tcPr>
            <w:tcW w:w="1057" w:type="pct"/>
            <w:tcBorders>
              <w:top w:val="nil"/>
              <w:left w:val="nil"/>
              <w:bottom w:val="nil"/>
              <w:right w:val="nil"/>
            </w:tcBorders>
            <w:vAlign w:val="center"/>
          </w:tcPr>
          <w:p>
            <w:pPr>
              <w:widowControl w:val="0"/>
              <w:spacing w:line="252" w:lineRule="auto"/>
              <w:jc w:val="center"/>
              <w:rPr>
                <w:color w:val="000000"/>
                <w:sz w:val="16"/>
                <w:szCs w:val="16"/>
                <w:lang w:val="en-US"/>
              </w:rPr>
            </w:pPr>
            <w:r>
              <w:rPr>
                <w:rFonts w:hint="eastAsia"/>
                <w:color w:val="000000"/>
                <w:sz w:val="16"/>
                <w:szCs w:val="16"/>
                <w:lang w:val="en-US"/>
              </w:rPr>
              <w:t>0.396</w:t>
            </w:r>
            <w:r>
              <w:rPr>
                <w:rFonts w:ascii="Cambria Math" w:hAnsi="Cambria Math" w:cs="Cambria Math"/>
                <w:color w:val="000000"/>
                <w:sz w:val="16"/>
                <w:szCs w:val="16"/>
                <w:lang w:val="en-US"/>
              </w:rPr>
              <w:t>∠</w:t>
            </w:r>
            <w:r>
              <w:rPr>
                <w:rFonts w:hint="eastAsia"/>
                <w:color w:val="000000"/>
                <w:sz w:val="16"/>
                <w:szCs w:val="16"/>
                <w:lang w:val="en-US"/>
              </w:rPr>
              <w:t>0.03</w:t>
            </w:r>
            <w:r>
              <w:rPr>
                <w:color w:val="000000"/>
                <w:sz w:val="16"/>
                <w:szCs w:val="16"/>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13" w:type="pct"/>
            <w:vMerge w:val="continue"/>
            <w:tcBorders>
              <w:top w:val="nil"/>
              <w:left w:val="nil"/>
              <w:bottom w:val="nil"/>
              <w:right w:val="nil"/>
            </w:tcBorders>
            <w:vAlign w:val="center"/>
          </w:tcPr>
          <w:p>
            <w:pPr>
              <w:widowControl w:val="0"/>
              <w:spacing w:line="252" w:lineRule="auto"/>
              <w:ind w:firstLine="344"/>
              <w:jc w:val="center"/>
              <w:rPr>
                <w:rFonts w:eastAsia="Times New Roman"/>
                <w:color w:val="000000"/>
                <w:sz w:val="16"/>
                <w:szCs w:val="16"/>
                <w:lang w:val="en-US" w:eastAsia="en-US"/>
              </w:rPr>
            </w:pPr>
          </w:p>
        </w:tc>
        <w:tc>
          <w:tcPr>
            <w:tcW w:w="1065" w:type="pct"/>
            <w:tcBorders>
              <w:top w:val="nil"/>
              <w:left w:val="nil"/>
              <w:bottom w:val="nil"/>
              <w:right w:val="nil"/>
            </w:tcBorders>
            <w:vAlign w:val="center"/>
          </w:tcPr>
          <w:p>
            <w:pPr>
              <w:widowControl w:val="0"/>
              <w:spacing w:line="252" w:lineRule="auto"/>
              <w:jc w:val="left"/>
              <w:rPr>
                <w:rFonts w:eastAsia="Times New Roman"/>
                <w:color w:val="000000"/>
                <w:sz w:val="16"/>
                <w:szCs w:val="16"/>
                <w:lang w:val="en-US" w:eastAsia="en-US"/>
              </w:rPr>
            </w:pPr>
            <w:r>
              <w:rPr>
                <w:rFonts w:eastAsia="Times New Roman"/>
                <w:color w:val="000000"/>
                <w:sz w:val="16"/>
                <w:szCs w:val="16"/>
                <w:lang w:val="en-US" w:eastAsia="en-US"/>
              </w:rPr>
              <w:t>Observability</w:t>
            </w:r>
          </w:p>
        </w:tc>
        <w:tc>
          <w:tcPr>
            <w:tcW w:w="1005" w:type="pct"/>
            <w:tcBorders>
              <w:top w:val="nil"/>
              <w:left w:val="nil"/>
              <w:bottom w:val="nil"/>
              <w:right w:val="nil"/>
            </w:tcBorders>
            <w:vAlign w:val="center"/>
          </w:tcPr>
          <w:p>
            <w:pPr>
              <w:widowControl w:val="0"/>
              <w:spacing w:line="280" w:lineRule="exact"/>
              <w:jc w:val="center"/>
              <w:rPr>
                <w:bCs/>
                <w:sz w:val="16"/>
                <w:szCs w:val="16"/>
                <w:lang w:val="en-US"/>
              </w:rPr>
            </w:pPr>
            <w:r>
              <w:rPr>
                <w:rFonts w:hint="eastAsia"/>
                <w:bCs/>
                <w:sz w:val="16"/>
                <w:szCs w:val="16"/>
                <w:lang w:val="en-US"/>
              </w:rPr>
              <w:t>0.05</w:t>
            </w:r>
            <w:r>
              <w:rPr>
                <w:rFonts w:ascii="Cambria Math" w:hAnsi="Cambria Math" w:cs="Cambria Math"/>
                <w:bCs/>
                <w:sz w:val="16"/>
                <w:szCs w:val="16"/>
                <w:lang w:val="en-US"/>
              </w:rPr>
              <w:t>∠</w:t>
            </w:r>
            <w:r>
              <w:rPr>
                <w:rFonts w:hint="eastAsia"/>
                <w:bCs/>
                <w:sz w:val="16"/>
                <w:szCs w:val="16"/>
                <w:lang w:val="en-US"/>
              </w:rPr>
              <w:t>0</w:t>
            </w:r>
            <w:r>
              <w:rPr>
                <w:bCs/>
                <w:sz w:val="16"/>
                <w:szCs w:val="16"/>
                <w:lang w:val="en-US"/>
              </w:rPr>
              <w:t>°</w:t>
            </w:r>
          </w:p>
        </w:tc>
        <w:tc>
          <w:tcPr>
            <w:tcW w:w="1057" w:type="pct"/>
            <w:tcBorders>
              <w:top w:val="nil"/>
              <w:left w:val="nil"/>
              <w:bottom w:val="nil"/>
              <w:right w:val="nil"/>
            </w:tcBorders>
            <w:vAlign w:val="center"/>
          </w:tcPr>
          <w:p>
            <w:pPr>
              <w:widowControl w:val="0"/>
              <w:spacing w:line="280" w:lineRule="exact"/>
              <w:jc w:val="center"/>
              <w:rPr>
                <w:bCs/>
                <w:sz w:val="16"/>
                <w:szCs w:val="16"/>
                <w:lang w:val="en-US"/>
              </w:rPr>
            </w:pPr>
            <w:r>
              <w:rPr>
                <w:rFonts w:hint="eastAsia"/>
                <w:bCs/>
                <w:sz w:val="16"/>
                <w:szCs w:val="16"/>
                <w:lang w:val="en-US"/>
              </w:rPr>
              <w:t>0.917</w:t>
            </w:r>
            <w:r>
              <w:rPr>
                <w:rFonts w:ascii="Cambria Math" w:hAnsi="Cambria Math" w:cs="Cambria Math"/>
                <w:bCs/>
                <w:sz w:val="16"/>
                <w:szCs w:val="16"/>
                <w:lang w:val="en-US"/>
              </w:rPr>
              <w:t>∠</w:t>
            </w:r>
            <w:r>
              <w:rPr>
                <w:rFonts w:hint="eastAsia"/>
                <w:bCs/>
                <w:sz w:val="16"/>
                <w:szCs w:val="16"/>
                <w:lang w:val="en-US"/>
              </w:rPr>
              <w:t>0</w:t>
            </w:r>
            <w:r>
              <w:rPr>
                <w:bCs/>
                <w:sz w:val="16"/>
                <w:szCs w:val="16"/>
                <w:lang w:val="en-US"/>
              </w:rPr>
              <w:t>°</w:t>
            </w:r>
          </w:p>
        </w:tc>
        <w:tc>
          <w:tcPr>
            <w:tcW w:w="1057" w:type="pct"/>
            <w:tcBorders>
              <w:top w:val="nil"/>
              <w:left w:val="nil"/>
              <w:bottom w:val="nil"/>
              <w:right w:val="nil"/>
            </w:tcBorders>
            <w:vAlign w:val="center"/>
          </w:tcPr>
          <w:p>
            <w:pPr>
              <w:widowControl w:val="0"/>
              <w:spacing w:line="252" w:lineRule="auto"/>
              <w:jc w:val="center"/>
              <w:rPr>
                <w:color w:val="000000"/>
                <w:sz w:val="16"/>
                <w:szCs w:val="16"/>
                <w:lang w:val="en-US"/>
              </w:rPr>
            </w:pPr>
            <w:r>
              <w:rPr>
                <w:rFonts w:hint="eastAsia"/>
                <w:color w:val="000000"/>
                <w:sz w:val="16"/>
                <w:szCs w:val="16"/>
                <w:lang w:val="en-US"/>
              </w:rPr>
              <w:t>0.396</w:t>
            </w:r>
            <w:r>
              <w:rPr>
                <w:rFonts w:ascii="Cambria Math" w:hAnsi="Cambria Math" w:cs="Cambria Math"/>
                <w:color w:val="000000"/>
                <w:sz w:val="16"/>
                <w:szCs w:val="16"/>
                <w:lang w:val="en-US"/>
              </w:rPr>
              <w:t>∠</w:t>
            </w:r>
            <w:r>
              <w:rPr>
                <w:rFonts w:hint="eastAsia"/>
                <w:color w:val="000000"/>
                <w:sz w:val="16"/>
                <w:szCs w:val="16"/>
                <w:lang w:val="en-US"/>
              </w:rPr>
              <w:t>0.01</w:t>
            </w:r>
            <w:r>
              <w:rPr>
                <w:color w:val="000000"/>
                <w:sz w:val="16"/>
                <w:szCs w:val="16"/>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13" w:type="pct"/>
            <w:vMerge w:val="continue"/>
            <w:tcBorders>
              <w:top w:val="nil"/>
              <w:left w:val="nil"/>
              <w:bottom w:val="single" w:color="auto" w:sz="4" w:space="0"/>
              <w:right w:val="nil"/>
            </w:tcBorders>
            <w:vAlign w:val="center"/>
          </w:tcPr>
          <w:p>
            <w:pPr>
              <w:widowControl w:val="0"/>
              <w:spacing w:line="252" w:lineRule="auto"/>
              <w:ind w:firstLine="344"/>
              <w:jc w:val="center"/>
              <w:rPr>
                <w:rFonts w:eastAsia="Times New Roman"/>
                <w:color w:val="000000"/>
                <w:sz w:val="16"/>
                <w:szCs w:val="16"/>
                <w:lang w:val="en-US" w:eastAsia="en-US"/>
              </w:rPr>
            </w:pPr>
          </w:p>
        </w:tc>
        <w:tc>
          <w:tcPr>
            <w:tcW w:w="1065" w:type="pct"/>
            <w:tcBorders>
              <w:top w:val="nil"/>
              <w:left w:val="nil"/>
              <w:bottom w:val="single" w:color="auto" w:sz="4" w:space="0"/>
              <w:right w:val="nil"/>
            </w:tcBorders>
            <w:vAlign w:val="center"/>
          </w:tcPr>
          <w:p>
            <w:pPr>
              <w:widowControl w:val="0"/>
              <w:spacing w:line="252" w:lineRule="auto"/>
              <w:ind w:firstLine="344"/>
              <w:jc w:val="left"/>
              <w:rPr>
                <w:color w:val="000000"/>
                <w:sz w:val="16"/>
                <w:szCs w:val="16"/>
                <w:lang w:val="en-US"/>
              </w:rPr>
            </w:pPr>
            <w:r>
              <w:rPr>
                <w:rFonts w:hint="eastAsia"/>
                <w:color w:val="000000"/>
                <w:sz w:val="16"/>
                <w:szCs w:val="16"/>
                <w:lang w:val="en-US"/>
              </w:rPr>
              <w:t>P.F.</w:t>
            </w:r>
          </w:p>
        </w:tc>
        <w:tc>
          <w:tcPr>
            <w:tcW w:w="1005" w:type="pct"/>
            <w:tcBorders>
              <w:top w:val="nil"/>
              <w:left w:val="nil"/>
              <w:bottom w:val="single" w:color="auto" w:sz="4" w:space="0"/>
              <w:right w:val="nil"/>
            </w:tcBorders>
            <w:vAlign w:val="center"/>
          </w:tcPr>
          <w:p>
            <w:pPr>
              <w:widowControl w:val="0"/>
              <w:spacing w:line="280" w:lineRule="exact"/>
              <w:jc w:val="center"/>
              <w:rPr>
                <w:bCs/>
                <w:sz w:val="16"/>
                <w:szCs w:val="16"/>
                <w:lang w:val="en-US"/>
              </w:rPr>
            </w:pPr>
            <w:r>
              <w:rPr>
                <w:bCs/>
                <w:sz w:val="16"/>
                <w:szCs w:val="16"/>
                <w:lang w:val="en-US"/>
              </w:rPr>
              <w:t>0.</w:t>
            </w:r>
            <w:r>
              <w:rPr>
                <w:rFonts w:hint="eastAsia"/>
                <w:bCs/>
                <w:sz w:val="16"/>
                <w:szCs w:val="16"/>
                <w:lang w:val="en-US"/>
              </w:rPr>
              <w:t>003</w:t>
            </w:r>
          </w:p>
        </w:tc>
        <w:tc>
          <w:tcPr>
            <w:tcW w:w="1057" w:type="pct"/>
            <w:tcBorders>
              <w:top w:val="nil"/>
              <w:left w:val="nil"/>
              <w:bottom w:val="single" w:color="auto" w:sz="4" w:space="0"/>
              <w:right w:val="nil"/>
            </w:tcBorders>
            <w:vAlign w:val="center"/>
          </w:tcPr>
          <w:p>
            <w:pPr>
              <w:widowControl w:val="0"/>
              <w:spacing w:line="280" w:lineRule="exact"/>
              <w:jc w:val="center"/>
              <w:rPr>
                <w:bCs/>
                <w:sz w:val="16"/>
                <w:szCs w:val="16"/>
                <w:lang w:val="en-US"/>
              </w:rPr>
            </w:pPr>
            <w:r>
              <w:rPr>
                <w:bCs/>
                <w:sz w:val="16"/>
                <w:szCs w:val="16"/>
                <w:lang w:val="en-US"/>
              </w:rPr>
              <w:t>0.</w:t>
            </w:r>
            <w:r>
              <w:rPr>
                <w:rFonts w:hint="eastAsia"/>
                <w:bCs/>
                <w:sz w:val="16"/>
                <w:szCs w:val="16"/>
                <w:lang w:val="en-US"/>
              </w:rPr>
              <w:t>841</w:t>
            </w:r>
          </w:p>
        </w:tc>
        <w:tc>
          <w:tcPr>
            <w:tcW w:w="1057" w:type="pct"/>
            <w:tcBorders>
              <w:top w:val="nil"/>
              <w:left w:val="nil"/>
              <w:bottom w:val="single" w:color="auto" w:sz="4" w:space="0"/>
              <w:right w:val="nil"/>
            </w:tcBorders>
            <w:vAlign w:val="center"/>
          </w:tcPr>
          <w:p>
            <w:pPr>
              <w:widowControl w:val="0"/>
              <w:spacing w:line="252" w:lineRule="auto"/>
              <w:jc w:val="center"/>
              <w:rPr>
                <w:color w:val="000000"/>
                <w:sz w:val="16"/>
                <w:szCs w:val="16"/>
                <w:lang w:val="en-US"/>
              </w:rPr>
            </w:pPr>
            <w:r>
              <w:rPr>
                <w:color w:val="000000"/>
                <w:sz w:val="16"/>
                <w:szCs w:val="16"/>
                <w:lang w:val="en-US"/>
              </w:rPr>
              <w:t>0.</w:t>
            </w:r>
            <w:r>
              <w:rPr>
                <w:rFonts w:hint="eastAsia"/>
                <w:color w:val="000000"/>
                <w:sz w:val="16"/>
                <w:szCs w:val="16"/>
                <w:lang w:val="en-US"/>
              </w:rPr>
              <w:t>157</w:t>
            </w:r>
          </w:p>
        </w:tc>
      </w:tr>
    </w:tbl>
    <w:p>
      <w:pPr>
        <w:ind w:firstLine="403"/>
        <w:jc w:val="both"/>
        <w:rPr>
          <w:rFonts w:hint="default" w:ascii="Times New Roman" w:hAnsi="Times New Roman" w:cs="Times New Roman"/>
          <w:color w:val="000000" w:themeColor="text1"/>
          <w:sz w:val="20"/>
          <w:szCs w:val="20"/>
          <w:lang w:val="en-GB"/>
          <w14:textFill>
            <w14:solidFill>
              <w14:schemeClr w14:val="tx1"/>
            </w14:solidFill>
          </w14:textFill>
        </w:rPr>
      </w:pPr>
      <w:r>
        <w:rPr>
          <w:rFonts w:hint="default" w:ascii="Times New Roman" w:hAnsi="Times New Roman" w:cs="Times New Roman"/>
          <w:color w:val="000000" w:themeColor="text1"/>
          <w:sz w:val="20"/>
          <w:szCs w:val="20"/>
          <w:lang w:val="en-GB"/>
          <w14:textFill>
            <w14:solidFill>
              <w14:schemeClr w14:val="tx1"/>
            </w14:solidFill>
          </w14:textFill>
        </w:rPr>
        <w:t xml:space="preserve">Table </w:t>
      </w:r>
      <w:r>
        <w:rPr>
          <w:rFonts w:hint="eastAsia" w:cs="Times New Roman"/>
          <w:color w:val="000000" w:themeColor="text1"/>
          <w:sz w:val="20"/>
          <w:szCs w:val="20"/>
          <w:lang w:val="en-US" w:eastAsia="zh-CN"/>
          <w14:textFill>
            <w14:solidFill>
              <w14:schemeClr w14:val="tx1"/>
            </w14:solidFill>
          </w14:textFill>
        </w:rPr>
        <w:t>2</w:t>
      </w:r>
      <w:r>
        <w:rPr>
          <w:rFonts w:hint="default" w:ascii="Times New Roman" w:hAnsi="Times New Roman" w:cs="Times New Roman"/>
          <w:color w:val="000000" w:themeColor="text1"/>
          <w:sz w:val="20"/>
          <w:szCs w:val="20"/>
          <w:lang w:val="en-GB"/>
          <w14:textFill>
            <w14:solidFill>
              <w14:schemeClr w14:val="tx1"/>
            </w14:solidFill>
          </w14:textFill>
        </w:rPr>
        <w:t xml:space="preserve"> indicates that the system depicted in Fig. 2 exhibits two resonance modes: Mode 1 at 780 Hz and Mode 2 at 3425 Hz. Mode 1 has the highest participation factor at Node 1, indicating that Node 1 is the most excitable and observable location for this mode. Mode 2 exhibits the highest participation factor at Node 2, implying that Node 2 is the most excitable and observable for this mode. Node 3 exhibits significant excitability and observability in both modes. Therefore, connecting a shunt device at Node 3 to reshape the system impedance can effectively suppress oscillations in both modes.</w:t>
      </w:r>
    </w:p>
    <w:p>
      <w:pPr>
        <w:pStyle w:val="40"/>
        <w:rPr>
          <w:color w:val="000000" w:themeColor="text1"/>
          <w14:textFill>
            <w14:solidFill>
              <w14:schemeClr w14:val="tx1"/>
            </w14:solidFill>
          </w14:textFill>
        </w:rPr>
      </w:pPr>
      <w:r>
        <w:rPr>
          <w:rFonts w:hint="eastAsia"/>
          <w:color w:val="000000" w:themeColor="text1"/>
          <w14:textFill>
            <w14:solidFill>
              <w14:schemeClr w14:val="tx1"/>
            </w14:solidFill>
          </w14:textFill>
        </w:rPr>
        <w:t>Design Criteria for Direct-Mount</w:t>
      </w:r>
      <w:r>
        <w:rPr>
          <w:rFonts w:hint="eastAsia"/>
          <w:color w:val="000000" w:themeColor="text1"/>
          <w:lang w:val="en-US" w:eastAsia="zh-CN"/>
          <w14:textFill>
            <w14:solidFill>
              <w14:schemeClr w14:val="tx1"/>
            </w14:solidFill>
          </w14:textFill>
        </w:rPr>
        <w:t>ed</w:t>
      </w:r>
      <w:r>
        <w:rPr>
          <w:rFonts w:hint="eastAsia"/>
          <w:color w:val="000000" w:themeColor="text1"/>
          <w14:textFill>
            <w14:solidFill>
              <w14:schemeClr w14:val="tx1"/>
            </w14:solidFill>
          </w14:textFill>
        </w:rPr>
        <w:t xml:space="preserve"> Damping Device</w:t>
      </w:r>
    </w:p>
    <w:p>
      <w:pPr>
        <w:ind w:firstLine="400"/>
        <w:jc w:val="both"/>
        <w:rPr>
          <w:rFonts w:hint="default" w:ascii="Times New Roman" w:hAnsi="Times New Roman" w:eastAsia="宋体" w:cs="Times New Roman"/>
          <w:color w:val="000000" w:themeColor="text1"/>
          <w:sz w:val="20"/>
          <w:szCs w:val="20"/>
          <w:lang w:val="en-US" w:eastAsia="zh-CN"/>
          <w14:textFill>
            <w14:solidFill>
              <w14:schemeClr w14:val="tx1"/>
            </w14:solidFill>
          </w14:textFill>
        </w:rPr>
      </w:pPr>
      <w:r>
        <w:rPr>
          <w:rFonts w:hint="default" w:ascii="Times New Roman" w:hAnsi="Times New Roman" w:cs="Times New Roman"/>
          <w:color w:val="000000" w:themeColor="text1"/>
          <w:sz w:val="20"/>
          <w:szCs w:val="20"/>
          <w:lang w:val="en-US" w:eastAsia="zh-CN"/>
          <w14:textFill>
            <w14:solidFill>
              <w14:schemeClr w14:val="tx1"/>
            </w14:solidFill>
          </w14:textFill>
        </w:rPr>
        <w:t>The primary purpose of parallel passive device is to attenuate multimodal resonance peaks in high</w:t>
      </w:r>
      <w:r>
        <w:rPr>
          <w:rFonts w:hint="eastAsia" w:cs="Times New Roman"/>
          <w:color w:val="000000" w:themeColor="text1"/>
          <w:sz w:val="20"/>
          <w:szCs w:val="20"/>
          <w:lang w:val="en-US" w:eastAsia="zh-CN"/>
          <w14:textFill>
            <w14:solidFill>
              <w14:schemeClr w14:val="tx1"/>
            </w14:solidFill>
          </w14:textFill>
        </w:rPr>
        <w:t xml:space="preserve"> DG penetration </w:t>
      </w:r>
      <w:r>
        <w:rPr>
          <w:rFonts w:hint="default" w:ascii="Times New Roman" w:hAnsi="Times New Roman" w:cs="Times New Roman"/>
          <w:color w:val="000000" w:themeColor="text1"/>
          <w:sz w:val="20"/>
          <w:szCs w:val="20"/>
          <w:lang w:val="en-US" w:eastAsia="zh-CN"/>
          <w14:textFill>
            <w14:solidFill>
              <w14:schemeClr w14:val="tx1"/>
            </w14:solidFill>
          </w14:textFill>
        </w:rPr>
        <w:t>distribution network</w:t>
      </w:r>
      <w:r>
        <w:rPr>
          <w:rFonts w:hint="eastAsia" w:cs="Times New Roman"/>
          <w:color w:val="000000" w:themeColor="text1"/>
          <w:sz w:val="20"/>
          <w:szCs w:val="20"/>
          <w:lang w:val="en-US" w:eastAsia="zh-CN"/>
          <w14:textFill>
            <w14:solidFill>
              <w14:schemeClr w14:val="tx1"/>
            </w14:solidFill>
          </w14:textFill>
        </w:rPr>
        <w:t xml:space="preserve"> </w:t>
      </w:r>
      <w:r>
        <w:rPr>
          <w:rFonts w:hint="default" w:ascii="Times New Roman" w:hAnsi="Times New Roman" w:cs="Times New Roman"/>
          <w:color w:val="000000" w:themeColor="text1"/>
          <w:sz w:val="20"/>
          <w:szCs w:val="20"/>
          <w:lang w:val="en-US" w:eastAsia="zh-CN"/>
          <w14:textFill>
            <w14:solidFill>
              <w14:schemeClr w14:val="tx1"/>
            </w14:solidFill>
          </w14:textFill>
        </w:rPr>
        <w:t>and enhance system damping. Additionally, the fundamental-frequency loss introduced by parallel connection must be taken into account. The parameter design should ensure that the loss remains below the specified threshold while effectively mitigating broadband harmonic oscillations in the system. The following sections provide a detailed discussion of these aspects.</w:t>
      </w:r>
    </w:p>
    <w:p>
      <w:pPr>
        <w:pStyle w:val="44"/>
        <w:numPr>
          <w:ilvl w:val="0"/>
          <w:numId w:val="0"/>
        </w:numPr>
        <w:ind w:left="360"/>
        <w:rPr>
          <w:color w:val="000000" w:themeColor="text1"/>
          <w14:textFill>
            <w14:solidFill>
              <w14:schemeClr w14:val="tx1"/>
            </w14:solidFill>
          </w14:textFill>
        </w:rPr>
      </w:pPr>
      <w:r>
        <w:rPr>
          <w:color w:val="000000" w:themeColor="text1"/>
          <w14:textFill>
            <w14:solidFill>
              <w14:schemeClr w14:val="tx1"/>
            </w14:solidFill>
          </w14:textFill>
        </w:rPr>
        <w:t xml:space="preserve">3.1 </w:t>
      </w:r>
      <w:r>
        <w:rPr>
          <w:rFonts w:hint="eastAsia"/>
          <w:color w:val="000000" w:themeColor="text1"/>
          <w14:textFill>
            <w14:solidFill>
              <w14:schemeClr w14:val="tx1"/>
            </w14:solidFill>
          </w14:textFill>
        </w:rPr>
        <w:t>Selection of Passive Devices</w:t>
      </w:r>
    </w:p>
    <w:p>
      <w:pPr>
        <w:ind w:firstLine="403"/>
        <w:jc w:val="both"/>
        <w:rPr>
          <w:rFonts w:hint="eastAsia"/>
          <w:color w:val="000000" w:themeColor="text1"/>
          <w:sz w:val="20"/>
          <w:szCs w:val="20"/>
          <w:lang w:val="en-US" w:eastAsia="zh-CN"/>
          <w14:textFill>
            <w14:solidFill>
              <w14:schemeClr w14:val="tx1"/>
            </w14:solidFill>
          </w14:textFill>
        </w:rPr>
      </w:pPr>
      <w:r>
        <w:rPr>
          <w:rFonts w:hint="eastAsia"/>
          <w:color w:val="000000" w:themeColor="text1"/>
          <w:sz w:val="20"/>
          <w:szCs w:val="20"/>
          <w14:textFill>
            <w14:solidFill>
              <w14:schemeClr w14:val="tx1"/>
            </w14:solidFill>
          </w14:textFill>
        </w:rPr>
        <w:t xml:space="preserve">To mitigate harmonic oscillations in the system, various passive filters have been employed in engineering practice, including the RLC-based second-order filter </w:t>
      </w:r>
      <w:r>
        <w:rPr>
          <w:rFonts w:hint="eastAsia"/>
          <w:color w:val="000000" w:themeColor="text1"/>
          <w:sz w:val="20"/>
          <w:szCs w:val="20"/>
          <w:vertAlign w:val="superscript"/>
          <w14:textFill>
            <w14:solidFill>
              <w14:schemeClr w14:val="tx1"/>
            </w14:solidFill>
          </w14:textFill>
        </w:rPr>
        <w:t>[</w:t>
      </w:r>
      <w:r>
        <w:rPr>
          <w:rFonts w:hint="eastAsia"/>
          <w:color w:val="000000" w:themeColor="text1"/>
          <w:sz w:val="20"/>
          <w:szCs w:val="20"/>
          <w:vertAlign w:val="superscript"/>
          <w:lang w:val="en-US" w:eastAsia="zh-CN"/>
          <w14:textFill>
            <w14:solidFill>
              <w14:schemeClr w14:val="tx1"/>
            </w14:solidFill>
          </w14:textFill>
        </w:rPr>
        <w:t>19</w:t>
      </w:r>
      <w:r>
        <w:rPr>
          <w:rFonts w:hint="eastAsia"/>
          <w:color w:val="000000" w:themeColor="text1"/>
          <w:sz w:val="20"/>
          <w:szCs w:val="20"/>
          <w:vertAlign w:val="superscript"/>
          <w14:textFill>
            <w14:solidFill>
              <w14:schemeClr w14:val="tx1"/>
            </w14:solidFill>
          </w14:textFill>
        </w:rPr>
        <w:t>]</w:t>
      </w:r>
      <w:r>
        <w:rPr>
          <w:rFonts w:hint="eastAsia"/>
          <w:color w:val="000000" w:themeColor="text1"/>
          <w:sz w:val="20"/>
          <w:szCs w:val="20"/>
          <w14:textFill>
            <w14:solidFill>
              <w14:schemeClr w14:val="tx1"/>
            </w14:solidFill>
          </w14:textFill>
        </w:rPr>
        <w:t xml:space="preserve">, the Siemens-proposed third-order filter </w:t>
      </w:r>
      <w:r>
        <w:rPr>
          <w:rFonts w:hint="eastAsia"/>
          <w:color w:val="000000" w:themeColor="text1"/>
          <w:sz w:val="20"/>
          <w:szCs w:val="20"/>
          <w:vertAlign w:val="superscript"/>
          <w14:textFill>
            <w14:solidFill>
              <w14:schemeClr w14:val="tx1"/>
            </w14:solidFill>
          </w14:textFill>
        </w:rPr>
        <w:t>[</w:t>
      </w:r>
      <w:r>
        <w:rPr>
          <w:rFonts w:hint="eastAsia"/>
          <w:color w:val="000000" w:themeColor="text1"/>
          <w:sz w:val="20"/>
          <w:szCs w:val="20"/>
          <w:vertAlign w:val="superscript"/>
          <w:lang w:val="en-US" w:eastAsia="zh-CN"/>
          <w14:textFill>
            <w14:solidFill>
              <w14:schemeClr w14:val="tx1"/>
            </w14:solidFill>
          </w14:textFill>
        </w:rPr>
        <w:t>28</w:t>
      </w:r>
      <w:r>
        <w:rPr>
          <w:rFonts w:hint="eastAsia"/>
          <w:color w:val="000000" w:themeColor="text1"/>
          <w:sz w:val="20"/>
          <w:szCs w:val="20"/>
          <w:vertAlign w:val="superscript"/>
          <w14:textFill>
            <w14:solidFill>
              <w14:schemeClr w14:val="tx1"/>
            </w14:solidFill>
          </w14:textFill>
        </w:rPr>
        <w:t>]</w:t>
      </w:r>
      <w:r>
        <w:rPr>
          <w:rFonts w:hint="eastAsia"/>
          <w:color w:val="000000" w:themeColor="text1"/>
          <w:sz w:val="20"/>
          <w:szCs w:val="20"/>
          <w14:textFill>
            <w14:solidFill>
              <w14:schemeClr w14:val="tx1"/>
            </w14:solidFill>
          </w14:textFill>
        </w:rPr>
        <w:t>, and the Class C filter commonly used in HVDC transmission systems</w:t>
      </w:r>
      <w:r>
        <w:rPr>
          <w:rFonts w:hint="eastAsia"/>
          <w:color w:val="000000" w:themeColor="text1"/>
          <w:sz w:val="20"/>
          <w:szCs w:val="20"/>
          <w:lang w:val="en-US" w:eastAsia="zh-CN"/>
          <w14:textFill>
            <w14:solidFill>
              <w14:schemeClr w14:val="tx1"/>
            </w14:solidFill>
          </w14:textFill>
        </w:rPr>
        <w:t xml:space="preserve"> </w:t>
      </w:r>
      <w:r>
        <w:rPr>
          <w:rFonts w:hint="eastAsia"/>
          <w:color w:val="000000" w:themeColor="text1"/>
          <w:sz w:val="20"/>
          <w:szCs w:val="20"/>
          <w:vertAlign w:val="superscript"/>
          <w14:textFill>
            <w14:solidFill>
              <w14:schemeClr w14:val="tx1"/>
            </w14:solidFill>
          </w14:textFill>
        </w:rPr>
        <w:t>[2</w:t>
      </w:r>
      <w:r>
        <w:rPr>
          <w:rFonts w:hint="eastAsia"/>
          <w:color w:val="000000" w:themeColor="text1"/>
          <w:sz w:val="20"/>
          <w:szCs w:val="20"/>
          <w:vertAlign w:val="superscript"/>
          <w:lang w:val="en-US" w:eastAsia="zh-CN"/>
          <w14:textFill>
            <w14:solidFill>
              <w14:schemeClr w14:val="tx1"/>
            </w14:solidFill>
          </w14:textFill>
        </w:rPr>
        <w:t>0</w:t>
      </w:r>
      <w:r>
        <w:rPr>
          <w:rFonts w:hint="eastAsia"/>
          <w:color w:val="000000" w:themeColor="text1"/>
          <w:sz w:val="20"/>
          <w:szCs w:val="20"/>
          <w:vertAlign w:val="superscript"/>
          <w14:textFill>
            <w14:solidFill>
              <w14:schemeClr w14:val="tx1"/>
            </w14:solidFill>
          </w14:textFill>
        </w:rPr>
        <w:t>,2</w:t>
      </w:r>
      <w:r>
        <w:rPr>
          <w:rFonts w:hint="eastAsia"/>
          <w:color w:val="000000" w:themeColor="text1"/>
          <w:sz w:val="20"/>
          <w:szCs w:val="20"/>
          <w:vertAlign w:val="superscript"/>
          <w:lang w:val="en-US" w:eastAsia="zh-CN"/>
          <w14:textFill>
            <w14:solidFill>
              <w14:schemeClr w14:val="tx1"/>
            </w14:solidFill>
          </w14:textFill>
        </w:rPr>
        <w:t>1</w:t>
      </w:r>
      <w:r>
        <w:rPr>
          <w:rFonts w:hint="eastAsia"/>
          <w:color w:val="000000" w:themeColor="text1"/>
          <w:sz w:val="20"/>
          <w:szCs w:val="20"/>
          <w:vertAlign w:val="superscript"/>
          <w14:textFill>
            <w14:solidFill>
              <w14:schemeClr w14:val="tx1"/>
            </w14:solidFill>
          </w14:textFill>
        </w:rPr>
        <w:t>]</w:t>
      </w:r>
      <w:r>
        <w:rPr>
          <w:rFonts w:hint="eastAsia"/>
          <w:color w:val="000000" w:themeColor="text1"/>
          <w:sz w:val="20"/>
          <w:szCs w:val="20"/>
          <w14:textFill>
            <w14:solidFill>
              <w14:schemeClr w14:val="tx1"/>
            </w14:solidFill>
          </w14:textFill>
        </w:rPr>
        <w:t xml:space="preserve">. </w:t>
      </w:r>
      <w:r>
        <w:rPr>
          <w:rFonts w:hint="eastAsia"/>
          <w:color w:val="000000" w:themeColor="text1"/>
          <w:sz w:val="20"/>
          <w:szCs w:val="20"/>
          <w:lang w:val="en-US" w:eastAsia="zh-CN"/>
          <w14:textFill>
            <w14:solidFill>
              <w14:schemeClr w14:val="tx1"/>
            </w14:solidFill>
          </w14:textFill>
        </w:rPr>
        <w:t xml:space="preserve">The topology and frequency response of </w:t>
      </w:r>
      <w:r>
        <w:rPr>
          <w:rFonts w:hint="eastAsia"/>
          <w:color w:val="000000" w:themeColor="text1"/>
          <w:sz w:val="20"/>
          <w:szCs w:val="20"/>
          <w14:textFill>
            <w14:solidFill>
              <w14:schemeClr w14:val="tx1"/>
            </w14:solidFill>
          </w14:textFill>
        </w:rPr>
        <w:t>these filters</w:t>
      </w:r>
      <w:r>
        <w:rPr>
          <w:rFonts w:hint="eastAsia"/>
          <w:color w:val="000000" w:themeColor="text1"/>
          <w:sz w:val="20"/>
          <w:szCs w:val="20"/>
          <w:lang w:val="en-US" w:eastAsia="zh-CN"/>
          <w14:textFill>
            <w14:solidFill>
              <w14:schemeClr w14:val="tx1"/>
            </w14:solidFill>
          </w14:textFill>
        </w:rPr>
        <w:t xml:space="preserve"> are illustrated in Fig. 4. and the parameters are shown in Table 3.</w:t>
      </w:r>
    </w:p>
    <w:p>
      <w:pPr>
        <w:jc w:val="both"/>
        <w:rPr>
          <w:rFonts w:hint="eastAsia"/>
          <w:color w:val="000000" w:themeColor="text1"/>
          <w:sz w:val="20"/>
          <w:szCs w:val="20"/>
          <w:lang w:val="en-US" w:eastAsia="zh-CN"/>
          <w14:textFill>
            <w14:solidFill>
              <w14:schemeClr w14:val="tx1"/>
            </w14:solidFill>
          </w14:textFill>
        </w:rPr>
      </w:pPr>
      <w:r>
        <w:rPr>
          <w:rFonts w:hint="eastAsia"/>
          <w:color w:val="000000" w:themeColor="text1"/>
          <w:sz w:val="20"/>
          <w:szCs w:val="20"/>
          <w:lang w:val="en-US" w:eastAsia="zh-CN"/>
          <w14:textFill>
            <w14:solidFill>
              <w14:schemeClr w14:val="tx1"/>
            </w14:solidFill>
          </w14:textFill>
        </w:rPr>
        <w:object>
          <v:shape id="_x0000_i1031" o:spt="75" type="#_x0000_t75" style="height:182.3pt;width:232.45pt;" o:ole="t" filled="f" o:preferrelative="t" stroked="f" coordsize="21600,21600">
            <v:path/>
            <v:fill on="f" focussize="0,0"/>
            <v:stroke on="f"/>
            <v:imagedata r:id="rId29" o:title=""/>
            <o:lock v:ext="edit" aspectratio="f"/>
            <w10:wrap type="none"/>
            <w10:anchorlock/>
          </v:shape>
          <o:OLEObject Type="Embed" ProgID="Visio.Drawing.15" ShapeID="_x0000_i1031" DrawAspect="Content" ObjectID="_1468075731" r:id="rId28">
            <o:LockedField>false</o:LockedField>
          </o:OLEObject>
        </w:object>
      </w:r>
    </w:p>
    <w:p>
      <w:pPr>
        <w:jc w:val="center"/>
        <w:rPr>
          <w:rFonts w:hint="eastAsia"/>
          <w:i/>
          <w:iCs/>
          <w:color w:val="000000" w:themeColor="text1"/>
          <w:sz w:val="20"/>
          <w:szCs w:val="20"/>
          <w:lang w:val="en-US" w:eastAsia="zh-CN"/>
          <w14:textFill>
            <w14:solidFill>
              <w14:schemeClr w14:val="tx1"/>
            </w14:solidFill>
          </w14:textFill>
        </w:rPr>
      </w:pPr>
      <w:r>
        <w:rPr>
          <w:rFonts w:hint="eastAsia"/>
          <w:b/>
          <w:bCs/>
          <w:i/>
          <w:iCs/>
          <w:sz w:val="20"/>
          <w:szCs w:val="20"/>
          <w:lang w:val="en-US"/>
        </w:rPr>
        <w:t>F</w:t>
      </w:r>
      <w:r>
        <w:rPr>
          <w:b/>
          <w:bCs/>
          <w:i/>
          <w:iCs/>
          <w:sz w:val="20"/>
          <w:szCs w:val="20"/>
          <w:lang w:val="en-US"/>
        </w:rPr>
        <w:t xml:space="preserve">ig. </w:t>
      </w:r>
      <w:r>
        <w:rPr>
          <w:rFonts w:hint="eastAsia"/>
          <w:b/>
          <w:bCs/>
          <w:i/>
          <w:iCs/>
          <w:sz w:val="20"/>
          <w:szCs w:val="20"/>
          <w:lang w:val="en-US"/>
        </w:rPr>
        <w:t>4</w:t>
      </w:r>
      <w:r>
        <w:t xml:space="preserve"> </w:t>
      </w:r>
      <w:r>
        <w:rPr>
          <w:rFonts w:hint="eastAsia"/>
          <w:i/>
          <w:iCs/>
          <w:color w:val="000000" w:themeColor="text1"/>
          <w:sz w:val="20"/>
          <w:szCs w:val="20"/>
          <w:lang w:val="en-US" w:eastAsia="zh-CN"/>
          <w14:textFill>
            <w14:solidFill>
              <w14:schemeClr w14:val="tx1"/>
            </w14:solidFill>
          </w14:textFill>
        </w:rPr>
        <w:t xml:space="preserve">Typical passive filter topologies and frequency response curves for broadband oscillation suppression </w:t>
      </w:r>
      <w:r>
        <w:rPr>
          <w:rFonts w:hint="eastAsia"/>
          <w:b/>
          <w:bCs/>
          <w:i/>
          <w:iCs/>
          <w:color w:val="000000" w:themeColor="text1"/>
          <w:sz w:val="20"/>
          <w:szCs w:val="20"/>
          <w:lang w:val="en-US"/>
          <w14:textFill>
            <w14:solidFill>
              <w14:schemeClr w14:val="tx1"/>
            </w14:solidFill>
          </w14:textFill>
        </w:rPr>
        <w:t>T</w:t>
      </w:r>
      <w:r>
        <w:rPr>
          <w:b/>
          <w:bCs/>
          <w:i/>
          <w:iCs/>
          <w:color w:val="000000" w:themeColor="text1"/>
          <w:sz w:val="20"/>
          <w:szCs w:val="20"/>
          <w:lang w:val="en-US"/>
          <w14:textFill>
            <w14:solidFill>
              <w14:schemeClr w14:val="tx1"/>
            </w14:solidFill>
          </w14:textFill>
        </w:rPr>
        <w:t xml:space="preserve">able </w:t>
      </w:r>
      <w:r>
        <w:rPr>
          <w:rFonts w:hint="eastAsia"/>
          <w:b/>
          <w:bCs/>
          <w:i/>
          <w:iCs/>
          <w:color w:val="000000" w:themeColor="text1"/>
          <w:sz w:val="20"/>
          <w:szCs w:val="20"/>
          <w:lang w:val="en-US" w:eastAsia="zh-CN"/>
          <w14:textFill>
            <w14:solidFill>
              <w14:schemeClr w14:val="tx1"/>
            </w14:solidFill>
          </w14:textFill>
        </w:rPr>
        <w:t>3</w:t>
      </w:r>
      <w:r>
        <w:rPr>
          <w:b/>
          <w:bCs/>
          <w:i/>
          <w:iCs/>
          <w:color w:val="000000" w:themeColor="text1"/>
          <w:sz w:val="20"/>
          <w:szCs w:val="20"/>
          <w:lang w:val="en-US"/>
          <w14:textFill>
            <w14:solidFill>
              <w14:schemeClr w14:val="tx1"/>
            </w14:solidFill>
          </w14:textFill>
        </w:rPr>
        <w:t xml:space="preserve"> </w:t>
      </w:r>
      <w:r>
        <w:rPr>
          <w:rFonts w:hint="eastAsia"/>
          <w:i/>
          <w:iCs/>
          <w:spacing w:val="6"/>
          <w:kern w:val="20"/>
          <w:sz w:val="20"/>
          <w:lang w:val="en-US"/>
        </w:rPr>
        <w:t>Parameters of the</w:t>
      </w:r>
      <w:r>
        <w:rPr>
          <w:rFonts w:hint="eastAsia"/>
          <w:i/>
          <w:iCs/>
          <w:spacing w:val="6"/>
          <w:kern w:val="20"/>
          <w:sz w:val="20"/>
          <w:lang w:val="en-US" w:eastAsia="zh-CN"/>
        </w:rPr>
        <w:t xml:space="preserve"> passive filter</w:t>
      </w:r>
    </w:p>
    <w:tbl>
      <w:tblPr>
        <w:tblStyle w:val="16"/>
        <w:tblW w:w="4996"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539"/>
        <w:gridCol w:w="827"/>
        <w:gridCol w:w="710"/>
        <w:gridCol w:w="922"/>
        <w:gridCol w:w="86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83" w:type="pct"/>
            <w:tcBorders>
              <w:top w:val="single" w:color="auto" w:sz="4" w:space="0"/>
              <w:bottom w:val="single" w:color="auto" w:sz="4" w:space="0"/>
            </w:tcBorders>
            <w:vAlign w:val="bottom"/>
          </w:tcPr>
          <w:p>
            <w:pPr>
              <w:widowControl w:val="0"/>
              <w:topLinePunct/>
              <w:jc w:val="center"/>
              <w:rPr>
                <w:spacing w:val="6"/>
                <w:kern w:val="20"/>
                <w:sz w:val="16"/>
                <w:szCs w:val="16"/>
                <w:lang w:val="en-US" w:eastAsia="en-GB"/>
              </w:rPr>
            </w:pPr>
            <w:r>
              <w:rPr>
                <w:rFonts w:hint="eastAsia"/>
                <w:spacing w:val="6"/>
                <w:kern w:val="20"/>
                <w:sz w:val="16"/>
                <w:szCs w:val="16"/>
                <w:lang w:val="en-US" w:eastAsia="en-GB"/>
              </w:rPr>
              <w:t>Parameters</w:t>
            </w:r>
          </w:p>
        </w:tc>
        <w:tc>
          <w:tcPr>
            <w:tcW w:w="850" w:type="pct"/>
            <w:tcBorders>
              <w:top w:val="single" w:color="auto" w:sz="4" w:space="0"/>
              <w:bottom w:val="single" w:color="auto" w:sz="4" w:space="0"/>
            </w:tcBorders>
            <w:vAlign w:val="center"/>
          </w:tcPr>
          <w:p>
            <w:pPr>
              <w:ind w:firstLine="0" w:firstLineChars="0"/>
              <w:jc w:val="center"/>
              <w:rPr>
                <w:rFonts w:hint="eastAsia" w:ascii="Times New Roman" w:hAnsi="Times New Roman" w:eastAsia="宋体" w:cs="Times New Roman"/>
                <w:sz w:val="15"/>
                <w:szCs w:val="15"/>
                <w:lang w:val="en-US" w:eastAsia="zh-CN" w:bidi="ar-SA"/>
              </w:rPr>
            </w:pPr>
            <w:r>
              <w:rPr>
                <w:i/>
                <w:iCs/>
                <w:sz w:val="15"/>
                <w:szCs w:val="15"/>
              </w:rPr>
              <w:t>C</w:t>
            </w:r>
            <w:r>
              <w:rPr>
                <w:sz w:val="15"/>
                <w:szCs w:val="15"/>
                <w:vertAlign w:val="subscript"/>
              </w:rPr>
              <w:t>1</w:t>
            </w:r>
            <w:r>
              <w:rPr>
                <w:rFonts w:hint="eastAsia"/>
                <w:sz w:val="15"/>
                <w:szCs w:val="15"/>
                <w:vertAlign w:val="subscript"/>
                <w:lang w:val="en-US" w:eastAsia="zh-CN"/>
              </w:rPr>
              <w:t>f</w:t>
            </w:r>
          </w:p>
        </w:tc>
        <w:tc>
          <w:tcPr>
            <w:tcW w:w="730" w:type="pct"/>
            <w:tcBorders>
              <w:top w:val="single" w:color="auto" w:sz="4" w:space="0"/>
              <w:bottom w:val="single" w:color="auto" w:sz="4" w:space="0"/>
            </w:tcBorders>
            <w:vAlign w:val="center"/>
          </w:tcPr>
          <w:p>
            <w:pPr>
              <w:ind w:firstLine="0" w:firstLineChars="0"/>
              <w:jc w:val="center"/>
              <w:rPr>
                <w:rFonts w:hint="eastAsia" w:ascii="Times New Roman" w:hAnsi="Times New Roman" w:eastAsia="宋体" w:cs="Times New Roman"/>
                <w:sz w:val="15"/>
                <w:szCs w:val="15"/>
                <w:lang w:val="en-US" w:eastAsia="zh-CN" w:bidi="ar-SA"/>
              </w:rPr>
            </w:pPr>
            <w:r>
              <w:rPr>
                <w:i/>
                <w:iCs/>
                <w:sz w:val="15"/>
                <w:szCs w:val="15"/>
              </w:rPr>
              <w:t>C</w:t>
            </w:r>
            <w:r>
              <w:rPr>
                <w:sz w:val="15"/>
                <w:szCs w:val="15"/>
                <w:vertAlign w:val="subscript"/>
              </w:rPr>
              <w:t>2</w:t>
            </w:r>
            <w:r>
              <w:rPr>
                <w:rFonts w:hint="eastAsia"/>
                <w:sz w:val="15"/>
                <w:szCs w:val="15"/>
                <w:vertAlign w:val="subscript"/>
                <w:lang w:val="en-US" w:eastAsia="zh-CN"/>
              </w:rPr>
              <w:t>f</w:t>
            </w:r>
          </w:p>
        </w:tc>
        <w:tc>
          <w:tcPr>
            <w:tcW w:w="948" w:type="pct"/>
            <w:tcBorders>
              <w:top w:val="single" w:color="auto" w:sz="4" w:space="0"/>
              <w:bottom w:val="single" w:color="auto" w:sz="4" w:space="0"/>
            </w:tcBorders>
            <w:vAlign w:val="center"/>
          </w:tcPr>
          <w:p>
            <w:pPr>
              <w:ind w:firstLine="0" w:firstLineChars="0"/>
              <w:jc w:val="center"/>
              <w:rPr>
                <w:rFonts w:hint="eastAsia" w:ascii="Times New Roman" w:hAnsi="Times New Roman" w:eastAsia="宋体" w:cs="Times New Roman"/>
                <w:sz w:val="15"/>
                <w:szCs w:val="15"/>
                <w:lang w:val="en-US" w:eastAsia="zh-CN" w:bidi="ar-SA"/>
              </w:rPr>
            </w:pPr>
            <w:r>
              <w:rPr>
                <w:i/>
                <w:iCs/>
                <w:sz w:val="15"/>
                <w:szCs w:val="15"/>
              </w:rPr>
              <w:t>L</w:t>
            </w:r>
            <w:r>
              <w:rPr>
                <w:sz w:val="15"/>
                <w:szCs w:val="15"/>
                <w:vertAlign w:val="subscript"/>
              </w:rPr>
              <w:t>1</w:t>
            </w:r>
            <w:r>
              <w:rPr>
                <w:rFonts w:hint="eastAsia"/>
                <w:sz w:val="15"/>
                <w:szCs w:val="15"/>
                <w:vertAlign w:val="subscript"/>
                <w:lang w:val="en-US" w:eastAsia="zh-CN"/>
              </w:rPr>
              <w:t>f</w:t>
            </w:r>
          </w:p>
        </w:tc>
        <w:tc>
          <w:tcPr>
            <w:tcW w:w="887" w:type="pct"/>
            <w:tcBorders>
              <w:top w:val="single" w:color="auto" w:sz="4" w:space="0"/>
              <w:bottom w:val="single" w:color="auto" w:sz="4" w:space="0"/>
            </w:tcBorders>
            <w:vAlign w:val="center"/>
          </w:tcPr>
          <w:p>
            <w:pPr>
              <w:ind w:firstLine="0" w:firstLineChars="0"/>
              <w:jc w:val="center"/>
              <w:rPr>
                <w:rFonts w:hint="eastAsia" w:ascii="Times New Roman" w:hAnsi="Times New Roman" w:eastAsia="宋体" w:cs="Times New Roman"/>
                <w:sz w:val="15"/>
                <w:szCs w:val="15"/>
                <w:lang w:val="en-US" w:eastAsia="zh-CN" w:bidi="ar-SA"/>
              </w:rPr>
            </w:pPr>
            <w:r>
              <w:rPr>
                <w:i/>
                <w:iCs/>
                <w:sz w:val="15"/>
                <w:szCs w:val="15"/>
              </w:rPr>
              <w:t>R</w:t>
            </w:r>
            <w:r>
              <w:rPr>
                <w:rFonts w:hint="eastAsia"/>
                <w:i w:val="0"/>
                <w:iCs w:val="0"/>
                <w:sz w:val="15"/>
                <w:szCs w:val="15"/>
                <w:vertAlign w:val="subscript"/>
                <w:lang w:val="en-US" w:eastAsia="zh-CN"/>
              </w:rPr>
              <w:t>f</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83" w:type="pct"/>
            <w:tcBorders>
              <w:top w:val="single" w:color="auto" w:sz="4" w:space="0"/>
              <w:bottom w:val="single" w:color="auto" w:sz="4" w:space="0"/>
            </w:tcBorders>
            <w:vAlign w:val="bottom"/>
          </w:tcPr>
          <w:p>
            <w:pPr>
              <w:widowControl w:val="0"/>
              <w:topLinePunct/>
              <w:jc w:val="center"/>
              <w:rPr>
                <w:rFonts w:hint="default"/>
                <w:spacing w:val="6"/>
                <w:kern w:val="20"/>
                <w:sz w:val="16"/>
                <w:szCs w:val="16"/>
                <w:lang w:val="en-US" w:eastAsia="en-GB"/>
              </w:rPr>
            </w:pPr>
            <w:r>
              <w:rPr>
                <w:color w:val="000000"/>
                <w:sz w:val="16"/>
                <w:szCs w:val="16"/>
                <w:lang w:val="en-US" w:eastAsia="zh-CN"/>
              </w:rPr>
              <w:t>Values</w:t>
            </w:r>
          </w:p>
        </w:tc>
        <w:tc>
          <w:tcPr>
            <w:tcW w:w="850" w:type="pct"/>
            <w:tcBorders>
              <w:top w:val="single" w:color="auto" w:sz="4" w:space="0"/>
              <w:bottom w:val="single" w:color="auto" w:sz="4" w:space="0"/>
            </w:tcBorders>
            <w:vAlign w:val="center"/>
          </w:tcPr>
          <w:p>
            <w:pPr>
              <w:ind w:firstLine="0" w:firstLineChars="0"/>
              <w:jc w:val="center"/>
              <w:rPr>
                <w:rFonts w:ascii="Times New Roman" w:hAnsi="Times New Roman" w:eastAsia="宋体" w:cs="Times New Roman"/>
                <w:sz w:val="15"/>
                <w:szCs w:val="15"/>
                <w:lang w:val="en-US" w:eastAsia="en-GB" w:bidi="ar-SA"/>
              </w:rPr>
            </w:pPr>
            <w:r>
              <w:rPr>
                <w:sz w:val="15"/>
                <w:szCs w:val="15"/>
              </w:rPr>
              <w:t>15μF</w:t>
            </w:r>
          </w:p>
        </w:tc>
        <w:tc>
          <w:tcPr>
            <w:tcW w:w="730" w:type="pct"/>
            <w:tcBorders>
              <w:top w:val="single" w:color="auto" w:sz="4" w:space="0"/>
              <w:bottom w:val="single" w:color="auto" w:sz="4" w:space="0"/>
            </w:tcBorders>
            <w:vAlign w:val="center"/>
          </w:tcPr>
          <w:p>
            <w:pPr>
              <w:ind w:firstLine="0" w:firstLineChars="0"/>
              <w:jc w:val="center"/>
              <w:rPr>
                <w:rFonts w:ascii="Times New Roman" w:hAnsi="Times New Roman" w:eastAsia="宋体" w:cs="Times New Roman"/>
                <w:sz w:val="15"/>
                <w:szCs w:val="15"/>
                <w:lang w:val="en-US" w:eastAsia="en-GB" w:bidi="ar-SA"/>
              </w:rPr>
            </w:pPr>
            <w:r>
              <w:rPr>
                <w:sz w:val="15"/>
                <w:szCs w:val="15"/>
              </w:rPr>
              <w:t>8μF</w:t>
            </w:r>
          </w:p>
        </w:tc>
        <w:tc>
          <w:tcPr>
            <w:tcW w:w="948" w:type="pct"/>
            <w:tcBorders>
              <w:top w:val="single" w:color="auto" w:sz="4" w:space="0"/>
              <w:bottom w:val="single" w:color="auto" w:sz="4" w:space="0"/>
            </w:tcBorders>
            <w:vAlign w:val="center"/>
          </w:tcPr>
          <w:p>
            <w:pPr>
              <w:ind w:firstLine="0" w:firstLineChars="0"/>
              <w:jc w:val="center"/>
              <w:rPr>
                <w:rFonts w:ascii="Times New Roman" w:hAnsi="Times New Roman" w:eastAsia="宋体" w:cs="Times New Roman"/>
                <w:sz w:val="15"/>
                <w:szCs w:val="15"/>
                <w:lang w:val="en-US" w:eastAsia="en-GB" w:bidi="ar-SA"/>
              </w:rPr>
            </w:pPr>
            <w:r>
              <w:rPr>
                <w:sz w:val="15"/>
                <w:szCs w:val="15"/>
              </w:rPr>
              <w:t>10mH</w:t>
            </w:r>
          </w:p>
        </w:tc>
        <w:tc>
          <w:tcPr>
            <w:tcW w:w="887" w:type="pct"/>
            <w:tcBorders>
              <w:top w:val="single" w:color="auto" w:sz="4" w:space="0"/>
              <w:bottom w:val="single" w:color="auto" w:sz="4" w:space="0"/>
            </w:tcBorders>
            <w:vAlign w:val="center"/>
          </w:tcPr>
          <w:p>
            <w:pPr>
              <w:ind w:firstLine="0" w:firstLineChars="0"/>
              <w:jc w:val="center"/>
              <w:rPr>
                <w:rFonts w:ascii="Times New Roman" w:hAnsi="Times New Roman" w:eastAsia="宋体" w:cs="Times New Roman"/>
                <w:sz w:val="15"/>
                <w:szCs w:val="15"/>
                <w:lang w:val="en-US" w:eastAsia="en-GB" w:bidi="ar-SA"/>
              </w:rPr>
            </w:pPr>
            <w:r>
              <w:rPr>
                <w:sz w:val="15"/>
                <w:szCs w:val="15"/>
              </w:rPr>
              <w:t>500Ω</w:t>
            </w:r>
          </w:p>
        </w:tc>
      </w:tr>
    </w:tbl>
    <w:p>
      <w:pPr>
        <w:ind w:firstLine="403"/>
        <w:jc w:val="both"/>
        <w:rPr>
          <w:rFonts w:hint="default" w:ascii="Times New Roman" w:hAnsi="Times New Roman" w:cs="Times New Roman"/>
          <w:color w:val="000000" w:themeColor="text1"/>
          <w:sz w:val="20"/>
          <w:szCs w:val="20"/>
          <w14:textFill>
            <w14:solidFill>
              <w14:schemeClr w14:val="tx1"/>
            </w14:solidFill>
          </w14:textFill>
        </w:rPr>
      </w:pPr>
      <w:r>
        <w:rPr>
          <w:rFonts w:hint="default" w:ascii="Times New Roman" w:hAnsi="Times New Roman" w:cs="Times New Roman"/>
          <w:color w:val="000000" w:themeColor="text1"/>
          <w:sz w:val="20"/>
          <w:szCs w:val="20"/>
          <w14:textFill>
            <w14:solidFill>
              <w14:schemeClr w14:val="tx1"/>
            </w14:solidFill>
          </w14:textFill>
        </w:rPr>
        <w:t>The magnitude–frequency curves in Fig</w:t>
      </w:r>
      <w:r>
        <w:rPr>
          <w:rFonts w:hint="eastAsia" w:ascii="Times New Roman" w:hAnsi="Times New Roman" w:cs="Times New Roman"/>
          <w:color w:val="000000" w:themeColor="text1"/>
          <w:sz w:val="20"/>
          <w:szCs w:val="20"/>
          <w:lang w:val="en-US" w:eastAsia="zh-CN"/>
          <w14:textFill>
            <w14:solidFill>
              <w14:schemeClr w14:val="tx1"/>
            </w14:solidFill>
          </w14:textFill>
        </w:rPr>
        <w:t>.</w:t>
      </w:r>
      <w:r>
        <w:rPr>
          <w:rFonts w:hint="default" w:ascii="Times New Roman" w:hAnsi="Times New Roman" w:cs="Times New Roman"/>
          <w:color w:val="000000" w:themeColor="text1"/>
          <w:sz w:val="20"/>
          <w:szCs w:val="20"/>
          <w14:textFill>
            <w14:solidFill>
              <w14:schemeClr w14:val="tx1"/>
            </w14:solidFill>
          </w14:textFill>
        </w:rPr>
        <w:t xml:space="preserve"> 4 show that Fig</w:t>
      </w:r>
      <w:r>
        <w:rPr>
          <w:rFonts w:hint="eastAsia" w:ascii="Times New Roman" w:hAnsi="Times New Roman" w:cs="Times New Roman"/>
          <w:color w:val="000000" w:themeColor="text1"/>
          <w:sz w:val="20"/>
          <w:szCs w:val="20"/>
          <w:lang w:val="en-US" w:eastAsia="zh-CN"/>
          <w14:textFill>
            <w14:solidFill>
              <w14:schemeClr w14:val="tx1"/>
            </w14:solidFill>
          </w14:textFill>
        </w:rPr>
        <w:t>.</w:t>
      </w:r>
      <w:r>
        <w:rPr>
          <w:rFonts w:hint="default" w:ascii="Times New Roman" w:hAnsi="Times New Roman" w:cs="Times New Roman"/>
          <w:color w:val="000000" w:themeColor="text1"/>
          <w:sz w:val="20"/>
          <w:szCs w:val="20"/>
          <w14:textFill>
            <w14:solidFill>
              <w14:schemeClr w14:val="tx1"/>
            </w14:solidFill>
          </w14:textFill>
        </w:rPr>
        <w:t xml:space="preserve"> 4a) and 4c) each exhibit one resonance peak, caused by the series resonance of the inductor</w:t>
      </w:r>
      <w:r>
        <w:rPr>
          <w:rFonts w:hint="eastAsia" w:ascii="Times New Roman" w:hAnsi="Times New Roman" w:cs="Times New Roman"/>
          <w:color w:val="000000" w:themeColor="text1"/>
          <w:sz w:val="20"/>
          <w:szCs w:val="20"/>
          <w:lang w:val="en-US" w:eastAsia="zh-CN"/>
          <w14:textFill>
            <w14:solidFill>
              <w14:schemeClr w14:val="tx1"/>
            </w14:solidFill>
          </w14:textFill>
        </w:rPr>
        <w:t xml:space="preserve"> </w:t>
      </w:r>
      <w:r>
        <w:rPr>
          <w:rFonts w:hint="default" w:ascii="Times New Roman" w:hAnsi="Times New Roman" w:cs="Times New Roman"/>
          <w:color w:val="000000" w:themeColor="text1"/>
          <w:sz w:val="20"/>
          <w:szCs w:val="20"/>
          <w14:textFill>
            <w14:solidFill>
              <w14:schemeClr w14:val="tx1"/>
            </w14:solidFill>
          </w14:textFill>
        </w:rPr>
        <w:t>and capacitor branches in their respective topologies. In Fig</w:t>
      </w:r>
      <w:r>
        <w:rPr>
          <w:rFonts w:hint="eastAsia" w:ascii="Times New Roman" w:hAnsi="Times New Roman" w:cs="Times New Roman"/>
          <w:color w:val="000000" w:themeColor="text1"/>
          <w:sz w:val="20"/>
          <w:szCs w:val="20"/>
          <w:lang w:val="en-US" w:eastAsia="zh-CN"/>
          <w14:textFill>
            <w14:solidFill>
              <w14:schemeClr w14:val="tx1"/>
            </w14:solidFill>
          </w14:textFill>
        </w:rPr>
        <w:t>.</w:t>
      </w:r>
      <w:r>
        <w:rPr>
          <w:rFonts w:hint="default" w:ascii="Times New Roman" w:hAnsi="Times New Roman" w:cs="Times New Roman"/>
          <w:color w:val="000000" w:themeColor="text1"/>
          <w:sz w:val="20"/>
          <w:szCs w:val="20"/>
          <w14:textFill>
            <w14:solidFill>
              <w14:schemeClr w14:val="tx1"/>
            </w14:solidFill>
          </w14:textFill>
        </w:rPr>
        <w:t xml:space="preserve"> 4b), two resonance peaks appear, corresponding to the series resonance of </w:t>
      </w:r>
      <w:r>
        <w:rPr>
          <w:rFonts w:hint="default" w:ascii="Times New Roman" w:hAnsi="Times New Roman" w:cs="Times New Roman"/>
          <w:i/>
          <w:iCs/>
          <w:color w:val="000000" w:themeColor="text1"/>
          <w:sz w:val="20"/>
          <w:szCs w:val="20"/>
          <w14:textFill>
            <w14:solidFill>
              <w14:schemeClr w14:val="tx1"/>
            </w14:solidFill>
          </w14:textFill>
        </w:rPr>
        <w:t>L</w:t>
      </w:r>
      <w:r>
        <w:rPr>
          <w:rFonts w:hint="eastAsia" w:ascii="Times New Roman" w:hAnsi="Times New Roman" w:cs="Times New Roman"/>
          <w:color w:val="000000" w:themeColor="text1"/>
          <w:sz w:val="20"/>
          <w:szCs w:val="20"/>
          <w:vertAlign w:val="subscript"/>
          <w:lang w:val="en-US" w:eastAsia="zh-CN"/>
          <w14:textFill>
            <w14:solidFill>
              <w14:schemeClr w14:val="tx1"/>
            </w14:solidFill>
          </w14:textFill>
        </w:rPr>
        <w:t>1f</w:t>
      </w:r>
      <w:r>
        <w:rPr>
          <w:rFonts w:hint="default" w:ascii="Times New Roman" w:hAnsi="Times New Roman" w:cs="Times New Roman"/>
          <w:i/>
          <w:iCs/>
          <w:color w:val="000000" w:themeColor="text1"/>
          <w:sz w:val="20"/>
          <w:szCs w:val="20"/>
          <w14:textFill>
            <w14:solidFill>
              <w14:schemeClr w14:val="tx1"/>
            </w14:solidFill>
          </w14:textFill>
        </w:rPr>
        <w:t>C</w:t>
      </w:r>
      <w:r>
        <w:rPr>
          <w:rFonts w:hint="eastAsia" w:ascii="Times New Roman" w:hAnsi="Times New Roman" w:cs="Times New Roman"/>
          <w:color w:val="000000" w:themeColor="text1"/>
          <w:sz w:val="20"/>
          <w:szCs w:val="20"/>
          <w:vertAlign w:val="subscript"/>
          <w:lang w:val="en-US" w:eastAsia="zh-CN"/>
          <w14:textFill>
            <w14:solidFill>
              <w14:schemeClr w14:val="tx1"/>
            </w14:solidFill>
          </w14:textFill>
        </w:rPr>
        <w:t>1f</w:t>
      </w:r>
      <w:r>
        <w:rPr>
          <w:rFonts w:hint="default" w:ascii="Times New Roman" w:hAnsi="Times New Roman" w:cs="Times New Roman"/>
          <w:color w:val="000000" w:themeColor="text1"/>
          <w:sz w:val="20"/>
          <w:szCs w:val="20"/>
          <w:vertAlign w:val="subscript"/>
          <w14:textFill>
            <w14:solidFill>
              <w14:schemeClr w14:val="tx1"/>
            </w14:solidFill>
          </w14:textFill>
        </w:rPr>
        <w:t xml:space="preserve"> </w:t>
      </w:r>
      <w:r>
        <w:rPr>
          <w:rFonts w:hint="default" w:ascii="Times New Roman" w:hAnsi="Times New Roman" w:cs="Times New Roman"/>
          <w:color w:val="000000" w:themeColor="text1"/>
          <w:sz w:val="20"/>
          <w:szCs w:val="20"/>
          <w14:textFill>
            <w14:solidFill>
              <w14:schemeClr w14:val="tx1"/>
            </w14:solidFill>
          </w14:textFill>
        </w:rPr>
        <w:t xml:space="preserve">and the parallel resonance of </w:t>
      </w:r>
      <w:r>
        <w:rPr>
          <w:rFonts w:hint="default" w:ascii="Times New Roman" w:hAnsi="Times New Roman" w:cs="Times New Roman"/>
          <w:i/>
          <w:iCs/>
          <w:color w:val="000000" w:themeColor="text1"/>
          <w:sz w:val="20"/>
          <w:szCs w:val="20"/>
          <w14:textFill>
            <w14:solidFill>
              <w14:schemeClr w14:val="tx1"/>
            </w14:solidFill>
          </w14:textFill>
        </w:rPr>
        <w:t>L</w:t>
      </w:r>
      <w:r>
        <w:rPr>
          <w:rFonts w:hint="eastAsia" w:ascii="Times New Roman" w:hAnsi="Times New Roman" w:cs="Times New Roman"/>
          <w:color w:val="000000" w:themeColor="text1"/>
          <w:sz w:val="20"/>
          <w:szCs w:val="20"/>
          <w:vertAlign w:val="subscript"/>
          <w:lang w:val="en-US" w:eastAsia="zh-CN"/>
          <w14:textFill>
            <w14:solidFill>
              <w14:schemeClr w14:val="tx1"/>
            </w14:solidFill>
          </w14:textFill>
        </w:rPr>
        <w:t>1f</w:t>
      </w:r>
      <w:r>
        <w:rPr>
          <w:rFonts w:hint="default" w:ascii="Times New Roman" w:hAnsi="Times New Roman" w:cs="Times New Roman"/>
          <w:color w:val="000000" w:themeColor="text1"/>
          <w:sz w:val="20"/>
          <w:szCs w:val="20"/>
          <w14:textFill>
            <w14:solidFill>
              <w14:schemeClr w14:val="tx1"/>
            </w14:solidFill>
          </w14:textFill>
        </w:rPr>
        <w:t>(</w:t>
      </w:r>
      <w:r>
        <w:rPr>
          <w:rFonts w:hint="default" w:ascii="Times New Roman" w:hAnsi="Times New Roman" w:cs="Times New Roman"/>
          <w:i/>
          <w:iCs/>
          <w:color w:val="000000" w:themeColor="text1"/>
          <w:sz w:val="20"/>
          <w:szCs w:val="20"/>
          <w14:textFill>
            <w14:solidFill>
              <w14:schemeClr w14:val="tx1"/>
            </w14:solidFill>
          </w14:textFill>
        </w:rPr>
        <w:t>C</w:t>
      </w:r>
      <w:r>
        <w:rPr>
          <w:rFonts w:hint="eastAsia" w:ascii="Times New Roman" w:hAnsi="Times New Roman" w:cs="Times New Roman"/>
          <w:color w:val="000000" w:themeColor="text1"/>
          <w:sz w:val="20"/>
          <w:szCs w:val="20"/>
          <w:vertAlign w:val="subscript"/>
          <w:lang w:val="en-US" w:eastAsia="zh-CN"/>
          <w14:textFill>
            <w14:solidFill>
              <w14:schemeClr w14:val="tx1"/>
            </w14:solidFill>
          </w14:textFill>
        </w:rPr>
        <w:t>1f</w:t>
      </w:r>
      <w:r>
        <w:rPr>
          <w:rFonts w:hint="default" w:ascii="Times New Roman" w:hAnsi="Times New Roman" w:cs="Times New Roman"/>
          <w:color w:val="000000" w:themeColor="text1"/>
          <w:sz w:val="20"/>
          <w:szCs w:val="20"/>
          <w14:textFill>
            <w14:solidFill>
              <w14:schemeClr w14:val="tx1"/>
            </w14:solidFill>
          </w14:textFill>
        </w:rPr>
        <w:t>∥</w:t>
      </w:r>
      <w:r>
        <w:rPr>
          <w:rFonts w:hint="default" w:ascii="Times New Roman" w:hAnsi="Times New Roman" w:cs="Times New Roman"/>
          <w:i/>
          <w:iCs/>
          <w:color w:val="000000" w:themeColor="text1"/>
          <w:sz w:val="20"/>
          <w:szCs w:val="20"/>
          <w14:textFill>
            <w14:solidFill>
              <w14:schemeClr w14:val="tx1"/>
            </w14:solidFill>
          </w14:textFill>
        </w:rPr>
        <w:t>C</w:t>
      </w:r>
      <w:r>
        <w:rPr>
          <w:rFonts w:hint="eastAsia" w:ascii="Times New Roman" w:hAnsi="Times New Roman" w:cs="Times New Roman"/>
          <w:color w:val="000000" w:themeColor="text1"/>
          <w:sz w:val="20"/>
          <w:szCs w:val="20"/>
          <w:vertAlign w:val="subscript"/>
          <w:lang w:val="en-US" w:eastAsia="zh-CN"/>
          <w14:textFill>
            <w14:solidFill>
              <w14:schemeClr w14:val="tx1"/>
            </w14:solidFill>
          </w14:textFill>
        </w:rPr>
        <w:t>2f</w:t>
      </w:r>
      <w:r>
        <w:rPr>
          <w:rFonts w:hint="default" w:ascii="Times New Roman" w:hAnsi="Times New Roman" w:cs="Times New Roman"/>
          <w:color w:val="000000" w:themeColor="text1"/>
          <w:sz w:val="20"/>
          <w:szCs w:val="20"/>
          <w14:textFill>
            <w14:solidFill>
              <w14:schemeClr w14:val="tx1"/>
            </w14:solidFill>
          </w14:textFill>
        </w:rPr>
        <w:t>).</w:t>
      </w:r>
    </w:p>
    <w:p>
      <w:pPr>
        <w:ind w:firstLine="403"/>
        <w:jc w:val="both"/>
        <w:rPr>
          <w:rFonts w:hint="default" w:ascii="Times New Roman" w:hAnsi="Times New Roman" w:cs="Times New Roman"/>
          <w:color w:val="000000" w:themeColor="text1"/>
          <w:sz w:val="20"/>
          <w:szCs w:val="20"/>
          <w14:textFill>
            <w14:solidFill>
              <w14:schemeClr w14:val="tx1"/>
            </w14:solidFill>
          </w14:textFill>
        </w:rPr>
      </w:pPr>
      <w:r>
        <w:rPr>
          <w:rFonts w:hint="default" w:ascii="Times New Roman" w:hAnsi="Times New Roman" w:cs="Times New Roman"/>
          <w:color w:val="000000" w:themeColor="text1"/>
          <w:sz w:val="20"/>
          <w:szCs w:val="20"/>
          <w14:textFill>
            <w14:solidFill>
              <w14:schemeClr w14:val="tx1"/>
            </w14:solidFill>
          </w14:textFill>
        </w:rPr>
        <w:t>The phase–frequency curves in Fig</w:t>
      </w:r>
      <w:r>
        <w:rPr>
          <w:rFonts w:hint="eastAsia" w:ascii="Times New Roman" w:hAnsi="Times New Roman" w:cs="Times New Roman"/>
          <w:color w:val="000000" w:themeColor="text1"/>
          <w:sz w:val="20"/>
          <w:szCs w:val="20"/>
          <w:lang w:val="en-US" w:eastAsia="zh-CN"/>
          <w14:textFill>
            <w14:solidFill>
              <w14:schemeClr w14:val="tx1"/>
            </w14:solidFill>
          </w14:textFill>
        </w:rPr>
        <w:t>.</w:t>
      </w:r>
      <w:r>
        <w:rPr>
          <w:rFonts w:hint="default" w:ascii="Times New Roman" w:hAnsi="Times New Roman" w:cs="Times New Roman"/>
          <w:color w:val="000000" w:themeColor="text1"/>
          <w:sz w:val="20"/>
          <w:szCs w:val="20"/>
          <w14:textFill>
            <w14:solidFill>
              <w14:schemeClr w14:val="tx1"/>
            </w14:solidFill>
          </w14:textFill>
        </w:rPr>
        <w:t xml:space="preserve"> </w:t>
      </w:r>
      <w:r>
        <w:rPr>
          <w:rFonts w:hint="eastAsia" w:ascii="Times New Roman" w:hAnsi="Times New Roman" w:cs="Times New Roman"/>
          <w:color w:val="000000" w:themeColor="text1"/>
          <w:sz w:val="20"/>
          <w:szCs w:val="20"/>
          <w:lang w:val="en-US" w:eastAsia="zh-CN"/>
          <w14:textFill>
            <w14:solidFill>
              <w14:schemeClr w14:val="tx1"/>
            </w14:solidFill>
          </w14:textFill>
        </w:rPr>
        <w:t>4</w:t>
      </w:r>
      <w:r>
        <w:rPr>
          <w:rFonts w:hint="default" w:ascii="Times New Roman" w:hAnsi="Times New Roman" w:cs="Times New Roman"/>
          <w:color w:val="000000" w:themeColor="text1"/>
          <w:sz w:val="20"/>
          <w:szCs w:val="20"/>
          <w14:textFill>
            <w14:solidFill>
              <w14:schemeClr w14:val="tx1"/>
            </w14:solidFill>
          </w14:textFill>
        </w:rPr>
        <w:t xml:space="preserve"> show that all three configurations are capacitive at low frequencies. At high frequencies, Fig</w:t>
      </w:r>
      <w:r>
        <w:rPr>
          <w:rFonts w:hint="eastAsia" w:ascii="Times New Roman" w:hAnsi="Times New Roman" w:cs="Times New Roman"/>
          <w:color w:val="000000" w:themeColor="text1"/>
          <w:sz w:val="20"/>
          <w:szCs w:val="20"/>
          <w:lang w:val="en-US" w:eastAsia="zh-CN"/>
          <w14:textFill>
            <w14:solidFill>
              <w14:schemeClr w14:val="tx1"/>
            </w14:solidFill>
          </w14:textFill>
        </w:rPr>
        <w:t>.</w:t>
      </w:r>
      <w:r>
        <w:rPr>
          <w:rFonts w:hint="default" w:ascii="Times New Roman" w:hAnsi="Times New Roman" w:cs="Times New Roman"/>
          <w:color w:val="000000" w:themeColor="text1"/>
          <w:sz w:val="20"/>
          <w:szCs w:val="20"/>
          <w14:textFill>
            <w14:solidFill>
              <w14:schemeClr w14:val="tx1"/>
            </w14:solidFill>
          </w14:textFill>
        </w:rPr>
        <w:t xml:space="preserve"> </w:t>
      </w:r>
      <w:r>
        <w:rPr>
          <w:rFonts w:hint="eastAsia" w:cs="Times New Roman"/>
          <w:color w:val="000000" w:themeColor="text1"/>
          <w:sz w:val="20"/>
          <w:szCs w:val="20"/>
          <w:lang w:val="en-US" w:eastAsia="zh-CN"/>
          <w14:textFill>
            <w14:solidFill>
              <w14:schemeClr w14:val="tx1"/>
            </w14:solidFill>
          </w14:textFill>
        </w:rPr>
        <w:t>4</w:t>
      </w:r>
      <w:r>
        <w:rPr>
          <w:rFonts w:hint="default" w:ascii="Times New Roman" w:hAnsi="Times New Roman" w:cs="Times New Roman"/>
          <w:color w:val="000000" w:themeColor="text1"/>
          <w:sz w:val="20"/>
          <w:szCs w:val="20"/>
          <w14:textFill>
            <w14:solidFill>
              <w14:schemeClr w14:val="tx1"/>
            </w14:solidFill>
          </w14:textFill>
        </w:rPr>
        <w:t xml:space="preserve">a) and </w:t>
      </w:r>
      <w:r>
        <w:rPr>
          <w:rFonts w:hint="eastAsia" w:cs="Times New Roman"/>
          <w:color w:val="000000" w:themeColor="text1"/>
          <w:sz w:val="20"/>
          <w:szCs w:val="20"/>
          <w:lang w:val="en-US" w:eastAsia="zh-CN"/>
          <w14:textFill>
            <w14:solidFill>
              <w14:schemeClr w14:val="tx1"/>
            </w14:solidFill>
          </w14:textFill>
        </w:rPr>
        <w:t>4</w:t>
      </w:r>
      <w:r>
        <w:rPr>
          <w:rFonts w:hint="default" w:ascii="Times New Roman" w:hAnsi="Times New Roman" w:cs="Times New Roman"/>
          <w:color w:val="000000" w:themeColor="text1"/>
          <w:sz w:val="20"/>
          <w:szCs w:val="20"/>
          <w14:textFill>
            <w14:solidFill>
              <w14:schemeClr w14:val="tx1"/>
            </w14:solidFill>
          </w14:textFill>
        </w:rPr>
        <w:t>c) exhibit resistive behavior, while Fig</w:t>
      </w:r>
      <w:r>
        <w:rPr>
          <w:rFonts w:hint="eastAsia" w:ascii="Times New Roman" w:hAnsi="Times New Roman" w:cs="Times New Roman"/>
          <w:color w:val="000000" w:themeColor="text1"/>
          <w:sz w:val="20"/>
          <w:szCs w:val="20"/>
          <w:lang w:val="en-US" w:eastAsia="zh-CN"/>
          <w14:textFill>
            <w14:solidFill>
              <w14:schemeClr w14:val="tx1"/>
            </w14:solidFill>
          </w14:textFill>
        </w:rPr>
        <w:t>.</w:t>
      </w:r>
      <w:r>
        <w:rPr>
          <w:rFonts w:hint="default" w:ascii="Times New Roman" w:hAnsi="Times New Roman" w:cs="Times New Roman"/>
          <w:color w:val="000000" w:themeColor="text1"/>
          <w:sz w:val="20"/>
          <w:szCs w:val="20"/>
          <w14:textFill>
            <w14:solidFill>
              <w14:schemeClr w14:val="tx1"/>
            </w14:solidFill>
          </w14:textFill>
        </w:rPr>
        <w:t xml:space="preserve"> </w:t>
      </w:r>
      <w:r>
        <w:rPr>
          <w:rFonts w:hint="eastAsia" w:cs="Times New Roman"/>
          <w:color w:val="000000" w:themeColor="text1"/>
          <w:sz w:val="20"/>
          <w:szCs w:val="20"/>
          <w:lang w:val="en-US" w:eastAsia="zh-CN"/>
          <w14:textFill>
            <w14:solidFill>
              <w14:schemeClr w14:val="tx1"/>
            </w14:solidFill>
          </w14:textFill>
        </w:rPr>
        <w:t>4</w:t>
      </w:r>
      <w:r>
        <w:rPr>
          <w:rFonts w:hint="default" w:ascii="Times New Roman" w:hAnsi="Times New Roman" w:cs="Times New Roman"/>
          <w:color w:val="000000" w:themeColor="text1"/>
          <w:sz w:val="20"/>
          <w:szCs w:val="20"/>
          <w14:textFill>
            <w14:solidFill>
              <w14:schemeClr w14:val="tx1"/>
            </w14:solidFill>
          </w14:textFill>
        </w:rPr>
        <w:t>b) remains capacitive. The capacitive branches tend to amplify high-frequency harmonic currents. Since the inverter itself acts as a harmonic source and produces numerous high-frequency components, the passive device should exhibit resistive characteristics at high frequencies. Furthermore, when multiple inverters are coupled to the grid, multiple series and parallel resonances appear in the system. Therefore, the parallel passive device must include both series and parallel resonant branches to suppress these resonant peaks simultaneously. Based on this analysis, a new passive filter—termed the direct-mounted damping device—is proposed. Its topology and the port admittance</w:t>
      </w:r>
      <w:r>
        <w:rPr>
          <w:rFonts w:hint="default" w:cs="Times New Roman"/>
          <w:color w:val="000000" w:themeColor="text1"/>
          <w:sz w:val="20"/>
          <w:szCs w:val="20"/>
          <w:lang w:val="en-US" w:eastAsia="zh-CN"/>
          <w14:textFill>
            <w14:solidFill>
              <w14:schemeClr w14:val="tx1"/>
            </w14:solidFill>
          </w14:textFill>
        </w:rPr>
        <w:t>’</w:t>
      </w:r>
      <w:r>
        <w:rPr>
          <w:rFonts w:hint="eastAsia" w:cs="Times New Roman"/>
          <w:color w:val="000000" w:themeColor="text1"/>
          <w:sz w:val="20"/>
          <w:szCs w:val="20"/>
          <w:lang w:val="en-US" w:eastAsia="zh-CN"/>
          <w14:textFill>
            <w14:solidFill>
              <w14:schemeClr w14:val="tx1"/>
            </w14:solidFill>
          </w14:textFill>
        </w:rPr>
        <w:t xml:space="preserve">s </w:t>
      </w:r>
      <w:r>
        <w:rPr>
          <w:rFonts w:hint="default" w:ascii="Times New Roman" w:hAnsi="Times New Roman" w:cs="Times New Roman"/>
          <w:color w:val="000000" w:themeColor="text1"/>
          <w:sz w:val="20"/>
          <w:szCs w:val="20"/>
          <w14:textFill>
            <w14:solidFill>
              <w14:schemeClr w14:val="tx1"/>
            </w14:solidFill>
          </w14:textFill>
        </w:rPr>
        <w:t>frequency response are illustrated in Fig</w:t>
      </w:r>
      <w:r>
        <w:rPr>
          <w:rFonts w:hint="eastAsia" w:cs="Times New Roman"/>
          <w:color w:val="000000" w:themeColor="text1"/>
          <w:sz w:val="20"/>
          <w:szCs w:val="20"/>
          <w:lang w:val="en-US" w:eastAsia="zh-CN"/>
          <w14:textFill>
            <w14:solidFill>
              <w14:schemeClr w14:val="tx1"/>
            </w14:solidFill>
          </w14:textFill>
        </w:rPr>
        <w:t>.</w:t>
      </w:r>
      <w:r>
        <w:rPr>
          <w:rFonts w:hint="default" w:ascii="Times New Roman" w:hAnsi="Times New Roman" w:cs="Times New Roman"/>
          <w:color w:val="000000" w:themeColor="text1"/>
          <w:sz w:val="20"/>
          <w:szCs w:val="20"/>
          <w14:textFill>
            <w14:solidFill>
              <w14:schemeClr w14:val="tx1"/>
            </w14:solidFill>
          </w14:textFill>
        </w:rPr>
        <w:t xml:space="preserve"> </w:t>
      </w:r>
      <w:r>
        <w:rPr>
          <w:rFonts w:hint="eastAsia" w:cs="Times New Roman"/>
          <w:color w:val="000000" w:themeColor="text1"/>
          <w:sz w:val="20"/>
          <w:szCs w:val="20"/>
          <w:lang w:val="en-US" w:eastAsia="zh-CN"/>
          <w14:textFill>
            <w14:solidFill>
              <w14:schemeClr w14:val="tx1"/>
            </w14:solidFill>
          </w14:textFill>
        </w:rPr>
        <w:t>5</w:t>
      </w:r>
      <w:r>
        <w:rPr>
          <w:rFonts w:hint="default" w:ascii="Times New Roman" w:hAnsi="Times New Roman" w:cs="Times New Roman"/>
          <w:color w:val="000000" w:themeColor="text1"/>
          <w:sz w:val="20"/>
          <w:szCs w:val="20"/>
          <w14:textFill>
            <w14:solidFill>
              <w14:schemeClr w14:val="tx1"/>
            </w14:solidFill>
          </w14:textFill>
        </w:rPr>
        <w:t>.</w:t>
      </w:r>
    </w:p>
    <w:p>
      <w:pPr>
        <w:jc w:val="center"/>
        <w:rPr>
          <w:rFonts w:hint="default" w:ascii="Times New Roman" w:hAnsi="Times New Roman" w:cs="Times New Roman"/>
          <w:color w:val="000000" w:themeColor="text1"/>
          <w:sz w:val="20"/>
          <w:szCs w:val="20"/>
          <w14:textFill>
            <w14:solidFill>
              <w14:schemeClr w14:val="tx1"/>
            </w14:solidFill>
          </w14:textFill>
        </w:rPr>
      </w:pPr>
      <w:r>
        <w:rPr>
          <w:rFonts w:hint="default" w:ascii="Times New Roman" w:hAnsi="Times New Roman" w:cs="Times New Roman"/>
          <w:color w:val="000000" w:themeColor="text1"/>
          <w:sz w:val="20"/>
          <w:szCs w:val="20"/>
          <w14:textFill>
            <w14:solidFill>
              <w14:schemeClr w14:val="tx1"/>
            </w14:solidFill>
          </w14:textFill>
        </w:rPr>
        <w:object>
          <v:shape id="_x0000_i1032" o:spt="75" type="#_x0000_t75" style="height:143.75pt;width:232.25pt;" o:ole="t" filled="f" o:preferrelative="t" stroked="f" coordsize="21600,21600">
            <v:path/>
            <v:fill on="f" focussize="0,0"/>
            <v:stroke on="f"/>
            <v:imagedata r:id="rId31" o:title=""/>
            <o:lock v:ext="edit" aspectratio="f"/>
            <w10:wrap type="none"/>
            <w10:anchorlock/>
          </v:shape>
          <o:OLEObject Type="Embed" ProgID="Visio.Drawing.15" ShapeID="_x0000_i1032" DrawAspect="Content" ObjectID="_1468075732" r:id="rId30">
            <o:LockedField>false</o:LockedField>
          </o:OLEObject>
        </w:object>
      </w:r>
    </w:p>
    <w:p>
      <w:pPr>
        <w:jc w:val="center"/>
        <w:rPr>
          <w:color w:val="000000" w:themeColor="text1"/>
          <w:sz w:val="20"/>
          <w:szCs w:val="20"/>
          <w14:textFill>
            <w14:solidFill>
              <w14:schemeClr w14:val="tx1"/>
            </w14:solidFill>
          </w14:textFill>
        </w:rPr>
      </w:pPr>
      <w:r>
        <w:rPr>
          <w:rFonts w:hint="eastAsia"/>
          <w:b/>
          <w:bCs/>
          <w:i/>
          <w:iCs/>
          <w:sz w:val="20"/>
          <w:szCs w:val="20"/>
          <w:lang w:val="en-US"/>
        </w:rPr>
        <w:t>F</w:t>
      </w:r>
      <w:r>
        <w:rPr>
          <w:b/>
          <w:bCs/>
          <w:i/>
          <w:iCs/>
          <w:sz w:val="20"/>
          <w:szCs w:val="20"/>
          <w:lang w:val="en-US"/>
        </w:rPr>
        <w:t xml:space="preserve">ig. </w:t>
      </w:r>
      <w:r>
        <w:rPr>
          <w:rFonts w:hint="eastAsia"/>
          <w:b/>
          <w:bCs/>
          <w:i/>
          <w:iCs/>
          <w:sz w:val="20"/>
          <w:szCs w:val="20"/>
          <w:lang w:val="en-US" w:eastAsia="zh-CN"/>
        </w:rPr>
        <w:t>5</w:t>
      </w:r>
      <w:r>
        <w:t xml:space="preserve"> </w:t>
      </w:r>
      <w:r>
        <w:rPr>
          <w:rFonts w:hint="eastAsia"/>
          <w:i/>
          <w:iCs/>
          <w:color w:val="000000" w:themeColor="text1"/>
          <w:sz w:val="20"/>
          <w:szCs w:val="20"/>
          <w14:textFill>
            <w14:solidFill>
              <w14:schemeClr w14:val="tx1"/>
            </w14:solidFill>
          </w14:textFill>
        </w:rPr>
        <w:t>Topology and frequency response curve</w:t>
      </w:r>
      <w:r>
        <w:rPr>
          <w:rFonts w:hint="eastAsia"/>
          <w:i/>
          <w:iCs/>
          <w:color w:val="000000" w:themeColor="text1"/>
          <w:sz w:val="20"/>
          <w:szCs w:val="20"/>
          <w:lang w:val="en-US" w:eastAsia="zh-CN"/>
          <w14:textFill>
            <w14:solidFill>
              <w14:schemeClr w14:val="tx1"/>
            </w14:solidFill>
          </w14:textFill>
        </w:rPr>
        <w:t>s</w:t>
      </w:r>
      <w:r>
        <w:rPr>
          <w:rFonts w:hint="eastAsia"/>
          <w:i/>
          <w:iCs/>
          <w:color w:val="000000" w:themeColor="text1"/>
          <w:sz w:val="20"/>
          <w:szCs w:val="20"/>
          <w14:textFill>
            <w14:solidFill>
              <w14:schemeClr w14:val="tx1"/>
            </w14:solidFill>
          </w14:textFill>
        </w:rPr>
        <w:t xml:space="preserve"> of the </w:t>
      </w:r>
      <w:r>
        <w:rPr>
          <w:rFonts w:hint="eastAsia"/>
          <w:i/>
          <w:iCs/>
          <w:color w:val="000000" w:themeColor="text1"/>
          <w:sz w:val="20"/>
          <w:szCs w:val="20"/>
          <w:lang w:val="en-US" w:eastAsia="zh-CN"/>
          <w14:textFill>
            <w14:solidFill>
              <w14:schemeClr w14:val="tx1"/>
            </w14:solidFill>
          </w14:textFill>
        </w:rPr>
        <w:t>direct-mounted damping device</w:t>
      </w:r>
    </w:p>
    <w:p>
      <w:pPr>
        <w:ind w:firstLine="403"/>
        <w:jc w:val="both"/>
        <w:rPr>
          <w:color w:val="000000" w:themeColor="text1"/>
          <w:sz w:val="20"/>
          <w:szCs w:val="20"/>
          <w14:textFill>
            <w14:solidFill>
              <w14:schemeClr w14:val="tx1"/>
            </w14:solidFill>
          </w14:textFill>
        </w:rPr>
      </w:pPr>
      <w:r>
        <w:rPr>
          <w:rFonts w:hint="default" w:ascii="Times New Roman" w:hAnsi="Times New Roman" w:cs="Times New Roman"/>
          <w:color w:val="000000" w:themeColor="text1"/>
          <w:sz w:val="20"/>
          <w:szCs w:val="20"/>
          <w14:textFill>
            <w14:solidFill>
              <w14:schemeClr w14:val="tx1"/>
            </w14:solidFill>
          </w14:textFill>
        </w:rPr>
        <w:t>Fig</w:t>
      </w:r>
      <w:r>
        <w:rPr>
          <w:rFonts w:hint="eastAsia" w:ascii="Times New Roman" w:hAnsi="Times New Roman" w:cs="Times New Roman"/>
          <w:color w:val="000000" w:themeColor="text1"/>
          <w:sz w:val="20"/>
          <w:szCs w:val="20"/>
          <w:lang w:val="en-US" w:eastAsia="zh-CN"/>
          <w14:textFill>
            <w14:solidFill>
              <w14:schemeClr w14:val="tx1"/>
            </w14:solidFill>
          </w14:textFill>
        </w:rPr>
        <w:t>.</w:t>
      </w:r>
      <w:r>
        <w:rPr>
          <w:rFonts w:hint="default" w:ascii="Times New Roman" w:hAnsi="Times New Roman" w:cs="Times New Roman"/>
          <w:color w:val="000000" w:themeColor="text1"/>
          <w:sz w:val="20"/>
          <w:szCs w:val="20"/>
          <w14:textFill>
            <w14:solidFill>
              <w14:schemeClr w14:val="tx1"/>
            </w14:solidFill>
          </w14:textFill>
        </w:rPr>
        <w:t xml:space="preserve"> </w:t>
      </w:r>
      <w:r>
        <w:rPr>
          <w:rFonts w:hint="eastAsia" w:cs="Times New Roman"/>
          <w:color w:val="000000" w:themeColor="text1"/>
          <w:sz w:val="20"/>
          <w:szCs w:val="20"/>
          <w:lang w:val="en-US" w:eastAsia="zh-CN"/>
          <w14:textFill>
            <w14:solidFill>
              <w14:schemeClr w14:val="tx1"/>
            </w14:solidFill>
          </w14:textFill>
        </w:rPr>
        <w:t>5</w:t>
      </w:r>
      <w:r>
        <w:rPr>
          <w:rFonts w:hint="default" w:ascii="Times New Roman" w:hAnsi="Times New Roman" w:cs="Times New Roman"/>
          <w:color w:val="000000" w:themeColor="text1"/>
          <w:sz w:val="20"/>
          <w:szCs w:val="20"/>
          <w14:textFill>
            <w14:solidFill>
              <w14:schemeClr w14:val="tx1"/>
            </w14:solidFill>
          </w14:textFill>
        </w:rPr>
        <w:t xml:space="preserve"> illustrates that the direct-mounted damping device comprises two inductors (</w:t>
      </w:r>
      <w:r>
        <w:rPr>
          <w:rFonts w:hint="default" w:ascii="Times New Roman" w:hAnsi="Times New Roman" w:cs="Times New Roman"/>
          <w:i/>
          <w:iCs/>
          <w:color w:val="000000" w:themeColor="text1"/>
          <w:sz w:val="20"/>
          <w:szCs w:val="20"/>
          <w14:textFill>
            <w14:solidFill>
              <w14:schemeClr w14:val="tx1"/>
            </w14:solidFill>
          </w14:textFill>
        </w:rPr>
        <w:t>L</w:t>
      </w:r>
      <w:r>
        <w:rPr>
          <w:rFonts w:hint="eastAsia" w:ascii="Times New Roman" w:hAnsi="Times New Roman" w:cs="Times New Roman"/>
          <w:color w:val="000000" w:themeColor="text1"/>
          <w:sz w:val="20"/>
          <w:szCs w:val="20"/>
          <w:vertAlign w:val="subscript"/>
          <w:lang w:val="en-US" w:eastAsia="zh-CN"/>
          <w14:textFill>
            <w14:solidFill>
              <w14:schemeClr w14:val="tx1"/>
            </w14:solidFill>
          </w14:textFill>
        </w:rPr>
        <w:t>1d</w:t>
      </w:r>
      <w:r>
        <w:rPr>
          <w:rFonts w:hint="default" w:ascii="Times New Roman" w:hAnsi="Times New Roman" w:cs="Times New Roman"/>
          <w:color w:val="000000" w:themeColor="text1"/>
          <w:sz w:val="20"/>
          <w:szCs w:val="20"/>
          <w14:textFill>
            <w14:solidFill>
              <w14:schemeClr w14:val="tx1"/>
            </w14:solidFill>
          </w14:textFill>
        </w:rPr>
        <w:t xml:space="preserve"> and </w:t>
      </w:r>
      <w:r>
        <w:rPr>
          <w:rFonts w:hint="default" w:ascii="Times New Roman" w:hAnsi="Times New Roman" w:cs="Times New Roman"/>
          <w:i/>
          <w:iCs/>
          <w:color w:val="000000" w:themeColor="text1"/>
          <w:sz w:val="20"/>
          <w:szCs w:val="20"/>
          <w14:textFill>
            <w14:solidFill>
              <w14:schemeClr w14:val="tx1"/>
            </w14:solidFill>
          </w14:textFill>
        </w:rPr>
        <w:t>L</w:t>
      </w:r>
      <w:r>
        <w:rPr>
          <w:rFonts w:hint="eastAsia" w:ascii="Times New Roman" w:hAnsi="Times New Roman" w:cs="Times New Roman"/>
          <w:color w:val="000000" w:themeColor="text1"/>
          <w:sz w:val="20"/>
          <w:szCs w:val="20"/>
          <w:vertAlign w:val="subscript"/>
          <w:lang w:val="en-US" w:eastAsia="zh-CN"/>
          <w14:textFill>
            <w14:solidFill>
              <w14:schemeClr w14:val="tx1"/>
            </w14:solidFill>
          </w14:textFill>
        </w:rPr>
        <w:t>2d</w:t>
      </w:r>
      <w:r>
        <w:rPr>
          <w:rFonts w:hint="default" w:ascii="Times New Roman" w:hAnsi="Times New Roman" w:cs="Times New Roman"/>
          <w:color w:val="000000" w:themeColor="text1"/>
          <w:sz w:val="20"/>
          <w:szCs w:val="20"/>
          <w14:textFill>
            <w14:solidFill>
              <w14:schemeClr w14:val="tx1"/>
            </w14:solidFill>
          </w14:textFill>
        </w:rPr>
        <w:t>), two capacitors (</w:t>
      </w:r>
      <w:r>
        <w:rPr>
          <w:rFonts w:hint="default" w:ascii="Times New Roman" w:hAnsi="Times New Roman" w:cs="Times New Roman"/>
          <w:i/>
          <w:iCs/>
          <w:color w:val="000000" w:themeColor="text1"/>
          <w:sz w:val="20"/>
          <w:szCs w:val="20"/>
          <w14:textFill>
            <w14:solidFill>
              <w14:schemeClr w14:val="tx1"/>
            </w14:solidFill>
          </w14:textFill>
        </w:rPr>
        <w:t>C</w:t>
      </w:r>
      <w:r>
        <w:rPr>
          <w:rFonts w:hint="eastAsia" w:ascii="Times New Roman" w:hAnsi="Times New Roman" w:cs="Times New Roman"/>
          <w:color w:val="000000" w:themeColor="text1"/>
          <w:sz w:val="20"/>
          <w:szCs w:val="20"/>
          <w:vertAlign w:val="subscript"/>
          <w:lang w:val="en-US" w:eastAsia="zh-CN"/>
          <w14:textFill>
            <w14:solidFill>
              <w14:schemeClr w14:val="tx1"/>
            </w14:solidFill>
          </w14:textFill>
        </w:rPr>
        <w:t>1d</w:t>
      </w:r>
      <w:r>
        <w:rPr>
          <w:rFonts w:hint="default" w:ascii="Times New Roman" w:hAnsi="Times New Roman" w:cs="Times New Roman"/>
          <w:color w:val="000000" w:themeColor="text1"/>
          <w:sz w:val="20"/>
          <w:szCs w:val="20"/>
          <w14:textFill>
            <w14:solidFill>
              <w14:schemeClr w14:val="tx1"/>
            </w14:solidFill>
          </w14:textFill>
        </w:rPr>
        <w:t xml:space="preserve"> and </w:t>
      </w:r>
      <w:r>
        <w:rPr>
          <w:rFonts w:hint="default" w:ascii="Times New Roman" w:hAnsi="Times New Roman" w:cs="Times New Roman"/>
          <w:i/>
          <w:iCs/>
          <w:color w:val="000000" w:themeColor="text1"/>
          <w:sz w:val="20"/>
          <w:szCs w:val="20"/>
          <w14:textFill>
            <w14:solidFill>
              <w14:schemeClr w14:val="tx1"/>
            </w14:solidFill>
          </w14:textFill>
        </w:rPr>
        <w:t>C</w:t>
      </w:r>
      <w:r>
        <w:rPr>
          <w:rFonts w:hint="eastAsia" w:ascii="Times New Roman" w:hAnsi="Times New Roman" w:cs="Times New Roman"/>
          <w:color w:val="000000" w:themeColor="text1"/>
          <w:sz w:val="20"/>
          <w:szCs w:val="20"/>
          <w:vertAlign w:val="subscript"/>
          <w:lang w:val="en-US" w:eastAsia="zh-CN"/>
          <w14:textFill>
            <w14:solidFill>
              <w14:schemeClr w14:val="tx1"/>
            </w14:solidFill>
          </w14:textFill>
        </w:rPr>
        <w:t>2d</w:t>
      </w:r>
      <w:r>
        <w:rPr>
          <w:rFonts w:hint="default" w:ascii="Times New Roman" w:hAnsi="Times New Roman" w:cs="Times New Roman"/>
          <w:color w:val="000000" w:themeColor="text1"/>
          <w:sz w:val="20"/>
          <w:szCs w:val="20"/>
          <w14:textFill>
            <w14:solidFill>
              <w14:schemeClr w14:val="tx1"/>
            </w14:solidFill>
          </w14:textFill>
        </w:rPr>
        <w:t>), and a resistor (</w:t>
      </w:r>
      <w:r>
        <w:rPr>
          <w:rFonts w:hint="default" w:ascii="Times New Roman" w:hAnsi="Times New Roman" w:cs="Times New Roman"/>
          <w:i/>
          <w:iCs/>
          <w:color w:val="000000" w:themeColor="text1"/>
          <w:sz w:val="20"/>
          <w:szCs w:val="20"/>
          <w14:textFill>
            <w14:solidFill>
              <w14:schemeClr w14:val="tx1"/>
            </w14:solidFill>
          </w14:textFill>
        </w:rPr>
        <w:t>R</w:t>
      </w:r>
      <w:r>
        <w:rPr>
          <w:rFonts w:hint="eastAsia" w:cs="Times New Roman"/>
          <w:color w:val="000000" w:themeColor="text1"/>
          <w:sz w:val="20"/>
          <w:szCs w:val="20"/>
          <w:vertAlign w:val="subscript"/>
          <w:lang w:val="en-US" w:eastAsia="zh-CN"/>
          <w14:textFill>
            <w14:solidFill>
              <w14:schemeClr w14:val="tx1"/>
            </w14:solidFill>
          </w14:textFill>
        </w:rPr>
        <w:t>1d</w:t>
      </w:r>
      <w:r>
        <w:rPr>
          <w:rFonts w:hint="default" w:ascii="Times New Roman" w:hAnsi="Times New Roman" w:cs="Times New Roman"/>
          <w:color w:val="000000" w:themeColor="text1"/>
          <w:sz w:val="20"/>
          <w:szCs w:val="20"/>
          <w14:textFill>
            <w14:solidFill>
              <w14:schemeClr w14:val="tx1"/>
            </w14:solidFill>
          </w14:textFill>
        </w:rPr>
        <w:t xml:space="preserve">). </w:t>
      </w:r>
      <w:r>
        <w:rPr>
          <w:rFonts w:hint="default" w:ascii="Times New Roman" w:hAnsi="Times New Roman" w:cs="Times New Roman"/>
          <w:i/>
          <w:iCs/>
          <w:color w:val="000000" w:themeColor="text1"/>
          <w:sz w:val="20"/>
          <w:szCs w:val="20"/>
          <w14:textFill>
            <w14:solidFill>
              <w14:schemeClr w14:val="tx1"/>
            </w14:solidFill>
          </w14:textFill>
        </w:rPr>
        <w:t>L</w:t>
      </w:r>
      <w:r>
        <w:rPr>
          <w:rFonts w:hint="eastAsia" w:ascii="Times New Roman" w:hAnsi="Times New Roman" w:cs="Times New Roman"/>
          <w:color w:val="000000" w:themeColor="text1"/>
          <w:sz w:val="20"/>
          <w:szCs w:val="20"/>
          <w:vertAlign w:val="subscript"/>
          <w:lang w:val="en-US" w:eastAsia="zh-CN"/>
          <w14:textFill>
            <w14:solidFill>
              <w14:schemeClr w14:val="tx1"/>
            </w14:solidFill>
          </w14:textFill>
        </w:rPr>
        <w:t>1d</w:t>
      </w:r>
      <w:r>
        <w:rPr>
          <w:rFonts w:hint="default" w:ascii="Times New Roman" w:hAnsi="Times New Roman" w:cs="Times New Roman"/>
          <w:color w:val="000000" w:themeColor="text1"/>
          <w:sz w:val="20"/>
          <w:szCs w:val="20"/>
          <w14:textFill>
            <w14:solidFill>
              <w14:schemeClr w14:val="tx1"/>
            </w14:solidFill>
          </w14:textFill>
        </w:rPr>
        <w:t xml:space="preserve"> and </w:t>
      </w:r>
      <w:r>
        <w:rPr>
          <w:rFonts w:hint="eastAsia" w:cs="Times New Roman"/>
          <w:i/>
          <w:iCs/>
          <w:color w:val="000000" w:themeColor="text1"/>
          <w:sz w:val="20"/>
          <w:szCs w:val="20"/>
          <w:lang w:val="en-US" w:eastAsia="zh-CN"/>
          <w14:textFill>
            <w14:solidFill>
              <w14:schemeClr w14:val="tx1"/>
            </w14:solidFill>
          </w14:textFill>
        </w:rPr>
        <w:t>C</w:t>
      </w:r>
      <w:r>
        <w:rPr>
          <w:rFonts w:hint="eastAsia" w:cs="Times New Roman"/>
          <w:color w:val="000000" w:themeColor="text1"/>
          <w:sz w:val="20"/>
          <w:szCs w:val="20"/>
          <w:vertAlign w:val="subscript"/>
          <w:lang w:val="en-US" w:eastAsia="zh-CN"/>
          <w14:textFill>
            <w14:solidFill>
              <w14:schemeClr w14:val="tx1"/>
            </w14:solidFill>
          </w14:textFill>
        </w:rPr>
        <w:t>1</w:t>
      </w:r>
      <w:r>
        <w:rPr>
          <w:rFonts w:hint="eastAsia" w:ascii="Times New Roman" w:hAnsi="Times New Roman" w:cs="Times New Roman"/>
          <w:color w:val="000000" w:themeColor="text1"/>
          <w:sz w:val="20"/>
          <w:szCs w:val="20"/>
          <w:vertAlign w:val="subscript"/>
          <w:lang w:val="en-US" w:eastAsia="zh-CN"/>
          <w14:textFill>
            <w14:solidFill>
              <w14:schemeClr w14:val="tx1"/>
            </w14:solidFill>
          </w14:textFill>
        </w:rPr>
        <w:t>d</w:t>
      </w:r>
      <w:r>
        <w:rPr>
          <w:rFonts w:hint="default" w:ascii="Times New Roman" w:hAnsi="Times New Roman" w:cs="Times New Roman"/>
          <w:color w:val="000000" w:themeColor="text1"/>
          <w:sz w:val="20"/>
          <w:szCs w:val="20"/>
          <w14:textFill>
            <w14:solidFill>
              <w14:schemeClr w14:val="tx1"/>
            </w14:solidFill>
          </w14:textFill>
        </w:rPr>
        <w:t xml:space="preserve"> form a series-resonant branch, while </w:t>
      </w:r>
      <w:r>
        <w:rPr>
          <w:rFonts w:hint="default" w:ascii="Times New Roman" w:hAnsi="Times New Roman" w:cs="Times New Roman"/>
          <w:i/>
          <w:iCs/>
          <w:color w:val="000000" w:themeColor="text1"/>
          <w:sz w:val="20"/>
          <w:szCs w:val="20"/>
          <w14:textFill>
            <w14:solidFill>
              <w14:schemeClr w14:val="tx1"/>
            </w14:solidFill>
          </w14:textFill>
        </w:rPr>
        <w:t>L</w:t>
      </w:r>
      <w:r>
        <w:rPr>
          <w:rFonts w:hint="eastAsia" w:cs="Times New Roman"/>
          <w:color w:val="000000" w:themeColor="text1"/>
          <w:sz w:val="20"/>
          <w:szCs w:val="20"/>
          <w:vertAlign w:val="subscript"/>
          <w:lang w:val="en-US" w:eastAsia="zh-CN"/>
          <w14:textFill>
            <w14:solidFill>
              <w14:schemeClr w14:val="tx1"/>
            </w14:solidFill>
          </w14:textFill>
        </w:rPr>
        <w:t>2</w:t>
      </w:r>
      <w:r>
        <w:rPr>
          <w:rFonts w:hint="eastAsia" w:ascii="Times New Roman" w:hAnsi="Times New Roman" w:cs="Times New Roman"/>
          <w:color w:val="000000" w:themeColor="text1"/>
          <w:sz w:val="20"/>
          <w:szCs w:val="20"/>
          <w:vertAlign w:val="subscript"/>
          <w:lang w:val="en-US" w:eastAsia="zh-CN"/>
          <w14:textFill>
            <w14:solidFill>
              <w14:schemeClr w14:val="tx1"/>
            </w14:solidFill>
          </w14:textFill>
        </w:rPr>
        <w:t>d</w:t>
      </w:r>
      <w:r>
        <w:rPr>
          <w:rFonts w:hint="default" w:ascii="Times New Roman" w:hAnsi="Times New Roman" w:cs="Times New Roman"/>
          <w:color w:val="000000" w:themeColor="text1"/>
          <w:sz w:val="20"/>
          <w:szCs w:val="20"/>
          <w14:textFill>
            <w14:solidFill>
              <w14:schemeClr w14:val="tx1"/>
            </w14:solidFill>
          </w14:textFill>
        </w:rPr>
        <w:t xml:space="preserve"> and </w:t>
      </w:r>
      <w:r>
        <w:rPr>
          <w:rFonts w:hint="eastAsia" w:cs="Times New Roman"/>
          <w:i/>
          <w:iCs/>
          <w:color w:val="000000" w:themeColor="text1"/>
          <w:sz w:val="20"/>
          <w:szCs w:val="20"/>
          <w:lang w:val="en-US" w:eastAsia="zh-CN"/>
          <w14:textFill>
            <w14:solidFill>
              <w14:schemeClr w14:val="tx1"/>
            </w14:solidFill>
          </w14:textFill>
        </w:rPr>
        <w:t>C</w:t>
      </w:r>
      <w:r>
        <w:rPr>
          <w:rFonts w:hint="eastAsia" w:cs="Times New Roman"/>
          <w:color w:val="000000" w:themeColor="text1"/>
          <w:sz w:val="20"/>
          <w:szCs w:val="20"/>
          <w:vertAlign w:val="subscript"/>
          <w:lang w:val="en-US" w:eastAsia="zh-CN"/>
          <w14:textFill>
            <w14:solidFill>
              <w14:schemeClr w14:val="tx1"/>
            </w14:solidFill>
          </w14:textFill>
        </w:rPr>
        <w:t>2</w:t>
      </w:r>
      <w:r>
        <w:rPr>
          <w:rFonts w:hint="eastAsia" w:ascii="Times New Roman" w:hAnsi="Times New Roman" w:cs="Times New Roman"/>
          <w:color w:val="000000" w:themeColor="text1"/>
          <w:sz w:val="20"/>
          <w:szCs w:val="20"/>
          <w:vertAlign w:val="subscript"/>
          <w:lang w:val="en-US" w:eastAsia="zh-CN"/>
          <w14:textFill>
            <w14:solidFill>
              <w14:schemeClr w14:val="tx1"/>
            </w14:solidFill>
          </w14:textFill>
        </w:rPr>
        <w:t>d</w:t>
      </w:r>
      <w:r>
        <w:rPr>
          <w:rFonts w:hint="default" w:ascii="Times New Roman" w:hAnsi="Times New Roman" w:cs="Times New Roman"/>
          <w:color w:val="000000" w:themeColor="text1"/>
          <w:sz w:val="20"/>
          <w:szCs w:val="20"/>
          <w14:textFill>
            <w14:solidFill>
              <w14:schemeClr w14:val="tx1"/>
            </w14:solidFill>
          </w14:textFill>
        </w:rPr>
        <w:t xml:space="preserve"> constitute a parallel-resonant branch. The resistor </w:t>
      </w:r>
      <w:r>
        <w:rPr>
          <w:rFonts w:hint="default" w:ascii="Times New Roman" w:hAnsi="Times New Roman" w:cs="Times New Roman"/>
          <w:i/>
          <w:iCs/>
          <w:color w:val="000000" w:themeColor="text1"/>
          <w:sz w:val="20"/>
          <w:szCs w:val="20"/>
          <w14:textFill>
            <w14:solidFill>
              <w14:schemeClr w14:val="tx1"/>
            </w14:solidFill>
          </w14:textFill>
        </w:rPr>
        <w:t>R</w:t>
      </w:r>
      <w:r>
        <w:rPr>
          <w:rFonts w:hint="eastAsia" w:cs="Times New Roman"/>
          <w:color w:val="000000" w:themeColor="text1"/>
          <w:sz w:val="20"/>
          <w:szCs w:val="20"/>
          <w:vertAlign w:val="subscript"/>
          <w:lang w:val="en-US" w:eastAsia="zh-CN"/>
          <w14:textFill>
            <w14:solidFill>
              <w14:schemeClr w14:val="tx1"/>
            </w14:solidFill>
          </w14:textFill>
        </w:rPr>
        <w:t>1d</w:t>
      </w:r>
      <w:r>
        <w:rPr>
          <w:rFonts w:hint="default" w:ascii="Times New Roman" w:hAnsi="Times New Roman" w:cs="Times New Roman"/>
          <w:color w:val="000000" w:themeColor="text1"/>
          <w:sz w:val="20"/>
          <w:szCs w:val="20"/>
          <w14:textFill>
            <w14:solidFill>
              <w14:schemeClr w14:val="tx1"/>
            </w14:solidFill>
          </w14:textFill>
        </w:rPr>
        <w:t xml:space="preserve"> provides damping for the resonant branches. The frequency response curve displays two resonant peaks: the device behaves capacitively at low frequencies and inductively near both resonance points. At higher frequencies, its impedance gradually transitions from capacitive to resistive. The port characteristics of this device are </w:t>
      </w:r>
      <w:r>
        <w:rPr>
          <w:rFonts w:hint="eastAsia" w:cs="Times New Roman"/>
          <w:color w:val="000000" w:themeColor="text1"/>
          <w:sz w:val="20"/>
          <w:szCs w:val="20"/>
          <w:lang w:val="en-US" w:eastAsia="zh-CN"/>
          <w14:textFill>
            <w14:solidFill>
              <w14:schemeClr w14:val="tx1"/>
            </w14:solidFill>
          </w14:textFill>
        </w:rPr>
        <w:t>complementary</w:t>
      </w:r>
      <w:r>
        <w:rPr>
          <w:rFonts w:hint="default" w:ascii="Times New Roman" w:hAnsi="Times New Roman" w:cs="Times New Roman"/>
          <w:color w:val="000000" w:themeColor="text1"/>
          <w:sz w:val="20"/>
          <w:szCs w:val="20"/>
          <w14:textFill>
            <w14:solidFill>
              <w14:schemeClr w14:val="tx1"/>
            </w14:solidFill>
          </w14:textFill>
        </w:rPr>
        <w:t xml:space="preserve"> to th</w:t>
      </w:r>
      <w:r>
        <w:rPr>
          <w:rFonts w:hint="eastAsia" w:cs="Times New Roman"/>
          <w:color w:val="000000" w:themeColor="text1"/>
          <w:sz w:val="20"/>
          <w:szCs w:val="20"/>
          <w:lang w:val="en-US" w:eastAsia="zh-CN"/>
          <w14:textFill>
            <w14:solidFill>
              <w14:schemeClr w14:val="tx1"/>
            </w14:solidFill>
          </w14:textFill>
        </w:rPr>
        <w:t>at</w:t>
      </w:r>
      <w:r>
        <w:rPr>
          <w:rFonts w:hint="default" w:ascii="Times New Roman" w:hAnsi="Times New Roman" w:cs="Times New Roman"/>
          <w:color w:val="000000" w:themeColor="text1"/>
          <w:sz w:val="20"/>
          <w:szCs w:val="20"/>
          <w14:textFill>
            <w14:solidFill>
              <w14:schemeClr w14:val="tx1"/>
            </w14:solidFill>
          </w14:textFill>
        </w:rPr>
        <w:t xml:space="preserve"> of the</w:t>
      </w:r>
      <w:r>
        <w:rPr>
          <w:rFonts w:hint="eastAsia" w:cs="Times New Roman"/>
          <w:color w:val="000000" w:themeColor="text1"/>
          <w:sz w:val="20"/>
          <w:szCs w:val="20"/>
          <w:lang w:val="en-US" w:eastAsia="zh-CN"/>
          <w14:textFill>
            <w14:solidFill>
              <w14:schemeClr w14:val="tx1"/>
            </w14:solidFill>
          </w14:textFill>
        </w:rPr>
        <w:t xml:space="preserve"> GCI</w:t>
      </w:r>
      <w:r>
        <w:rPr>
          <w:rFonts w:hint="default" w:ascii="Times New Roman" w:hAnsi="Times New Roman" w:cs="Times New Roman"/>
          <w:color w:val="000000" w:themeColor="text1"/>
          <w:sz w:val="20"/>
          <w:szCs w:val="20"/>
          <w14:textFill>
            <w14:solidFill>
              <w14:schemeClr w14:val="tx1"/>
            </w14:solidFill>
          </w14:textFill>
        </w:rPr>
        <w:t xml:space="preserve"> system shown in Fig</w:t>
      </w:r>
      <w:r>
        <w:rPr>
          <w:rFonts w:hint="eastAsia" w:ascii="Times New Roman" w:hAnsi="Times New Roman" w:cs="Times New Roman"/>
          <w:color w:val="000000" w:themeColor="text1"/>
          <w:sz w:val="20"/>
          <w:szCs w:val="20"/>
          <w:lang w:val="en-US" w:eastAsia="zh-CN"/>
          <w14:textFill>
            <w14:solidFill>
              <w14:schemeClr w14:val="tx1"/>
            </w14:solidFill>
          </w14:textFill>
        </w:rPr>
        <w:t>.</w:t>
      </w:r>
      <w:r>
        <w:rPr>
          <w:rFonts w:hint="default" w:ascii="Times New Roman" w:hAnsi="Times New Roman" w:cs="Times New Roman"/>
          <w:color w:val="000000" w:themeColor="text1"/>
          <w:sz w:val="20"/>
          <w:szCs w:val="20"/>
          <w14:textFill>
            <w14:solidFill>
              <w14:schemeClr w14:val="tx1"/>
            </w14:solidFill>
          </w14:textFill>
        </w:rPr>
        <w:t xml:space="preserve"> 3. By properly designing the inductance and capacitance parameters and connecting the damping device in parallel, the broadband inductive characteristics of the system’s port impedance can be effectively reduced, thereby suppressing resonant peaks. This topology integrates the advantages of the passive filters shown in Fig</w:t>
      </w:r>
      <w:r>
        <w:rPr>
          <w:rFonts w:hint="eastAsia" w:ascii="Times New Roman" w:hAnsi="Times New Roman" w:cs="Times New Roman"/>
          <w:color w:val="000000" w:themeColor="text1"/>
          <w:sz w:val="20"/>
          <w:szCs w:val="20"/>
          <w:lang w:val="en-US" w:eastAsia="zh-CN"/>
          <w14:textFill>
            <w14:solidFill>
              <w14:schemeClr w14:val="tx1"/>
            </w14:solidFill>
          </w14:textFill>
        </w:rPr>
        <w:t>.</w:t>
      </w:r>
      <w:r>
        <w:rPr>
          <w:rFonts w:hint="default" w:ascii="Times New Roman" w:hAnsi="Times New Roman" w:cs="Times New Roman"/>
          <w:color w:val="000000" w:themeColor="text1"/>
          <w:sz w:val="20"/>
          <w:szCs w:val="20"/>
          <w14:textFill>
            <w14:solidFill>
              <w14:schemeClr w14:val="tx1"/>
            </w14:solidFill>
          </w14:textFill>
        </w:rPr>
        <w:t xml:space="preserve"> 4b) and 4c). The following section presents the parameter design procedure </w:t>
      </w:r>
      <w:r>
        <w:rPr>
          <w:color w:val="000000" w:themeColor="text1"/>
          <w:sz w:val="20"/>
          <w:szCs w:val="20"/>
          <w14:textFill>
            <w14:solidFill>
              <w14:schemeClr w14:val="tx1"/>
            </w14:solidFill>
          </w14:textFill>
        </w:rPr>
        <w:t>based</w:t>
      </w:r>
      <w:r>
        <w:rPr>
          <w:rFonts w:hint="default" w:ascii="Times New Roman" w:hAnsi="Times New Roman" w:cs="Times New Roman"/>
          <w:color w:val="000000" w:themeColor="text1"/>
          <w:sz w:val="20"/>
          <w:szCs w:val="20"/>
          <w14:textFill>
            <w14:solidFill>
              <w14:schemeClr w14:val="tx1"/>
            </w14:solidFill>
          </w14:textFill>
        </w:rPr>
        <w:t xml:space="preserve"> on the device structure.</w:t>
      </w:r>
    </w:p>
    <w:p>
      <w:pPr>
        <w:pStyle w:val="44"/>
        <w:numPr>
          <w:ilvl w:val="0"/>
          <w:numId w:val="0"/>
        </w:numPr>
        <w:ind w:left="360"/>
        <w:rPr>
          <w:color w:val="000000" w:themeColor="text1"/>
          <w14:textFill>
            <w14:solidFill>
              <w14:schemeClr w14:val="tx1"/>
            </w14:solidFill>
          </w14:textFill>
        </w:rPr>
      </w:pPr>
      <w:r>
        <w:rPr>
          <w:color w:val="000000" w:themeColor="text1"/>
          <w14:textFill>
            <w14:solidFill>
              <w14:schemeClr w14:val="tx1"/>
            </w14:solidFill>
          </w14:textFill>
        </w:rPr>
        <w:t>3.</w:t>
      </w:r>
      <w:r>
        <w:rPr>
          <w:rFonts w:hint="eastAsia"/>
          <w:color w:val="000000" w:themeColor="text1"/>
          <w:lang w:val="en-US" w:eastAsia="zh-CN"/>
          <w14:textFill>
            <w14:solidFill>
              <w14:schemeClr w14:val="tx1"/>
            </w14:solidFill>
          </w14:textFill>
        </w:rPr>
        <w:t>2</w:t>
      </w:r>
      <w:r>
        <w:rPr>
          <w:color w:val="000000" w:themeColor="text1"/>
          <w14:textFill>
            <w14:solidFill>
              <w14:schemeClr w14:val="tx1"/>
            </w14:solidFill>
          </w14:textFill>
        </w:rPr>
        <w:t xml:space="preserve"> </w:t>
      </w:r>
      <w:r>
        <w:rPr>
          <w:rFonts w:hint="eastAsia"/>
          <w:color w:val="000000" w:themeColor="text1"/>
          <w14:textFill>
            <w14:solidFill>
              <w14:schemeClr w14:val="tx1"/>
            </w14:solidFill>
          </w14:textFill>
        </w:rPr>
        <w:t>Upper Limit</w:t>
      </w:r>
      <w:r>
        <w:rPr>
          <w:rFonts w:hint="eastAsia"/>
          <w:color w:val="000000" w:themeColor="text1"/>
          <w:lang w:val="en-US" w:eastAsia="zh-CN"/>
          <w14:textFill>
            <w14:solidFill>
              <w14:schemeClr w14:val="tx1"/>
            </w14:solidFill>
          </w14:textFill>
        </w:rPr>
        <w:t>s</w:t>
      </w:r>
      <w:r>
        <w:rPr>
          <w:rFonts w:hint="eastAsia"/>
          <w:color w:val="000000" w:themeColor="text1"/>
          <w14:textFill>
            <w14:solidFill>
              <w14:schemeClr w14:val="tx1"/>
            </w14:solidFill>
          </w14:textFill>
        </w:rPr>
        <w:t xml:space="preserve"> of Parameters for Direct-Mount</w:t>
      </w:r>
      <w:r>
        <w:rPr>
          <w:rFonts w:hint="eastAsia"/>
          <w:color w:val="000000" w:themeColor="text1"/>
          <w:lang w:val="en-US" w:eastAsia="zh-CN"/>
          <w14:textFill>
            <w14:solidFill>
              <w14:schemeClr w14:val="tx1"/>
            </w14:solidFill>
          </w14:textFill>
        </w:rPr>
        <w:t>ed</w:t>
      </w:r>
      <w:r>
        <w:rPr>
          <w:rFonts w:hint="eastAsia"/>
          <w:color w:val="000000" w:themeColor="text1"/>
          <w14:textFill>
            <w14:solidFill>
              <w14:schemeClr w14:val="tx1"/>
            </w14:solidFill>
          </w14:textFill>
        </w:rPr>
        <w:t xml:space="preserve"> Damping Device</w:t>
      </w:r>
    </w:p>
    <w:p>
      <w:pPr>
        <w:ind w:firstLine="400"/>
        <w:jc w:val="both"/>
        <w:rPr>
          <w:rFonts w:hint="eastAsia" w:eastAsia="宋体"/>
          <w:color w:val="000000" w:themeColor="text1"/>
          <w:sz w:val="20"/>
          <w:szCs w:val="20"/>
          <w:lang w:val="en-US" w:eastAsia="zh-CN"/>
          <w14:textFill>
            <w14:solidFill>
              <w14:schemeClr w14:val="tx1"/>
            </w14:solidFill>
          </w14:textFill>
        </w:rPr>
      </w:pPr>
      <w:r>
        <w:rPr>
          <w:rFonts w:hint="eastAsia"/>
          <w:color w:val="000000" w:themeColor="text1"/>
          <w:sz w:val="20"/>
          <w:szCs w:val="20"/>
          <w14:textFill>
            <w14:solidFill>
              <w14:schemeClr w14:val="tx1"/>
            </w14:solidFill>
          </w14:textFill>
        </w:rPr>
        <w:t xml:space="preserve">The expression for the port impedance of the direct-mounted damping device is derived from Fig. </w:t>
      </w:r>
      <w:r>
        <w:rPr>
          <w:rFonts w:hint="eastAsia"/>
          <w:color w:val="000000" w:themeColor="text1"/>
          <w:sz w:val="20"/>
          <w:szCs w:val="20"/>
          <w:lang w:val="en-US" w:eastAsia="zh-CN"/>
          <w14:textFill>
            <w14:solidFill>
              <w14:schemeClr w14:val="tx1"/>
            </w14:solidFill>
          </w14:textFill>
        </w:rPr>
        <w:t>5a) :</w:t>
      </w:r>
    </w:p>
    <w:p>
      <w:pPr>
        <w:pStyle w:val="53"/>
        <w:keepNext w:val="0"/>
        <w:keepLines w:val="0"/>
        <w:pageBreakBefore w:val="0"/>
        <w:widowControl/>
        <w:kinsoku/>
        <w:wordWrap/>
        <w:overflowPunct/>
        <w:topLinePunct w:val="0"/>
        <w:autoSpaceDE/>
        <w:autoSpaceDN/>
        <w:bidi w:val="0"/>
        <w:adjustRightInd/>
        <w:snapToGrid/>
        <w:ind w:firstLine="403"/>
        <w:jc w:val="right"/>
        <w:textAlignment w:val="center"/>
        <w:rPr>
          <w:rFonts w:hint="default" w:eastAsia="宋体"/>
          <w:position w:val="0"/>
          <w:sz w:val="24"/>
          <w:lang w:val="en-US" w:eastAsia="zh-CN"/>
        </w:rPr>
      </w:pPr>
      <w:r>
        <w:rPr>
          <w:position w:val="0"/>
          <w:sz w:val="24"/>
          <w:lang w:val="en-GB"/>
        </w:rPr>
        <w:object>
          <v:shape id="_x0000_i1033" o:spt="75" type="#_x0000_t75" style="height:54.6pt;width:121.6pt;" o:ole="t" filled="f" o:preferrelative="t" stroked="f" coordsize="21600,21600">
            <v:path/>
            <v:fill on="f" focussize="0,0"/>
            <v:stroke on="f"/>
            <v:imagedata r:id="rId33" o:title=""/>
            <o:lock v:ext="edit" aspectratio="t"/>
            <w10:wrap type="none"/>
            <w10:anchorlock/>
          </v:shape>
          <o:OLEObject Type="Embed" ProgID="Equation.DSMT4" ShapeID="_x0000_i1033" DrawAspect="Content" ObjectID="_1468075733" r:id="rId32">
            <o:LockedField>false</o:LockedField>
          </o:OLEObject>
        </w:object>
      </w:r>
      <w:r>
        <w:rPr>
          <w:rFonts w:hint="eastAsia"/>
          <w:position w:val="0"/>
          <w:sz w:val="24"/>
          <w:lang w:val="en-US" w:eastAsia="zh-CN"/>
        </w:rPr>
        <w:t xml:space="preserve">     (2)</w:t>
      </w:r>
    </w:p>
    <w:p>
      <w:pPr>
        <w:ind w:firstLine="400"/>
        <w:jc w:val="both"/>
        <w:rPr>
          <w:rFonts w:hint="eastAsia"/>
          <w:color w:val="000000" w:themeColor="text1"/>
          <w:sz w:val="20"/>
          <w:szCs w:val="20"/>
          <w14:textFill>
            <w14:solidFill>
              <w14:schemeClr w14:val="tx1"/>
            </w14:solidFill>
          </w14:textFill>
        </w:rPr>
      </w:pPr>
      <w:r>
        <w:rPr>
          <w:rFonts w:hint="eastAsia"/>
          <w:color w:val="000000" w:themeColor="text1"/>
          <w:sz w:val="20"/>
          <w:szCs w:val="20"/>
          <w14:textFill>
            <w14:solidFill>
              <w14:schemeClr w14:val="tx1"/>
            </w14:solidFill>
          </w14:textFill>
        </w:rPr>
        <w:t xml:space="preserve">The primary function of capacitor </w:t>
      </w:r>
      <w:r>
        <w:rPr>
          <w:rFonts w:hint="eastAsia"/>
          <w:i/>
          <w:iCs/>
          <w:color w:val="000000" w:themeColor="text1"/>
          <w:sz w:val="20"/>
          <w:szCs w:val="20"/>
          <w14:textFill>
            <w14:solidFill>
              <w14:schemeClr w14:val="tx1"/>
            </w14:solidFill>
          </w14:textFill>
        </w:rPr>
        <w:t>C</w:t>
      </w:r>
      <w:r>
        <w:rPr>
          <w:rFonts w:hint="eastAsia"/>
          <w:color w:val="000000" w:themeColor="text1"/>
          <w:sz w:val="20"/>
          <w:szCs w:val="20"/>
          <w:vertAlign w:val="subscript"/>
          <w:lang w:val="en-US" w:eastAsia="zh-CN"/>
          <w14:textFill>
            <w14:solidFill>
              <w14:schemeClr w14:val="tx1"/>
            </w14:solidFill>
          </w14:textFill>
        </w:rPr>
        <w:t>1d</w:t>
      </w:r>
      <w:r>
        <w:rPr>
          <w:rFonts w:hint="eastAsia"/>
          <w:color w:val="000000" w:themeColor="text1"/>
          <w:sz w:val="20"/>
          <w:szCs w:val="20"/>
          <w14:textFill>
            <w14:solidFill>
              <w14:schemeClr w14:val="tx1"/>
            </w14:solidFill>
          </w14:textFill>
        </w:rPr>
        <w:t xml:space="preserve"> is to isolate the fundamental-frequency current component of the system.</w:t>
      </w:r>
      <w:r>
        <w:rPr>
          <w:rFonts w:hint="eastAsia"/>
          <w:color w:val="000000" w:themeColor="text1"/>
          <w:sz w:val="20"/>
          <w:szCs w:val="20"/>
          <w:lang w:val="en-US" w:eastAsia="zh-CN"/>
          <w14:textFill>
            <w14:solidFill>
              <w14:schemeClr w14:val="tx1"/>
            </w14:solidFill>
          </w14:textFill>
        </w:rPr>
        <w:t xml:space="preserve"> At the fundamental frequency, its impedance can be approximated as</w:t>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 </w:t>
      </w:r>
      <w:r>
        <w:rPr>
          <w:rFonts w:hint="default" w:ascii="Times New Roman" w:hAnsi="Times New Roman" w:cs="Times New Roman"/>
          <w:i/>
          <w:iCs/>
          <w:color w:val="000000" w:themeColor="text1"/>
          <w:sz w:val="20"/>
          <w:szCs w:val="20"/>
          <w:lang w:val="en-US" w:eastAsia="zh-CN"/>
          <w14:textFill>
            <w14:solidFill>
              <w14:schemeClr w14:val="tx1"/>
            </w14:solidFill>
          </w14:textFill>
        </w:rPr>
        <w:t>Z</w:t>
      </w:r>
      <w:r>
        <w:rPr>
          <w:rFonts w:hint="eastAsia" w:cs="Times New Roman"/>
          <w:color w:val="000000" w:themeColor="text1"/>
          <w:sz w:val="20"/>
          <w:szCs w:val="20"/>
          <w:vertAlign w:val="subscript"/>
          <w:lang w:val="en-US" w:eastAsia="zh-CN"/>
          <w14:textFill>
            <w14:solidFill>
              <w14:schemeClr w14:val="tx1"/>
            </w14:solidFill>
          </w14:textFill>
        </w:rPr>
        <w:t>d</w:t>
      </w:r>
      <w:r>
        <w:rPr>
          <w:rFonts w:hint="eastAsia" w:ascii="Times New Roman" w:hAnsi="Times New Roman" w:cs="Times New Roman"/>
          <w:color w:val="000000" w:themeColor="text1"/>
          <w:sz w:val="20"/>
          <w:szCs w:val="20"/>
          <w:vertAlign w:val="subscript"/>
          <w:lang w:val="en-US" w:eastAsia="zh-CN"/>
          <w14:textFill>
            <w14:solidFill>
              <w14:schemeClr w14:val="tx1"/>
            </w14:solidFill>
          </w14:textFill>
        </w:rPr>
        <w:t xml:space="preserve"> </w:t>
      </w:r>
      <w:r>
        <w:rPr>
          <w:rFonts w:hint="default" w:ascii="Times New Roman" w:hAnsi="Times New Roman" w:cs="Times New Roman"/>
          <w:b/>
          <w:bCs/>
          <w:color w:val="000000" w:themeColor="text1"/>
          <w:sz w:val="20"/>
          <w:szCs w:val="20"/>
          <w:lang w:val="en-US" w:eastAsia="zh-CN"/>
          <w14:textFill>
            <w14:solidFill>
              <w14:schemeClr w14:val="tx1"/>
            </w14:solidFill>
          </w14:textFill>
        </w:rPr>
        <w:t>≈</w:t>
      </w:r>
      <w:r>
        <w:rPr>
          <w:rFonts w:hint="eastAsia" w:ascii="Times New Roman" w:hAnsi="Times New Roman" w:cs="Times New Roman"/>
          <w:color w:val="000000" w:themeColor="text1"/>
          <w:sz w:val="20"/>
          <w:szCs w:val="20"/>
          <w:lang w:val="en-US" w:eastAsia="zh-CN"/>
          <w14:textFill>
            <w14:solidFill>
              <w14:schemeClr w14:val="tx1"/>
            </w14:solidFill>
          </w14:textFill>
        </w:rPr>
        <w:t xml:space="preserve"> </w:t>
      </w:r>
      <w:r>
        <w:rPr>
          <w:rFonts w:hint="default" w:ascii="Times New Roman" w:hAnsi="Times New Roman" w:cs="Times New Roman"/>
          <w:color w:val="000000" w:themeColor="text1"/>
          <w:sz w:val="20"/>
          <w:szCs w:val="20"/>
          <w:lang w:val="en-US" w:eastAsia="zh-CN"/>
          <w14:textFill>
            <w14:solidFill>
              <w14:schemeClr w14:val="tx1"/>
            </w14:solidFill>
          </w14:textFill>
        </w:rPr>
        <w:t>1</w:t>
      </w:r>
      <w:r>
        <w:rPr>
          <w:rFonts w:hint="eastAsia" w:ascii="Times New Roman" w:hAnsi="Times New Roman" w:cs="Times New Roman"/>
          <w:color w:val="000000" w:themeColor="text1"/>
          <w:sz w:val="20"/>
          <w:szCs w:val="20"/>
          <w:lang w:val="en-US" w:eastAsia="zh-CN"/>
          <w14:textFill>
            <w14:solidFill>
              <w14:schemeClr w14:val="tx1"/>
            </w14:solidFill>
          </w14:textFill>
        </w:rPr>
        <w:t xml:space="preserve"> </w:t>
      </w:r>
      <w:r>
        <w:rPr>
          <w:rFonts w:hint="default" w:ascii="Times New Roman" w:hAnsi="Times New Roman" w:cs="Times New Roman"/>
          <w:color w:val="000000" w:themeColor="text1"/>
          <w:sz w:val="20"/>
          <w:szCs w:val="20"/>
          <w:lang w:val="en-US" w:eastAsia="zh-CN"/>
          <w14:textFill>
            <w14:solidFill>
              <w14:schemeClr w14:val="tx1"/>
            </w14:solidFill>
          </w14:textFill>
        </w:rPr>
        <w:t>/</w:t>
      </w:r>
      <w:r>
        <w:rPr>
          <w:rFonts w:hint="eastAsia" w:ascii="Times New Roman" w:hAnsi="Times New Roman" w:cs="Times New Roman"/>
          <w:color w:val="000000" w:themeColor="text1"/>
          <w:sz w:val="20"/>
          <w:szCs w:val="20"/>
          <w:lang w:val="en-US" w:eastAsia="zh-CN"/>
          <w14:textFill>
            <w14:solidFill>
              <w14:schemeClr w14:val="tx1"/>
            </w14:solidFill>
          </w14:textFill>
        </w:rPr>
        <w:t xml:space="preserve"> </w:t>
      </w:r>
      <w:r>
        <w:rPr>
          <w:rFonts w:hint="default" w:ascii="Times New Roman" w:hAnsi="Times New Roman" w:cs="Times New Roman"/>
          <w:i/>
          <w:iCs/>
          <w:color w:val="000000" w:themeColor="text1"/>
          <w:sz w:val="20"/>
          <w:szCs w:val="20"/>
          <w:lang w:val="en-US" w:eastAsia="zh-CN"/>
          <w14:textFill>
            <w14:solidFill>
              <w14:schemeClr w14:val="tx1"/>
            </w14:solidFill>
          </w14:textFill>
        </w:rPr>
        <w:t>sC</w:t>
      </w:r>
      <w:r>
        <w:rPr>
          <w:rFonts w:hint="default" w:ascii="Times New Roman" w:hAnsi="Times New Roman" w:cs="Times New Roman"/>
          <w:color w:val="000000" w:themeColor="text1"/>
          <w:sz w:val="20"/>
          <w:szCs w:val="20"/>
          <w:vertAlign w:val="subscript"/>
          <w:lang w:val="en-US" w:eastAsia="zh-CN"/>
          <w14:textFill>
            <w14:solidFill>
              <w14:schemeClr w14:val="tx1"/>
            </w14:solidFill>
          </w14:textFill>
        </w:rPr>
        <w:t>1d</w:t>
      </w:r>
      <w:r>
        <w:rPr>
          <w:rFonts w:hint="eastAsia"/>
          <w:color w:val="000000" w:themeColor="text1"/>
          <w:sz w:val="20"/>
          <w:szCs w:val="20"/>
          <w:lang w:val="en-US" w:eastAsia="zh-CN"/>
          <w14:textFill>
            <w14:solidFill>
              <w14:schemeClr w14:val="tx1"/>
            </w14:solidFill>
          </w14:textFill>
        </w:rPr>
        <w:t>.</w:t>
      </w:r>
      <w:r>
        <w:rPr>
          <w:rFonts w:hint="eastAsia"/>
          <w:color w:val="000000" w:themeColor="text1"/>
          <w:sz w:val="20"/>
          <w:szCs w:val="20"/>
          <w14:textFill>
            <w14:solidFill>
              <w14:schemeClr w14:val="tx1"/>
            </w14:solidFill>
          </w14:textFill>
        </w:rPr>
        <w:t xml:space="preserve"> </w:t>
      </w:r>
    </w:p>
    <w:p>
      <w:pPr>
        <w:ind w:firstLine="400"/>
        <w:jc w:val="both"/>
        <w:rPr>
          <w:rFonts w:hint="default" w:ascii="Times New Roman" w:hAnsi="Times New Roman" w:cs="Times New Roman"/>
          <w:color w:val="000000" w:themeColor="text1"/>
          <w:sz w:val="20"/>
          <w:szCs w:val="20"/>
          <w14:textFill>
            <w14:solidFill>
              <w14:schemeClr w14:val="tx1"/>
            </w14:solidFill>
          </w14:textFill>
        </w:rPr>
      </w:pPr>
      <w:r>
        <w:rPr>
          <w:rFonts w:hint="default" w:ascii="Times New Roman" w:hAnsi="Times New Roman" w:cs="Times New Roman"/>
          <w:color w:val="000000" w:themeColor="text1"/>
          <w:sz w:val="20"/>
          <w:szCs w:val="20"/>
          <w14:textFill>
            <w14:solidFill>
              <w14:schemeClr w14:val="tx1"/>
            </w14:solidFill>
          </w14:textFill>
        </w:rPr>
        <w:t xml:space="preserve">Let the equivalent impedance of the grid be </w:t>
      </w:r>
      <w:r>
        <w:rPr>
          <w:rFonts w:hint="default" w:ascii="Times New Roman" w:hAnsi="Times New Roman" w:cs="Times New Roman"/>
          <w:i/>
          <w:iCs/>
          <w:color w:val="000000" w:themeColor="text1"/>
          <w:sz w:val="20"/>
          <w:szCs w:val="20"/>
          <w14:textFill>
            <w14:solidFill>
              <w14:schemeClr w14:val="tx1"/>
            </w14:solidFill>
          </w14:textFill>
        </w:rPr>
        <w:t>Z</w:t>
      </w:r>
      <w:r>
        <w:rPr>
          <w:rFonts w:hint="default" w:ascii="Times New Roman" w:hAnsi="Times New Roman" w:cs="Times New Roman"/>
          <w:color w:val="000000" w:themeColor="text1"/>
          <w:sz w:val="20"/>
          <w:szCs w:val="20"/>
          <w:vertAlign w:val="subscript"/>
          <w14:textFill>
            <w14:solidFill>
              <w14:schemeClr w14:val="tx1"/>
            </w14:solidFill>
          </w14:textFill>
        </w:rPr>
        <w:t>g</w:t>
      </w:r>
      <w:r>
        <w:rPr>
          <w:rFonts w:hint="eastAsia" w:ascii="Times New Roman" w:hAnsi="Times New Roman" w:cs="Times New Roman"/>
          <w:color w:val="000000" w:themeColor="text1"/>
          <w:sz w:val="20"/>
          <w:szCs w:val="20"/>
          <w:vertAlign w:val="subscript"/>
          <w:lang w:val="en-US" w:eastAsia="zh-CN"/>
          <w14:textFill>
            <w14:solidFill>
              <w14:schemeClr w14:val="tx1"/>
            </w14:solidFill>
          </w14:textFill>
        </w:rPr>
        <w:t xml:space="preserve"> </w:t>
      </w:r>
      <w:r>
        <w:rPr>
          <w:rFonts w:hint="default" w:ascii="Times New Roman" w:hAnsi="Times New Roman" w:cs="Times New Roman"/>
          <w:color w:val="000000" w:themeColor="text1"/>
          <w:sz w:val="20"/>
          <w:szCs w:val="20"/>
          <w14:textFill>
            <w14:solidFill>
              <w14:schemeClr w14:val="tx1"/>
            </w14:solidFill>
          </w14:textFill>
        </w:rPr>
        <w:t>=</w:t>
      </w:r>
      <w:r>
        <w:rPr>
          <w:rFonts w:hint="eastAsia" w:ascii="Times New Roman" w:hAnsi="Times New Roman" w:cs="Times New Roman"/>
          <w:color w:val="000000" w:themeColor="text1"/>
          <w:sz w:val="20"/>
          <w:szCs w:val="20"/>
          <w:lang w:val="en-US" w:eastAsia="zh-CN"/>
          <w14:textFill>
            <w14:solidFill>
              <w14:schemeClr w14:val="tx1"/>
            </w14:solidFill>
          </w14:textFill>
        </w:rPr>
        <w:t xml:space="preserve"> </w:t>
      </w:r>
      <w:r>
        <w:rPr>
          <w:rFonts w:hint="default" w:ascii="Times New Roman" w:hAnsi="Times New Roman" w:cs="Times New Roman"/>
          <w:i/>
          <w:iCs/>
          <w:color w:val="000000" w:themeColor="text1"/>
          <w:sz w:val="20"/>
          <w:szCs w:val="20"/>
          <w14:textFill>
            <w14:solidFill>
              <w14:schemeClr w14:val="tx1"/>
            </w14:solidFill>
          </w14:textFill>
        </w:rPr>
        <w:t>sL</w:t>
      </w:r>
      <w:r>
        <w:rPr>
          <w:rFonts w:hint="default" w:ascii="Times New Roman" w:hAnsi="Times New Roman" w:cs="Times New Roman"/>
          <w:color w:val="000000" w:themeColor="text1"/>
          <w:sz w:val="20"/>
          <w:szCs w:val="20"/>
          <w:vertAlign w:val="subscript"/>
          <w14:textFill>
            <w14:solidFill>
              <w14:schemeClr w14:val="tx1"/>
            </w14:solidFill>
          </w14:textFill>
        </w:rPr>
        <w:t>g</w:t>
      </w:r>
      <w:r>
        <w:rPr>
          <w:rFonts w:hint="default" w:ascii="Times New Roman" w:hAnsi="Times New Roman" w:cs="Times New Roman"/>
          <w:color w:val="000000" w:themeColor="text1"/>
          <w:sz w:val="20"/>
          <w:szCs w:val="20"/>
          <w14:textFill>
            <w14:solidFill>
              <w14:schemeClr w14:val="tx1"/>
            </w14:solidFill>
          </w14:textFill>
        </w:rPr>
        <w:t>; then, the energy-loss percentage loss</w:t>
      </w:r>
      <w:r>
        <w:rPr>
          <w:rFonts w:hint="eastAsia" w:ascii="Times New Roman" w:hAnsi="Times New Roman" w:cs="Times New Roman"/>
          <w:color w:val="000000" w:themeColor="text1"/>
          <w:sz w:val="20"/>
          <w:szCs w:val="20"/>
          <w:lang w:val="en-US" w:eastAsia="zh-CN"/>
          <w14:textFill>
            <w14:solidFill>
              <w14:schemeClr w14:val="tx1"/>
            </w14:solidFill>
          </w14:textFill>
        </w:rPr>
        <w:t xml:space="preserve"> </w:t>
      </w:r>
      <w:r>
        <w:rPr>
          <w:rFonts w:hint="default" w:ascii="Times New Roman" w:hAnsi="Times New Roman" w:cs="Times New Roman"/>
          <w:i/>
          <w:iCs/>
          <w:color w:val="000000" w:themeColor="text1"/>
          <w:sz w:val="20"/>
          <w:szCs w:val="20"/>
          <w14:textFill>
            <w14:solidFill>
              <w14:schemeClr w14:val="tx1"/>
            </w14:solidFill>
          </w14:textFill>
        </w:rPr>
        <w:t>η</w:t>
      </w:r>
      <w:r>
        <w:rPr>
          <w:rFonts w:hint="default" w:ascii="Times New Roman" w:hAnsi="Times New Roman" w:cs="Times New Roman"/>
          <w:color w:val="000000" w:themeColor="text1"/>
          <w:sz w:val="20"/>
          <w:szCs w:val="20"/>
          <w:vertAlign w:val="subscript"/>
          <w14:textFill>
            <w14:solidFill>
              <w14:schemeClr w14:val="tx1"/>
            </w14:solidFill>
          </w14:textFill>
        </w:rPr>
        <w:t>loss</w:t>
      </w:r>
      <w:r>
        <w:rPr>
          <w:rFonts w:hint="default" w:ascii="Times New Roman" w:hAnsi="Times New Roman" w:cs="Times New Roman"/>
          <w:color w:val="000000" w:themeColor="text1"/>
          <w:sz w:val="20"/>
          <w:szCs w:val="20"/>
          <w14:textFill>
            <w14:solidFill>
              <w14:schemeClr w14:val="tx1"/>
            </w14:solidFill>
          </w14:textFill>
        </w:rPr>
        <w:t xml:space="preserve"> after applying the direct-mounted damping device can be expressed as:</w:t>
      </w:r>
    </w:p>
    <w:p>
      <w:pPr>
        <w:pStyle w:val="53"/>
        <w:keepNext w:val="0"/>
        <w:keepLines w:val="0"/>
        <w:pageBreakBefore w:val="0"/>
        <w:widowControl/>
        <w:kinsoku/>
        <w:wordWrap/>
        <w:overflowPunct/>
        <w:topLinePunct w:val="0"/>
        <w:autoSpaceDE/>
        <w:autoSpaceDN/>
        <w:bidi w:val="0"/>
        <w:adjustRightInd/>
        <w:snapToGrid/>
        <w:ind w:left="0" w:leftChars="0" w:firstLine="0" w:firstLineChars="0"/>
        <w:jc w:val="right"/>
        <w:textAlignment w:val="center"/>
        <w:rPr>
          <w:rFonts w:hint="default" w:eastAsia="宋体"/>
          <w:position w:val="0"/>
          <w:sz w:val="24"/>
          <w:lang w:val="en-US" w:eastAsia="zh-CN"/>
        </w:rPr>
      </w:pPr>
      <w:r>
        <w:rPr>
          <w:position w:val="-28"/>
          <w:sz w:val="24"/>
        </w:rPr>
        <w:object>
          <v:shape id="_x0000_i1034" o:spt="75" type="#_x0000_t75" style="height:31.95pt;width:129.25pt;" o:ole="t" filled="f" o:preferrelative="t" stroked="f" coordsize="21600,21600">
            <v:path/>
            <v:fill on="f" focussize="0,0"/>
            <v:stroke on="f"/>
            <v:imagedata r:id="rId35" o:title=""/>
            <o:lock v:ext="edit" aspectratio="t"/>
            <w10:wrap type="none"/>
            <w10:anchorlock/>
          </v:shape>
          <o:OLEObject Type="Embed" ProgID="Equation.DSMT4" ShapeID="_x0000_i1034" DrawAspect="Content" ObjectID="_1468075734" r:id="rId34">
            <o:LockedField>false</o:LockedField>
          </o:OLEObject>
        </w:object>
      </w:r>
      <w:r>
        <w:rPr>
          <w:rFonts w:hint="eastAsia"/>
          <w:position w:val="0"/>
          <w:sz w:val="24"/>
          <w:lang w:val="en-US" w:eastAsia="zh-CN"/>
        </w:rPr>
        <w:t xml:space="preserve">      (3)</w:t>
      </w:r>
    </w:p>
    <w:p>
      <w:pPr>
        <w:ind w:firstLine="400"/>
        <w:jc w:val="both"/>
        <w:rPr>
          <w:color w:val="000000" w:themeColor="text1"/>
          <w:sz w:val="20"/>
          <w:szCs w:val="20"/>
          <w14:textFill>
            <w14:solidFill>
              <w14:schemeClr w14:val="tx1"/>
            </w14:solidFill>
          </w14:textFill>
        </w:rPr>
      </w:pPr>
      <w:r>
        <w:rPr>
          <w:rFonts w:hint="eastAsia"/>
          <w:color w:val="000000" w:themeColor="text1"/>
          <w:sz w:val="20"/>
          <w:szCs w:val="20"/>
          <w:lang w:val="en-US" w:eastAsia="zh-CN"/>
          <w14:textFill>
            <w14:solidFill>
              <w14:schemeClr w14:val="tx1"/>
            </w14:solidFill>
          </w14:textFill>
        </w:rPr>
        <w:t xml:space="preserve">If the loss ratio is specified to be below 1%, the upper limit of the damping-device capacitance </w:t>
      </w:r>
      <w:r>
        <w:rPr>
          <w:rFonts w:hint="eastAsia"/>
          <w:i/>
          <w:iCs/>
          <w:color w:val="000000" w:themeColor="text1"/>
          <w:sz w:val="20"/>
          <w:szCs w:val="20"/>
          <w:lang w:val="en-US"/>
          <w14:textFill>
            <w14:solidFill>
              <w14:schemeClr w14:val="tx1"/>
            </w14:solidFill>
          </w14:textFill>
        </w:rPr>
        <w:t>C</w:t>
      </w:r>
      <w:r>
        <w:rPr>
          <w:rFonts w:hint="eastAsia"/>
          <w:color w:val="000000" w:themeColor="text1"/>
          <w:sz w:val="20"/>
          <w:szCs w:val="20"/>
          <w:vertAlign w:val="subscript"/>
          <w:lang w:val="en-US"/>
          <w14:textFill>
            <w14:solidFill>
              <w14:schemeClr w14:val="tx1"/>
            </w14:solidFill>
          </w14:textFill>
        </w:rPr>
        <w:t>1</w:t>
      </w:r>
      <w:r>
        <w:rPr>
          <w:rFonts w:hint="eastAsia"/>
          <w:color w:val="000000" w:themeColor="text1"/>
          <w:sz w:val="20"/>
          <w:szCs w:val="20"/>
          <w:vertAlign w:val="subscript"/>
          <w:lang w:val="en-US" w:eastAsia="zh-CN"/>
          <w14:textFill>
            <w14:solidFill>
              <w14:schemeClr w14:val="tx1"/>
            </w14:solidFill>
          </w14:textFill>
        </w:rPr>
        <w:t>d</w:t>
      </w:r>
      <w:r>
        <w:rPr>
          <w:rFonts w:hint="eastAsia"/>
          <w:color w:val="000000" w:themeColor="text1"/>
          <w:sz w:val="20"/>
          <w:szCs w:val="20"/>
          <w:lang w:val="en-US" w:eastAsia="zh-CN"/>
          <w14:textFill>
            <w14:solidFill>
              <w14:schemeClr w14:val="tx1"/>
            </w14:solidFill>
          </w14:textFill>
        </w:rPr>
        <w:t xml:space="preserve"> can be determined as follows:</w:t>
      </w:r>
    </w:p>
    <w:p>
      <w:pPr>
        <w:pStyle w:val="53"/>
        <w:keepNext w:val="0"/>
        <w:keepLines w:val="0"/>
        <w:pageBreakBefore w:val="0"/>
        <w:widowControl/>
        <w:kinsoku/>
        <w:wordWrap/>
        <w:overflowPunct/>
        <w:topLinePunct w:val="0"/>
        <w:autoSpaceDE/>
        <w:autoSpaceDN/>
        <w:bidi w:val="0"/>
        <w:adjustRightInd/>
        <w:snapToGrid/>
        <w:ind w:left="0" w:leftChars="0" w:firstLine="0" w:firstLineChars="0"/>
        <w:jc w:val="right"/>
        <w:textAlignment w:val="center"/>
        <w:rPr>
          <w:rFonts w:hint="default" w:eastAsia="宋体"/>
          <w:position w:val="0"/>
          <w:sz w:val="24"/>
          <w:lang w:val="en-US" w:eastAsia="zh-CN"/>
        </w:rPr>
      </w:pPr>
      <w:r>
        <w:rPr>
          <w:position w:val="0"/>
          <w:sz w:val="24"/>
          <w:lang w:val="en-US"/>
        </w:rPr>
        <w:object>
          <v:shape id="_x0000_i1035" o:spt="75" type="#_x0000_t75" style="height:31.2pt;width:85.8pt;" o:ole="t" filled="f" o:preferrelative="t" stroked="f" coordsize="21600,21600">
            <v:path/>
            <v:fill on="f" focussize="0,0"/>
            <v:stroke on="f"/>
            <v:imagedata r:id="rId37" o:title=""/>
            <o:lock v:ext="edit" aspectratio="t"/>
            <w10:wrap type="none"/>
            <w10:anchorlock/>
          </v:shape>
          <o:OLEObject Type="Embed" ProgID="Equation.DSMT4" ShapeID="_x0000_i1035" DrawAspect="Content" ObjectID="_1468075735" r:id="rId36">
            <o:LockedField>false</o:LockedField>
          </o:OLEObject>
        </w:object>
      </w:r>
      <w:r>
        <w:rPr>
          <w:rFonts w:hint="eastAsia"/>
          <w:position w:val="0"/>
          <w:sz w:val="24"/>
          <w:lang w:val="en-US" w:eastAsia="zh-CN"/>
        </w:rPr>
        <w:t xml:space="preserve">          (4)</w:t>
      </w:r>
    </w:p>
    <w:p>
      <w:pPr>
        <w:ind w:firstLine="400"/>
        <w:jc w:val="both"/>
        <w:rPr>
          <w:rFonts w:hint="eastAsia"/>
          <w:color w:val="000000" w:themeColor="text1"/>
          <w:sz w:val="20"/>
          <w:szCs w:val="20"/>
          <w:lang w:val="en-US" w:eastAsia="zh-CN"/>
          <w14:textFill>
            <w14:solidFill>
              <w14:schemeClr w14:val="tx1"/>
            </w14:solidFill>
          </w14:textFill>
        </w:rPr>
      </w:pPr>
      <w:r>
        <w:rPr>
          <w:rFonts w:hint="eastAsia"/>
          <w:color w:val="000000" w:themeColor="text1"/>
          <w:sz w:val="20"/>
          <w:szCs w:val="20"/>
          <w:lang w:val="en-US" w:eastAsia="zh-CN"/>
          <w14:textFill>
            <w14:solidFill>
              <w14:schemeClr w14:val="tx1"/>
            </w14:solidFill>
          </w14:textFill>
        </w:rPr>
        <w:t xml:space="preserve">As shown in Fig. 5a), </w:t>
      </w:r>
      <w:r>
        <w:rPr>
          <w:rFonts w:hint="eastAsia"/>
          <w:i/>
          <w:iCs/>
          <w:color w:val="000000" w:themeColor="text1"/>
          <w:sz w:val="20"/>
          <w:szCs w:val="20"/>
          <w:lang w:val="en-US" w:eastAsia="zh-CN"/>
          <w14:textFill>
            <w14:solidFill>
              <w14:schemeClr w14:val="tx1"/>
            </w14:solidFill>
          </w14:textFill>
        </w:rPr>
        <w:t>L</w:t>
      </w:r>
      <w:r>
        <w:rPr>
          <w:rFonts w:hint="eastAsia"/>
          <w:color w:val="000000" w:themeColor="text1"/>
          <w:sz w:val="20"/>
          <w:szCs w:val="20"/>
          <w:vertAlign w:val="subscript"/>
          <w:lang w:val="en-US" w:eastAsia="zh-CN"/>
          <w14:textFill>
            <w14:solidFill>
              <w14:schemeClr w14:val="tx1"/>
            </w14:solidFill>
          </w14:textFill>
        </w:rPr>
        <w:t>1d</w:t>
      </w:r>
      <w:r>
        <w:rPr>
          <w:rFonts w:hint="eastAsia"/>
          <w:color w:val="000000" w:themeColor="text1"/>
          <w:sz w:val="20"/>
          <w:szCs w:val="20"/>
          <w:lang w:val="en-US" w:eastAsia="zh-CN"/>
          <w14:textFill>
            <w14:solidFill>
              <w14:schemeClr w14:val="tx1"/>
            </w14:solidFill>
          </w14:textFill>
        </w:rPr>
        <w:t xml:space="preserve"> and C</w:t>
      </w:r>
      <w:r>
        <w:rPr>
          <w:rFonts w:hint="eastAsia"/>
          <w:color w:val="000000" w:themeColor="text1"/>
          <w:sz w:val="20"/>
          <w:szCs w:val="20"/>
          <w:vertAlign w:val="subscript"/>
          <w:lang w:val="en-US" w:eastAsia="zh-CN"/>
          <w14:textFill>
            <w14:solidFill>
              <w14:schemeClr w14:val="tx1"/>
            </w14:solidFill>
          </w14:textFill>
        </w:rPr>
        <w:t>1d</w:t>
      </w:r>
      <w:r>
        <w:rPr>
          <w:rFonts w:hint="eastAsia"/>
          <w:color w:val="000000" w:themeColor="text1"/>
          <w:sz w:val="20"/>
          <w:szCs w:val="20"/>
          <w:lang w:val="en-US" w:eastAsia="zh-CN"/>
          <w14:textFill>
            <w14:solidFill>
              <w14:schemeClr w14:val="tx1"/>
            </w14:solidFill>
          </w14:textFill>
        </w:rPr>
        <w:t xml:space="preserve"> together form the series-resonant branch of the direct-mounted damping device, which provides a path for harmonic currents. If the value of </w:t>
      </w:r>
      <w:r>
        <w:rPr>
          <w:rFonts w:hint="eastAsia"/>
          <w:i/>
          <w:iCs/>
          <w:color w:val="000000" w:themeColor="text1"/>
          <w:sz w:val="20"/>
          <w:szCs w:val="20"/>
          <w:lang w:val="en-US" w:eastAsia="zh-CN"/>
          <w14:textFill>
            <w14:solidFill>
              <w14:schemeClr w14:val="tx1"/>
            </w14:solidFill>
          </w14:textFill>
        </w:rPr>
        <w:t>L</w:t>
      </w:r>
      <w:r>
        <w:rPr>
          <w:rFonts w:hint="eastAsia"/>
          <w:color w:val="000000" w:themeColor="text1"/>
          <w:sz w:val="20"/>
          <w:szCs w:val="20"/>
          <w:vertAlign w:val="subscript"/>
          <w:lang w:val="en-US" w:eastAsia="zh-CN"/>
          <w14:textFill>
            <w14:solidFill>
              <w14:schemeClr w14:val="tx1"/>
            </w14:solidFill>
          </w14:textFill>
        </w:rPr>
        <w:t xml:space="preserve">1d </w:t>
      </w:r>
      <w:r>
        <w:rPr>
          <w:rFonts w:hint="eastAsia"/>
          <w:color w:val="000000" w:themeColor="text1"/>
          <w:sz w:val="20"/>
          <w:szCs w:val="20"/>
          <w:lang w:val="en-US" w:eastAsia="zh-CN"/>
          <w14:textFill>
            <w14:solidFill>
              <w14:schemeClr w14:val="tx1"/>
            </w14:solidFill>
          </w14:textFill>
        </w:rPr>
        <w:t xml:space="preserve">is excessively large, the fundamental frequency loss of the device will increase significantly. The resonant frequency of the </w:t>
      </w:r>
      <w:r>
        <w:rPr>
          <w:rFonts w:hint="eastAsia"/>
          <w:i/>
          <w:iCs/>
          <w:color w:val="000000" w:themeColor="text1"/>
          <w:sz w:val="20"/>
          <w:szCs w:val="20"/>
          <w:lang w:val="en-US" w:eastAsia="zh-CN"/>
          <w14:textFill>
            <w14:solidFill>
              <w14:schemeClr w14:val="tx1"/>
            </w14:solidFill>
          </w14:textFill>
        </w:rPr>
        <w:t>L</w:t>
      </w:r>
      <w:r>
        <w:rPr>
          <w:rFonts w:hint="eastAsia"/>
          <w:color w:val="000000" w:themeColor="text1"/>
          <w:sz w:val="20"/>
          <w:szCs w:val="20"/>
          <w:vertAlign w:val="subscript"/>
          <w:lang w:val="en-US" w:eastAsia="zh-CN"/>
          <w14:textFill>
            <w14:solidFill>
              <w14:schemeClr w14:val="tx1"/>
            </w14:solidFill>
          </w14:textFill>
        </w:rPr>
        <w:t>1d</w:t>
      </w:r>
      <w:r>
        <w:rPr>
          <w:rFonts w:hint="eastAsia"/>
          <w:color w:val="000000" w:themeColor="text1"/>
          <w:sz w:val="20"/>
          <w:szCs w:val="20"/>
          <w:lang w:val="en-US" w:eastAsia="zh-CN"/>
          <w14:textFill>
            <w14:solidFill>
              <w14:schemeClr w14:val="tx1"/>
            </w14:solidFill>
          </w14:textFill>
        </w:rPr>
        <w:t xml:space="preserve"> and C</w:t>
      </w:r>
      <w:r>
        <w:rPr>
          <w:rFonts w:hint="eastAsia"/>
          <w:color w:val="000000" w:themeColor="text1"/>
          <w:sz w:val="20"/>
          <w:szCs w:val="20"/>
          <w:vertAlign w:val="subscript"/>
          <w:lang w:val="en-US" w:eastAsia="zh-CN"/>
          <w14:textFill>
            <w14:solidFill>
              <w14:schemeClr w14:val="tx1"/>
            </w14:solidFill>
          </w14:textFill>
        </w:rPr>
        <w:t>1d</w:t>
      </w:r>
      <w:r>
        <w:rPr>
          <w:rFonts w:hint="eastAsia"/>
          <w:color w:val="000000" w:themeColor="text1"/>
          <w:sz w:val="20"/>
          <w:szCs w:val="20"/>
          <w:lang w:val="en-US" w:eastAsia="zh-CN"/>
          <w14:textFill>
            <w14:solidFill>
              <w14:schemeClr w14:val="tx1"/>
            </w14:solidFill>
          </w14:textFill>
        </w:rPr>
        <w:t xml:space="preserve"> branch should be greater than or equal to the third-harmonic frequency. Accordingly, the upper limit of </w:t>
      </w:r>
      <w:r>
        <w:rPr>
          <w:rFonts w:hint="eastAsia"/>
          <w:i/>
          <w:iCs/>
          <w:color w:val="000000" w:themeColor="text1"/>
          <w:sz w:val="20"/>
          <w:szCs w:val="20"/>
          <w:lang w:val="en-US" w:eastAsia="zh-CN"/>
          <w14:textFill>
            <w14:solidFill>
              <w14:schemeClr w14:val="tx1"/>
            </w14:solidFill>
          </w14:textFill>
        </w:rPr>
        <w:t>L</w:t>
      </w:r>
      <w:r>
        <w:rPr>
          <w:rFonts w:hint="eastAsia"/>
          <w:color w:val="000000" w:themeColor="text1"/>
          <w:sz w:val="20"/>
          <w:szCs w:val="20"/>
          <w:vertAlign w:val="subscript"/>
          <w:lang w:val="en-US" w:eastAsia="zh-CN"/>
          <w14:textFill>
            <w14:solidFill>
              <w14:schemeClr w14:val="tx1"/>
            </w14:solidFill>
          </w14:textFill>
        </w:rPr>
        <w:t>1d</w:t>
      </w:r>
      <w:r>
        <w:rPr>
          <w:rFonts w:hint="eastAsia"/>
          <w:color w:val="000000" w:themeColor="text1"/>
          <w:sz w:val="20"/>
          <w:szCs w:val="20"/>
          <w:lang w:val="en-US" w:eastAsia="zh-CN"/>
          <w14:textFill>
            <w14:solidFill>
              <w14:schemeClr w14:val="tx1"/>
            </w14:solidFill>
          </w14:textFill>
        </w:rPr>
        <w:t xml:space="preserve"> can be determined as follows:</w:t>
      </w:r>
    </w:p>
    <w:p>
      <w:pPr>
        <w:keepNext w:val="0"/>
        <w:keepLines w:val="0"/>
        <w:pageBreakBefore w:val="0"/>
        <w:widowControl/>
        <w:kinsoku/>
        <w:wordWrap/>
        <w:overflowPunct/>
        <w:topLinePunct w:val="0"/>
        <w:autoSpaceDE/>
        <w:autoSpaceDN/>
        <w:bidi w:val="0"/>
        <w:adjustRightInd/>
        <w:snapToGrid/>
        <w:jc w:val="right"/>
        <w:textAlignment w:val="center"/>
        <w:rPr>
          <w:rFonts w:hint="default" w:eastAsia="宋体"/>
          <w:color w:val="000000" w:themeColor="text1"/>
          <w:position w:val="0"/>
          <w:sz w:val="20"/>
          <w:szCs w:val="20"/>
          <w:lang w:val="en-US" w:eastAsia="zh-CN"/>
          <w14:textFill>
            <w14:solidFill>
              <w14:schemeClr w14:val="tx1"/>
            </w14:solidFill>
          </w14:textFill>
        </w:rPr>
      </w:pPr>
      <w:r>
        <w:rPr>
          <w:rFonts w:hint="eastAsia"/>
          <w:color w:val="C00000"/>
          <w:spacing w:val="0"/>
          <w:position w:val="0"/>
        </w:rPr>
        <w:object>
          <v:shape id="_x0000_i1036" o:spt="75" type="#_x0000_t75" style="height:31.95pt;width:84pt;" o:ole="t" filled="f" o:preferrelative="t" stroked="f" coordsize="21600,21600">
            <v:path/>
            <v:fill on="f" focussize="0,0"/>
            <v:stroke on="f"/>
            <v:imagedata r:id="rId39" o:title=""/>
            <o:lock v:ext="edit" aspectratio="t"/>
            <w10:wrap type="none"/>
            <w10:anchorlock/>
          </v:shape>
          <o:OLEObject Type="Embed" ProgID="Equation.DSMT4" ShapeID="_x0000_i1036" DrawAspect="Content" ObjectID="_1468075736" r:id="rId38">
            <o:LockedField>false</o:LockedField>
          </o:OLEObject>
        </w:object>
      </w:r>
      <w:r>
        <w:rPr>
          <w:rFonts w:hint="eastAsia"/>
          <w:color w:val="C00000"/>
          <w:spacing w:val="0"/>
          <w:position w:val="0"/>
          <w:lang w:val="en-US" w:eastAsia="zh-CN"/>
        </w:rPr>
        <w:t xml:space="preserve">          (5)</w:t>
      </w:r>
    </w:p>
    <w:p>
      <w:pPr>
        <w:ind w:firstLine="400"/>
        <w:jc w:val="both"/>
        <w:rPr>
          <w:rFonts w:hint="default" w:ascii="Times New Roman" w:hAnsi="Times New Roman" w:cs="Times New Roman"/>
          <w:color w:val="000000" w:themeColor="text1"/>
          <w:sz w:val="20"/>
          <w:szCs w:val="20"/>
          <w:lang w:val="en-US"/>
          <w14:textFill>
            <w14:solidFill>
              <w14:schemeClr w14:val="tx1"/>
            </w14:solidFill>
          </w14:textFill>
        </w:rPr>
      </w:pPr>
      <w:r>
        <w:rPr>
          <w:rFonts w:hint="default" w:ascii="Times New Roman" w:hAnsi="Times New Roman" w:cs="Times New Roman"/>
          <w:color w:val="000000" w:themeColor="text1"/>
          <w:sz w:val="20"/>
          <w:szCs w:val="20"/>
          <w:lang w:val="en-US" w:eastAsia="zh-CN"/>
          <w14:textFill>
            <w14:solidFill>
              <w14:schemeClr w14:val="tx1"/>
            </w14:solidFill>
          </w14:textFill>
        </w:rPr>
        <w:t xml:space="preserve">Once the upper limit of </w:t>
      </w:r>
      <w:r>
        <w:rPr>
          <w:rFonts w:hint="default" w:ascii="Times New Roman" w:hAnsi="Times New Roman" w:cs="Times New Roman"/>
          <w:i/>
          <w:iCs/>
          <w:color w:val="000000" w:themeColor="text1"/>
          <w:sz w:val="20"/>
          <w:szCs w:val="20"/>
          <w:lang w:val="en-US" w:eastAsia="zh-CN"/>
          <w14:textFill>
            <w14:solidFill>
              <w14:schemeClr w14:val="tx1"/>
            </w14:solidFill>
          </w14:textFill>
        </w:rPr>
        <w:t>C</w:t>
      </w:r>
      <w:r>
        <w:rPr>
          <w:rFonts w:hint="default" w:ascii="Times New Roman" w:hAnsi="Times New Roman" w:cs="Times New Roman"/>
          <w:color w:val="000000" w:themeColor="text1"/>
          <w:sz w:val="20"/>
          <w:szCs w:val="20"/>
          <w:vertAlign w:val="subscript"/>
          <w:lang w:val="en-US" w:eastAsia="zh-CN"/>
          <w14:textFill>
            <w14:solidFill>
              <w14:schemeClr w14:val="tx1"/>
            </w14:solidFill>
          </w14:textFill>
        </w:rPr>
        <w:t>1d</w:t>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 is established, the corresponding upper limit of </w:t>
      </w:r>
      <w:r>
        <w:rPr>
          <w:rFonts w:hint="default" w:ascii="Times New Roman" w:hAnsi="Times New Roman" w:cs="Times New Roman"/>
          <w:i/>
          <w:iCs/>
          <w:color w:val="000000" w:themeColor="text1"/>
          <w:sz w:val="20"/>
          <w:szCs w:val="20"/>
          <w:lang w:val="en-US" w:eastAsia="zh-CN"/>
          <w14:textFill>
            <w14:solidFill>
              <w14:schemeClr w14:val="tx1"/>
            </w14:solidFill>
          </w14:textFill>
        </w:rPr>
        <w:t>L</w:t>
      </w:r>
      <w:r>
        <w:rPr>
          <w:rFonts w:hint="default" w:ascii="Times New Roman" w:hAnsi="Times New Roman" w:cs="Times New Roman"/>
          <w:color w:val="000000" w:themeColor="text1"/>
          <w:sz w:val="20"/>
          <w:szCs w:val="20"/>
          <w:vertAlign w:val="subscript"/>
          <w:lang w:val="en-US" w:eastAsia="zh-CN"/>
          <w14:textFill>
            <w14:solidFill>
              <w14:schemeClr w14:val="tx1"/>
            </w14:solidFill>
          </w14:textFill>
        </w:rPr>
        <w:t>1d</w:t>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 can be determined. </w:t>
      </w:r>
      <w:r>
        <w:rPr>
          <w:rFonts w:hint="default" w:ascii="Times New Roman" w:hAnsi="Times New Roman" w:cs="Times New Roman"/>
          <w:i/>
          <w:iCs/>
          <w:color w:val="000000" w:themeColor="text1"/>
          <w:sz w:val="20"/>
          <w:szCs w:val="20"/>
          <w:lang w:val="en-US" w:eastAsia="zh-CN"/>
          <w14:textFill>
            <w14:solidFill>
              <w14:schemeClr w14:val="tx1"/>
            </w14:solidFill>
          </w14:textFill>
        </w:rPr>
        <w:t>C</w:t>
      </w:r>
      <w:r>
        <w:rPr>
          <w:rFonts w:hint="default" w:ascii="Times New Roman" w:hAnsi="Times New Roman" w:cs="Times New Roman"/>
          <w:color w:val="000000" w:themeColor="text1"/>
          <w:sz w:val="20"/>
          <w:szCs w:val="20"/>
          <w:vertAlign w:val="subscript"/>
          <w:lang w:val="en-US" w:eastAsia="zh-CN"/>
          <w14:textFill>
            <w14:solidFill>
              <w14:schemeClr w14:val="tx1"/>
            </w14:solidFill>
          </w14:textFill>
        </w:rPr>
        <w:t>2d</w:t>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 and </w:t>
      </w:r>
      <w:r>
        <w:rPr>
          <w:rFonts w:hint="default" w:ascii="Times New Roman" w:hAnsi="Times New Roman" w:cs="Times New Roman"/>
          <w:i/>
          <w:iCs/>
          <w:color w:val="000000" w:themeColor="text1"/>
          <w:sz w:val="20"/>
          <w:szCs w:val="20"/>
          <w:lang w:val="en-US" w:eastAsia="zh-CN"/>
          <w14:textFill>
            <w14:solidFill>
              <w14:schemeClr w14:val="tx1"/>
            </w14:solidFill>
          </w14:textFill>
        </w:rPr>
        <w:t>L</w:t>
      </w:r>
      <w:r>
        <w:rPr>
          <w:rFonts w:hint="default" w:ascii="Times New Roman" w:hAnsi="Times New Roman" w:cs="Times New Roman"/>
          <w:color w:val="000000" w:themeColor="text1"/>
          <w:sz w:val="20"/>
          <w:szCs w:val="20"/>
          <w:vertAlign w:val="subscript"/>
          <w:lang w:val="en-US" w:eastAsia="zh-CN"/>
          <w14:textFill>
            <w14:solidFill>
              <w14:schemeClr w14:val="tx1"/>
            </w14:solidFill>
          </w14:textFill>
        </w:rPr>
        <w:t>2d</w:t>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 together form the parallel-resonant branch of the direct-mounted damping device. Their values determine the port-impedance characteristics of the device in the mid and high frequency ranges. The values of </w:t>
      </w:r>
      <w:r>
        <w:rPr>
          <w:rFonts w:hint="default" w:ascii="Times New Roman" w:hAnsi="Times New Roman" w:cs="Times New Roman"/>
          <w:i/>
          <w:iCs/>
          <w:color w:val="000000" w:themeColor="text1"/>
          <w:sz w:val="20"/>
          <w:szCs w:val="20"/>
          <w:lang w:val="en-US" w:eastAsia="zh-CN"/>
          <w14:textFill>
            <w14:solidFill>
              <w14:schemeClr w14:val="tx1"/>
            </w14:solidFill>
          </w14:textFill>
        </w:rPr>
        <w:t>C</w:t>
      </w:r>
      <w:r>
        <w:rPr>
          <w:rFonts w:hint="default" w:ascii="Times New Roman" w:hAnsi="Times New Roman" w:cs="Times New Roman"/>
          <w:color w:val="000000" w:themeColor="text1"/>
          <w:sz w:val="20"/>
          <w:szCs w:val="20"/>
          <w:vertAlign w:val="subscript"/>
          <w:lang w:val="en-US" w:eastAsia="zh-CN"/>
          <w14:textFill>
            <w14:solidFill>
              <w14:schemeClr w14:val="tx1"/>
            </w14:solidFill>
          </w14:textFill>
        </w:rPr>
        <w:t>2d</w:t>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 and </w:t>
      </w:r>
      <w:r>
        <w:rPr>
          <w:rFonts w:hint="default" w:ascii="Times New Roman" w:hAnsi="Times New Roman" w:cs="Times New Roman"/>
          <w:i/>
          <w:iCs/>
          <w:color w:val="000000" w:themeColor="text1"/>
          <w:sz w:val="20"/>
          <w:szCs w:val="20"/>
          <w:lang w:val="en-US" w:eastAsia="zh-CN"/>
          <w14:textFill>
            <w14:solidFill>
              <w14:schemeClr w14:val="tx1"/>
            </w14:solidFill>
          </w14:textFill>
        </w:rPr>
        <w:t>L</w:t>
      </w:r>
      <w:r>
        <w:rPr>
          <w:rFonts w:hint="default" w:ascii="Times New Roman" w:hAnsi="Times New Roman" w:cs="Times New Roman"/>
          <w:color w:val="000000" w:themeColor="text1"/>
          <w:sz w:val="20"/>
          <w:szCs w:val="20"/>
          <w:vertAlign w:val="subscript"/>
          <w:lang w:val="en-US" w:eastAsia="zh-CN"/>
          <w14:textFill>
            <w14:solidFill>
              <w14:schemeClr w14:val="tx1"/>
            </w14:solidFill>
          </w14:textFill>
        </w:rPr>
        <w:t>2d</w:t>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 should not exceed those of </w:t>
      </w:r>
      <w:r>
        <w:rPr>
          <w:rFonts w:hint="default" w:ascii="Times New Roman" w:hAnsi="Times New Roman" w:cs="Times New Roman"/>
          <w:i/>
          <w:iCs/>
          <w:color w:val="000000" w:themeColor="text1"/>
          <w:sz w:val="20"/>
          <w:szCs w:val="20"/>
          <w:lang w:val="en-US" w:eastAsia="zh-CN"/>
          <w14:textFill>
            <w14:solidFill>
              <w14:schemeClr w14:val="tx1"/>
            </w14:solidFill>
          </w14:textFill>
        </w:rPr>
        <w:t>C</w:t>
      </w:r>
      <w:r>
        <w:rPr>
          <w:rFonts w:hint="default" w:ascii="Times New Roman" w:hAnsi="Times New Roman" w:cs="Times New Roman"/>
          <w:color w:val="000000" w:themeColor="text1"/>
          <w:sz w:val="20"/>
          <w:szCs w:val="20"/>
          <w:vertAlign w:val="subscript"/>
          <w:lang w:val="en-US" w:eastAsia="zh-CN"/>
          <w14:textFill>
            <w14:solidFill>
              <w14:schemeClr w14:val="tx1"/>
            </w14:solidFill>
          </w14:textFill>
        </w:rPr>
        <w:t>1d</w:t>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 and </w:t>
      </w:r>
      <w:r>
        <w:rPr>
          <w:rFonts w:hint="default" w:ascii="Times New Roman" w:hAnsi="Times New Roman" w:cs="Times New Roman"/>
          <w:i/>
          <w:iCs/>
          <w:color w:val="000000" w:themeColor="text1"/>
          <w:sz w:val="20"/>
          <w:szCs w:val="20"/>
          <w:lang w:val="en-US" w:eastAsia="zh-CN"/>
          <w14:textFill>
            <w14:solidFill>
              <w14:schemeClr w14:val="tx1"/>
            </w14:solidFill>
          </w14:textFill>
        </w:rPr>
        <w:t>L</w:t>
      </w:r>
      <w:r>
        <w:rPr>
          <w:rFonts w:hint="default" w:ascii="Times New Roman" w:hAnsi="Times New Roman" w:cs="Times New Roman"/>
          <w:color w:val="000000" w:themeColor="text1"/>
          <w:sz w:val="20"/>
          <w:szCs w:val="20"/>
          <w:vertAlign w:val="subscript"/>
          <w:lang w:val="en-US" w:eastAsia="zh-CN"/>
          <w14:textFill>
            <w14:solidFill>
              <w14:schemeClr w14:val="tx1"/>
            </w14:solidFill>
          </w14:textFill>
        </w:rPr>
        <w:t>1d</w:t>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 in order to avoid degrading the low-frequency impedance characteristics. The resistor </w:t>
      </w:r>
      <w:r>
        <w:rPr>
          <w:rFonts w:hint="default" w:ascii="Times New Roman" w:hAnsi="Times New Roman" w:cs="Times New Roman"/>
          <w:i/>
          <w:iCs/>
          <w:color w:val="000000" w:themeColor="text1"/>
          <w:sz w:val="20"/>
          <w:szCs w:val="20"/>
          <w:lang w:val="en-US" w:eastAsia="zh-CN"/>
          <w14:textFill>
            <w14:solidFill>
              <w14:schemeClr w14:val="tx1"/>
            </w14:solidFill>
          </w14:textFill>
        </w:rPr>
        <w:t>R</w:t>
      </w:r>
      <w:r>
        <w:rPr>
          <w:rFonts w:hint="eastAsia" w:cs="Times New Roman"/>
          <w:i w:val="0"/>
          <w:iCs w:val="0"/>
          <w:color w:val="000000" w:themeColor="text1"/>
          <w:sz w:val="20"/>
          <w:szCs w:val="20"/>
          <w:vertAlign w:val="subscript"/>
          <w:lang w:val="en-US" w:eastAsia="zh-CN"/>
          <w14:textFill>
            <w14:solidFill>
              <w14:schemeClr w14:val="tx1"/>
            </w14:solidFill>
          </w14:textFill>
        </w:rPr>
        <w:t>1</w:t>
      </w:r>
      <w:r>
        <w:rPr>
          <w:rFonts w:hint="eastAsia" w:cs="Times New Roman"/>
          <w:color w:val="000000" w:themeColor="text1"/>
          <w:sz w:val="20"/>
          <w:szCs w:val="20"/>
          <w:vertAlign w:val="subscript"/>
          <w:lang w:val="en-US" w:eastAsia="zh-CN"/>
          <w14:textFill>
            <w14:solidFill>
              <w14:schemeClr w14:val="tx1"/>
            </w14:solidFill>
          </w14:textFill>
        </w:rPr>
        <w:t>d</w:t>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 provides damping within the parallel-resonant branch, facilitating the rapid dissipation of harmonic currents. Therefore, </w:t>
      </w:r>
      <w:r>
        <w:rPr>
          <w:rFonts w:hint="default" w:ascii="Times New Roman" w:hAnsi="Times New Roman" w:cs="Times New Roman"/>
          <w:i/>
          <w:iCs/>
          <w:color w:val="000000" w:themeColor="text1"/>
          <w:sz w:val="20"/>
          <w:szCs w:val="20"/>
          <w:lang w:val="en-US" w:eastAsia="zh-CN"/>
          <w14:textFill>
            <w14:solidFill>
              <w14:schemeClr w14:val="tx1"/>
            </w14:solidFill>
          </w14:textFill>
        </w:rPr>
        <w:t>R</w:t>
      </w:r>
      <w:r>
        <w:rPr>
          <w:rFonts w:hint="eastAsia" w:cs="Times New Roman"/>
          <w:color w:val="000000" w:themeColor="text1"/>
          <w:sz w:val="20"/>
          <w:szCs w:val="20"/>
          <w:vertAlign w:val="subscript"/>
          <w:lang w:val="en-US" w:eastAsia="zh-CN"/>
          <w14:textFill>
            <w14:solidFill>
              <w14:schemeClr w14:val="tx1"/>
            </w14:solidFill>
          </w14:textFill>
        </w:rPr>
        <w:t>1d</w:t>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 should be determined in conjunction with the upper and lower limits of </w:t>
      </w:r>
      <w:r>
        <w:rPr>
          <w:rFonts w:hint="default" w:ascii="Times New Roman" w:hAnsi="Times New Roman" w:cs="Times New Roman"/>
          <w:i/>
          <w:iCs/>
          <w:color w:val="000000" w:themeColor="text1"/>
          <w:sz w:val="20"/>
          <w:szCs w:val="20"/>
          <w:lang w:val="en-US" w:eastAsia="zh-CN"/>
          <w14:textFill>
            <w14:solidFill>
              <w14:schemeClr w14:val="tx1"/>
            </w14:solidFill>
          </w14:textFill>
        </w:rPr>
        <w:t>L</w:t>
      </w:r>
      <w:r>
        <w:rPr>
          <w:rFonts w:hint="default" w:ascii="Times New Roman" w:hAnsi="Times New Roman" w:cs="Times New Roman"/>
          <w:color w:val="000000" w:themeColor="text1"/>
          <w:sz w:val="20"/>
          <w:szCs w:val="20"/>
          <w:vertAlign w:val="subscript"/>
          <w:lang w:val="en-US" w:eastAsia="zh-CN"/>
          <w14:textFill>
            <w14:solidFill>
              <w14:schemeClr w14:val="tx1"/>
            </w14:solidFill>
          </w14:textFill>
        </w:rPr>
        <w:t>1d</w:t>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 </w:t>
      </w:r>
      <w:r>
        <w:rPr>
          <w:rFonts w:hint="default" w:ascii="Times New Roman" w:hAnsi="Times New Roman" w:cs="Times New Roman"/>
          <w:i/>
          <w:iCs/>
          <w:color w:val="000000" w:themeColor="text1"/>
          <w:sz w:val="20"/>
          <w:szCs w:val="20"/>
          <w:lang w:val="en-US" w:eastAsia="zh-CN"/>
          <w14:textFill>
            <w14:solidFill>
              <w14:schemeClr w14:val="tx1"/>
            </w14:solidFill>
          </w14:textFill>
        </w:rPr>
        <w:t>L</w:t>
      </w:r>
      <w:r>
        <w:rPr>
          <w:rFonts w:hint="default" w:ascii="Times New Roman" w:hAnsi="Times New Roman" w:cs="Times New Roman"/>
          <w:color w:val="000000" w:themeColor="text1"/>
          <w:sz w:val="20"/>
          <w:szCs w:val="20"/>
          <w:vertAlign w:val="subscript"/>
          <w:lang w:val="en-US" w:eastAsia="zh-CN"/>
          <w14:textFill>
            <w14:solidFill>
              <w14:schemeClr w14:val="tx1"/>
            </w14:solidFill>
          </w14:textFill>
        </w:rPr>
        <w:t>2d</w:t>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 </w:t>
      </w:r>
      <w:r>
        <w:rPr>
          <w:rFonts w:hint="default" w:ascii="Times New Roman" w:hAnsi="Times New Roman" w:cs="Times New Roman"/>
          <w:i/>
          <w:iCs/>
          <w:color w:val="000000" w:themeColor="text1"/>
          <w:sz w:val="20"/>
          <w:szCs w:val="20"/>
          <w:lang w:val="en-US" w:eastAsia="zh-CN"/>
          <w14:textFill>
            <w14:solidFill>
              <w14:schemeClr w14:val="tx1"/>
            </w14:solidFill>
          </w14:textFill>
        </w:rPr>
        <w:t>C</w:t>
      </w:r>
      <w:r>
        <w:rPr>
          <w:rFonts w:hint="default" w:ascii="Times New Roman" w:hAnsi="Times New Roman" w:cs="Times New Roman"/>
          <w:color w:val="000000" w:themeColor="text1"/>
          <w:sz w:val="20"/>
          <w:szCs w:val="20"/>
          <w:vertAlign w:val="subscript"/>
          <w:lang w:val="en-US" w:eastAsia="zh-CN"/>
          <w14:textFill>
            <w14:solidFill>
              <w14:schemeClr w14:val="tx1"/>
            </w14:solidFill>
          </w14:textFill>
        </w:rPr>
        <w:t>1d</w:t>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 and </w:t>
      </w:r>
      <w:r>
        <w:rPr>
          <w:rFonts w:hint="default" w:ascii="Times New Roman" w:hAnsi="Times New Roman" w:cs="Times New Roman"/>
          <w:i/>
          <w:iCs/>
          <w:color w:val="000000" w:themeColor="text1"/>
          <w:sz w:val="20"/>
          <w:szCs w:val="20"/>
          <w:lang w:val="en-US" w:eastAsia="zh-CN"/>
          <w14:textFill>
            <w14:solidFill>
              <w14:schemeClr w14:val="tx1"/>
            </w14:solidFill>
          </w14:textFill>
        </w:rPr>
        <w:t>C</w:t>
      </w:r>
      <w:r>
        <w:rPr>
          <w:rFonts w:hint="default" w:ascii="Times New Roman" w:hAnsi="Times New Roman" w:cs="Times New Roman"/>
          <w:color w:val="000000" w:themeColor="text1"/>
          <w:sz w:val="20"/>
          <w:szCs w:val="20"/>
          <w:vertAlign w:val="subscript"/>
          <w:lang w:val="en-US" w:eastAsia="zh-CN"/>
          <w14:textFill>
            <w14:solidFill>
              <w14:schemeClr w14:val="tx1"/>
            </w14:solidFill>
          </w14:textFill>
        </w:rPr>
        <w:t>2d</w:t>
      </w:r>
      <w:r>
        <w:rPr>
          <w:rFonts w:hint="default" w:ascii="Times New Roman" w:hAnsi="Times New Roman" w:cs="Times New Roman"/>
          <w:color w:val="000000" w:themeColor="text1"/>
          <w:sz w:val="20"/>
          <w:szCs w:val="20"/>
          <w:lang w:val="en-US" w:eastAsia="zh-CN"/>
          <w14:textFill>
            <w14:solidFill>
              <w14:schemeClr w14:val="tx1"/>
            </w14:solidFill>
          </w14:textFill>
        </w:rPr>
        <w:t>, as well as the system’s damping settings, to ensure that the damping device effectively suppresses resonant peaks in the mid and high</w:t>
      </w:r>
      <w:r>
        <w:rPr>
          <w:rFonts w:hint="eastAsia" w:ascii="Times New Roman" w:hAnsi="Times New Roman" w:cs="Times New Roman"/>
          <w:color w:val="000000" w:themeColor="text1"/>
          <w:sz w:val="20"/>
          <w:szCs w:val="20"/>
          <w:lang w:val="en-US" w:eastAsia="zh-CN"/>
          <w14:textFill>
            <w14:solidFill>
              <w14:schemeClr w14:val="tx1"/>
            </w14:solidFill>
          </w14:textFill>
        </w:rPr>
        <w:t xml:space="preserve"> </w:t>
      </w:r>
      <w:r>
        <w:rPr>
          <w:rFonts w:hint="default" w:ascii="Times New Roman" w:hAnsi="Times New Roman" w:cs="Times New Roman"/>
          <w:color w:val="000000" w:themeColor="text1"/>
          <w:sz w:val="20"/>
          <w:szCs w:val="20"/>
          <w:lang w:val="en-US" w:eastAsia="zh-CN"/>
          <w14:textFill>
            <w14:solidFill>
              <w14:schemeClr w14:val="tx1"/>
            </w14:solidFill>
          </w14:textFill>
        </w:rPr>
        <w:t>frequency ranges.</w:t>
      </w:r>
    </w:p>
    <w:p>
      <w:pPr>
        <w:pStyle w:val="44"/>
        <w:numPr>
          <w:ilvl w:val="0"/>
          <w:numId w:val="0"/>
        </w:numPr>
        <w:ind w:left="360"/>
        <w:rPr>
          <w:rFonts w:hint="default" w:ascii="Arial" w:hAnsi="Arial" w:eastAsia="宋体" w:cs="Arial"/>
          <w:color w:val="000000" w:themeColor="text1"/>
          <w:lang w:val="en-US" w:eastAsia="zh-CN"/>
          <w14:textFill>
            <w14:solidFill>
              <w14:schemeClr w14:val="tx1"/>
            </w14:solidFill>
          </w14:textFill>
        </w:rPr>
      </w:pPr>
      <w:r>
        <w:rPr>
          <w:color w:val="000000" w:themeColor="text1"/>
          <w14:textFill>
            <w14:solidFill>
              <w14:schemeClr w14:val="tx1"/>
            </w14:solidFill>
          </w14:textFill>
        </w:rPr>
        <w:t xml:space="preserve">3.2 </w:t>
      </w:r>
      <w:r>
        <w:rPr>
          <w:rFonts w:hint="default" w:ascii="Arial" w:hAnsi="Arial" w:cs="Arial"/>
          <w:color w:val="000000" w:themeColor="text1"/>
          <w:lang w:val="en-US" w:eastAsia="zh-CN"/>
          <w14:textFill>
            <w14:solidFill>
              <w14:schemeClr w14:val="tx1"/>
            </w14:solidFill>
          </w14:textFill>
        </w:rPr>
        <w:t xml:space="preserve">Quantitative Indicators of Harmonics in </w:t>
      </w:r>
      <w:r>
        <w:rPr>
          <w:rFonts w:hint="eastAsia" w:cs="Arial"/>
          <w:color w:val="000000" w:themeColor="text1"/>
          <w:lang w:val="en-US" w:eastAsia="zh-CN"/>
          <w14:textFill>
            <w14:solidFill>
              <w14:schemeClr w14:val="tx1"/>
            </w14:solidFill>
          </w14:textFill>
        </w:rPr>
        <w:t>high DG Penetration</w:t>
      </w:r>
      <w:r>
        <w:rPr>
          <w:rFonts w:hint="default" w:ascii="Arial" w:hAnsi="Arial" w:cs="Arial"/>
          <w:color w:val="000000" w:themeColor="text1"/>
          <w:lang w:val="en-US" w:eastAsia="zh-CN"/>
          <w14:textFill>
            <w14:solidFill>
              <w14:schemeClr w14:val="tx1"/>
            </w14:solidFill>
          </w14:textFill>
        </w:rPr>
        <w:t xml:space="preserve"> Distribution Networks</w:t>
      </w:r>
    </w:p>
    <w:p>
      <w:pPr>
        <w:ind w:firstLine="400"/>
        <w:jc w:val="both"/>
        <w:rPr>
          <w:color w:val="000000" w:themeColor="text1"/>
          <w:sz w:val="20"/>
          <w:szCs w:val="20"/>
          <w14:textFill>
            <w14:solidFill>
              <w14:schemeClr w14:val="tx1"/>
            </w14:solidFill>
          </w14:textFill>
        </w:rPr>
      </w:pPr>
      <w:r>
        <w:rPr>
          <w:rFonts w:hint="default" w:ascii="Times New Roman" w:hAnsi="Times New Roman" w:cs="Times New Roman"/>
          <w:color w:val="000000" w:themeColor="text1"/>
          <w:sz w:val="20"/>
          <w:szCs w:val="20"/>
          <w14:textFill>
            <w14:solidFill>
              <w14:schemeClr w14:val="tx1"/>
            </w14:solidFill>
          </w14:textFill>
        </w:rPr>
        <w:t xml:space="preserve">The damping coefficient </w:t>
      </w:r>
      <w:r>
        <w:rPr>
          <w:rFonts w:hint="default" w:ascii="Times New Roman" w:hAnsi="Times New Roman" w:cs="Times New Roman"/>
          <w:i/>
          <w:iCs/>
          <w:color w:val="000000" w:themeColor="text1"/>
          <w:sz w:val="20"/>
          <w:szCs w:val="20"/>
          <w14:textFill>
            <w14:solidFill>
              <w14:schemeClr w14:val="tx1"/>
            </w14:solidFill>
          </w14:textFill>
        </w:rPr>
        <w:t>ξ</w:t>
      </w:r>
      <w:r>
        <w:rPr>
          <w:rFonts w:hint="default" w:ascii="Times New Roman" w:hAnsi="Times New Roman" w:cs="Times New Roman"/>
          <w:color w:val="000000" w:themeColor="text1"/>
          <w:sz w:val="20"/>
          <w:szCs w:val="20"/>
          <w14:textFill>
            <w14:solidFill>
              <w14:schemeClr w14:val="tx1"/>
            </w14:solidFill>
          </w14:textFill>
        </w:rPr>
        <w:t>, a key parameter determining the system’s resonant-peak magnitude, effectively quantifies the degree of resonance suppression.</w:t>
      </w:r>
      <w:r>
        <w:rPr>
          <w:rFonts w:hint="default" w:ascii="Times New Roman" w:hAnsi="Times New Roman" w:cs="Times New Roman"/>
          <w:sz w:val="20"/>
          <w:szCs w:val="20"/>
        </w:rPr>
        <w:t xml:space="preserve"> However, </w:t>
      </w:r>
      <w:r>
        <w:rPr>
          <w:rFonts w:hint="default" w:ascii="Times New Roman" w:hAnsi="Times New Roman" w:cs="Times New Roman"/>
          <w:i/>
          <w:iCs/>
          <w:sz w:val="20"/>
          <w:szCs w:val="20"/>
        </w:rPr>
        <w:t>ξ</w:t>
      </w:r>
      <w:r>
        <w:rPr>
          <w:rFonts w:hint="default" w:ascii="Times New Roman" w:hAnsi="Times New Roman" w:cs="Times New Roman"/>
          <w:sz w:val="20"/>
          <w:szCs w:val="20"/>
        </w:rPr>
        <w:t xml:space="preserve"> is limited by the system configuration, electrical parameter distribution, and energy</w:t>
      </w:r>
      <w:r>
        <w:rPr>
          <w:rFonts w:hint="eastAsia" w:cs="Times New Roman"/>
          <w:sz w:val="20"/>
          <w:szCs w:val="20"/>
          <w:lang w:val="en-US" w:eastAsia="zh-CN"/>
        </w:rPr>
        <w:t xml:space="preserve"> </w:t>
      </w:r>
      <w:r>
        <w:rPr>
          <w:rFonts w:hint="default" w:ascii="Times New Roman" w:hAnsi="Times New Roman" w:cs="Times New Roman"/>
          <w:sz w:val="20"/>
          <w:szCs w:val="20"/>
        </w:rPr>
        <w:t>dissipation mechanisms; thus, a universal value cannot be prescribed.</w:t>
      </w:r>
      <w:r>
        <w:rPr>
          <w:rFonts w:hint="eastAsia" w:cs="Times New Roman"/>
          <w:sz w:val="20"/>
          <w:szCs w:val="20"/>
          <w:lang w:val="en-US" w:eastAsia="zh-CN"/>
        </w:rPr>
        <w:t xml:space="preserve"> </w:t>
      </w:r>
      <w:r>
        <w:rPr>
          <w:rFonts w:hint="default" w:ascii="Times New Roman" w:hAnsi="Times New Roman" w:cs="Times New Roman"/>
          <w:sz w:val="20"/>
          <w:szCs w:val="20"/>
          <w:lang w:val="en-US" w:eastAsia="zh-CN"/>
        </w:rPr>
        <w:t xml:space="preserve">Instead, </w:t>
      </w:r>
      <w:r>
        <w:rPr>
          <w:rFonts w:hint="default" w:ascii="Times New Roman" w:hAnsi="Times New Roman" w:cs="Times New Roman"/>
          <w:i/>
          <w:iCs/>
          <w:sz w:val="20"/>
          <w:szCs w:val="20"/>
          <w:lang w:val="en-US" w:eastAsia="zh-CN"/>
        </w:rPr>
        <w:t>ξ</w:t>
      </w:r>
      <w:r>
        <w:rPr>
          <w:rFonts w:hint="default" w:ascii="Times New Roman" w:hAnsi="Times New Roman" w:cs="Times New Roman"/>
          <w:sz w:val="20"/>
          <w:szCs w:val="20"/>
          <w:lang w:val="en-US" w:eastAsia="zh-CN"/>
        </w:rPr>
        <w:t xml:space="preserve"> should be determined according to prevailing grid operating conditions.</w:t>
      </w:r>
      <w:r>
        <w:rPr>
          <w:rFonts w:hint="default" w:ascii="Times New Roman" w:hAnsi="Times New Roman" w:cs="Times New Roman"/>
          <w:sz w:val="20"/>
          <w:szCs w:val="20"/>
        </w:rPr>
        <w:t xml:space="preserve"> Consequently, a unified quantitative indicator suitable for broadband</w:t>
      </w:r>
      <w:r>
        <w:rPr>
          <w:rFonts w:hint="eastAsia" w:cs="Times New Roman"/>
          <w:sz w:val="20"/>
          <w:szCs w:val="20"/>
          <w:lang w:val="en-US" w:eastAsia="zh-CN"/>
        </w:rPr>
        <w:t xml:space="preserve"> </w:t>
      </w:r>
      <w:r>
        <w:rPr>
          <w:rFonts w:hint="default" w:ascii="Times New Roman" w:hAnsi="Times New Roman" w:cs="Times New Roman"/>
          <w:sz w:val="20"/>
          <w:szCs w:val="20"/>
        </w:rPr>
        <w:t>oscillation analysis must first be established.</w:t>
      </w:r>
      <w:r>
        <w:rPr>
          <w:rFonts w:hint="eastAsia" w:cs="Times New Roman"/>
          <w:sz w:val="20"/>
          <w:szCs w:val="20"/>
          <w:lang w:val="en-US" w:eastAsia="zh-CN"/>
        </w:rPr>
        <w:t xml:space="preserve"> Drawing on the electromagnetic-compatibility levels of practical low-voltage distribution networks, a feasible reference value for </w:t>
      </w:r>
      <w:r>
        <w:rPr>
          <w:rFonts w:hint="default" w:ascii="Times New Roman" w:hAnsi="Times New Roman" w:cs="Times New Roman"/>
          <w:i/>
          <w:iCs/>
          <w:sz w:val="20"/>
          <w:szCs w:val="20"/>
          <w:lang w:val="en-US" w:eastAsia="zh-CN"/>
        </w:rPr>
        <w:t>ξ</w:t>
      </w:r>
      <w:r>
        <w:rPr>
          <w:rFonts w:hint="eastAsia" w:cs="Times New Roman"/>
          <w:i/>
          <w:iCs/>
          <w:sz w:val="20"/>
          <w:szCs w:val="20"/>
          <w:lang w:val="en-US" w:eastAsia="zh-CN"/>
        </w:rPr>
        <w:t xml:space="preserve"> </w:t>
      </w:r>
      <w:r>
        <w:rPr>
          <w:rFonts w:hint="eastAsia" w:cs="Times New Roman"/>
          <w:sz w:val="20"/>
          <w:szCs w:val="20"/>
          <w:lang w:val="en-US" w:eastAsia="zh-CN"/>
        </w:rPr>
        <w:t>can be proposed to guide the design of damping device parameters.</w:t>
      </w:r>
    </w:p>
    <w:p>
      <w:pPr>
        <w:ind w:firstLine="400"/>
        <w:jc w:val="both"/>
        <w:rPr>
          <w:rFonts w:hint="eastAsia"/>
          <w:color w:val="000000" w:themeColor="text1"/>
          <w:sz w:val="20"/>
          <w:szCs w:val="20"/>
          <w:lang w:val="en-US"/>
          <w14:textFill>
            <w14:solidFill>
              <w14:schemeClr w14:val="tx1"/>
            </w14:solidFill>
          </w14:textFill>
        </w:rPr>
      </w:pPr>
      <w:r>
        <w:rPr>
          <w:rFonts w:hint="eastAsia"/>
          <w:color w:val="000000" w:themeColor="text1"/>
          <w:sz w:val="20"/>
          <w:szCs w:val="20"/>
          <w:lang w:val="en-US"/>
          <w14:textFill>
            <w14:solidFill>
              <w14:schemeClr w14:val="tx1"/>
            </w14:solidFill>
          </w14:textFill>
        </w:rPr>
        <w:t xml:space="preserve">IEC 61000-2-2 and IEC 61000-3-15 respectively define the harmonic-voltage limits for low-voltage distribution networks and the harmonic-current limits for grid-connected </w:t>
      </w:r>
      <w:r>
        <w:rPr>
          <w:rFonts w:hint="eastAsia"/>
          <w:color w:val="000000" w:themeColor="text1"/>
          <w:sz w:val="20"/>
          <w:szCs w:val="20"/>
          <w:lang w:val="en-US" w:eastAsia="zh-CN"/>
          <w14:textFill>
            <w14:solidFill>
              <w14:schemeClr w14:val="tx1"/>
            </w14:solidFill>
          </w14:textFill>
        </w:rPr>
        <w:t>DG</w:t>
      </w:r>
      <w:r>
        <w:rPr>
          <w:rFonts w:hint="eastAsia"/>
          <w:color w:val="000000" w:themeColor="text1"/>
          <w:sz w:val="20"/>
          <w:szCs w:val="20"/>
          <w:lang w:val="en-US"/>
          <w14:textFill>
            <w14:solidFill>
              <w14:schemeClr w14:val="tx1"/>
            </w14:solidFill>
          </w14:textFill>
        </w:rPr>
        <w:t xml:space="preserve"> systems</w:t>
      </w:r>
      <w:r>
        <w:rPr>
          <w:rFonts w:hint="eastAsia"/>
          <w:color w:val="000000" w:themeColor="text1"/>
          <w:sz w:val="20"/>
          <w:szCs w:val="20"/>
          <w:vertAlign w:val="superscript"/>
          <w:lang w:val="en-US"/>
          <w14:textFill>
            <w14:solidFill>
              <w14:schemeClr w14:val="tx1"/>
            </w14:solidFill>
          </w14:textFill>
        </w:rPr>
        <w:t>[</w:t>
      </w:r>
      <w:r>
        <w:rPr>
          <w:rFonts w:hint="eastAsia"/>
          <w:color w:val="000000" w:themeColor="text1"/>
          <w:sz w:val="20"/>
          <w:szCs w:val="20"/>
          <w:vertAlign w:val="superscript"/>
          <w:lang w:val="en-US" w:eastAsia="zh-CN"/>
          <w14:textFill>
            <w14:solidFill>
              <w14:schemeClr w14:val="tx1"/>
            </w14:solidFill>
          </w14:textFill>
        </w:rPr>
        <w:t>29</w:t>
      </w:r>
      <w:r>
        <w:rPr>
          <w:rFonts w:hint="eastAsia"/>
          <w:color w:val="000000" w:themeColor="text1"/>
          <w:sz w:val="20"/>
          <w:szCs w:val="20"/>
          <w:vertAlign w:val="superscript"/>
          <w:lang w:val="en-US"/>
          <w14:textFill>
            <w14:solidFill>
              <w14:schemeClr w14:val="tx1"/>
            </w14:solidFill>
          </w14:textFill>
        </w:rPr>
        <w:t>,3</w:t>
      </w:r>
      <w:r>
        <w:rPr>
          <w:rFonts w:hint="eastAsia"/>
          <w:color w:val="000000" w:themeColor="text1"/>
          <w:sz w:val="20"/>
          <w:szCs w:val="20"/>
          <w:vertAlign w:val="superscript"/>
          <w:lang w:val="en-US" w:eastAsia="zh-CN"/>
          <w14:textFill>
            <w14:solidFill>
              <w14:schemeClr w14:val="tx1"/>
            </w14:solidFill>
          </w14:textFill>
        </w:rPr>
        <w:t>0</w:t>
      </w:r>
      <w:r>
        <w:rPr>
          <w:rFonts w:hint="eastAsia"/>
          <w:color w:val="000000" w:themeColor="text1"/>
          <w:sz w:val="20"/>
          <w:szCs w:val="20"/>
          <w:vertAlign w:val="superscript"/>
          <w:lang w:val="en-US"/>
          <w14:textFill>
            <w14:solidFill>
              <w14:schemeClr w14:val="tx1"/>
            </w14:solidFill>
          </w14:textFill>
        </w:rPr>
        <w:t>]</w:t>
      </w:r>
      <w:r>
        <w:rPr>
          <w:rFonts w:hint="eastAsia"/>
          <w:color w:val="000000" w:themeColor="text1"/>
          <w:sz w:val="20"/>
          <w:szCs w:val="20"/>
          <w:lang w:val="en-US"/>
          <w14:textFill>
            <w14:solidFill>
              <w14:schemeClr w14:val="tx1"/>
            </w14:solidFill>
          </w14:textFill>
        </w:rPr>
        <w:t>.</w:t>
      </w:r>
      <w:r>
        <w:rPr>
          <w:color w:val="000000" w:themeColor="text1"/>
          <w:sz w:val="20"/>
          <w:szCs w:val="20"/>
          <w:lang w:val="en-US"/>
          <w14:textFill>
            <w14:solidFill>
              <w14:schemeClr w14:val="tx1"/>
            </w14:solidFill>
          </w14:textFill>
        </w:rPr>
        <w:t xml:space="preserve"> </w:t>
      </w:r>
      <w:r>
        <w:rPr>
          <w:rFonts w:hint="eastAsia"/>
          <w:color w:val="000000" w:themeColor="text1"/>
          <w:sz w:val="20"/>
          <w:szCs w:val="20"/>
          <w:lang w:val="en-US"/>
          <w14:textFill>
            <w14:solidFill>
              <w14:schemeClr w14:val="tx1"/>
            </w14:solidFill>
          </w14:textFill>
        </w:rPr>
        <w:t>The corresponding limit values are listed in Table 4.</w:t>
      </w:r>
    </w:p>
    <w:p>
      <w:pPr>
        <w:ind w:firstLine="400"/>
        <w:jc w:val="both"/>
        <w:rPr>
          <w:color w:val="000000" w:themeColor="text1"/>
          <w:sz w:val="20"/>
          <w:szCs w:val="20"/>
          <w14:textFill>
            <w14:solidFill>
              <w14:schemeClr w14:val="tx1"/>
            </w14:solidFill>
          </w14:textFill>
        </w:rPr>
      </w:pPr>
      <w:r>
        <w:rPr>
          <w:rFonts w:hint="eastAsia"/>
          <w:color w:val="000000" w:themeColor="text1"/>
          <w:sz w:val="20"/>
          <w:szCs w:val="20"/>
          <w14:textFill>
            <w14:solidFill>
              <w14:schemeClr w14:val="tx1"/>
            </w14:solidFill>
          </w14:textFill>
        </w:rPr>
        <w:t xml:space="preserve">It is known that the response expression of the inverter under harmonic disturbance is given by </w:t>
      </w:r>
      <w:r>
        <w:rPr>
          <w:i/>
          <w:iCs/>
        </w:rPr>
        <w:t>Φ</w:t>
      </w:r>
      <w:r>
        <w:rPr>
          <w:vertAlign w:val="subscript"/>
        </w:rPr>
        <w:t>1</w:t>
      </w:r>
      <w:r>
        <w:rPr>
          <w:rFonts w:hint="eastAsia"/>
          <w:color w:val="000000" w:themeColor="text1"/>
          <w:sz w:val="20"/>
          <w:szCs w:val="20"/>
          <w14:textFill>
            <w14:solidFill>
              <w14:schemeClr w14:val="tx1"/>
            </w14:solidFill>
          </w14:textFill>
        </w:rPr>
        <w:t xml:space="preserve"> [</w:t>
      </w:r>
      <w:r>
        <w:rPr>
          <w:rFonts w:hint="eastAsia"/>
          <w:color w:val="000000" w:themeColor="text1"/>
          <w:sz w:val="20"/>
          <w:szCs w:val="20"/>
          <w:lang w:val="en-US" w:eastAsia="zh-CN"/>
          <w14:textFill>
            <w14:solidFill>
              <w14:schemeClr w14:val="tx1"/>
            </w14:solidFill>
          </w14:textFill>
        </w:rPr>
        <w:t>8</w:t>
      </w:r>
      <w:r>
        <w:rPr>
          <w:rFonts w:hint="eastAsia"/>
          <w:color w:val="000000" w:themeColor="text1"/>
          <w:sz w:val="20"/>
          <w:szCs w:val="20"/>
          <w14:textFill>
            <w14:solidFill>
              <w14:schemeClr w14:val="tx1"/>
            </w14:solidFill>
          </w14:textFill>
        </w:rPr>
        <w:t>], and its general form can be expressed as follows:</w:t>
      </w:r>
    </w:p>
    <w:p>
      <w:pPr>
        <w:pStyle w:val="53"/>
        <w:keepNext w:val="0"/>
        <w:keepLines w:val="0"/>
        <w:pageBreakBefore w:val="0"/>
        <w:widowControl/>
        <w:kinsoku/>
        <w:wordWrap/>
        <w:overflowPunct/>
        <w:topLinePunct w:val="0"/>
        <w:autoSpaceDE/>
        <w:autoSpaceDN/>
        <w:bidi w:val="0"/>
        <w:adjustRightInd/>
        <w:snapToGrid/>
        <w:ind w:left="0" w:leftChars="0" w:firstLine="0" w:firstLineChars="0"/>
        <w:jc w:val="right"/>
        <w:textAlignment w:val="center"/>
        <w:rPr>
          <w:rFonts w:hint="default" w:eastAsia="宋体"/>
          <w:color w:val="000000" w:themeColor="text1"/>
          <w:position w:val="0"/>
          <w:sz w:val="20"/>
          <w:szCs w:val="20"/>
          <w:lang w:val="en-US" w:eastAsia="zh-CN"/>
          <w14:textFill>
            <w14:solidFill>
              <w14:schemeClr w14:val="tx1"/>
            </w14:solidFill>
          </w14:textFill>
        </w:rPr>
      </w:pPr>
      <w:r>
        <w:rPr>
          <w:position w:val="0"/>
          <w:lang w:val="en-US"/>
        </w:rPr>
        <w:object>
          <v:shape id="_x0000_i1037" o:spt="75" type="#_x0000_t75" style="height:51pt;width:192.6pt;" o:ole="t" filled="f" o:preferrelative="t" stroked="f" coordsize="21600,21600">
            <v:path/>
            <v:fill on="f" focussize="0,0"/>
            <v:stroke on="f" joinstyle="miter"/>
            <v:imagedata r:id="rId41" o:title=""/>
            <o:lock v:ext="edit" aspectratio="t"/>
            <w10:wrap type="none"/>
            <w10:anchorlock/>
          </v:shape>
          <o:OLEObject Type="Embed" ProgID="Equation.DSMT4" ShapeID="_x0000_i1037" DrawAspect="Content" ObjectID="_1468075737" r:id="rId40">
            <o:LockedField>false</o:LockedField>
          </o:OLEObject>
        </w:object>
      </w:r>
      <w:r>
        <w:rPr>
          <w:rFonts w:hint="eastAsia"/>
          <w:position w:val="0"/>
          <w:lang w:val="en-US" w:eastAsia="zh-CN"/>
        </w:rPr>
        <w:t xml:space="preserve"> (6)</w:t>
      </w:r>
    </w:p>
    <w:p>
      <w:pPr>
        <w:keepNext w:val="0"/>
        <w:keepLines w:val="0"/>
        <w:pageBreakBefore w:val="0"/>
        <w:widowControl/>
        <w:kinsoku/>
        <w:wordWrap/>
        <w:overflowPunct/>
        <w:topLinePunct w:val="0"/>
        <w:autoSpaceDE/>
        <w:autoSpaceDN/>
        <w:bidi w:val="0"/>
        <w:adjustRightInd/>
        <w:snapToGrid/>
        <w:ind w:firstLine="403"/>
        <w:jc w:val="both"/>
        <w:textAlignment w:val="auto"/>
        <w:rPr>
          <w:rFonts w:hint="eastAsia" w:ascii="Times New Roman" w:hAnsi="Times New Roman" w:cs="Times New Roman"/>
          <w:color w:val="000000" w:themeColor="text1"/>
          <w:sz w:val="20"/>
          <w:szCs w:val="20"/>
          <w:lang w:val="en-US" w:eastAsia="zh-CN"/>
          <w14:textFill>
            <w14:solidFill>
              <w14:schemeClr w14:val="tx1"/>
            </w14:solidFill>
          </w14:textFill>
        </w:rPr>
      </w:pPr>
      <w:r>
        <w:rPr>
          <w:rFonts w:hint="default" w:ascii="Times New Roman" w:hAnsi="Times New Roman" w:cs="Times New Roman"/>
          <w:color w:val="000000" w:themeColor="text1"/>
          <w:sz w:val="20"/>
          <w:szCs w:val="20"/>
          <w14:textFill>
            <w14:solidFill>
              <w14:schemeClr w14:val="tx1"/>
            </w14:solidFill>
          </w14:textFill>
        </w:rPr>
        <w:t>In eq</w:t>
      </w:r>
      <w:r>
        <w:rPr>
          <w:rFonts w:hint="default" w:ascii="Times New Roman" w:hAnsi="Times New Roman" w:cs="Times New Roman"/>
          <w:color w:val="000000" w:themeColor="text1"/>
          <w:sz w:val="20"/>
          <w:szCs w:val="20"/>
          <w:lang w:val="en-US" w:eastAsia="zh-CN"/>
          <w14:textFill>
            <w14:solidFill>
              <w14:schemeClr w14:val="tx1"/>
            </w14:solidFill>
          </w14:textFill>
        </w:rPr>
        <w:t>.</w:t>
      </w:r>
      <w:r>
        <w:rPr>
          <w:rFonts w:hint="default" w:ascii="Times New Roman" w:hAnsi="Times New Roman" w:cs="Times New Roman"/>
          <w:color w:val="000000" w:themeColor="text1"/>
          <w:sz w:val="20"/>
          <w:szCs w:val="20"/>
          <w14:textFill>
            <w14:solidFill>
              <w14:schemeClr w14:val="tx1"/>
            </w14:solidFill>
          </w14:textFill>
        </w:rPr>
        <w:t xml:space="preserve"> (6), </w:t>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 </w:t>
      </w:r>
      <w:r>
        <w:rPr>
          <w:rFonts w:hint="default" w:ascii="Times New Roman" w:hAnsi="Times New Roman" w:cs="Times New Roman"/>
          <w:i/>
          <w:iCs/>
          <w:color w:val="000000" w:themeColor="text1"/>
          <w:sz w:val="20"/>
          <w:szCs w:val="20"/>
          <w:lang w:val="en-US" w:eastAsia="zh-CN"/>
          <w14:textFill>
            <w14:solidFill>
              <w14:schemeClr w14:val="tx1"/>
            </w14:solidFill>
          </w14:textFill>
        </w:rPr>
        <w:t>ω</w:t>
      </w:r>
      <w:r>
        <w:rPr>
          <w:rFonts w:hint="default" w:ascii="Times New Roman" w:hAnsi="Times New Roman" w:cs="Times New Roman"/>
          <w:color w:val="000000" w:themeColor="text1"/>
          <w:sz w:val="20"/>
          <w:szCs w:val="20"/>
          <w:vertAlign w:val="subscript"/>
          <w:lang w:val="en-US" w:eastAsia="zh-CN"/>
          <w14:textFill>
            <w14:solidFill>
              <w14:schemeClr w14:val="tx1"/>
            </w14:solidFill>
          </w14:textFill>
        </w:rPr>
        <w:t>s</w:t>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 </w:t>
      </w:r>
      <w:r>
        <w:rPr>
          <w:rFonts w:hint="default" w:ascii="Times New Roman" w:hAnsi="Times New Roman" w:cs="Times New Roman"/>
          <w:i/>
          <w:iCs/>
          <w:color w:val="000000" w:themeColor="text1"/>
          <w:sz w:val="20"/>
          <w:szCs w:val="20"/>
          <w:lang w:val="en-US" w:eastAsia="zh-CN"/>
          <w14:textFill>
            <w14:solidFill>
              <w14:schemeClr w14:val="tx1"/>
            </w14:solidFill>
          </w14:textFill>
        </w:rPr>
        <w:t>ω</w:t>
      </w:r>
      <w:r>
        <w:rPr>
          <w:rFonts w:hint="default" w:ascii="Times New Roman" w:hAnsi="Times New Roman" w:cs="Times New Roman"/>
          <w:color w:val="000000" w:themeColor="text1"/>
          <w:sz w:val="20"/>
          <w:szCs w:val="20"/>
          <w:vertAlign w:val="subscript"/>
          <w:lang w:val="en-US" w:eastAsia="zh-CN"/>
          <w14:textFill>
            <w14:solidFill>
              <w14:schemeClr w14:val="tx1"/>
            </w14:solidFill>
          </w14:textFill>
        </w:rPr>
        <w:t>n</w:t>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 </w:t>
      </w:r>
      <w:r>
        <w:rPr>
          <w:rFonts w:hint="default" w:ascii="Times New Roman" w:hAnsi="Times New Roman" w:cs="Times New Roman"/>
          <w:i/>
          <w:iCs/>
          <w:color w:val="000000" w:themeColor="text1"/>
          <w:sz w:val="20"/>
          <w:szCs w:val="20"/>
          <w:lang w:val="en-US" w:eastAsia="zh-CN"/>
          <w14:textFill>
            <w14:solidFill>
              <w14:schemeClr w14:val="tx1"/>
            </w14:solidFill>
          </w14:textFill>
        </w:rPr>
        <w:t>ξ</w:t>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 </w:t>
      </w:r>
      <w:r>
        <w:rPr>
          <w:rFonts w:hint="default" w:ascii="Times New Roman" w:hAnsi="Times New Roman" w:cs="Times New Roman"/>
          <w:color w:val="000000" w:themeColor="text1"/>
          <w:sz w:val="20"/>
          <w:szCs w:val="20"/>
          <w14:textFill>
            <w14:solidFill>
              <w14:schemeClr w14:val="tx1"/>
            </w14:solidFill>
          </w14:textFill>
        </w:rPr>
        <w:t>denote the angular frequency of harmonic excitation, the natural resonant frequency associated with the system’s characteristic root, and the corresponding equivalent damping coefficient, respectively.</w:t>
      </w:r>
      <w:r>
        <w:rPr>
          <w:rFonts w:hint="eastAsia" w:ascii="Times New Roman" w:hAnsi="Times New Roman" w:cs="Times New Roman"/>
          <w:color w:val="000000" w:themeColor="text1"/>
          <w:sz w:val="20"/>
          <w:szCs w:val="20"/>
          <w:lang w:val="en-US" w:eastAsia="zh-CN"/>
          <w14:textFill>
            <w14:solidFill>
              <w14:schemeClr w14:val="tx1"/>
            </w14:solidFill>
          </w14:textFill>
        </w:rPr>
        <w:t xml:space="preserve"> </w:t>
      </w:r>
    </w:p>
    <w:p>
      <w:pPr>
        <w:keepNext w:val="0"/>
        <w:keepLines w:val="0"/>
        <w:pageBreakBefore w:val="0"/>
        <w:widowControl/>
        <w:kinsoku/>
        <w:wordWrap/>
        <w:overflowPunct/>
        <w:topLinePunct w:val="0"/>
        <w:autoSpaceDE/>
        <w:autoSpaceDN/>
        <w:bidi w:val="0"/>
        <w:adjustRightInd/>
        <w:snapToGrid/>
        <w:ind w:firstLine="403"/>
        <w:jc w:val="both"/>
        <w:textAlignment w:val="auto"/>
        <w:rPr>
          <w:rFonts w:hint="eastAsia" w:ascii="Times New Roman" w:hAnsi="Times New Roman" w:cs="Times New Roman"/>
          <w:color w:val="000000" w:themeColor="text1"/>
          <w:sz w:val="20"/>
          <w:szCs w:val="20"/>
          <w:lang w:val="en-US" w:eastAsia="zh-CN"/>
          <w14:textFill>
            <w14:solidFill>
              <w14:schemeClr w14:val="tx1"/>
            </w14:solidFill>
          </w14:textFill>
        </w:rPr>
      </w:pPr>
      <w:r>
        <w:rPr>
          <w:rFonts w:hint="eastAsia" w:ascii="Times New Roman" w:hAnsi="Times New Roman" w:cs="Times New Roman"/>
          <w:color w:val="000000" w:themeColor="text1"/>
          <w:sz w:val="20"/>
          <w:szCs w:val="20"/>
          <w:lang w:val="en-US" w:eastAsia="zh-CN"/>
          <w14:textFill>
            <w14:solidFill>
              <w14:schemeClr w14:val="tx1"/>
            </w14:solidFill>
          </w14:textFill>
        </w:rPr>
        <w:t xml:space="preserve">When </w:t>
      </w:r>
      <w:r>
        <w:rPr>
          <w:rFonts w:hint="default" w:ascii="Times New Roman" w:hAnsi="Times New Roman" w:cs="Times New Roman"/>
          <w:i/>
          <w:iCs/>
          <w:color w:val="000000" w:themeColor="text1"/>
          <w:sz w:val="20"/>
          <w:szCs w:val="20"/>
          <w:lang w:val="en-US" w:eastAsia="zh-CN"/>
          <w14:textFill>
            <w14:solidFill>
              <w14:schemeClr w14:val="tx1"/>
            </w14:solidFill>
          </w14:textFill>
        </w:rPr>
        <w:t>ω</w:t>
      </w:r>
      <w:r>
        <w:rPr>
          <w:rFonts w:hint="default" w:ascii="Times New Roman" w:hAnsi="Times New Roman" w:cs="Times New Roman"/>
          <w:color w:val="000000" w:themeColor="text1"/>
          <w:sz w:val="20"/>
          <w:szCs w:val="20"/>
          <w:vertAlign w:val="subscript"/>
          <w:lang w:val="en-US" w:eastAsia="zh-CN"/>
          <w14:textFill>
            <w14:solidFill>
              <w14:schemeClr w14:val="tx1"/>
            </w14:solidFill>
          </w14:textFill>
        </w:rPr>
        <w:t>s</w:t>
      </w:r>
      <w:r>
        <w:rPr>
          <w:rFonts w:hint="eastAsia" w:ascii="Times New Roman" w:hAnsi="Times New Roman" w:cs="Times New Roman"/>
          <w:color w:val="000000" w:themeColor="text1"/>
          <w:sz w:val="20"/>
          <w:szCs w:val="20"/>
          <w:lang w:val="en-US" w:eastAsia="zh-CN"/>
          <w14:textFill>
            <w14:solidFill>
              <w14:schemeClr w14:val="tx1"/>
            </w14:solidFill>
          </w14:textFill>
        </w:rPr>
        <w:t xml:space="preserve"> equals </w:t>
      </w:r>
      <w:r>
        <w:rPr>
          <w:rFonts w:hint="default" w:ascii="Times New Roman" w:hAnsi="Times New Roman" w:cs="Times New Roman"/>
          <w:i/>
          <w:iCs/>
          <w:color w:val="000000" w:themeColor="text1"/>
          <w:sz w:val="20"/>
          <w:szCs w:val="20"/>
          <w:lang w:val="en-US" w:eastAsia="zh-CN"/>
          <w14:textFill>
            <w14:solidFill>
              <w14:schemeClr w14:val="tx1"/>
            </w14:solidFill>
          </w14:textFill>
        </w:rPr>
        <w:t>ω</w:t>
      </w:r>
      <w:r>
        <w:rPr>
          <w:rFonts w:hint="default" w:ascii="Times New Roman" w:hAnsi="Times New Roman" w:cs="Times New Roman"/>
          <w:color w:val="000000" w:themeColor="text1"/>
          <w:sz w:val="20"/>
          <w:szCs w:val="20"/>
          <w:vertAlign w:val="subscript"/>
          <w:lang w:val="en-US" w:eastAsia="zh-CN"/>
          <w14:textFill>
            <w14:solidFill>
              <w14:schemeClr w14:val="tx1"/>
            </w14:solidFill>
          </w14:textFill>
        </w:rPr>
        <w:t>n</w:t>
      </w:r>
      <w:r>
        <w:rPr>
          <w:rFonts w:hint="eastAsia" w:ascii="Times New Roman" w:hAnsi="Times New Roman" w:cs="Times New Roman"/>
          <w:color w:val="000000" w:themeColor="text1"/>
          <w:sz w:val="20"/>
          <w:szCs w:val="20"/>
          <w:lang w:val="en-US" w:eastAsia="zh-CN"/>
          <w14:textFill>
            <w14:solidFill>
              <w14:schemeClr w14:val="tx1"/>
            </w14:solidFill>
          </w14:textFill>
        </w:rPr>
        <w:t>, the following relationship holds:</w:t>
      </w:r>
    </w:p>
    <w:p>
      <w:pPr>
        <w:keepNext w:val="0"/>
        <w:keepLines w:val="0"/>
        <w:pageBreakBefore w:val="0"/>
        <w:widowControl/>
        <w:kinsoku/>
        <w:wordWrap/>
        <w:overflowPunct/>
        <w:topLinePunct w:val="0"/>
        <w:autoSpaceDE/>
        <w:autoSpaceDN/>
        <w:bidi w:val="0"/>
        <w:adjustRightInd/>
        <w:snapToGrid/>
        <w:jc w:val="right"/>
        <w:textAlignment w:val="center"/>
        <w:rPr>
          <w:rFonts w:hint="default" w:ascii="Times New Roman" w:hAnsi="Times New Roman" w:eastAsia="宋体" w:cs="Times New Roman"/>
          <w:color w:val="000000" w:themeColor="text1"/>
          <w:position w:val="0"/>
          <w:sz w:val="20"/>
          <w:szCs w:val="20"/>
          <w:lang w:val="en-US" w:eastAsia="zh-CN"/>
          <w14:textFill>
            <w14:solidFill>
              <w14:schemeClr w14:val="tx1"/>
            </w14:solidFill>
          </w14:textFill>
        </w:rPr>
      </w:pPr>
      <w:r>
        <w:rPr>
          <w:rFonts w:hint="eastAsia" w:ascii="Times New Roman" w:hAnsi="Times New Roman" w:eastAsia="宋体" w:cs="Times New Roman"/>
          <w:color w:val="000000" w:themeColor="text1"/>
          <w:position w:val="0"/>
          <w:sz w:val="20"/>
          <w:szCs w:val="20"/>
          <w:lang w:eastAsia="zh-CN"/>
          <w14:textFill>
            <w14:solidFill>
              <w14:schemeClr w14:val="tx1"/>
            </w14:solidFill>
          </w14:textFill>
        </w:rPr>
        <w:object>
          <v:shape id="_x0000_i1038" o:spt="75" type="#_x0000_t75" style="height:33pt;width:137pt;" o:ole="t" filled="f" o:preferrelative="t" stroked="f" coordsize="21600,21600">
            <v:path/>
            <v:fill on="f" focussize="0,0"/>
            <v:stroke on="f"/>
            <v:imagedata r:id="rId43" o:title=""/>
            <o:lock v:ext="edit" aspectratio="t"/>
            <w10:wrap type="none"/>
            <w10:anchorlock/>
          </v:shape>
          <o:OLEObject Type="Embed" ProgID="Equation.DSMT4" ShapeID="_x0000_i1038" DrawAspect="Content" ObjectID="_1468075738" r:id="rId42">
            <o:LockedField>false</o:LockedField>
          </o:OLEObject>
        </w:object>
      </w:r>
      <w:r>
        <w:rPr>
          <w:rFonts w:hint="eastAsia" w:cs="Times New Roman"/>
          <w:color w:val="000000" w:themeColor="text1"/>
          <w:position w:val="0"/>
          <w:sz w:val="20"/>
          <w:szCs w:val="20"/>
          <w:lang w:val="en-US" w:eastAsia="zh-CN"/>
          <w14:textFill>
            <w14:solidFill>
              <w14:schemeClr w14:val="tx1"/>
            </w14:solidFill>
          </w14:textFill>
        </w:rPr>
        <w:t xml:space="preserve">        (7)</w:t>
      </w:r>
    </w:p>
    <w:p>
      <w:pPr>
        <w:keepNext w:val="0"/>
        <w:keepLines w:val="0"/>
        <w:pageBreakBefore w:val="0"/>
        <w:widowControl/>
        <w:kinsoku/>
        <w:wordWrap/>
        <w:overflowPunct/>
        <w:topLinePunct w:val="0"/>
        <w:autoSpaceDE/>
        <w:autoSpaceDN/>
        <w:bidi w:val="0"/>
        <w:adjustRightInd/>
        <w:snapToGrid/>
        <w:ind w:firstLine="403"/>
        <w:jc w:val="both"/>
        <w:textAlignment w:val="auto"/>
        <w:rPr>
          <w:rFonts w:hint="default" w:ascii="Times New Roman" w:hAnsi="Times New Roman" w:cs="Times New Roman"/>
          <w:color w:val="000000" w:themeColor="text1"/>
          <w:sz w:val="20"/>
          <w:szCs w:val="20"/>
          <w:lang w:val="en-US"/>
          <w14:textFill>
            <w14:solidFill>
              <w14:schemeClr w14:val="tx1"/>
            </w14:solidFill>
          </w14:textFill>
        </w:rPr>
        <w:sectPr>
          <w:type w:val="continuous"/>
          <w:pgSz w:w="11906" w:h="16838"/>
          <w:pgMar w:top="1191" w:right="1077" w:bottom="1134" w:left="1077" w:header="851" w:footer="992" w:gutter="0"/>
          <w:cols w:space="454" w:num="2"/>
          <w:docGrid w:type="lines" w:linePitch="312" w:charSpace="0"/>
        </w:sectPr>
      </w:pPr>
      <w:r>
        <w:rPr>
          <w:rFonts w:hint="default" w:ascii="Times New Roman" w:hAnsi="Times New Roman" w:cs="Times New Roman"/>
          <w:color w:val="000000" w:themeColor="text1"/>
          <w:sz w:val="20"/>
          <w:szCs w:val="20"/>
          <w14:textFill>
            <w14:solidFill>
              <w14:schemeClr w14:val="tx1"/>
            </w14:solidFill>
          </w14:textFill>
        </w:rPr>
        <w:t xml:space="preserve">The grid harmonic voltage is considered as the excitation, while the grid-connected current of the </w:t>
      </w:r>
      <w:r>
        <w:rPr>
          <w:rFonts w:hint="eastAsia" w:ascii="Times New Roman" w:hAnsi="Times New Roman" w:cs="Times New Roman"/>
          <w:color w:val="000000" w:themeColor="text1"/>
          <w:sz w:val="20"/>
          <w:szCs w:val="20"/>
          <w:lang w:val="en-US" w:eastAsia="zh-CN"/>
          <w14:textFill>
            <w14:solidFill>
              <w14:schemeClr w14:val="tx1"/>
            </w14:solidFill>
          </w14:textFill>
        </w:rPr>
        <w:t>DG</w:t>
      </w:r>
      <w:r>
        <w:rPr>
          <w:rFonts w:hint="default" w:ascii="Times New Roman" w:hAnsi="Times New Roman" w:cs="Times New Roman"/>
          <w:color w:val="000000" w:themeColor="text1"/>
          <w:sz w:val="20"/>
          <w:szCs w:val="20"/>
          <w14:textFill>
            <w14:solidFill>
              <w14:schemeClr w14:val="tx1"/>
            </w14:solidFill>
          </w14:textFill>
        </w:rPr>
        <w:t xml:space="preserve"> serves as the response.</w:t>
      </w:r>
      <w:r>
        <w:rPr>
          <w:rFonts w:hint="eastAsia" w:ascii="Times New Roman" w:hAnsi="Times New Roman" w:cs="Times New Roman"/>
          <w:color w:val="000000" w:themeColor="text1"/>
          <w:sz w:val="20"/>
          <w:szCs w:val="20"/>
          <w:lang w:val="en-US" w:eastAsia="zh-CN"/>
          <w14:textFill>
            <w14:solidFill>
              <w14:schemeClr w14:val="tx1"/>
            </w14:solidFill>
          </w14:textFill>
        </w:rPr>
        <w:t xml:space="preserve"> The ratio of these two quantities represents the amplification factor (</w:t>
      </w:r>
      <w:r>
        <w:rPr>
          <w:i/>
          <w:iCs/>
        </w:rPr>
        <w:t>Φ</w:t>
      </w:r>
      <w:r>
        <w:rPr>
          <w:vertAlign w:val="subscript"/>
        </w:rPr>
        <w:t>1</w:t>
      </w:r>
      <w:r>
        <w:rPr>
          <w:rFonts w:hint="eastAsia" w:ascii="Times New Roman" w:hAnsi="Times New Roman" w:cs="Times New Roman"/>
          <w:color w:val="000000" w:themeColor="text1"/>
          <w:sz w:val="20"/>
          <w:szCs w:val="20"/>
          <w:lang w:val="en-US" w:eastAsia="zh-CN"/>
          <w14:textFill>
            <w14:solidFill>
              <w14:schemeClr w14:val="tx1"/>
            </w14:solidFill>
          </w14:textFill>
        </w:rPr>
        <w:t xml:space="preserve">) of the response under the corresponding harmonic excitation. </w:t>
      </w:r>
      <w:r>
        <w:rPr>
          <w:rFonts w:hint="default" w:ascii="Times New Roman" w:hAnsi="Times New Roman" w:cs="Times New Roman"/>
          <w:color w:val="000000" w:themeColor="text1"/>
          <w:sz w:val="20"/>
          <w:szCs w:val="20"/>
          <w:lang w:val="en-US" w:eastAsia="zh-CN"/>
          <w14:textFill>
            <w14:solidFill>
              <w14:schemeClr w14:val="tx1"/>
            </w14:solidFill>
          </w14:textFill>
        </w:rPr>
        <w:t>Subsequently, the critical damping coefficient (</w:t>
      </w:r>
      <w:r>
        <w:rPr>
          <w:rFonts w:hint="default" w:ascii="Times New Roman" w:hAnsi="Times New Roman" w:cs="Times New Roman"/>
          <w:i/>
          <w:iCs/>
          <w:color w:val="000000" w:themeColor="text1"/>
          <w:sz w:val="20"/>
          <w:szCs w:val="20"/>
          <w:lang w:val="en-US" w:eastAsia="zh-CN"/>
          <w14:textFill>
            <w14:solidFill>
              <w14:schemeClr w14:val="tx1"/>
            </w14:solidFill>
          </w14:textFill>
        </w:rPr>
        <w:t>ξ</w:t>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 satisfying the harmonic limit requirements of the </w:t>
      </w:r>
      <w:r>
        <w:rPr>
          <w:rFonts w:hint="eastAsia" w:ascii="Times New Roman" w:hAnsi="Times New Roman" w:cs="Times New Roman"/>
          <w:color w:val="000000" w:themeColor="text1"/>
          <w:sz w:val="20"/>
          <w:szCs w:val="20"/>
          <w:lang w:val="en-US" w:eastAsia="zh-CN"/>
          <w14:textFill>
            <w14:solidFill>
              <w14:schemeClr w14:val="tx1"/>
            </w14:solidFill>
          </w14:textFill>
        </w:rPr>
        <w:t>DG</w:t>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’s grid-connected current can be determined. The corresponding results are presented in Table </w:t>
      </w:r>
      <w:r>
        <w:rPr>
          <w:rFonts w:hint="eastAsia" w:cs="Times New Roman"/>
          <w:color w:val="000000" w:themeColor="text1"/>
          <w:sz w:val="20"/>
          <w:szCs w:val="20"/>
          <w:lang w:val="en-US" w:eastAsia="zh-CN"/>
          <w14:textFill>
            <w14:solidFill>
              <w14:schemeClr w14:val="tx1"/>
            </w14:solidFill>
          </w14:textFill>
        </w:rPr>
        <w:t>4</w:t>
      </w:r>
      <w:r>
        <w:rPr>
          <w:rFonts w:hint="default" w:ascii="Times New Roman" w:hAnsi="Times New Roman" w:cs="Times New Roman"/>
          <w:color w:val="000000" w:themeColor="text1"/>
          <w:sz w:val="20"/>
          <w:szCs w:val="20"/>
          <w:lang w:val="en-US" w:eastAsia="zh-CN"/>
          <w14:textFill>
            <w14:solidFill>
              <w14:schemeClr w14:val="tx1"/>
            </w14:solidFill>
          </w14:textFill>
        </w:rPr>
        <w:t>.</w:t>
      </w:r>
    </w:p>
    <w:p>
      <w:pPr>
        <w:jc w:val="center"/>
        <w:rPr>
          <w:rFonts w:eastAsia="黑体"/>
          <w:sz w:val="18"/>
          <w:szCs w:val="18"/>
        </w:rPr>
      </w:pPr>
      <w:r>
        <w:rPr>
          <w:rFonts w:hint="eastAsia"/>
          <w:b/>
          <w:bCs/>
          <w:i/>
          <w:iCs/>
          <w:color w:val="000000" w:themeColor="text1"/>
          <w:sz w:val="20"/>
          <w:szCs w:val="20"/>
          <w:lang w:val="en-US"/>
          <w14:textFill>
            <w14:solidFill>
              <w14:schemeClr w14:val="tx1"/>
            </w14:solidFill>
          </w14:textFill>
        </w:rPr>
        <w:t>T</w:t>
      </w:r>
      <w:r>
        <w:rPr>
          <w:b/>
          <w:bCs/>
          <w:i/>
          <w:iCs/>
          <w:color w:val="000000" w:themeColor="text1"/>
          <w:sz w:val="20"/>
          <w:szCs w:val="20"/>
          <w:lang w:val="en-US"/>
          <w14:textFill>
            <w14:solidFill>
              <w14:schemeClr w14:val="tx1"/>
            </w14:solidFill>
          </w14:textFill>
        </w:rPr>
        <w:t xml:space="preserve">able </w:t>
      </w:r>
      <w:r>
        <w:rPr>
          <w:rFonts w:hint="eastAsia"/>
          <w:b/>
          <w:bCs/>
          <w:i/>
          <w:iCs/>
          <w:color w:val="000000" w:themeColor="text1"/>
          <w:sz w:val="20"/>
          <w:szCs w:val="20"/>
          <w:lang w:val="en-US" w:eastAsia="zh-CN"/>
          <w14:textFill>
            <w14:solidFill>
              <w14:schemeClr w14:val="tx1"/>
            </w14:solidFill>
          </w14:textFill>
        </w:rPr>
        <w:t>4</w:t>
      </w:r>
      <w:r>
        <w:rPr>
          <w:b/>
          <w:bCs/>
          <w:i/>
          <w:iCs/>
          <w:color w:val="000000" w:themeColor="text1"/>
          <w:sz w:val="20"/>
          <w:szCs w:val="20"/>
          <w:lang w:val="en-US"/>
          <w14:textFill>
            <w14:solidFill>
              <w14:schemeClr w14:val="tx1"/>
            </w14:solidFill>
          </w14:textFill>
        </w:rPr>
        <w:t xml:space="preserve"> </w:t>
      </w:r>
      <w:r>
        <w:rPr>
          <w:rFonts w:hint="eastAsia"/>
          <w:i/>
          <w:iCs/>
          <w:spacing w:val="6"/>
          <w:kern w:val="20"/>
          <w:sz w:val="20"/>
          <w:lang w:val="en-US"/>
        </w:rPr>
        <w:t>Critical damping coefficient for compliance with DG current harmonic limits (IEC 61000-3-15)</w:t>
      </w:r>
    </w:p>
    <w:tbl>
      <w:tblPr>
        <w:tblStyle w:val="16"/>
        <w:tblW w:w="4999" w:type="pct"/>
        <w:jc w:val="center"/>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384"/>
        <w:gridCol w:w="577"/>
        <w:gridCol w:w="577"/>
        <w:gridCol w:w="577"/>
        <w:gridCol w:w="577"/>
        <w:gridCol w:w="577"/>
        <w:gridCol w:w="577"/>
        <w:gridCol w:w="577"/>
        <w:gridCol w:w="577"/>
        <w:gridCol w:w="657"/>
        <w:gridCol w:w="577"/>
        <w:gridCol w:w="577"/>
        <w:gridCol w:w="577"/>
        <w:gridCol w:w="578"/>
      </w:tblGrid>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94" w:type="pct"/>
            <w:vAlign w:val="center"/>
          </w:tcPr>
          <w:p>
            <w:pPr>
              <w:spacing w:line="252" w:lineRule="auto"/>
              <w:jc w:val="center"/>
              <w:rPr>
                <w:color w:val="000000"/>
                <w:sz w:val="16"/>
                <w:szCs w:val="16"/>
                <w:lang w:eastAsia="zh-CN"/>
              </w:rPr>
            </w:pPr>
            <w:r>
              <w:rPr>
                <w:color w:val="000000"/>
                <w:sz w:val="16"/>
                <w:szCs w:val="16"/>
                <w:lang w:val="en-US" w:eastAsia="zh-CN"/>
              </w:rPr>
              <w:t>Harmonic Order</w:t>
            </w:r>
          </w:p>
        </w:tc>
        <w:tc>
          <w:tcPr>
            <w:tcW w:w="289" w:type="pct"/>
            <w:vAlign w:val="center"/>
          </w:tcPr>
          <w:p>
            <w:pPr>
              <w:spacing w:line="280" w:lineRule="exact"/>
              <w:jc w:val="center"/>
              <w:rPr>
                <w:bCs/>
                <w:sz w:val="16"/>
                <w:szCs w:val="16"/>
                <w:lang w:eastAsia="zh-CN"/>
              </w:rPr>
            </w:pPr>
            <w:r>
              <w:rPr>
                <w:bCs/>
                <w:sz w:val="16"/>
                <w:szCs w:val="16"/>
                <w:lang w:val="en-US" w:eastAsia="zh-CN"/>
              </w:rPr>
              <w:t>2</w:t>
            </w:r>
          </w:p>
        </w:tc>
        <w:tc>
          <w:tcPr>
            <w:tcW w:w="289" w:type="pct"/>
            <w:vAlign w:val="center"/>
          </w:tcPr>
          <w:p>
            <w:pPr>
              <w:spacing w:line="280" w:lineRule="exact"/>
              <w:jc w:val="center"/>
              <w:rPr>
                <w:bCs/>
                <w:sz w:val="16"/>
                <w:szCs w:val="16"/>
                <w:lang w:eastAsia="zh-CN"/>
              </w:rPr>
            </w:pPr>
            <w:r>
              <w:rPr>
                <w:bCs/>
                <w:sz w:val="16"/>
                <w:szCs w:val="16"/>
                <w:lang w:val="en-US" w:eastAsia="zh-CN"/>
              </w:rPr>
              <w:t>3</w:t>
            </w:r>
          </w:p>
        </w:tc>
        <w:tc>
          <w:tcPr>
            <w:tcW w:w="289" w:type="pct"/>
            <w:vAlign w:val="center"/>
          </w:tcPr>
          <w:p>
            <w:pPr>
              <w:spacing w:line="280" w:lineRule="exact"/>
              <w:jc w:val="center"/>
              <w:rPr>
                <w:bCs/>
                <w:sz w:val="16"/>
                <w:szCs w:val="16"/>
                <w:lang w:eastAsia="zh-CN"/>
              </w:rPr>
            </w:pPr>
            <w:r>
              <w:rPr>
                <w:bCs/>
                <w:sz w:val="16"/>
                <w:szCs w:val="16"/>
                <w:lang w:val="en-US" w:eastAsia="zh-CN"/>
              </w:rPr>
              <w:t>4</w:t>
            </w:r>
          </w:p>
        </w:tc>
        <w:tc>
          <w:tcPr>
            <w:tcW w:w="289" w:type="pct"/>
            <w:vAlign w:val="center"/>
          </w:tcPr>
          <w:p>
            <w:pPr>
              <w:spacing w:line="280" w:lineRule="exact"/>
              <w:jc w:val="center"/>
              <w:rPr>
                <w:bCs/>
                <w:sz w:val="16"/>
                <w:szCs w:val="16"/>
                <w:lang w:eastAsia="zh-CN"/>
              </w:rPr>
            </w:pPr>
            <w:r>
              <w:rPr>
                <w:bCs/>
                <w:sz w:val="16"/>
                <w:szCs w:val="16"/>
                <w:lang w:val="en-US" w:eastAsia="zh-CN"/>
              </w:rPr>
              <w:t>5</w:t>
            </w:r>
          </w:p>
        </w:tc>
        <w:tc>
          <w:tcPr>
            <w:tcW w:w="289" w:type="pct"/>
            <w:vAlign w:val="center"/>
          </w:tcPr>
          <w:p>
            <w:pPr>
              <w:spacing w:line="280" w:lineRule="exact"/>
              <w:jc w:val="center"/>
              <w:rPr>
                <w:bCs/>
                <w:sz w:val="16"/>
                <w:szCs w:val="16"/>
                <w:lang w:eastAsia="zh-CN"/>
              </w:rPr>
            </w:pPr>
            <w:r>
              <w:rPr>
                <w:bCs/>
                <w:sz w:val="16"/>
                <w:szCs w:val="16"/>
                <w:lang w:val="en-US" w:eastAsia="zh-CN"/>
              </w:rPr>
              <w:t>6</w:t>
            </w:r>
          </w:p>
        </w:tc>
        <w:tc>
          <w:tcPr>
            <w:tcW w:w="289" w:type="pct"/>
            <w:vAlign w:val="center"/>
          </w:tcPr>
          <w:p>
            <w:pPr>
              <w:spacing w:line="280" w:lineRule="exact"/>
              <w:jc w:val="center"/>
              <w:rPr>
                <w:bCs/>
                <w:sz w:val="16"/>
                <w:szCs w:val="16"/>
                <w:lang w:eastAsia="zh-CN"/>
              </w:rPr>
            </w:pPr>
            <w:r>
              <w:rPr>
                <w:bCs/>
                <w:sz w:val="16"/>
                <w:szCs w:val="16"/>
                <w:lang w:val="en-US" w:eastAsia="zh-CN"/>
              </w:rPr>
              <w:t>7</w:t>
            </w:r>
          </w:p>
        </w:tc>
        <w:tc>
          <w:tcPr>
            <w:tcW w:w="289" w:type="pct"/>
            <w:vAlign w:val="center"/>
          </w:tcPr>
          <w:p>
            <w:pPr>
              <w:spacing w:line="280" w:lineRule="exact"/>
              <w:jc w:val="center"/>
              <w:rPr>
                <w:bCs/>
                <w:sz w:val="16"/>
                <w:szCs w:val="16"/>
                <w:lang w:eastAsia="zh-CN"/>
              </w:rPr>
            </w:pPr>
            <w:r>
              <w:rPr>
                <w:bCs/>
                <w:sz w:val="16"/>
                <w:szCs w:val="16"/>
                <w:lang w:val="en-US" w:eastAsia="zh-CN"/>
              </w:rPr>
              <w:t>8</w:t>
            </w:r>
          </w:p>
        </w:tc>
        <w:tc>
          <w:tcPr>
            <w:tcW w:w="289" w:type="pct"/>
            <w:vAlign w:val="center"/>
          </w:tcPr>
          <w:p>
            <w:pPr>
              <w:spacing w:line="280" w:lineRule="exact"/>
              <w:jc w:val="center"/>
              <w:rPr>
                <w:bCs/>
                <w:sz w:val="16"/>
                <w:szCs w:val="16"/>
                <w:lang w:eastAsia="zh-CN"/>
              </w:rPr>
            </w:pPr>
            <w:r>
              <w:rPr>
                <w:bCs/>
                <w:sz w:val="16"/>
                <w:szCs w:val="16"/>
                <w:lang w:val="en-US" w:eastAsia="zh-CN"/>
              </w:rPr>
              <w:t>9</w:t>
            </w:r>
          </w:p>
        </w:tc>
        <w:tc>
          <w:tcPr>
            <w:tcW w:w="329" w:type="pct"/>
            <w:vAlign w:val="center"/>
          </w:tcPr>
          <w:p>
            <w:pPr>
              <w:spacing w:line="280" w:lineRule="exact"/>
              <w:jc w:val="center"/>
              <w:rPr>
                <w:bCs/>
                <w:sz w:val="16"/>
                <w:szCs w:val="16"/>
                <w:lang w:eastAsia="zh-CN"/>
              </w:rPr>
            </w:pPr>
            <w:r>
              <w:rPr>
                <w:bCs/>
                <w:sz w:val="16"/>
                <w:szCs w:val="16"/>
                <w:lang w:val="en-US" w:eastAsia="zh-CN"/>
              </w:rPr>
              <w:t>10</w:t>
            </w:r>
          </w:p>
        </w:tc>
        <w:tc>
          <w:tcPr>
            <w:tcW w:w="289" w:type="pct"/>
            <w:vAlign w:val="center"/>
          </w:tcPr>
          <w:p>
            <w:pPr>
              <w:spacing w:line="280" w:lineRule="exact"/>
              <w:jc w:val="center"/>
              <w:rPr>
                <w:bCs/>
                <w:sz w:val="16"/>
                <w:szCs w:val="16"/>
                <w:lang w:eastAsia="zh-CN"/>
              </w:rPr>
            </w:pPr>
            <w:r>
              <w:rPr>
                <w:bCs/>
                <w:sz w:val="16"/>
                <w:szCs w:val="16"/>
                <w:lang w:val="en-US" w:eastAsia="zh-CN"/>
              </w:rPr>
              <w:t>11</w:t>
            </w:r>
          </w:p>
        </w:tc>
        <w:tc>
          <w:tcPr>
            <w:tcW w:w="289" w:type="pct"/>
            <w:vAlign w:val="center"/>
          </w:tcPr>
          <w:p>
            <w:pPr>
              <w:spacing w:line="280" w:lineRule="exact"/>
              <w:jc w:val="center"/>
              <w:rPr>
                <w:bCs/>
                <w:sz w:val="16"/>
                <w:szCs w:val="16"/>
                <w:lang w:eastAsia="zh-CN"/>
              </w:rPr>
            </w:pPr>
            <w:r>
              <w:rPr>
                <w:bCs/>
                <w:sz w:val="16"/>
                <w:szCs w:val="16"/>
                <w:lang w:val="en-US" w:eastAsia="zh-CN"/>
              </w:rPr>
              <w:t>12</w:t>
            </w:r>
          </w:p>
        </w:tc>
        <w:tc>
          <w:tcPr>
            <w:tcW w:w="289" w:type="pct"/>
            <w:vAlign w:val="center"/>
          </w:tcPr>
          <w:p>
            <w:pPr>
              <w:spacing w:line="280" w:lineRule="exact"/>
              <w:jc w:val="center"/>
              <w:rPr>
                <w:bCs/>
                <w:sz w:val="16"/>
                <w:szCs w:val="16"/>
                <w:lang w:eastAsia="zh-CN"/>
              </w:rPr>
            </w:pPr>
            <w:r>
              <w:rPr>
                <w:bCs/>
                <w:sz w:val="16"/>
                <w:szCs w:val="16"/>
                <w:lang w:val="en-US" w:eastAsia="zh-CN"/>
              </w:rPr>
              <w:t>13</w:t>
            </w:r>
          </w:p>
        </w:tc>
        <w:tc>
          <w:tcPr>
            <w:tcW w:w="289" w:type="pct"/>
            <w:vAlign w:val="center"/>
          </w:tcPr>
          <w:p>
            <w:pPr>
              <w:spacing w:line="280" w:lineRule="exact"/>
              <w:jc w:val="center"/>
              <w:rPr>
                <w:bCs/>
                <w:sz w:val="16"/>
                <w:szCs w:val="16"/>
                <w:lang w:eastAsia="zh-CN"/>
              </w:rPr>
            </w:pPr>
            <w:r>
              <w:rPr>
                <w:bCs/>
                <w:sz w:val="16"/>
                <w:szCs w:val="16"/>
                <w:lang w:val="en-US" w:eastAsia="zh-CN"/>
              </w:rPr>
              <w:t>14</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94" w:type="pct"/>
            <w:vAlign w:val="center"/>
          </w:tcPr>
          <w:p>
            <w:pPr>
              <w:spacing w:line="252" w:lineRule="auto"/>
              <w:jc w:val="center"/>
              <w:rPr>
                <w:color w:val="000000"/>
                <w:sz w:val="16"/>
                <w:szCs w:val="16"/>
                <w:lang w:eastAsia="zh-CN"/>
              </w:rPr>
            </w:pPr>
            <w:r>
              <w:rPr>
                <w:color w:val="000000"/>
                <w:sz w:val="16"/>
                <w:szCs w:val="16"/>
                <w:lang w:val="en-US" w:eastAsia="zh-CN"/>
              </w:rPr>
              <w:t>Low voltage grid harmonic limits</w:t>
            </w:r>
          </w:p>
        </w:tc>
        <w:tc>
          <w:tcPr>
            <w:tcW w:w="289" w:type="pct"/>
            <w:vAlign w:val="center"/>
          </w:tcPr>
          <w:p>
            <w:pPr>
              <w:spacing w:line="280" w:lineRule="exact"/>
              <w:jc w:val="center"/>
              <w:rPr>
                <w:bCs/>
                <w:sz w:val="16"/>
                <w:szCs w:val="16"/>
                <w:lang w:eastAsia="zh-CN"/>
              </w:rPr>
            </w:pPr>
            <w:r>
              <w:rPr>
                <w:bCs/>
                <w:sz w:val="16"/>
                <w:szCs w:val="16"/>
                <w:lang w:val="en-US" w:eastAsia="zh-CN"/>
              </w:rPr>
              <w:t>2</w:t>
            </w:r>
          </w:p>
        </w:tc>
        <w:tc>
          <w:tcPr>
            <w:tcW w:w="289" w:type="pct"/>
            <w:vAlign w:val="center"/>
          </w:tcPr>
          <w:p>
            <w:pPr>
              <w:spacing w:line="280" w:lineRule="exact"/>
              <w:jc w:val="center"/>
              <w:rPr>
                <w:bCs/>
                <w:sz w:val="16"/>
                <w:szCs w:val="16"/>
                <w:lang w:eastAsia="zh-CN"/>
              </w:rPr>
            </w:pPr>
            <w:r>
              <w:rPr>
                <w:bCs/>
                <w:sz w:val="16"/>
                <w:szCs w:val="16"/>
                <w:lang w:val="en-US" w:eastAsia="zh-CN"/>
              </w:rPr>
              <w:t>5</w:t>
            </w:r>
          </w:p>
        </w:tc>
        <w:tc>
          <w:tcPr>
            <w:tcW w:w="289" w:type="pct"/>
            <w:vAlign w:val="center"/>
          </w:tcPr>
          <w:p>
            <w:pPr>
              <w:spacing w:line="280" w:lineRule="exact"/>
              <w:jc w:val="center"/>
              <w:rPr>
                <w:bCs/>
                <w:sz w:val="16"/>
                <w:szCs w:val="16"/>
                <w:lang w:eastAsia="zh-CN"/>
              </w:rPr>
            </w:pPr>
            <w:r>
              <w:rPr>
                <w:bCs/>
                <w:sz w:val="16"/>
                <w:szCs w:val="16"/>
                <w:lang w:val="en-US" w:eastAsia="zh-CN"/>
              </w:rPr>
              <w:t>1</w:t>
            </w:r>
          </w:p>
        </w:tc>
        <w:tc>
          <w:tcPr>
            <w:tcW w:w="289" w:type="pct"/>
            <w:vAlign w:val="center"/>
          </w:tcPr>
          <w:p>
            <w:pPr>
              <w:spacing w:line="280" w:lineRule="exact"/>
              <w:jc w:val="center"/>
              <w:rPr>
                <w:bCs/>
                <w:sz w:val="16"/>
                <w:szCs w:val="16"/>
                <w:lang w:eastAsia="zh-CN"/>
              </w:rPr>
            </w:pPr>
            <w:r>
              <w:rPr>
                <w:bCs/>
                <w:sz w:val="16"/>
                <w:szCs w:val="16"/>
                <w:lang w:val="en-US" w:eastAsia="zh-CN"/>
              </w:rPr>
              <w:t>6</w:t>
            </w:r>
          </w:p>
        </w:tc>
        <w:tc>
          <w:tcPr>
            <w:tcW w:w="289" w:type="pct"/>
            <w:vAlign w:val="center"/>
          </w:tcPr>
          <w:p>
            <w:pPr>
              <w:spacing w:line="280" w:lineRule="exact"/>
              <w:jc w:val="center"/>
              <w:rPr>
                <w:bCs/>
                <w:sz w:val="16"/>
                <w:szCs w:val="16"/>
                <w:lang w:eastAsia="zh-CN"/>
              </w:rPr>
            </w:pPr>
            <w:r>
              <w:rPr>
                <w:bCs/>
                <w:sz w:val="16"/>
                <w:szCs w:val="16"/>
                <w:lang w:val="en-US" w:eastAsia="zh-CN"/>
              </w:rPr>
              <w:t>0.5</w:t>
            </w:r>
          </w:p>
        </w:tc>
        <w:tc>
          <w:tcPr>
            <w:tcW w:w="289" w:type="pct"/>
            <w:vAlign w:val="center"/>
          </w:tcPr>
          <w:p>
            <w:pPr>
              <w:spacing w:line="280" w:lineRule="exact"/>
              <w:jc w:val="center"/>
              <w:rPr>
                <w:bCs/>
                <w:sz w:val="16"/>
                <w:szCs w:val="16"/>
                <w:lang w:eastAsia="zh-CN"/>
              </w:rPr>
            </w:pPr>
            <w:r>
              <w:rPr>
                <w:bCs/>
                <w:sz w:val="16"/>
                <w:szCs w:val="16"/>
                <w:lang w:val="en-US" w:eastAsia="zh-CN"/>
              </w:rPr>
              <w:t>5</w:t>
            </w:r>
          </w:p>
        </w:tc>
        <w:tc>
          <w:tcPr>
            <w:tcW w:w="289" w:type="pct"/>
            <w:vAlign w:val="center"/>
          </w:tcPr>
          <w:p>
            <w:pPr>
              <w:spacing w:line="280" w:lineRule="exact"/>
              <w:jc w:val="center"/>
              <w:rPr>
                <w:bCs/>
                <w:sz w:val="16"/>
                <w:szCs w:val="16"/>
                <w:lang w:eastAsia="zh-CN"/>
              </w:rPr>
            </w:pPr>
            <w:r>
              <w:rPr>
                <w:bCs/>
                <w:sz w:val="16"/>
                <w:szCs w:val="16"/>
                <w:lang w:val="en-US" w:eastAsia="zh-CN"/>
              </w:rPr>
              <w:t>0.5</w:t>
            </w:r>
          </w:p>
        </w:tc>
        <w:tc>
          <w:tcPr>
            <w:tcW w:w="289" w:type="pct"/>
            <w:vAlign w:val="center"/>
          </w:tcPr>
          <w:p>
            <w:pPr>
              <w:spacing w:line="280" w:lineRule="exact"/>
              <w:jc w:val="center"/>
              <w:rPr>
                <w:bCs/>
                <w:sz w:val="16"/>
                <w:szCs w:val="16"/>
                <w:lang w:eastAsia="zh-CN"/>
              </w:rPr>
            </w:pPr>
            <w:r>
              <w:rPr>
                <w:bCs/>
                <w:sz w:val="16"/>
                <w:szCs w:val="16"/>
                <w:lang w:val="en-US" w:eastAsia="zh-CN"/>
              </w:rPr>
              <w:t>1.5</w:t>
            </w:r>
          </w:p>
        </w:tc>
        <w:tc>
          <w:tcPr>
            <w:tcW w:w="329" w:type="pct"/>
            <w:vAlign w:val="center"/>
          </w:tcPr>
          <w:p>
            <w:pPr>
              <w:spacing w:line="280" w:lineRule="exact"/>
              <w:jc w:val="center"/>
              <w:rPr>
                <w:bCs/>
                <w:sz w:val="16"/>
                <w:szCs w:val="16"/>
                <w:lang w:eastAsia="zh-CN"/>
              </w:rPr>
            </w:pPr>
            <w:r>
              <w:rPr>
                <w:bCs/>
                <w:sz w:val="16"/>
                <w:szCs w:val="16"/>
                <w:lang w:val="en-US" w:eastAsia="zh-CN"/>
              </w:rPr>
              <w:t>0.5</w:t>
            </w:r>
          </w:p>
        </w:tc>
        <w:tc>
          <w:tcPr>
            <w:tcW w:w="289" w:type="pct"/>
            <w:vAlign w:val="center"/>
          </w:tcPr>
          <w:p>
            <w:pPr>
              <w:spacing w:line="280" w:lineRule="exact"/>
              <w:jc w:val="center"/>
              <w:rPr>
                <w:bCs/>
                <w:sz w:val="16"/>
                <w:szCs w:val="16"/>
                <w:lang w:eastAsia="zh-CN"/>
              </w:rPr>
            </w:pPr>
            <w:r>
              <w:rPr>
                <w:bCs/>
                <w:sz w:val="16"/>
                <w:szCs w:val="16"/>
                <w:lang w:val="en-US" w:eastAsia="zh-CN"/>
              </w:rPr>
              <w:t>3.5</w:t>
            </w:r>
          </w:p>
        </w:tc>
        <w:tc>
          <w:tcPr>
            <w:tcW w:w="289" w:type="pct"/>
            <w:vAlign w:val="center"/>
          </w:tcPr>
          <w:p>
            <w:pPr>
              <w:spacing w:line="280" w:lineRule="exact"/>
              <w:jc w:val="center"/>
              <w:rPr>
                <w:bCs/>
                <w:sz w:val="16"/>
                <w:szCs w:val="16"/>
                <w:lang w:eastAsia="zh-CN"/>
              </w:rPr>
            </w:pPr>
            <w:r>
              <w:rPr>
                <w:bCs/>
                <w:sz w:val="16"/>
                <w:szCs w:val="16"/>
                <w:lang w:val="en-US" w:eastAsia="zh-CN"/>
              </w:rPr>
              <w:t>0.458</w:t>
            </w:r>
          </w:p>
        </w:tc>
        <w:tc>
          <w:tcPr>
            <w:tcW w:w="289" w:type="pct"/>
            <w:vAlign w:val="center"/>
          </w:tcPr>
          <w:p>
            <w:pPr>
              <w:spacing w:line="280" w:lineRule="exact"/>
              <w:jc w:val="center"/>
              <w:rPr>
                <w:bCs/>
                <w:sz w:val="16"/>
                <w:szCs w:val="16"/>
                <w:lang w:eastAsia="zh-CN"/>
              </w:rPr>
            </w:pPr>
            <w:r>
              <w:rPr>
                <w:bCs/>
                <w:sz w:val="16"/>
                <w:szCs w:val="16"/>
                <w:lang w:val="en-US" w:eastAsia="zh-CN"/>
              </w:rPr>
              <w:t>3</w:t>
            </w:r>
          </w:p>
        </w:tc>
        <w:tc>
          <w:tcPr>
            <w:tcW w:w="289" w:type="pct"/>
            <w:vAlign w:val="center"/>
          </w:tcPr>
          <w:p>
            <w:pPr>
              <w:spacing w:line="280" w:lineRule="exact"/>
              <w:jc w:val="center"/>
              <w:rPr>
                <w:bCs/>
                <w:sz w:val="16"/>
                <w:szCs w:val="16"/>
                <w:lang w:eastAsia="zh-CN"/>
              </w:rPr>
            </w:pPr>
            <w:r>
              <w:rPr>
                <w:bCs/>
                <w:sz w:val="16"/>
                <w:szCs w:val="16"/>
                <w:lang w:val="en-US" w:eastAsia="zh-CN"/>
              </w:rPr>
              <w:t>0.429</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94" w:type="pct"/>
            <w:vAlign w:val="center"/>
          </w:tcPr>
          <w:p>
            <w:pPr>
              <w:spacing w:line="252" w:lineRule="auto"/>
              <w:jc w:val="center"/>
              <w:rPr>
                <w:color w:val="000000"/>
                <w:sz w:val="16"/>
                <w:szCs w:val="16"/>
                <w:lang w:eastAsia="zh-CN"/>
              </w:rPr>
            </w:pPr>
            <w:r>
              <w:rPr>
                <w:color w:val="000000"/>
                <w:sz w:val="16"/>
                <w:szCs w:val="16"/>
                <w:lang w:val="en-US" w:eastAsia="zh-CN"/>
              </w:rPr>
              <w:t>DG harmonic limits</w:t>
            </w:r>
          </w:p>
        </w:tc>
        <w:tc>
          <w:tcPr>
            <w:tcW w:w="289" w:type="pct"/>
            <w:vAlign w:val="center"/>
          </w:tcPr>
          <w:p>
            <w:pPr>
              <w:spacing w:line="280" w:lineRule="exact"/>
              <w:jc w:val="center"/>
              <w:rPr>
                <w:bCs/>
                <w:sz w:val="16"/>
                <w:szCs w:val="16"/>
                <w:lang w:eastAsia="zh-CN"/>
              </w:rPr>
            </w:pPr>
            <w:r>
              <w:rPr>
                <w:bCs/>
                <w:sz w:val="16"/>
                <w:szCs w:val="16"/>
                <w:lang w:val="en-US" w:eastAsia="zh-CN"/>
              </w:rPr>
              <w:t>2</w:t>
            </w:r>
          </w:p>
        </w:tc>
        <w:tc>
          <w:tcPr>
            <w:tcW w:w="289" w:type="pct"/>
            <w:vAlign w:val="center"/>
          </w:tcPr>
          <w:p>
            <w:pPr>
              <w:spacing w:line="280" w:lineRule="exact"/>
              <w:jc w:val="center"/>
              <w:rPr>
                <w:bCs/>
                <w:sz w:val="16"/>
                <w:szCs w:val="16"/>
                <w:lang w:eastAsia="zh-CN"/>
              </w:rPr>
            </w:pPr>
            <w:r>
              <w:rPr>
                <w:bCs/>
                <w:sz w:val="16"/>
                <w:szCs w:val="16"/>
                <w:lang w:val="en-US" w:eastAsia="zh-CN"/>
              </w:rPr>
              <w:t>30</w:t>
            </w:r>
          </w:p>
        </w:tc>
        <w:tc>
          <w:tcPr>
            <w:tcW w:w="289" w:type="pct"/>
            <w:vAlign w:val="center"/>
          </w:tcPr>
          <w:p>
            <w:pPr>
              <w:spacing w:line="280" w:lineRule="exact"/>
              <w:jc w:val="center"/>
              <w:rPr>
                <w:bCs/>
                <w:sz w:val="16"/>
                <w:szCs w:val="16"/>
                <w:lang w:eastAsia="zh-CN"/>
              </w:rPr>
            </w:pPr>
            <w:r>
              <w:rPr>
                <w:bCs/>
                <w:sz w:val="16"/>
                <w:szCs w:val="16"/>
                <w:lang w:val="en-US" w:eastAsia="zh-CN"/>
              </w:rPr>
              <w:t>2</w:t>
            </w:r>
          </w:p>
        </w:tc>
        <w:tc>
          <w:tcPr>
            <w:tcW w:w="289" w:type="pct"/>
            <w:vAlign w:val="center"/>
          </w:tcPr>
          <w:p>
            <w:pPr>
              <w:spacing w:line="280" w:lineRule="exact"/>
              <w:jc w:val="center"/>
              <w:rPr>
                <w:bCs/>
                <w:sz w:val="16"/>
                <w:szCs w:val="16"/>
                <w:lang w:eastAsia="zh-CN"/>
              </w:rPr>
            </w:pPr>
            <w:r>
              <w:rPr>
                <w:bCs/>
                <w:sz w:val="16"/>
                <w:szCs w:val="16"/>
                <w:lang w:val="en-US" w:eastAsia="zh-CN"/>
              </w:rPr>
              <w:t>10</w:t>
            </w:r>
          </w:p>
        </w:tc>
        <w:tc>
          <w:tcPr>
            <w:tcW w:w="289" w:type="pct"/>
            <w:vAlign w:val="center"/>
          </w:tcPr>
          <w:p>
            <w:pPr>
              <w:spacing w:line="280" w:lineRule="exact"/>
              <w:jc w:val="center"/>
              <w:rPr>
                <w:bCs/>
                <w:sz w:val="16"/>
                <w:szCs w:val="16"/>
                <w:lang w:eastAsia="zh-CN"/>
              </w:rPr>
            </w:pPr>
            <w:r>
              <w:rPr>
                <w:bCs/>
                <w:sz w:val="16"/>
                <w:szCs w:val="16"/>
                <w:lang w:val="en-US" w:eastAsia="zh-CN"/>
              </w:rPr>
              <w:t>2</w:t>
            </w:r>
          </w:p>
        </w:tc>
        <w:tc>
          <w:tcPr>
            <w:tcW w:w="289" w:type="pct"/>
            <w:vAlign w:val="center"/>
          </w:tcPr>
          <w:p>
            <w:pPr>
              <w:spacing w:line="280" w:lineRule="exact"/>
              <w:jc w:val="center"/>
              <w:rPr>
                <w:bCs/>
                <w:sz w:val="16"/>
                <w:szCs w:val="16"/>
                <w:lang w:eastAsia="zh-CN"/>
              </w:rPr>
            </w:pPr>
            <w:r>
              <w:rPr>
                <w:bCs/>
                <w:sz w:val="16"/>
                <w:szCs w:val="16"/>
                <w:lang w:val="en-US" w:eastAsia="zh-CN"/>
              </w:rPr>
              <w:t>7</w:t>
            </w:r>
          </w:p>
        </w:tc>
        <w:tc>
          <w:tcPr>
            <w:tcW w:w="289" w:type="pct"/>
            <w:vAlign w:val="center"/>
          </w:tcPr>
          <w:p>
            <w:pPr>
              <w:spacing w:line="280" w:lineRule="exact"/>
              <w:jc w:val="center"/>
              <w:rPr>
                <w:bCs/>
                <w:sz w:val="16"/>
                <w:szCs w:val="16"/>
                <w:lang w:eastAsia="zh-CN"/>
              </w:rPr>
            </w:pPr>
            <w:r>
              <w:rPr>
                <w:bCs/>
                <w:sz w:val="16"/>
                <w:szCs w:val="16"/>
                <w:lang w:val="en-US" w:eastAsia="zh-CN"/>
              </w:rPr>
              <w:t>2</w:t>
            </w:r>
          </w:p>
        </w:tc>
        <w:tc>
          <w:tcPr>
            <w:tcW w:w="289" w:type="pct"/>
            <w:vAlign w:val="center"/>
          </w:tcPr>
          <w:p>
            <w:pPr>
              <w:spacing w:line="280" w:lineRule="exact"/>
              <w:jc w:val="center"/>
              <w:rPr>
                <w:bCs/>
                <w:sz w:val="16"/>
                <w:szCs w:val="16"/>
                <w:lang w:eastAsia="zh-CN"/>
              </w:rPr>
            </w:pPr>
            <w:r>
              <w:rPr>
                <w:bCs/>
                <w:sz w:val="16"/>
                <w:szCs w:val="16"/>
                <w:lang w:val="en-US" w:eastAsia="zh-CN"/>
              </w:rPr>
              <w:t>5</w:t>
            </w:r>
          </w:p>
        </w:tc>
        <w:tc>
          <w:tcPr>
            <w:tcW w:w="329" w:type="pct"/>
            <w:vAlign w:val="center"/>
          </w:tcPr>
          <w:p>
            <w:pPr>
              <w:spacing w:line="280" w:lineRule="exact"/>
              <w:jc w:val="center"/>
              <w:rPr>
                <w:bCs/>
                <w:sz w:val="16"/>
                <w:szCs w:val="16"/>
                <w:lang w:eastAsia="zh-CN"/>
              </w:rPr>
            </w:pPr>
            <w:r>
              <w:rPr>
                <w:bCs/>
                <w:sz w:val="16"/>
                <w:szCs w:val="16"/>
                <w:lang w:val="en-US" w:eastAsia="zh-CN"/>
              </w:rPr>
              <w:t>2</w:t>
            </w:r>
          </w:p>
        </w:tc>
        <w:tc>
          <w:tcPr>
            <w:tcW w:w="289" w:type="pct"/>
            <w:vAlign w:val="center"/>
          </w:tcPr>
          <w:p>
            <w:pPr>
              <w:spacing w:line="280" w:lineRule="exact"/>
              <w:jc w:val="center"/>
              <w:rPr>
                <w:bCs/>
                <w:sz w:val="16"/>
                <w:szCs w:val="16"/>
                <w:lang w:eastAsia="zh-CN"/>
              </w:rPr>
            </w:pPr>
            <w:r>
              <w:rPr>
                <w:bCs/>
                <w:sz w:val="16"/>
                <w:szCs w:val="16"/>
                <w:lang w:val="en-US" w:eastAsia="zh-CN"/>
              </w:rPr>
              <w:t>3</w:t>
            </w:r>
          </w:p>
        </w:tc>
        <w:tc>
          <w:tcPr>
            <w:tcW w:w="289" w:type="pct"/>
            <w:vAlign w:val="center"/>
          </w:tcPr>
          <w:p>
            <w:pPr>
              <w:spacing w:line="280" w:lineRule="exact"/>
              <w:jc w:val="center"/>
              <w:rPr>
                <w:bCs/>
                <w:sz w:val="16"/>
                <w:szCs w:val="16"/>
                <w:lang w:eastAsia="zh-CN"/>
              </w:rPr>
            </w:pPr>
            <w:r>
              <w:rPr>
                <w:bCs/>
                <w:sz w:val="16"/>
                <w:szCs w:val="16"/>
                <w:lang w:val="en-US" w:eastAsia="zh-CN"/>
              </w:rPr>
              <w:t>2</w:t>
            </w:r>
          </w:p>
        </w:tc>
        <w:tc>
          <w:tcPr>
            <w:tcW w:w="289" w:type="pct"/>
            <w:vAlign w:val="center"/>
          </w:tcPr>
          <w:p>
            <w:pPr>
              <w:spacing w:line="280" w:lineRule="exact"/>
              <w:jc w:val="center"/>
              <w:rPr>
                <w:bCs/>
                <w:sz w:val="16"/>
                <w:szCs w:val="16"/>
                <w:lang w:eastAsia="zh-CN"/>
              </w:rPr>
            </w:pPr>
            <w:r>
              <w:rPr>
                <w:bCs/>
                <w:sz w:val="16"/>
                <w:szCs w:val="16"/>
                <w:lang w:val="en-US" w:eastAsia="zh-CN"/>
              </w:rPr>
              <w:t>3</w:t>
            </w:r>
          </w:p>
        </w:tc>
        <w:tc>
          <w:tcPr>
            <w:tcW w:w="289" w:type="pct"/>
            <w:vAlign w:val="center"/>
          </w:tcPr>
          <w:p>
            <w:pPr>
              <w:spacing w:line="280" w:lineRule="exact"/>
              <w:jc w:val="center"/>
              <w:rPr>
                <w:bCs/>
                <w:sz w:val="16"/>
                <w:szCs w:val="16"/>
                <w:lang w:eastAsia="zh-CN"/>
              </w:rPr>
            </w:pPr>
            <w:r>
              <w:rPr>
                <w:bCs/>
                <w:sz w:val="16"/>
                <w:szCs w:val="16"/>
                <w:lang w:val="en-US" w:eastAsia="zh-CN"/>
              </w:rPr>
              <w:t>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94" w:type="pct"/>
            <w:vAlign w:val="center"/>
          </w:tcPr>
          <w:p>
            <w:pPr>
              <w:spacing w:line="252" w:lineRule="auto"/>
              <w:jc w:val="center"/>
              <w:rPr>
                <w:color w:val="000000"/>
                <w:sz w:val="16"/>
                <w:szCs w:val="16"/>
                <w:lang w:eastAsia="zh-CN"/>
              </w:rPr>
            </w:pPr>
            <w:r>
              <w:rPr>
                <w:color w:val="000000"/>
                <w:sz w:val="16"/>
                <w:szCs w:val="16"/>
                <w:lang w:val="en-US" w:eastAsia="zh-CN"/>
              </w:rPr>
              <w:t xml:space="preserve">Harmonic amplification factor </w:t>
            </w:r>
            <w:r>
              <w:rPr>
                <w:i/>
                <w:iCs/>
                <w:color w:val="000000"/>
                <w:sz w:val="16"/>
                <w:szCs w:val="16"/>
                <w:lang w:val="en-US" w:eastAsia="zh-CN"/>
              </w:rPr>
              <w:t>Φ</w:t>
            </w:r>
            <w:r>
              <w:rPr>
                <w:color w:val="000000"/>
                <w:sz w:val="16"/>
                <w:szCs w:val="16"/>
                <w:vertAlign w:val="subscript"/>
                <w:lang w:val="en-US" w:eastAsia="zh-CN"/>
              </w:rPr>
              <w:t>1</w:t>
            </w:r>
          </w:p>
        </w:tc>
        <w:tc>
          <w:tcPr>
            <w:tcW w:w="289" w:type="pct"/>
            <w:vAlign w:val="center"/>
          </w:tcPr>
          <w:p>
            <w:pPr>
              <w:spacing w:line="280" w:lineRule="exact"/>
              <w:jc w:val="center"/>
              <w:rPr>
                <w:bCs/>
                <w:sz w:val="16"/>
                <w:szCs w:val="16"/>
                <w:lang w:eastAsia="zh-CN"/>
              </w:rPr>
            </w:pPr>
            <w:r>
              <w:rPr>
                <w:bCs/>
                <w:sz w:val="16"/>
                <w:szCs w:val="16"/>
                <w:lang w:val="en-US" w:eastAsia="zh-CN"/>
              </w:rPr>
              <w:t>1</w:t>
            </w:r>
          </w:p>
        </w:tc>
        <w:tc>
          <w:tcPr>
            <w:tcW w:w="289" w:type="pct"/>
            <w:vAlign w:val="center"/>
          </w:tcPr>
          <w:p>
            <w:pPr>
              <w:spacing w:line="280" w:lineRule="exact"/>
              <w:jc w:val="center"/>
              <w:rPr>
                <w:bCs/>
                <w:sz w:val="16"/>
                <w:szCs w:val="16"/>
                <w:lang w:eastAsia="zh-CN"/>
              </w:rPr>
            </w:pPr>
            <w:r>
              <w:rPr>
                <w:bCs/>
                <w:sz w:val="16"/>
                <w:szCs w:val="16"/>
                <w:lang w:val="en-US" w:eastAsia="zh-CN"/>
              </w:rPr>
              <w:t>6</w:t>
            </w:r>
          </w:p>
        </w:tc>
        <w:tc>
          <w:tcPr>
            <w:tcW w:w="289" w:type="pct"/>
            <w:vAlign w:val="center"/>
          </w:tcPr>
          <w:p>
            <w:pPr>
              <w:spacing w:line="280" w:lineRule="exact"/>
              <w:jc w:val="center"/>
              <w:rPr>
                <w:bCs/>
                <w:sz w:val="16"/>
                <w:szCs w:val="16"/>
                <w:lang w:eastAsia="zh-CN"/>
              </w:rPr>
            </w:pPr>
            <w:r>
              <w:rPr>
                <w:bCs/>
                <w:sz w:val="16"/>
                <w:szCs w:val="16"/>
                <w:lang w:val="en-US" w:eastAsia="zh-CN"/>
              </w:rPr>
              <w:t>2</w:t>
            </w:r>
          </w:p>
        </w:tc>
        <w:tc>
          <w:tcPr>
            <w:tcW w:w="289" w:type="pct"/>
            <w:vAlign w:val="center"/>
          </w:tcPr>
          <w:p>
            <w:pPr>
              <w:spacing w:line="280" w:lineRule="exact"/>
              <w:jc w:val="center"/>
              <w:rPr>
                <w:bCs/>
                <w:sz w:val="16"/>
                <w:szCs w:val="16"/>
                <w:lang w:eastAsia="zh-CN"/>
              </w:rPr>
            </w:pPr>
            <w:r>
              <w:rPr>
                <w:bCs/>
                <w:sz w:val="16"/>
                <w:szCs w:val="16"/>
                <w:lang w:val="en-US" w:eastAsia="zh-CN"/>
              </w:rPr>
              <w:t>1.7</w:t>
            </w:r>
          </w:p>
        </w:tc>
        <w:tc>
          <w:tcPr>
            <w:tcW w:w="289" w:type="pct"/>
            <w:vAlign w:val="center"/>
          </w:tcPr>
          <w:p>
            <w:pPr>
              <w:spacing w:line="280" w:lineRule="exact"/>
              <w:jc w:val="center"/>
              <w:rPr>
                <w:bCs/>
                <w:sz w:val="16"/>
                <w:szCs w:val="16"/>
                <w:lang w:eastAsia="zh-CN"/>
              </w:rPr>
            </w:pPr>
            <w:r>
              <w:rPr>
                <w:bCs/>
                <w:sz w:val="16"/>
                <w:szCs w:val="16"/>
                <w:lang w:val="en-US" w:eastAsia="zh-CN"/>
              </w:rPr>
              <w:t>4</w:t>
            </w:r>
          </w:p>
        </w:tc>
        <w:tc>
          <w:tcPr>
            <w:tcW w:w="289" w:type="pct"/>
            <w:vAlign w:val="center"/>
          </w:tcPr>
          <w:p>
            <w:pPr>
              <w:spacing w:line="280" w:lineRule="exact"/>
              <w:jc w:val="center"/>
              <w:rPr>
                <w:bCs/>
                <w:sz w:val="16"/>
                <w:szCs w:val="16"/>
                <w:lang w:eastAsia="zh-CN"/>
              </w:rPr>
            </w:pPr>
            <w:r>
              <w:rPr>
                <w:bCs/>
                <w:sz w:val="16"/>
                <w:szCs w:val="16"/>
                <w:lang w:val="en-US" w:eastAsia="zh-CN"/>
              </w:rPr>
              <w:t>1.4</w:t>
            </w:r>
          </w:p>
        </w:tc>
        <w:tc>
          <w:tcPr>
            <w:tcW w:w="289" w:type="pct"/>
            <w:vAlign w:val="center"/>
          </w:tcPr>
          <w:p>
            <w:pPr>
              <w:spacing w:line="280" w:lineRule="exact"/>
              <w:jc w:val="center"/>
              <w:rPr>
                <w:bCs/>
                <w:sz w:val="16"/>
                <w:szCs w:val="16"/>
                <w:lang w:eastAsia="zh-CN"/>
              </w:rPr>
            </w:pPr>
            <w:r>
              <w:rPr>
                <w:bCs/>
                <w:sz w:val="16"/>
                <w:szCs w:val="16"/>
                <w:lang w:val="en-US" w:eastAsia="zh-CN"/>
              </w:rPr>
              <w:t>4</w:t>
            </w:r>
          </w:p>
        </w:tc>
        <w:tc>
          <w:tcPr>
            <w:tcW w:w="289" w:type="pct"/>
            <w:vAlign w:val="center"/>
          </w:tcPr>
          <w:p>
            <w:pPr>
              <w:spacing w:line="280" w:lineRule="exact"/>
              <w:jc w:val="center"/>
              <w:rPr>
                <w:bCs/>
                <w:sz w:val="16"/>
                <w:szCs w:val="16"/>
                <w:lang w:eastAsia="zh-CN"/>
              </w:rPr>
            </w:pPr>
            <w:r>
              <w:rPr>
                <w:bCs/>
                <w:sz w:val="16"/>
                <w:szCs w:val="16"/>
                <w:lang w:val="en-US" w:eastAsia="zh-CN"/>
              </w:rPr>
              <w:t>3.3</w:t>
            </w:r>
          </w:p>
        </w:tc>
        <w:tc>
          <w:tcPr>
            <w:tcW w:w="329" w:type="pct"/>
            <w:vAlign w:val="center"/>
          </w:tcPr>
          <w:p>
            <w:pPr>
              <w:spacing w:line="280" w:lineRule="exact"/>
              <w:jc w:val="center"/>
              <w:rPr>
                <w:bCs/>
                <w:sz w:val="16"/>
                <w:szCs w:val="16"/>
                <w:lang w:eastAsia="zh-CN"/>
              </w:rPr>
            </w:pPr>
            <w:r>
              <w:rPr>
                <w:bCs/>
                <w:sz w:val="16"/>
                <w:szCs w:val="16"/>
                <w:lang w:val="en-US" w:eastAsia="zh-CN"/>
              </w:rPr>
              <w:t>4</w:t>
            </w:r>
          </w:p>
        </w:tc>
        <w:tc>
          <w:tcPr>
            <w:tcW w:w="289" w:type="pct"/>
            <w:vAlign w:val="center"/>
          </w:tcPr>
          <w:p>
            <w:pPr>
              <w:spacing w:line="280" w:lineRule="exact"/>
              <w:jc w:val="center"/>
              <w:rPr>
                <w:bCs/>
                <w:sz w:val="16"/>
                <w:szCs w:val="16"/>
                <w:lang w:eastAsia="zh-CN"/>
              </w:rPr>
            </w:pPr>
            <w:r>
              <w:rPr>
                <w:bCs/>
                <w:sz w:val="16"/>
                <w:szCs w:val="16"/>
                <w:lang w:val="en-US" w:eastAsia="zh-CN"/>
              </w:rPr>
              <w:t>0.9</w:t>
            </w:r>
          </w:p>
        </w:tc>
        <w:tc>
          <w:tcPr>
            <w:tcW w:w="289" w:type="pct"/>
            <w:vAlign w:val="center"/>
          </w:tcPr>
          <w:p>
            <w:pPr>
              <w:spacing w:line="280" w:lineRule="exact"/>
              <w:jc w:val="center"/>
              <w:rPr>
                <w:bCs/>
                <w:sz w:val="16"/>
                <w:szCs w:val="16"/>
                <w:lang w:eastAsia="zh-CN"/>
              </w:rPr>
            </w:pPr>
            <w:r>
              <w:rPr>
                <w:bCs/>
                <w:sz w:val="16"/>
                <w:szCs w:val="16"/>
                <w:lang w:val="en-US" w:eastAsia="zh-CN"/>
              </w:rPr>
              <w:t>4.4</w:t>
            </w:r>
          </w:p>
        </w:tc>
        <w:tc>
          <w:tcPr>
            <w:tcW w:w="289" w:type="pct"/>
            <w:vAlign w:val="center"/>
          </w:tcPr>
          <w:p>
            <w:pPr>
              <w:spacing w:line="280" w:lineRule="exact"/>
              <w:jc w:val="center"/>
              <w:rPr>
                <w:bCs/>
                <w:sz w:val="16"/>
                <w:szCs w:val="16"/>
                <w:lang w:eastAsia="zh-CN"/>
              </w:rPr>
            </w:pPr>
            <w:r>
              <w:rPr>
                <w:bCs/>
                <w:sz w:val="16"/>
                <w:szCs w:val="16"/>
                <w:lang w:val="en-US" w:eastAsia="zh-CN"/>
              </w:rPr>
              <w:t>1</w:t>
            </w:r>
          </w:p>
        </w:tc>
        <w:tc>
          <w:tcPr>
            <w:tcW w:w="289" w:type="pct"/>
            <w:vAlign w:val="center"/>
          </w:tcPr>
          <w:p>
            <w:pPr>
              <w:spacing w:line="280" w:lineRule="exact"/>
              <w:jc w:val="center"/>
              <w:rPr>
                <w:bCs/>
                <w:sz w:val="16"/>
                <w:szCs w:val="16"/>
                <w:lang w:eastAsia="zh-CN"/>
              </w:rPr>
            </w:pPr>
            <w:r>
              <w:rPr>
                <w:bCs/>
                <w:sz w:val="16"/>
                <w:szCs w:val="16"/>
                <w:lang w:val="en-US" w:eastAsia="zh-CN"/>
              </w:rPr>
              <w:t>4.7</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94" w:type="pct"/>
            <w:tcBorders>
              <w:bottom w:val="single" w:color="auto" w:sz="4" w:space="0"/>
            </w:tcBorders>
            <w:vAlign w:val="center"/>
          </w:tcPr>
          <w:p>
            <w:pPr>
              <w:spacing w:line="252" w:lineRule="auto"/>
              <w:jc w:val="center"/>
              <w:rPr>
                <w:color w:val="000000"/>
                <w:sz w:val="16"/>
                <w:szCs w:val="16"/>
                <w:lang w:eastAsia="zh-CN"/>
              </w:rPr>
            </w:pPr>
            <w:r>
              <w:rPr>
                <w:color w:val="000000"/>
                <w:sz w:val="16"/>
                <w:szCs w:val="16"/>
                <w:lang w:val="en-US" w:eastAsia="zh-CN"/>
              </w:rPr>
              <w:t xml:space="preserve">critical value of </w:t>
            </w:r>
            <w:r>
              <w:rPr>
                <w:i/>
                <w:iCs/>
                <w:color w:val="000000"/>
                <w:sz w:val="16"/>
                <w:szCs w:val="16"/>
                <w:lang w:val="en-US" w:eastAsia="zh-CN"/>
              </w:rPr>
              <w:t>ξ</w:t>
            </w:r>
          </w:p>
        </w:tc>
        <w:tc>
          <w:tcPr>
            <w:tcW w:w="289" w:type="pct"/>
            <w:tcBorders>
              <w:bottom w:val="single" w:color="auto" w:sz="4" w:space="0"/>
            </w:tcBorders>
            <w:vAlign w:val="center"/>
          </w:tcPr>
          <w:p>
            <w:pPr>
              <w:spacing w:line="280" w:lineRule="exact"/>
              <w:jc w:val="center"/>
              <w:rPr>
                <w:bCs/>
                <w:sz w:val="16"/>
                <w:szCs w:val="16"/>
                <w:lang w:eastAsia="zh-CN"/>
              </w:rPr>
            </w:pPr>
            <w:r>
              <w:rPr>
                <w:bCs/>
                <w:sz w:val="16"/>
                <w:szCs w:val="16"/>
                <w:lang w:val="en-US" w:eastAsia="zh-CN"/>
              </w:rPr>
              <w:t>0.5</w:t>
            </w:r>
          </w:p>
        </w:tc>
        <w:tc>
          <w:tcPr>
            <w:tcW w:w="289" w:type="pct"/>
            <w:tcBorders>
              <w:bottom w:val="single" w:color="auto" w:sz="4" w:space="0"/>
            </w:tcBorders>
            <w:vAlign w:val="center"/>
          </w:tcPr>
          <w:p>
            <w:pPr>
              <w:spacing w:line="280" w:lineRule="exact"/>
              <w:jc w:val="center"/>
              <w:rPr>
                <w:bCs/>
                <w:sz w:val="16"/>
                <w:szCs w:val="16"/>
                <w:lang w:eastAsia="zh-CN"/>
              </w:rPr>
            </w:pPr>
            <w:r>
              <w:rPr>
                <w:bCs/>
                <w:sz w:val="16"/>
                <w:szCs w:val="16"/>
                <w:lang w:val="en-US" w:eastAsia="zh-CN"/>
              </w:rPr>
              <w:t>0.08</w:t>
            </w:r>
          </w:p>
        </w:tc>
        <w:tc>
          <w:tcPr>
            <w:tcW w:w="289" w:type="pct"/>
            <w:tcBorders>
              <w:bottom w:val="single" w:color="auto" w:sz="4" w:space="0"/>
            </w:tcBorders>
            <w:vAlign w:val="center"/>
          </w:tcPr>
          <w:p>
            <w:pPr>
              <w:spacing w:line="280" w:lineRule="exact"/>
              <w:jc w:val="center"/>
              <w:rPr>
                <w:bCs/>
                <w:sz w:val="16"/>
                <w:szCs w:val="16"/>
                <w:lang w:eastAsia="zh-CN"/>
              </w:rPr>
            </w:pPr>
            <w:r>
              <w:rPr>
                <w:bCs/>
                <w:sz w:val="16"/>
                <w:szCs w:val="16"/>
                <w:lang w:val="en-US" w:eastAsia="zh-CN"/>
              </w:rPr>
              <w:t>0.25</w:t>
            </w:r>
          </w:p>
        </w:tc>
        <w:tc>
          <w:tcPr>
            <w:tcW w:w="289" w:type="pct"/>
            <w:tcBorders>
              <w:bottom w:val="single" w:color="auto" w:sz="4" w:space="0"/>
            </w:tcBorders>
            <w:vAlign w:val="center"/>
          </w:tcPr>
          <w:p>
            <w:pPr>
              <w:spacing w:line="280" w:lineRule="exact"/>
              <w:jc w:val="center"/>
              <w:rPr>
                <w:bCs/>
                <w:sz w:val="16"/>
                <w:szCs w:val="16"/>
                <w:lang w:eastAsia="zh-CN"/>
              </w:rPr>
            </w:pPr>
            <w:r>
              <w:rPr>
                <w:bCs/>
                <w:sz w:val="16"/>
                <w:szCs w:val="16"/>
                <w:lang w:val="en-US" w:eastAsia="zh-CN"/>
              </w:rPr>
              <w:t>0.3</w:t>
            </w:r>
          </w:p>
        </w:tc>
        <w:tc>
          <w:tcPr>
            <w:tcW w:w="289" w:type="pct"/>
            <w:tcBorders>
              <w:bottom w:val="single" w:color="auto" w:sz="4" w:space="0"/>
            </w:tcBorders>
            <w:vAlign w:val="center"/>
          </w:tcPr>
          <w:p>
            <w:pPr>
              <w:spacing w:line="280" w:lineRule="exact"/>
              <w:jc w:val="center"/>
              <w:rPr>
                <w:bCs/>
                <w:sz w:val="16"/>
                <w:szCs w:val="16"/>
                <w:lang w:eastAsia="zh-CN"/>
              </w:rPr>
            </w:pPr>
            <w:r>
              <w:rPr>
                <w:bCs/>
                <w:sz w:val="16"/>
                <w:szCs w:val="16"/>
                <w:lang w:val="en-US" w:eastAsia="zh-CN"/>
              </w:rPr>
              <w:t>0.125</w:t>
            </w:r>
          </w:p>
        </w:tc>
        <w:tc>
          <w:tcPr>
            <w:tcW w:w="289" w:type="pct"/>
            <w:tcBorders>
              <w:bottom w:val="single" w:color="auto" w:sz="4" w:space="0"/>
            </w:tcBorders>
            <w:vAlign w:val="center"/>
          </w:tcPr>
          <w:p>
            <w:pPr>
              <w:spacing w:line="280" w:lineRule="exact"/>
              <w:jc w:val="center"/>
              <w:rPr>
                <w:bCs/>
                <w:sz w:val="16"/>
                <w:szCs w:val="16"/>
                <w:lang w:eastAsia="zh-CN"/>
              </w:rPr>
            </w:pPr>
            <w:r>
              <w:rPr>
                <w:bCs/>
                <w:sz w:val="16"/>
                <w:szCs w:val="16"/>
                <w:lang w:val="en-US" w:eastAsia="zh-CN"/>
              </w:rPr>
              <w:t>0.357</w:t>
            </w:r>
          </w:p>
        </w:tc>
        <w:tc>
          <w:tcPr>
            <w:tcW w:w="289" w:type="pct"/>
            <w:tcBorders>
              <w:bottom w:val="single" w:color="auto" w:sz="4" w:space="0"/>
            </w:tcBorders>
            <w:vAlign w:val="center"/>
          </w:tcPr>
          <w:p>
            <w:pPr>
              <w:spacing w:line="280" w:lineRule="exact"/>
              <w:jc w:val="center"/>
              <w:rPr>
                <w:bCs/>
                <w:sz w:val="16"/>
                <w:szCs w:val="16"/>
                <w:lang w:eastAsia="zh-CN"/>
              </w:rPr>
            </w:pPr>
            <w:r>
              <w:rPr>
                <w:bCs/>
                <w:sz w:val="16"/>
                <w:szCs w:val="16"/>
                <w:lang w:val="en-US" w:eastAsia="zh-CN"/>
              </w:rPr>
              <w:t>0.125</w:t>
            </w:r>
          </w:p>
        </w:tc>
        <w:tc>
          <w:tcPr>
            <w:tcW w:w="289" w:type="pct"/>
            <w:tcBorders>
              <w:bottom w:val="single" w:color="auto" w:sz="4" w:space="0"/>
            </w:tcBorders>
            <w:vAlign w:val="center"/>
          </w:tcPr>
          <w:p>
            <w:pPr>
              <w:spacing w:line="280" w:lineRule="exact"/>
              <w:jc w:val="center"/>
              <w:rPr>
                <w:bCs/>
                <w:sz w:val="16"/>
                <w:szCs w:val="16"/>
                <w:lang w:eastAsia="zh-CN"/>
              </w:rPr>
            </w:pPr>
            <w:r>
              <w:rPr>
                <w:bCs/>
                <w:sz w:val="16"/>
                <w:szCs w:val="16"/>
                <w:lang w:val="en-US" w:eastAsia="zh-CN"/>
              </w:rPr>
              <w:t>0.15</w:t>
            </w:r>
          </w:p>
        </w:tc>
        <w:tc>
          <w:tcPr>
            <w:tcW w:w="329" w:type="pct"/>
            <w:tcBorders>
              <w:bottom w:val="single" w:color="auto" w:sz="4" w:space="0"/>
            </w:tcBorders>
            <w:vAlign w:val="center"/>
          </w:tcPr>
          <w:p>
            <w:pPr>
              <w:spacing w:line="280" w:lineRule="exact"/>
              <w:jc w:val="center"/>
              <w:rPr>
                <w:bCs/>
                <w:sz w:val="16"/>
                <w:szCs w:val="16"/>
                <w:lang w:eastAsia="zh-CN"/>
              </w:rPr>
            </w:pPr>
            <w:r>
              <w:rPr>
                <w:bCs/>
                <w:sz w:val="16"/>
                <w:szCs w:val="16"/>
                <w:lang w:val="en-US" w:eastAsia="zh-CN"/>
              </w:rPr>
              <w:t>0.125</w:t>
            </w:r>
          </w:p>
        </w:tc>
        <w:tc>
          <w:tcPr>
            <w:tcW w:w="289" w:type="pct"/>
            <w:tcBorders>
              <w:bottom w:val="single" w:color="auto" w:sz="4" w:space="0"/>
            </w:tcBorders>
            <w:vAlign w:val="center"/>
          </w:tcPr>
          <w:p>
            <w:pPr>
              <w:spacing w:line="280" w:lineRule="exact"/>
              <w:jc w:val="center"/>
              <w:rPr>
                <w:bCs/>
                <w:sz w:val="16"/>
                <w:szCs w:val="16"/>
                <w:lang w:eastAsia="zh-CN"/>
              </w:rPr>
            </w:pPr>
            <w:r>
              <w:rPr>
                <w:bCs/>
                <w:sz w:val="16"/>
                <w:szCs w:val="16"/>
                <w:lang w:val="en-US" w:eastAsia="zh-CN"/>
              </w:rPr>
              <w:t>0.58</w:t>
            </w:r>
          </w:p>
        </w:tc>
        <w:tc>
          <w:tcPr>
            <w:tcW w:w="289" w:type="pct"/>
            <w:tcBorders>
              <w:bottom w:val="single" w:color="auto" w:sz="4" w:space="0"/>
            </w:tcBorders>
            <w:vAlign w:val="center"/>
          </w:tcPr>
          <w:p>
            <w:pPr>
              <w:spacing w:line="280" w:lineRule="exact"/>
              <w:jc w:val="center"/>
              <w:rPr>
                <w:bCs/>
                <w:sz w:val="16"/>
                <w:szCs w:val="16"/>
                <w:lang w:eastAsia="zh-CN"/>
              </w:rPr>
            </w:pPr>
            <w:r>
              <w:rPr>
                <w:bCs/>
                <w:sz w:val="16"/>
                <w:szCs w:val="16"/>
                <w:lang w:val="en-US" w:eastAsia="zh-CN"/>
              </w:rPr>
              <w:t>0.115</w:t>
            </w:r>
          </w:p>
        </w:tc>
        <w:tc>
          <w:tcPr>
            <w:tcW w:w="289" w:type="pct"/>
            <w:tcBorders>
              <w:bottom w:val="single" w:color="auto" w:sz="4" w:space="0"/>
            </w:tcBorders>
            <w:vAlign w:val="center"/>
          </w:tcPr>
          <w:p>
            <w:pPr>
              <w:spacing w:line="280" w:lineRule="exact"/>
              <w:jc w:val="center"/>
              <w:rPr>
                <w:bCs/>
                <w:sz w:val="16"/>
                <w:szCs w:val="16"/>
                <w:lang w:eastAsia="zh-CN"/>
              </w:rPr>
            </w:pPr>
            <w:r>
              <w:rPr>
                <w:bCs/>
                <w:sz w:val="16"/>
                <w:szCs w:val="16"/>
                <w:lang w:val="en-US" w:eastAsia="zh-CN"/>
              </w:rPr>
              <w:t>0.5</w:t>
            </w:r>
          </w:p>
        </w:tc>
        <w:tc>
          <w:tcPr>
            <w:tcW w:w="289" w:type="pct"/>
            <w:tcBorders>
              <w:bottom w:val="single" w:color="auto" w:sz="4" w:space="0"/>
            </w:tcBorders>
            <w:vAlign w:val="center"/>
          </w:tcPr>
          <w:p>
            <w:pPr>
              <w:spacing w:line="280" w:lineRule="exact"/>
              <w:jc w:val="center"/>
              <w:rPr>
                <w:bCs/>
                <w:sz w:val="16"/>
                <w:szCs w:val="16"/>
                <w:lang w:eastAsia="zh-CN"/>
              </w:rPr>
            </w:pPr>
            <w:r>
              <w:rPr>
                <w:bCs/>
                <w:sz w:val="16"/>
                <w:szCs w:val="16"/>
                <w:lang w:val="en-US" w:eastAsia="zh-CN"/>
              </w:rPr>
              <w:t>0.107</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94" w:type="pct"/>
            <w:tcBorders>
              <w:top w:val="single" w:color="auto" w:sz="4" w:space="0"/>
            </w:tcBorders>
            <w:vAlign w:val="center"/>
          </w:tcPr>
          <w:p>
            <w:pPr>
              <w:spacing w:line="252" w:lineRule="auto"/>
              <w:jc w:val="center"/>
              <w:rPr>
                <w:color w:val="000000"/>
                <w:sz w:val="16"/>
                <w:szCs w:val="16"/>
                <w:lang w:eastAsia="zh-CN"/>
              </w:rPr>
            </w:pPr>
            <w:r>
              <w:rPr>
                <w:color w:val="000000"/>
                <w:sz w:val="16"/>
                <w:szCs w:val="16"/>
                <w:lang w:val="en-US" w:eastAsia="zh-CN"/>
              </w:rPr>
              <w:t>Harmonic Order</w:t>
            </w:r>
          </w:p>
        </w:tc>
        <w:tc>
          <w:tcPr>
            <w:tcW w:w="289" w:type="pct"/>
            <w:tcBorders>
              <w:top w:val="single" w:color="auto" w:sz="4" w:space="0"/>
            </w:tcBorders>
            <w:vAlign w:val="center"/>
          </w:tcPr>
          <w:p>
            <w:pPr>
              <w:spacing w:line="280" w:lineRule="exact"/>
              <w:jc w:val="center"/>
              <w:rPr>
                <w:bCs/>
                <w:kern w:val="2"/>
                <w:sz w:val="16"/>
                <w:szCs w:val="16"/>
                <w:lang w:eastAsia="zh-CN"/>
              </w:rPr>
            </w:pPr>
            <w:r>
              <w:rPr>
                <w:bCs/>
                <w:sz w:val="16"/>
                <w:szCs w:val="16"/>
                <w:lang w:val="en-US" w:eastAsia="zh-CN"/>
              </w:rPr>
              <w:t>15</w:t>
            </w:r>
          </w:p>
        </w:tc>
        <w:tc>
          <w:tcPr>
            <w:tcW w:w="289" w:type="pct"/>
            <w:tcBorders>
              <w:top w:val="single" w:color="auto" w:sz="4" w:space="0"/>
            </w:tcBorders>
            <w:vAlign w:val="center"/>
          </w:tcPr>
          <w:p>
            <w:pPr>
              <w:spacing w:line="280" w:lineRule="exact"/>
              <w:jc w:val="center"/>
              <w:rPr>
                <w:bCs/>
                <w:kern w:val="2"/>
                <w:sz w:val="16"/>
                <w:szCs w:val="16"/>
                <w:lang w:eastAsia="zh-CN"/>
              </w:rPr>
            </w:pPr>
            <w:r>
              <w:rPr>
                <w:bCs/>
                <w:sz w:val="16"/>
                <w:szCs w:val="16"/>
                <w:lang w:val="en-US" w:eastAsia="zh-CN"/>
              </w:rPr>
              <w:t>16</w:t>
            </w:r>
          </w:p>
        </w:tc>
        <w:tc>
          <w:tcPr>
            <w:tcW w:w="289" w:type="pct"/>
            <w:tcBorders>
              <w:top w:val="single" w:color="auto" w:sz="4" w:space="0"/>
            </w:tcBorders>
            <w:vAlign w:val="center"/>
          </w:tcPr>
          <w:p>
            <w:pPr>
              <w:spacing w:line="280" w:lineRule="exact"/>
              <w:jc w:val="center"/>
              <w:rPr>
                <w:bCs/>
                <w:kern w:val="2"/>
                <w:sz w:val="16"/>
                <w:szCs w:val="16"/>
                <w:lang w:eastAsia="zh-CN"/>
              </w:rPr>
            </w:pPr>
            <w:r>
              <w:rPr>
                <w:bCs/>
                <w:sz w:val="16"/>
                <w:szCs w:val="16"/>
                <w:lang w:val="en-US" w:eastAsia="zh-CN"/>
              </w:rPr>
              <w:t>17</w:t>
            </w:r>
          </w:p>
        </w:tc>
        <w:tc>
          <w:tcPr>
            <w:tcW w:w="289" w:type="pct"/>
            <w:tcBorders>
              <w:top w:val="single" w:color="auto" w:sz="4" w:space="0"/>
            </w:tcBorders>
            <w:vAlign w:val="center"/>
          </w:tcPr>
          <w:p>
            <w:pPr>
              <w:spacing w:line="280" w:lineRule="exact"/>
              <w:jc w:val="center"/>
              <w:rPr>
                <w:bCs/>
                <w:kern w:val="2"/>
                <w:sz w:val="16"/>
                <w:szCs w:val="16"/>
                <w:lang w:eastAsia="zh-CN"/>
              </w:rPr>
            </w:pPr>
            <w:r>
              <w:rPr>
                <w:bCs/>
                <w:sz w:val="16"/>
                <w:szCs w:val="16"/>
                <w:lang w:val="en-US" w:eastAsia="zh-CN"/>
              </w:rPr>
              <w:t>18</w:t>
            </w:r>
          </w:p>
        </w:tc>
        <w:tc>
          <w:tcPr>
            <w:tcW w:w="289" w:type="pct"/>
            <w:tcBorders>
              <w:top w:val="single" w:color="auto" w:sz="4" w:space="0"/>
            </w:tcBorders>
            <w:vAlign w:val="center"/>
          </w:tcPr>
          <w:p>
            <w:pPr>
              <w:spacing w:line="280" w:lineRule="exact"/>
              <w:jc w:val="center"/>
              <w:rPr>
                <w:bCs/>
                <w:kern w:val="2"/>
                <w:sz w:val="16"/>
                <w:szCs w:val="16"/>
                <w:lang w:eastAsia="zh-CN"/>
              </w:rPr>
            </w:pPr>
            <w:r>
              <w:rPr>
                <w:bCs/>
                <w:sz w:val="16"/>
                <w:szCs w:val="16"/>
                <w:lang w:val="en-US" w:eastAsia="zh-CN"/>
              </w:rPr>
              <w:t>19</w:t>
            </w:r>
          </w:p>
        </w:tc>
        <w:tc>
          <w:tcPr>
            <w:tcW w:w="289" w:type="pct"/>
            <w:tcBorders>
              <w:top w:val="single" w:color="auto" w:sz="4" w:space="0"/>
            </w:tcBorders>
            <w:vAlign w:val="center"/>
          </w:tcPr>
          <w:p>
            <w:pPr>
              <w:spacing w:line="280" w:lineRule="exact"/>
              <w:jc w:val="center"/>
              <w:rPr>
                <w:bCs/>
                <w:kern w:val="2"/>
                <w:sz w:val="16"/>
                <w:szCs w:val="16"/>
                <w:lang w:eastAsia="zh-CN"/>
              </w:rPr>
            </w:pPr>
            <w:r>
              <w:rPr>
                <w:bCs/>
                <w:sz w:val="16"/>
                <w:szCs w:val="16"/>
                <w:lang w:val="en-US" w:eastAsia="zh-CN"/>
              </w:rPr>
              <w:t>20</w:t>
            </w:r>
          </w:p>
        </w:tc>
        <w:tc>
          <w:tcPr>
            <w:tcW w:w="289" w:type="pct"/>
            <w:tcBorders>
              <w:top w:val="single" w:color="auto" w:sz="4" w:space="0"/>
            </w:tcBorders>
            <w:vAlign w:val="center"/>
          </w:tcPr>
          <w:p>
            <w:pPr>
              <w:spacing w:line="280" w:lineRule="exact"/>
              <w:jc w:val="center"/>
              <w:rPr>
                <w:bCs/>
                <w:sz w:val="16"/>
                <w:szCs w:val="16"/>
                <w:lang w:eastAsia="zh-CN"/>
              </w:rPr>
            </w:pPr>
            <w:r>
              <w:rPr>
                <w:bCs/>
                <w:sz w:val="16"/>
                <w:szCs w:val="16"/>
                <w:lang w:val="en-US" w:eastAsia="zh-CN"/>
              </w:rPr>
              <w:t>21</w:t>
            </w:r>
          </w:p>
        </w:tc>
        <w:tc>
          <w:tcPr>
            <w:tcW w:w="289" w:type="pct"/>
            <w:tcBorders>
              <w:top w:val="single" w:color="auto" w:sz="4" w:space="0"/>
            </w:tcBorders>
            <w:vAlign w:val="center"/>
          </w:tcPr>
          <w:p>
            <w:pPr>
              <w:spacing w:line="280" w:lineRule="exact"/>
              <w:jc w:val="center"/>
              <w:rPr>
                <w:bCs/>
                <w:sz w:val="16"/>
                <w:szCs w:val="16"/>
                <w:lang w:eastAsia="zh-CN"/>
              </w:rPr>
            </w:pPr>
            <w:r>
              <w:rPr>
                <w:bCs/>
                <w:sz w:val="16"/>
                <w:szCs w:val="16"/>
                <w:lang w:val="en-US" w:eastAsia="zh-CN"/>
              </w:rPr>
              <w:t>22</w:t>
            </w:r>
          </w:p>
        </w:tc>
        <w:tc>
          <w:tcPr>
            <w:tcW w:w="329" w:type="pct"/>
            <w:tcBorders>
              <w:top w:val="single" w:color="auto" w:sz="4" w:space="0"/>
            </w:tcBorders>
            <w:vAlign w:val="center"/>
          </w:tcPr>
          <w:p>
            <w:pPr>
              <w:spacing w:line="280" w:lineRule="exact"/>
              <w:jc w:val="center"/>
              <w:rPr>
                <w:bCs/>
                <w:sz w:val="16"/>
                <w:szCs w:val="16"/>
                <w:lang w:eastAsia="zh-CN"/>
              </w:rPr>
            </w:pPr>
            <w:r>
              <w:rPr>
                <w:bCs/>
                <w:sz w:val="16"/>
                <w:szCs w:val="16"/>
                <w:lang w:val="en-US" w:eastAsia="zh-CN"/>
              </w:rPr>
              <w:t>23</w:t>
            </w:r>
          </w:p>
        </w:tc>
        <w:tc>
          <w:tcPr>
            <w:tcW w:w="289" w:type="pct"/>
            <w:tcBorders>
              <w:top w:val="single" w:color="auto" w:sz="4" w:space="0"/>
            </w:tcBorders>
            <w:vAlign w:val="center"/>
          </w:tcPr>
          <w:p>
            <w:pPr>
              <w:spacing w:line="280" w:lineRule="exact"/>
              <w:jc w:val="center"/>
              <w:rPr>
                <w:bCs/>
                <w:sz w:val="16"/>
                <w:szCs w:val="16"/>
                <w:lang w:eastAsia="zh-CN"/>
              </w:rPr>
            </w:pPr>
            <w:r>
              <w:rPr>
                <w:bCs/>
                <w:sz w:val="16"/>
                <w:szCs w:val="16"/>
                <w:lang w:val="en-US" w:eastAsia="zh-CN"/>
              </w:rPr>
              <w:t>24</w:t>
            </w:r>
          </w:p>
        </w:tc>
        <w:tc>
          <w:tcPr>
            <w:tcW w:w="289" w:type="pct"/>
            <w:tcBorders>
              <w:top w:val="single" w:color="auto" w:sz="4" w:space="0"/>
            </w:tcBorders>
            <w:vAlign w:val="center"/>
          </w:tcPr>
          <w:p>
            <w:pPr>
              <w:spacing w:line="280" w:lineRule="exact"/>
              <w:jc w:val="center"/>
              <w:rPr>
                <w:bCs/>
                <w:sz w:val="16"/>
                <w:szCs w:val="16"/>
                <w:lang w:eastAsia="zh-CN"/>
              </w:rPr>
            </w:pPr>
            <w:r>
              <w:rPr>
                <w:bCs/>
                <w:sz w:val="16"/>
                <w:szCs w:val="16"/>
                <w:lang w:val="en-US" w:eastAsia="zh-CN"/>
              </w:rPr>
              <w:t>25</w:t>
            </w:r>
          </w:p>
        </w:tc>
        <w:tc>
          <w:tcPr>
            <w:tcW w:w="289" w:type="pct"/>
            <w:tcBorders>
              <w:top w:val="single" w:color="auto" w:sz="4" w:space="0"/>
            </w:tcBorders>
            <w:vAlign w:val="center"/>
          </w:tcPr>
          <w:p>
            <w:pPr>
              <w:spacing w:line="280" w:lineRule="exact"/>
              <w:jc w:val="center"/>
              <w:rPr>
                <w:bCs/>
                <w:sz w:val="16"/>
                <w:szCs w:val="16"/>
                <w:lang w:eastAsia="zh-CN"/>
              </w:rPr>
            </w:pPr>
            <w:r>
              <w:rPr>
                <w:bCs/>
                <w:sz w:val="16"/>
                <w:szCs w:val="16"/>
                <w:lang w:val="en-US" w:eastAsia="zh-CN"/>
              </w:rPr>
              <w:t>26</w:t>
            </w:r>
          </w:p>
        </w:tc>
        <w:tc>
          <w:tcPr>
            <w:tcW w:w="289" w:type="pct"/>
            <w:tcBorders>
              <w:top w:val="single" w:color="auto" w:sz="4" w:space="0"/>
            </w:tcBorders>
            <w:vAlign w:val="center"/>
          </w:tcPr>
          <w:p>
            <w:pPr>
              <w:spacing w:line="280" w:lineRule="exact"/>
              <w:jc w:val="center"/>
              <w:rPr>
                <w:bCs/>
                <w:sz w:val="16"/>
                <w:szCs w:val="16"/>
                <w:lang w:eastAsia="zh-CN"/>
              </w:rPr>
            </w:pPr>
            <w:r>
              <w:rPr>
                <w:bCs/>
                <w:sz w:val="16"/>
                <w:szCs w:val="16"/>
                <w:lang w:val="en-US" w:eastAsia="zh-CN"/>
              </w:rPr>
              <w:t>27</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94" w:type="pct"/>
            <w:vAlign w:val="center"/>
          </w:tcPr>
          <w:p>
            <w:pPr>
              <w:spacing w:line="252" w:lineRule="auto"/>
              <w:jc w:val="center"/>
              <w:rPr>
                <w:color w:val="000000"/>
                <w:sz w:val="16"/>
                <w:szCs w:val="16"/>
                <w:lang w:eastAsia="zh-CN"/>
              </w:rPr>
            </w:pPr>
            <w:r>
              <w:rPr>
                <w:color w:val="000000"/>
                <w:sz w:val="16"/>
                <w:szCs w:val="16"/>
                <w:lang w:val="en-US" w:eastAsia="zh-CN"/>
              </w:rPr>
              <w:t>Low voltage grid harmonic limits</w:t>
            </w:r>
          </w:p>
        </w:tc>
        <w:tc>
          <w:tcPr>
            <w:tcW w:w="289" w:type="pct"/>
            <w:vAlign w:val="center"/>
          </w:tcPr>
          <w:p>
            <w:pPr>
              <w:spacing w:line="280" w:lineRule="exact"/>
              <w:jc w:val="center"/>
              <w:rPr>
                <w:bCs/>
                <w:kern w:val="2"/>
                <w:sz w:val="16"/>
                <w:szCs w:val="16"/>
                <w:lang w:eastAsia="zh-CN"/>
              </w:rPr>
            </w:pPr>
            <w:r>
              <w:rPr>
                <w:bCs/>
                <w:sz w:val="16"/>
                <w:szCs w:val="16"/>
                <w:lang w:val="en-US" w:eastAsia="zh-CN"/>
              </w:rPr>
              <w:t>0.4</w:t>
            </w:r>
          </w:p>
        </w:tc>
        <w:tc>
          <w:tcPr>
            <w:tcW w:w="289" w:type="pct"/>
            <w:vAlign w:val="center"/>
          </w:tcPr>
          <w:p>
            <w:pPr>
              <w:spacing w:line="280" w:lineRule="exact"/>
              <w:jc w:val="center"/>
              <w:rPr>
                <w:bCs/>
                <w:kern w:val="2"/>
                <w:sz w:val="16"/>
                <w:szCs w:val="16"/>
                <w:lang w:eastAsia="zh-CN"/>
              </w:rPr>
            </w:pPr>
            <w:r>
              <w:rPr>
                <w:bCs/>
                <w:sz w:val="16"/>
                <w:szCs w:val="16"/>
                <w:lang w:val="en-US" w:eastAsia="zh-CN"/>
              </w:rPr>
              <w:t>0.406</w:t>
            </w:r>
          </w:p>
        </w:tc>
        <w:tc>
          <w:tcPr>
            <w:tcW w:w="289" w:type="pct"/>
            <w:vAlign w:val="center"/>
          </w:tcPr>
          <w:p>
            <w:pPr>
              <w:spacing w:line="280" w:lineRule="exact"/>
              <w:jc w:val="center"/>
              <w:rPr>
                <w:bCs/>
                <w:kern w:val="2"/>
                <w:sz w:val="16"/>
                <w:szCs w:val="16"/>
                <w:lang w:eastAsia="zh-CN"/>
              </w:rPr>
            </w:pPr>
            <w:r>
              <w:rPr>
                <w:bCs/>
                <w:sz w:val="16"/>
                <w:szCs w:val="16"/>
                <w:lang w:val="en-US" w:eastAsia="zh-CN"/>
              </w:rPr>
              <w:t>2</w:t>
            </w:r>
          </w:p>
        </w:tc>
        <w:tc>
          <w:tcPr>
            <w:tcW w:w="289" w:type="pct"/>
            <w:vAlign w:val="center"/>
          </w:tcPr>
          <w:p>
            <w:pPr>
              <w:spacing w:line="280" w:lineRule="exact"/>
              <w:jc w:val="center"/>
              <w:rPr>
                <w:bCs/>
                <w:kern w:val="2"/>
                <w:sz w:val="16"/>
                <w:szCs w:val="16"/>
                <w:lang w:eastAsia="zh-CN"/>
              </w:rPr>
            </w:pPr>
            <w:r>
              <w:rPr>
                <w:bCs/>
                <w:sz w:val="16"/>
                <w:szCs w:val="16"/>
                <w:lang w:val="en-US" w:eastAsia="zh-CN"/>
              </w:rPr>
              <w:t>0.389</w:t>
            </w:r>
          </w:p>
        </w:tc>
        <w:tc>
          <w:tcPr>
            <w:tcW w:w="289" w:type="pct"/>
            <w:vAlign w:val="center"/>
          </w:tcPr>
          <w:p>
            <w:pPr>
              <w:spacing w:line="280" w:lineRule="exact"/>
              <w:jc w:val="center"/>
              <w:rPr>
                <w:bCs/>
                <w:kern w:val="2"/>
                <w:sz w:val="16"/>
                <w:szCs w:val="16"/>
                <w:lang w:eastAsia="zh-CN"/>
              </w:rPr>
            </w:pPr>
            <w:r>
              <w:rPr>
                <w:bCs/>
                <w:sz w:val="16"/>
                <w:szCs w:val="16"/>
                <w:lang w:val="en-US" w:eastAsia="zh-CN"/>
              </w:rPr>
              <w:t>1.761</w:t>
            </w:r>
          </w:p>
        </w:tc>
        <w:tc>
          <w:tcPr>
            <w:tcW w:w="289" w:type="pct"/>
            <w:vAlign w:val="center"/>
          </w:tcPr>
          <w:p>
            <w:pPr>
              <w:spacing w:line="280" w:lineRule="exact"/>
              <w:jc w:val="center"/>
              <w:rPr>
                <w:bCs/>
                <w:kern w:val="2"/>
                <w:sz w:val="16"/>
                <w:szCs w:val="16"/>
                <w:lang w:eastAsia="zh-CN"/>
              </w:rPr>
            </w:pPr>
            <w:r>
              <w:rPr>
                <w:bCs/>
                <w:sz w:val="16"/>
                <w:szCs w:val="16"/>
                <w:lang w:val="en-US" w:eastAsia="zh-CN"/>
              </w:rPr>
              <w:t>0.375</w:t>
            </w:r>
          </w:p>
        </w:tc>
        <w:tc>
          <w:tcPr>
            <w:tcW w:w="289" w:type="pct"/>
            <w:vAlign w:val="center"/>
          </w:tcPr>
          <w:p>
            <w:pPr>
              <w:spacing w:line="280" w:lineRule="exact"/>
              <w:jc w:val="center"/>
              <w:rPr>
                <w:bCs/>
                <w:sz w:val="16"/>
                <w:szCs w:val="16"/>
                <w:lang w:eastAsia="zh-CN"/>
              </w:rPr>
            </w:pPr>
            <w:r>
              <w:rPr>
                <w:bCs/>
                <w:sz w:val="16"/>
                <w:szCs w:val="16"/>
                <w:lang w:val="en-US" w:eastAsia="zh-CN"/>
              </w:rPr>
              <w:t>0.3</w:t>
            </w:r>
          </w:p>
        </w:tc>
        <w:tc>
          <w:tcPr>
            <w:tcW w:w="289" w:type="pct"/>
            <w:vAlign w:val="center"/>
          </w:tcPr>
          <w:p>
            <w:pPr>
              <w:spacing w:line="280" w:lineRule="exact"/>
              <w:jc w:val="center"/>
              <w:rPr>
                <w:bCs/>
                <w:sz w:val="16"/>
                <w:szCs w:val="16"/>
                <w:lang w:eastAsia="zh-CN"/>
              </w:rPr>
            </w:pPr>
            <w:r>
              <w:rPr>
                <w:bCs/>
                <w:sz w:val="16"/>
                <w:szCs w:val="16"/>
                <w:lang w:val="en-US" w:eastAsia="zh-CN"/>
              </w:rPr>
              <w:t>0.364</w:t>
            </w:r>
          </w:p>
        </w:tc>
        <w:tc>
          <w:tcPr>
            <w:tcW w:w="329" w:type="pct"/>
            <w:vAlign w:val="center"/>
          </w:tcPr>
          <w:p>
            <w:pPr>
              <w:spacing w:line="280" w:lineRule="exact"/>
              <w:jc w:val="center"/>
              <w:rPr>
                <w:bCs/>
                <w:sz w:val="16"/>
                <w:szCs w:val="16"/>
                <w:lang w:eastAsia="zh-CN"/>
              </w:rPr>
            </w:pPr>
            <w:r>
              <w:rPr>
                <w:bCs/>
                <w:sz w:val="16"/>
                <w:szCs w:val="16"/>
                <w:lang w:val="en-US" w:eastAsia="zh-CN"/>
              </w:rPr>
              <w:t>0.1408</w:t>
            </w:r>
          </w:p>
        </w:tc>
        <w:tc>
          <w:tcPr>
            <w:tcW w:w="289" w:type="pct"/>
            <w:vAlign w:val="center"/>
          </w:tcPr>
          <w:p>
            <w:pPr>
              <w:spacing w:line="280" w:lineRule="exact"/>
              <w:jc w:val="center"/>
              <w:rPr>
                <w:bCs/>
                <w:sz w:val="16"/>
                <w:szCs w:val="16"/>
                <w:lang w:eastAsia="zh-CN"/>
              </w:rPr>
            </w:pPr>
            <w:r>
              <w:rPr>
                <w:bCs/>
                <w:sz w:val="16"/>
                <w:szCs w:val="16"/>
                <w:lang w:val="en-US" w:eastAsia="zh-CN"/>
              </w:rPr>
              <w:t>0.354</w:t>
            </w:r>
          </w:p>
        </w:tc>
        <w:tc>
          <w:tcPr>
            <w:tcW w:w="289" w:type="pct"/>
            <w:vAlign w:val="center"/>
          </w:tcPr>
          <w:p>
            <w:pPr>
              <w:spacing w:line="280" w:lineRule="exact"/>
              <w:jc w:val="center"/>
              <w:rPr>
                <w:bCs/>
                <w:sz w:val="16"/>
                <w:szCs w:val="16"/>
                <w:lang w:eastAsia="zh-CN"/>
              </w:rPr>
            </w:pPr>
            <w:r>
              <w:rPr>
                <w:bCs/>
                <w:sz w:val="16"/>
                <w:szCs w:val="16"/>
                <w:lang w:val="en-US" w:eastAsia="zh-CN"/>
              </w:rPr>
              <w:t>1.274</w:t>
            </w:r>
          </w:p>
        </w:tc>
        <w:tc>
          <w:tcPr>
            <w:tcW w:w="289" w:type="pct"/>
            <w:vAlign w:val="center"/>
          </w:tcPr>
          <w:p>
            <w:pPr>
              <w:spacing w:line="280" w:lineRule="exact"/>
              <w:jc w:val="center"/>
              <w:rPr>
                <w:bCs/>
                <w:sz w:val="16"/>
                <w:szCs w:val="16"/>
                <w:lang w:eastAsia="zh-CN"/>
              </w:rPr>
            </w:pPr>
            <w:r>
              <w:rPr>
                <w:bCs/>
                <w:sz w:val="16"/>
                <w:szCs w:val="16"/>
                <w:lang w:val="en-US" w:eastAsia="zh-CN"/>
              </w:rPr>
              <w:t>0.346</w:t>
            </w:r>
          </w:p>
        </w:tc>
        <w:tc>
          <w:tcPr>
            <w:tcW w:w="289" w:type="pct"/>
            <w:vAlign w:val="center"/>
          </w:tcPr>
          <w:p>
            <w:pPr>
              <w:spacing w:line="280" w:lineRule="exact"/>
              <w:jc w:val="center"/>
              <w:rPr>
                <w:bCs/>
                <w:sz w:val="16"/>
                <w:szCs w:val="16"/>
                <w:lang w:eastAsia="zh-CN"/>
              </w:rPr>
            </w:pPr>
            <w:r>
              <w:rPr>
                <w:bCs/>
                <w:sz w:val="16"/>
                <w:szCs w:val="16"/>
                <w:lang w:val="en-US" w:eastAsia="zh-CN"/>
              </w:rPr>
              <w:t>0.2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94" w:type="pct"/>
            <w:vAlign w:val="center"/>
          </w:tcPr>
          <w:p>
            <w:pPr>
              <w:spacing w:line="252" w:lineRule="auto"/>
              <w:jc w:val="center"/>
              <w:rPr>
                <w:color w:val="000000"/>
                <w:sz w:val="16"/>
                <w:szCs w:val="16"/>
                <w:lang w:eastAsia="zh-CN"/>
              </w:rPr>
            </w:pPr>
            <w:r>
              <w:rPr>
                <w:color w:val="000000"/>
                <w:sz w:val="16"/>
                <w:szCs w:val="16"/>
                <w:lang w:val="en-US" w:eastAsia="zh-CN"/>
              </w:rPr>
              <w:t>DG harmonic limits</w:t>
            </w:r>
          </w:p>
        </w:tc>
        <w:tc>
          <w:tcPr>
            <w:tcW w:w="289" w:type="pct"/>
            <w:vAlign w:val="center"/>
          </w:tcPr>
          <w:p>
            <w:pPr>
              <w:spacing w:line="280" w:lineRule="exact"/>
              <w:jc w:val="center"/>
              <w:rPr>
                <w:bCs/>
                <w:kern w:val="2"/>
                <w:sz w:val="16"/>
                <w:szCs w:val="16"/>
                <w:lang w:eastAsia="zh-CN"/>
              </w:rPr>
            </w:pPr>
            <w:r>
              <w:rPr>
                <w:bCs/>
                <w:sz w:val="16"/>
                <w:szCs w:val="16"/>
                <w:lang w:val="en-US" w:eastAsia="zh-CN"/>
              </w:rPr>
              <w:t>3</w:t>
            </w:r>
          </w:p>
        </w:tc>
        <w:tc>
          <w:tcPr>
            <w:tcW w:w="289" w:type="pct"/>
            <w:vAlign w:val="center"/>
          </w:tcPr>
          <w:p>
            <w:pPr>
              <w:spacing w:line="280" w:lineRule="exact"/>
              <w:jc w:val="center"/>
              <w:rPr>
                <w:bCs/>
                <w:kern w:val="2"/>
                <w:sz w:val="16"/>
                <w:szCs w:val="16"/>
                <w:lang w:eastAsia="zh-CN"/>
              </w:rPr>
            </w:pPr>
            <w:r>
              <w:rPr>
                <w:bCs/>
                <w:sz w:val="16"/>
                <w:szCs w:val="16"/>
                <w:lang w:val="en-US" w:eastAsia="zh-CN"/>
              </w:rPr>
              <w:t>2</w:t>
            </w:r>
          </w:p>
        </w:tc>
        <w:tc>
          <w:tcPr>
            <w:tcW w:w="289" w:type="pct"/>
            <w:vAlign w:val="center"/>
          </w:tcPr>
          <w:p>
            <w:pPr>
              <w:spacing w:line="280" w:lineRule="exact"/>
              <w:jc w:val="center"/>
              <w:rPr>
                <w:bCs/>
                <w:kern w:val="2"/>
                <w:sz w:val="16"/>
                <w:szCs w:val="16"/>
                <w:lang w:eastAsia="zh-CN"/>
              </w:rPr>
            </w:pPr>
            <w:r>
              <w:rPr>
                <w:bCs/>
                <w:sz w:val="16"/>
                <w:szCs w:val="16"/>
                <w:lang w:val="en-US" w:eastAsia="zh-CN"/>
              </w:rPr>
              <w:t>3</w:t>
            </w:r>
          </w:p>
        </w:tc>
        <w:tc>
          <w:tcPr>
            <w:tcW w:w="289" w:type="pct"/>
            <w:vAlign w:val="center"/>
          </w:tcPr>
          <w:p>
            <w:pPr>
              <w:spacing w:line="280" w:lineRule="exact"/>
              <w:jc w:val="center"/>
              <w:rPr>
                <w:bCs/>
                <w:kern w:val="2"/>
                <w:sz w:val="16"/>
                <w:szCs w:val="16"/>
                <w:lang w:eastAsia="zh-CN"/>
              </w:rPr>
            </w:pPr>
            <w:r>
              <w:rPr>
                <w:bCs/>
                <w:sz w:val="16"/>
                <w:szCs w:val="16"/>
                <w:lang w:val="en-US" w:eastAsia="zh-CN"/>
              </w:rPr>
              <w:t>2</w:t>
            </w:r>
          </w:p>
        </w:tc>
        <w:tc>
          <w:tcPr>
            <w:tcW w:w="289" w:type="pct"/>
            <w:vAlign w:val="center"/>
          </w:tcPr>
          <w:p>
            <w:pPr>
              <w:spacing w:line="280" w:lineRule="exact"/>
              <w:jc w:val="center"/>
              <w:rPr>
                <w:bCs/>
                <w:kern w:val="2"/>
                <w:sz w:val="16"/>
                <w:szCs w:val="16"/>
                <w:lang w:eastAsia="zh-CN"/>
              </w:rPr>
            </w:pPr>
            <w:r>
              <w:rPr>
                <w:bCs/>
                <w:sz w:val="16"/>
                <w:szCs w:val="16"/>
                <w:lang w:val="en-US" w:eastAsia="zh-CN"/>
              </w:rPr>
              <w:t>3</w:t>
            </w:r>
          </w:p>
        </w:tc>
        <w:tc>
          <w:tcPr>
            <w:tcW w:w="289" w:type="pct"/>
            <w:vAlign w:val="center"/>
          </w:tcPr>
          <w:p>
            <w:pPr>
              <w:spacing w:line="280" w:lineRule="exact"/>
              <w:jc w:val="center"/>
              <w:rPr>
                <w:bCs/>
                <w:kern w:val="2"/>
                <w:sz w:val="16"/>
                <w:szCs w:val="16"/>
                <w:lang w:eastAsia="zh-CN"/>
              </w:rPr>
            </w:pPr>
            <w:r>
              <w:rPr>
                <w:bCs/>
                <w:sz w:val="16"/>
                <w:szCs w:val="16"/>
                <w:lang w:val="en-US" w:eastAsia="zh-CN"/>
              </w:rPr>
              <w:t>2</w:t>
            </w:r>
          </w:p>
        </w:tc>
        <w:tc>
          <w:tcPr>
            <w:tcW w:w="289" w:type="pct"/>
            <w:vAlign w:val="center"/>
          </w:tcPr>
          <w:p>
            <w:pPr>
              <w:spacing w:line="280" w:lineRule="exact"/>
              <w:jc w:val="center"/>
              <w:rPr>
                <w:bCs/>
                <w:sz w:val="16"/>
                <w:szCs w:val="16"/>
                <w:lang w:eastAsia="zh-CN"/>
              </w:rPr>
            </w:pPr>
            <w:r>
              <w:rPr>
                <w:bCs/>
                <w:sz w:val="16"/>
                <w:szCs w:val="16"/>
                <w:lang w:val="en-US" w:eastAsia="zh-CN"/>
              </w:rPr>
              <w:t>3</w:t>
            </w:r>
          </w:p>
        </w:tc>
        <w:tc>
          <w:tcPr>
            <w:tcW w:w="289" w:type="pct"/>
            <w:vAlign w:val="center"/>
          </w:tcPr>
          <w:p>
            <w:pPr>
              <w:spacing w:line="280" w:lineRule="exact"/>
              <w:jc w:val="center"/>
              <w:rPr>
                <w:bCs/>
                <w:sz w:val="16"/>
                <w:szCs w:val="16"/>
                <w:lang w:eastAsia="zh-CN"/>
              </w:rPr>
            </w:pPr>
            <w:r>
              <w:rPr>
                <w:bCs/>
                <w:sz w:val="16"/>
                <w:szCs w:val="16"/>
                <w:lang w:val="en-US" w:eastAsia="zh-CN"/>
              </w:rPr>
              <w:t>2</w:t>
            </w:r>
          </w:p>
        </w:tc>
        <w:tc>
          <w:tcPr>
            <w:tcW w:w="329" w:type="pct"/>
            <w:vAlign w:val="center"/>
          </w:tcPr>
          <w:p>
            <w:pPr>
              <w:spacing w:line="280" w:lineRule="exact"/>
              <w:jc w:val="center"/>
              <w:rPr>
                <w:bCs/>
                <w:sz w:val="16"/>
                <w:szCs w:val="16"/>
                <w:lang w:eastAsia="zh-CN"/>
              </w:rPr>
            </w:pPr>
            <w:r>
              <w:rPr>
                <w:bCs/>
                <w:sz w:val="16"/>
                <w:szCs w:val="16"/>
                <w:lang w:val="en-US" w:eastAsia="zh-CN"/>
              </w:rPr>
              <w:t>3</w:t>
            </w:r>
          </w:p>
        </w:tc>
        <w:tc>
          <w:tcPr>
            <w:tcW w:w="289" w:type="pct"/>
            <w:vAlign w:val="center"/>
          </w:tcPr>
          <w:p>
            <w:pPr>
              <w:spacing w:line="280" w:lineRule="exact"/>
              <w:jc w:val="center"/>
              <w:rPr>
                <w:bCs/>
                <w:sz w:val="16"/>
                <w:szCs w:val="16"/>
                <w:lang w:eastAsia="zh-CN"/>
              </w:rPr>
            </w:pPr>
            <w:r>
              <w:rPr>
                <w:bCs/>
                <w:sz w:val="16"/>
                <w:szCs w:val="16"/>
                <w:lang w:val="en-US" w:eastAsia="zh-CN"/>
              </w:rPr>
              <w:t>2</w:t>
            </w:r>
          </w:p>
        </w:tc>
        <w:tc>
          <w:tcPr>
            <w:tcW w:w="289" w:type="pct"/>
            <w:vAlign w:val="center"/>
          </w:tcPr>
          <w:p>
            <w:pPr>
              <w:spacing w:line="280" w:lineRule="exact"/>
              <w:jc w:val="center"/>
              <w:rPr>
                <w:bCs/>
                <w:sz w:val="16"/>
                <w:szCs w:val="16"/>
                <w:lang w:eastAsia="zh-CN"/>
              </w:rPr>
            </w:pPr>
            <w:r>
              <w:rPr>
                <w:bCs/>
                <w:sz w:val="16"/>
                <w:szCs w:val="16"/>
                <w:lang w:val="en-US" w:eastAsia="zh-CN"/>
              </w:rPr>
              <w:t>3</w:t>
            </w:r>
          </w:p>
        </w:tc>
        <w:tc>
          <w:tcPr>
            <w:tcW w:w="289" w:type="pct"/>
            <w:vAlign w:val="center"/>
          </w:tcPr>
          <w:p>
            <w:pPr>
              <w:spacing w:line="280" w:lineRule="exact"/>
              <w:jc w:val="center"/>
              <w:rPr>
                <w:bCs/>
                <w:sz w:val="16"/>
                <w:szCs w:val="16"/>
                <w:lang w:eastAsia="zh-CN"/>
              </w:rPr>
            </w:pPr>
            <w:r>
              <w:rPr>
                <w:bCs/>
                <w:sz w:val="16"/>
                <w:szCs w:val="16"/>
                <w:lang w:val="en-US" w:eastAsia="zh-CN"/>
              </w:rPr>
              <w:t>2</w:t>
            </w:r>
          </w:p>
        </w:tc>
        <w:tc>
          <w:tcPr>
            <w:tcW w:w="289" w:type="pct"/>
            <w:vAlign w:val="center"/>
          </w:tcPr>
          <w:p>
            <w:pPr>
              <w:spacing w:line="280" w:lineRule="exact"/>
              <w:jc w:val="center"/>
              <w:rPr>
                <w:bCs/>
                <w:sz w:val="16"/>
                <w:szCs w:val="16"/>
                <w:lang w:eastAsia="zh-CN"/>
              </w:rPr>
            </w:pPr>
            <w:r>
              <w:rPr>
                <w:bCs/>
                <w:sz w:val="16"/>
                <w:szCs w:val="16"/>
                <w:lang w:val="en-US" w:eastAsia="zh-CN"/>
              </w:rPr>
              <w:t>3</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94" w:type="pct"/>
            <w:vAlign w:val="center"/>
          </w:tcPr>
          <w:p>
            <w:pPr>
              <w:spacing w:line="252" w:lineRule="auto"/>
              <w:jc w:val="center"/>
              <w:rPr>
                <w:color w:val="000000"/>
                <w:sz w:val="16"/>
                <w:szCs w:val="16"/>
                <w:lang w:eastAsia="zh-CN"/>
              </w:rPr>
            </w:pPr>
            <w:r>
              <w:rPr>
                <w:color w:val="000000"/>
                <w:sz w:val="16"/>
                <w:szCs w:val="16"/>
                <w:lang w:val="en-US" w:eastAsia="zh-CN"/>
              </w:rPr>
              <w:t xml:space="preserve">Harmonic amplification factor </w:t>
            </w:r>
            <w:r>
              <w:rPr>
                <w:i/>
                <w:iCs/>
                <w:color w:val="000000"/>
                <w:sz w:val="16"/>
                <w:szCs w:val="16"/>
                <w:lang w:val="en-US" w:eastAsia="zh-CN"/>
              </w:rPr>
              <w:t>Φ</w:t>
            </w:r>
            <w:r>
              <w:rPr>
                <w:color w:val="000000"/>
                <w:sz w:val="16"/>
                <w:szCs w:val="16"/>
                <w:vertAlign w:val="subscript"/>
                <w:lang w:val="en-US" w:eastAsia="zh-CN"/>
              </w:rPr>
              <w:t>1</w:t>
            </w:r>
          </w:p>
        </w:tc>
        <w:tc>
          <w:tcPr>
            <w:tcW w:w="289" w:type="pct"/>
            <w:vAlign w:val="center"/>
          </w:tcPr>
          <w:p>
            <w:pPr>
              <w:spacing w:line="280" w:lineRule="exact"/>
              <w:jc w:val="center"/>
              <w:rPr>
                <w:bCs/>
                <w:kern w:val="2"/>
                <w:sz w:val="16"/>
                <w:szCs w:val="16"/>
                <w:lang w:eastAsia="zh-CN"/>
              </w:rPr>
            </w:pPr>
            <w:r>
              <w:rPr>
                <w:bCs/>
                <w:sz w:val="16"/>
                <w:szCs w:val="16"/>
                <w:lang w:val="en-US" w:eastAsia="zh-CN"/>
              </w:rPr>
              <w:t>7.5</w:t>
            </w:r>
          </w:p>
        </w:tc>
        <w:tc>
          <w:tcPr>
            <w:tcW w:w="289" w:type="pct"/>
            <w:vAlign w:val="center"/>
          </w:tcPr>
          <w:p>
            <w:pPr>
              <w:spacing w:line="280" w:lineRule="exact"/>
              <w:jc w:val="center"/>
              <w:rPr>
                <w:bCs/>
                <w:kern w:val="2"/>
                <w:sz w:val="16"/>
                <w:szCs w:val="16"/>
                <w:lang w:eastAsia="zh-CN"/>
              </w:rPr>
            </w:pPr>
            <w:r>
              <w:rPr>
                <w:bCs/>
                <w:sz w:val="16"/>
                <w:szCs w:val="16"/>
                <w:lang w:val="en-US" w:eastAsia="zh-CN"/>
              </w:rPr>
              <w:t>4.9</w:t>
            </w:r>
          </w:p>
        </w:tc>
        <w:tc>
          <w:tcPr>
            <w:tcW w:w="289" w:type="pct"/>
            <w:vAlign w:val="center"/>
          </w:tcPr>
          <w:p>
            <w:pPr>
              <w:spacing w:line="280" w:lineRule="exact"/>
              <w:jc w:val="center"/>
              <w:rPr>
                <w:bCs/>
                <w:kern w:val="2"/>
                <w:sz w:val="16"/>
                <w:szCs w:val="16"/>
                <w:lang w:eastAsia="zh-CN"/>
              </w:rPr>
            </w:pPr>
            <w:r>
              <w:rPr>
                <w:bCs/>
                <w:sz w:val="16"/>
                <w:szCs w:val="16"/>
                <w:lang w:val="en-US" w:eastAsia="zh-CN"/>
              </w:rPr>
              <w:t>1.5</w:t>
            </w:r>
          </w:p>
        </w:tc>
        <w:tc>
          <w:tcPr>
            <w:tcW w:w="289" w:type="pct"/>
            <w:vAlign w:val="center"/>
          </w:tcPr>
          <w:p>
            <w:pPr>
              <w:spacing w:line="280" w:lineRule="exact"/>
              <w:jc w:val="center"/>
              <w:rPr>
                <w:bCs/>
                <w:kern w:val="2"/>
                <w:sz w:val="16"/>
                <w:szCs w:val="16"/>
                <w:lang w:eastAsia="zh-CN"/>
              </w:rPr>
            </w:pPr>
            <w:r>
              <w:rPr>
                <w:bCs/>
                <w:sz w:val="16"/>
                <w:szCs w:val="16"/>
                <w:lang w:val="en-US" w:eastAsia="zh-CN"/>
              </w:rPr>
              <w:t>5.1</w:t>
            </w:r>
          </w:p>
        </w:tc>
        <w:tc>
          <w:tcPr>
            <w:tcW w:w="289" w:type="pct"/>
            <w:vAlign w:val="center"/>
          </w:tcPr>
          <w:p>
            <w:pPr>
              <w:spacing w:line="280" w:lineRule="exact"/>
              <w:jc w:val="center"/>
              <w:rPr>
                <w:bCs/>
                <w:kern w:val="2"/>
                <w:sz w:val="16"/>
                <w:szCs w:val="16"/>
                <w:lang w:eastAsia="zh-CN"/>
              </w:rPr>
            </w:pPr>
            <w:r>
              <w:rPr>
                <w:bCs/>
                <w:sz w:val="16"/>
                <w:szCs w:val="16"/>
                <w:lang w:val="en-US" w:eastAsia="zh-CN"/>
              </w:rPr>
              <w:t>1.7</w:t>
            </w:r>
          </w:p>
        </w:tc>
        <w:tc>
          <w:tcPr>
            <w:tcW w:w="289" w:type="pct"/>
            <w:vAlign w:val="center"/>
          </w:tcPr>
          <w:p>
            <w:pPr>
              <w:spacing w:line="280" w:lineRule="exact"/>
              <w:jc w:val="center"/>
              <w:rPr>
                <w:bCs/>
                <w:kern w:val="2"/>
                <w:sz w:val="16"/>
                <w:szCs w:val="16"/>
                <w:lang w:eastAsia="zh-CN"/>
              </w:rPr>
            </w:pPr>
            <w:r>
              <w:rPr>
                <w:bCs/>
                <w:sz w:val="16"/>
                <w:szCs w:val="16"/>
                <w:lang w:val="en-US" w:eastAsia="zh-CN"/>
              </w:rPr>
              <w:t>5.3</w:t>
            </w:r>
          </w:p>
        </w:tc>
        <w:tc>
          <w:tcPr>
            <w:tcW w:w="289" w:type="pct"/>
            <w:vAlign w:val="center"/>
          </w:tcPr>
          <w:p>
            <w:pPr>
              <w:spacing w:line="280" w:lineRule="exact"/>
              <w:jc w:val="center"/>
              <w:rPr>
                <w:bCs/>
                <w:sz w:val="16"/>
                <w:szCs w:val="16"/>
                <w:lang w:eastAsia="zh-CN"/>
              </w:rPr>
            </w:pPr>
            <w:r>
              <w:rPr>
                <w:bCs/>
                <w:sz w:val="16"/>
                <w:szCs w:val="16"/>
                <w:lang w:val="en-US" w:eastAsia="zh-CN"/>
              </w:rPr>
              <w:t>10</w:t>
            </w:r>
          </w:p>
        </w:tc>
        <w:tc>
          <w:tcPr>
            <w:tcW w:w="289" w:type="pct"/>
            <w:vAlign w:val="center"/>
          </w:tcPr>
          <w:p>
            <w:pPr>
              <w:spacing w:line="280" w:lineRule="exact"/>
              <w:jc w:val="center"/>
              <w:rPr>
                <w:bCs/>
                <w:sz w:val="16"/>
                <w:szCs w:val="16"/>
                <w:lang w:eastAsia="zh-CN"/>
              </w:rPr>
            </w:pPr>
            <w:r>
              <w:rPr>
                <w:bCs/>
                <w:sz w:val="16"/>
                <w:szCs w:val="16"/>
                <w:lang w:val="en-US" w:eastAsia="zh-CN"/>
              </w:rPr>
              <w:t>5.5</w:t>
            </w:r>
          </w:p>
        </w:tc>
        <w:tc>
          <w:tcPr>
            <w:tcW w:w="329" w:type="pct"/>
            <w:vAlign w:val="center"/>
          </w:tcPr>
          <w:p>
            <w:pPr>
              <w:spacing w:line="280" w:lineRule="exact"/>
              <w:jc w:val="center"/>
              <w:rPr>
                <w:bCs/>
                <w:sz w:val="16"/>
                <w:szCs w:val="16"/>
                <w:lang w:eastAsia="zh-CN"/>
              </w:rPr>
            </w:pPr>
            <w:r>
              <w:rPr>
                <w:bCs/>
                <w:sz w:val="16"/>
                <w:szCs w:val="16"/>
                <w:lang w:val="en-US" w:eastAsia="zh-CN"/>
              </w:rPr>
              <w:t>2.1</w:t>
            </w:r>
          </w:p>
        </w:tc>
        <w:tc>
          <w:tcPr>
            <w:tcW w:w="289" w:type="pct"/>
            <w:vAlign w:val="center"/>
          </w:tcPr>
          <w:p>
            <w:pPr>
              <w:spacing w:line="280" w:lineRule="exact"/>
              <w:jc w:val="center"/>
              <w:rPr>
                <w:bCs/>
                <w:sz w:val="16"/>
                <w:szCs w:val="16"/>
                <w:lang w:eastAsia="zh-CN"/>
              </w:rPr>
            </w:pPr>
            <w:r>
              <w:rPr>
                <w:bCs/>
                <w:sz w:val="16"/>
                <w:szCs w:val="16"/>
                <w:lang w:val="en-US" w:eastAsia="zh-CN"/>
              </w:rPr>
              <w:t>5.6</w:t>
            </w:r>
          </w:p>
        </w:tc>
        <w:tc>
          <w:tcPr>
            <w:tcW w:w="289" w:type="pct"/>
            <w:vAlign w:val="center"/>
          </w:tcPr>
          <w:p>
            <w:pPr>
              <w:spacing w:line="280" w:lineRule="exact"/>
              <w:jc w:val="center"/>
              <w:rPr>
                <w:bCs/>
                <w:sz w:val="16"/>
                <w:szCs w:val="16"/>
                <w:lang w:eastAsia="zh-CN"/>
              </w:rPr>
            </w:pPr>
            <w:r>
              <w:rPr>
                <w:bCs/>
                <w:sz w:val="16"/>
                <w:szCs w:val="16"/>
                <w:lang w:val="en-US" w:eastAsia="zh-CN"/>
              </w:rPr>
              <w:t>2.4</w:t>
            </w:r>
          </w:p>
        </w:tc>
        <w:tc>
          <w:tcPr>
            <w:tcW w:w="289" w:type="pct"/>
            <w:vAlign w:val="center"/>
          </w:tcPr>
          <w:p>
            <w:pPr>
              <w:spacing w:line="280" w:lineRule="exact"/>
              <w:jc w:val="center"/>
              <w:rPr>
                <w:bCs/>
                <w:sz w:val="16"/>
                <w:szCs w:val="16"/>
                <w:lang w:eastAsia="zh-CN"/>
              </w:rPr>
            </w:pPr>
            <w:r>
              <w:rPr>
                <w:bCs/>
                <w:sz w:val="16"/>
                <w:szCs w:val="16"/>
                <w:lang w:val="en-US" w:eastAsia="zh-CN"/>
              </w:rPr>
              <w:t>5.8</w:t>
            </w:r>
          </w:p>
        </w:tc>
        <w:tc>
          <w:tcPr>
            <w:tcW w:w="289" w:type="pct"/>
            <w:vAlign w:val="center"/>
          </w:tcPr>
          <w:p>
            <w:pPr>
              <w:spacing w:line="280" w:lineRule="exact"/>
              <w:jc w:val="center"/>
              <w:rPr>
                <w:bCs/>
                <w:sz w:val="16"/>
                <w:szCs w:val="16"/>
                <w:lang w:eastAsia="zh-CN"/>
              </w:rPr>
            </w:pPr>
            <w:r>
              <w:rPr>
                <w:bCs/>
                <w:sz w:val="16"/>
                <w:szCs w:val="16"/>
                <w:lang w:val="en-US" w:eastAsia="zh-CN"/>
              </w:rPr>
              <w:t>15.0</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94" w:type="pct"/>
            <w:tcBorders>
              <w:bottom w:val="single" w:color="auto" w:sz="4" w:space="0"/>
            </w:tcBorders>
            <w:vAlign w:val="center"/>
          </w:tcPr>
          <w:p>
            <w:pPr>
              <w:spacing w:line="252" w:lineRule="auto"/>
              <w:jc w:val="center"/>
              <w:rPr>
                <w:color w:val="000000"/>
                <w:sz w:val="16"/>
                <w:szCs w:val="16"/>
                <w:lang w:eastAsia="zh-CN"/>
              </w:rPr>
            </w:pPr>
            <w:r>
              <w:rPr>
                <w:color w:val="000000"/>
                <w:sz w:val="16"/>
                <w:szCs w:val="16"/>
                <w:lang w:val="en-US" w:eastAsia="zh-CN"/>
              </w:rPr>
              <w:t xml:space="preserve">critical value of </w:t>
            </w:r>
            <w:r>
              <w:rPr>
                <w:i/>
                <w:iCs/>
                <w:color w:val="000000"/>
                <w:sz w:val="16"/>
                <w:szCs w:val="16"/>
                <w:lang w:val="en-US" w:eastAsia="zh-CN"/>
              </w:rPr>
              <w:t>ξ</w:t>
            </w:r>
          </w:p>
        </w:tc>
        <w:tc>
          <w:tcPr>
            <w:tcW w:w="289" w:type="pct"/>
            <w:tcBorders>
              <w:bottom w:val="single" w:color="auto" w:sz="4" w:space="0"/>
            </w:tcBorders>
            <w:vAlign w:val="center"/>
          </w:tcPr>
          <w:p>
            <w:pPr>
              <w:spacing w:line="280" w:lineRule="exact"/>
              <w:jc w:val="center"/>
              <w:rPr>
                <w:bCs/>
                <w:kern w:val="2"/>
                <w:sz w:val="16"/>
                <w:szCs w:val="16"/>
                <w:lang w:eastAsia="zh-CN"/>
              </w:rPr>
            </w:pPr>
            <w:r>
              <w:rPr>
                <w:bCs/>
                <w:sz w:val="16"/>
                <w:szCs w:val="16"/>
                <w:lang w:val="en-US" w:eastAsia="zh-CN"/>
              </w:rPr>
              <w:t>0.067</w:t>
            </w:r>
          </w:p>
        </w:tc>
        <w:tc>
          <w:tcPr>
            <w:tcW w:w="289" w:type="pct"/>
            <w:tcBorders>
              <w:bottom w:val="single" w:color="auto" w:sz="4" w:space="0"/>
            </w:tcBorders>
            <w:vAlign w:val="center"/>
          </w:tcPr>
          <w:p>
            <w:pPr>
              <w:spacing w:line="280" w:lineRule="exact"/>
              <w:jc w:val="center"/>
              <w:rPr>
                <w:bCs/>
                <w:kern w:val="2"/>
                <w:sz w:val="16"/>
                <w:szCs w:val="16"/>
                <w:lang w:eastAsia="zh-CN"/>
              </w:rPr>
            </w:pPr>
            <w:r>
              <w:rPr>
                <w:bCs/>
                <w:sz w:val="16"/>
                <w:szCs w:val="16"/>
                <w:lang w:val="en-US" w:eastAsia="zh-CN"/>
              </w:rPr>
              <w:t>0.102</w:t>
            </w:r>
          </w:p>
        </w:tc>
        <w:tc>
          <w:tcPr>
            <w:tcW w:w="289" w:type="pct"/>
            <w:tcBorders>
              <w:bottom w:val="single" w:color="auto" w:sz="4" w:space="0"/>
            </w:tcBorders>
            <w:vAlign w:val="center"/>
          </w:tcPr>
          <w:p>
            <w:pPr>
              <w:spacing w:line="280" w:lineRule="exact"/>
              <w:jc w:val="center"/>
              <w:rPr>
                <w:bCs/>
                <w:kern w:val="2"/>
                <w:sz w:val="16"/>
                <w:szCs w:val="16"/>
                <w:lang w:eastAsia="zh-CN"/>
              </w:rPr>
            </w:pPr>
            <w:r>
              <w:rPr>
                <w:bCs/>
                <w:sz w:val="16"/>
                <w:szCs w:val="16"/>
                <w:lang w:val="en-US" w:eastAsia="zh-CN"/>
              </w:rPr>
              <w:t>0.333</w:t>
            </w:r>
          </w:p>
        </w:tc>
        <w:tc>
          <w:tcPr>
            <w:tcW w:w="289" w:type="pct"/>
            <w:tcBorders>
              <w:bottom w:val="single" w:color="auto" w:sz="4" w:space="0"/>
            </w:tcBorders>
            <w:vAlign w:val="center"/>
          </w:tcPr>
          <w:p>
            <w:pPr>
              <w:spacing w:line="280" w:lineRule="exact"/>
              <w:jc w:val="center"/>
              <w:rPr>
                <w:bCs/>
                <w:kern w:val="2"/>
                <w:sz w:val="16"/>
                <w:szCs w:val="16"/>
                <w:lang w:eastAsia="zh-CN"/>
              </w:rPr>
            </w:pPr>
            <w:r>
              <w:rPr>
                <w:bCs/>
                <w:sz w:val="16"/>
                <w:szCs w:val="16"/>
                <w:lang w:val="en-US" w:eastAsia="zh-CN"/>
              </w:rPr>
              <w:t>0.097</w:t>
            </w:r>
          </w:p>
        </w:tc>
        <w:tc>
          <w:tcPr>
            <w:tcW w:w="289" w:type="pct"/>
            <w:tcBorders>
              <w:bottom w:val="single" w:color="auto" w:sz="4" w:space="0"/>
            </w:tcBorders>
            <w:vAlign w:val="center"/>
          </w:tcPr>
          <w:p>
            <w:pPr>
              <w:spacing w:line="280" w:lineRule="exact"/>
              <w:jc w:val="center"/>
              <w:rPr>
                <w:bCs/>
                <w:kern w:val="2"/>
                <w:sz w:val="16"/>
                <w:szCs w:val="16"/>
                <w:lang w:eastAsia="zh-CN"/>
              </w:rPr>
            </w:pPr>
            <w:r>
              <w:rPr>
                <w:bCs/>
                <w:sz w:val="16"/>
                <w:szCs w:val="16"/>
                <w:lang w:val="en-US" w:eastAsia="zh-CN"/>
              </w:rPr>
              <w:t>0.294</w:t>
            </w:r>
          </w:p>
        </w:tc>
        <w:tc>
          <w:tcPr>
            <w:tcW w:w="289" w:type="pct"/>
            <w:tcBorders>
              <w:bottom w:val="single" w:color="auto" w:sz="4" w:space="0"/>
            </w:tcBorders>
            <w:vAlign w:val="center"/>
          </w:tcPr>
          <w:p>
            <w:pPr>
              <w:spacing w:line="280" w:lineRule="exact"/>
              <w:jc w:val="center"/>
              <w:rPr>
                <w:bCs/>
                <w:kern w:val="2"/>
                <w:sz w:val="16"/>
                <w:szCs w:val="16"/>
                <w:lang w:eastAsia="zh-CN"/>
              </w:rPr>
            </w:pPr>
            <w:r>
              <w:rPr>
                <w:bCs/>
                <w:sz w:val="16"/>
                <w:szCs w:val="16"/>
                <w:lang w:val="en-US" w:eastAsia="zh-CN"/>
              </w:rPr>
              <w:t>0.094</w:t>
            </w:r>
          </w:p>
        </w:tc>
        <w:tc>
          <w:tcPr>
            <w:tcW w:w="289" w:type="pct"/>
            <w:tcBorders>
              <w:bottom w:val="single" w:color="auto" w:sz="4" w:space="0"/>
            </w:tcBorders>
            <w:vAlign w:val="center"/>
          </w:tcPr>
          <w:p>
            <w:pPr>
              <w:spacing w:line="280" w:lineRule="exact"/>
              <w:jc w:val="center"/>
              <w:rPr>
                <w:bCs/>
                <w:sz w:val="16"/>
                <w:szCs w:val="16"/>
                <w:lang w:eastAsia="zh-CN"/>
              </w:rPr>
            </w:pPr>
            <w:r>
              <w:rPr>
                <w:bCs/>
                <w:sz w:val="16"/>
                <w:szCs w:val="16"/>
                <w:lang w:val="en-US" w:eastAsia="zh-CN"/>
              </w:rPr>
              <w:t>0.05</w:t>
            </w:r>
          </w:p>
        </w:tc>
        <w:tc>
          <w:tcPr>
            <w:tcW w:w="289" w:type="pct"/>
            <w:tcBorders>
              <w:bottom w:val="single" w:color="auto" w:sz="4" w:space="0"/>
            </w:tcBorders>
            <w:vAlign w:val="center"/>
          </w:tcPr>
          <w:p>
            <w:pPr>
              <w:spacing w:line="280" w:lineRule="exact"/>
              <w:jc w:val="center"/>
              <w:rPr>
                <w:bCs/>
                <w:sz w:val="16"/>
                <w:szCs w:val="16"/>
                <w:lang w:eastAsia="zh-CN"/>
              </w:rPr>
            </w:pPr>
            <w:r>
              <w:rPr>
                <w:bCs/>
                <w:sz w:val="16"/>
                <w:szCs w:val="16"/>
                <w:lang w:val="en-US" w:eastAsia="zh-CN"/>
              </w:rPr>
              <w:t>0.091</w:t>
            </w:r>
          </w:p>
        </w:tc>
        <w:tc>
          <w:tcPr>
            <w:tcW w:w="329" w:type="pct"/>
            <w:tcBorders>
              <w:bottom w:val="single" w:color="auto" w:sz="4" w:space="0"/>
            </w:tcBorders>
            <w:vAlign w:val="center"/>
          </w:tcPr>
          <w:p>
            <w:pPr>
              <w:spacing w:line="280" w:lineRule="exact"/>
              <w:jc w:val="center"/>
              <w:rPr>
                <w:bCs/>
                <w:sz w:val="16"/>
                <w:szCs w:val="16"/>
                <w:lang w:eastAsia="zh-CN"/>
              </w:rPr>
            </w:pPr>
            <w:r>
              <w:rPr>
                <w:bCs/>
                <w:sz w:val="16"/>
                <w:szCs w:val="16"/>
                <w:lang w:val="en-US" w:eastAsia="zh-CN"/>
              </w:rPr>
              <w:t>0.235</w:t>
            </w:r>
          </w:p>
        </w:tc>
        <w:tc>
          <w:tcPr>
            <w:tcW w:w="289" w:type="pct"/>
            <w:tcBorders>
              <w:bottom w:val="single" w:color="auto" w:sz="4" w:space="0"/>
            </w:tcBorders>
            <w:vAlign w:val="center"/>
          </w:tcPr>
          <w:p>
            <w:pPr>
              <w:spacing w:line="280" w:lineRule="exact"/>
              <w:jc w:val="center"/>
              <w:rPr>
                <w:bCs/>
                <w:sz w:val="16"/>
                <w:szCs w:val="16"/>
                <w:lang w:eastAsia="zh-CN"/>
              </w:rPr>
            </w:pPr>
            <w:r>
              <w:rPr>
                <w:bCs/>
                <w:sz w:val="16"/>
                <w:szCs w:val="16"/>
                <w:lang w:val="en-US" w:eastAsia="zh-CN"/>
              </w:rPr>
              <w:t>0.089</w:t>
            </w:r>
          </w:p>
        </w:tc>
        <w:tc>
          <w:tcPr>
            <w:tcW w:w="289" w:type="pct"/>
            <w:tcBorders>
              <w:bottom w:val="single" w:color="auto" w:sz="4" w:space="0"/>
            </w:tcBorders>
            <w:vAlign w:val="center"/>
          </w:tcPr>
          <w:p>
            <w:pPr>
              <w:spacing w:line="280" w:lineRule="exact"/>
              <w:jc w:val="center"/>
              <w:rPr>
                <w:bCs/>
                <w:sz w:val="16"/>
                <w:szCs w:val="16"/>
                <w:lang w:eastAsia="zh-CN"/>
              </w:rPr>
            </w:pPr>
            <w:r>
              <w:rPr>
                <w:bCs/>
                <w:sz w:val="16"/>
                <w:szCs w:val="16"/>
                <w:lang w:val="en-US" w:eastAsia="zh-CN"/>
              </w:rPr>
              <w:t>0.212</w:t>
            </w:r>
          </w:p>
        </w:tc>
        <w:tc>
          <w:tcPr>
            <w:tcW w:w="289" w:type="pct"/>
            <w:tcBorders>
              <w:bottom w:val="single" w:color="auto" w:sz="4" w:space="0"/>
            </w:tcBorders>
            <w:vAlign w:val="center"/>
          </w:tcPr>
          <w:p>
            <w:pPr>
              <w:spacing w:line="280" w:lineRule="exact"/>
              <w:jc w:val="center"/>
              <w:rPr>
                <w:bCs/>
                <w:sz w:val="16"/>
                <w:szCs w:val="16"/>
                <w:lang w:eastAsia="zh-CN"/>
              </w:rPr>
            </w:pPr>
            <w:r>
              <w:rPr>
                <w:bCs/>
                <w:sz w:val="16"/>
                <w:szCs w:val="16"/>
                <w:lang w:val="en-US" w:eastAsia="zh-CN"/>
              </w:rPr>
              <w:t>0.087</w:t>
            </w:r>
          </w:p>
        </w:tc>
        <w:tc>
          <w:tcPr>
            <w:tcW w:w="289" w:type="pct"/>
            <w:tcBorders>
              <w:bottom w:val="single" w:color="auto" w:sz="4" w:space="0"/>
            </w:tcBorders>
            <w:vAlign w:val="center"/>
          </w:tcPr>
          <w:p>
            <w:pPr>
              <w:spacing w:line="280" w:lineRule="exact"/>
              <w:jc w:val="center"/>
              <w:rPr>
                <w:bCs/>
                <w:sz w:val="16"/>
                <w:szCs w:val="16"/>
                <w:lang w:eastAsia="zh-CN"/>
              </w:rPr>
            </w:pPr>
            <w:r>
              <w:rPr>
                <w:bCs/>
                <w:sz w:val="16"/>
                <w:szCs w:val="16"/>
                <w:lang w:val="en-US" w:eastAsia="zh-CN"/>
              </w:rPr>
              <w:t>0.033</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94" w:type="pct"/>
            <w:tcBorders>
              <w:top w:val="single" w:color="auto" w:sz="4" w:space="0"/>
            </w:tcBorders>
            <w:vAlign w:val="center"/>
          </w:tcPr>
          <w:p>
            <w:pPr>
              <w:spacing w:line="252" w:lineRule="auto"/>
              <w:jc w:val="center"/>
              <w:rPr>
                <w:color w:val="000000"/>
                <w:sz w:val="16"/>
                <w:szCs w:val="16"/>
                <w:lang w:eastAsia="zh-CN"/>
              </w:rPr>
            </w:pPr>
            <w:r>
              <w:rPr>
                <w:color w:val="000000"/>
                <w:sz w:val="16"/>
                <w:szCs w:val="16"/>
                <w:lang w:val="en-US" w:eastAsia="zh-CN"/>
              </w:rPr>
              <w:t>Harmonic Order</w:t>
            </w:r>
          </w:p>
        </w:tc>
        <w:tc>
          <w:tcPr>
            <w:tcW w:w="289" w:type="pct"/>
            <w:tcBorders>
              <w:top w:val="single" w:color="auto" w:sz="4" w:space="0"/>
            </w:tcBorders>
            <w:vAlign w:val="center"/>
          </w:tcPr>
          <w:p>
            <w:pPr>
              <w:spacing w:line="280" w:lineRule="exact"/>
              <w:jc w:val="center"/>
              <w:rPr>
                <w:bCs/>
                <w:sz w:val="16"/>
                <w:szCs w:val="16"/>
                <w:lang w:eastAsia="zh-CN"/>
              </w:rPr>
            </w:pPr>
            <w:r>
              <w:rPr>
                <w:bCs/>
                <w:sz w:val="16"/>
                <w:szCs w:val="16"/>
                <w:lang w:val="en-US" w:eastAsia="zh-CN"/>
              </w:rPr>
              <w:t>28</w:t>
            </w:r>
          </w:p>
        </w:tc>
        <w:tc>
          <w:tcPr>
            <w:tcW w:w="289" w:type="pct"/>
            <w:tcBorders>
              <w:top w:val="single" w:color="auto" w:sz="4" w:space="0"/>
            </w:tcBorders>
            <w:vAlign w:val="center"/>
          </w:tcPr>
          <w:p>
            <w:pPr>
              <w:spacing w:line="280" w:lineRule="exact"/>
              <w:jc w:val="center"/>
              <w:rPr>
                <w:bCs/>
                <w:sz w:val="16"/>
                <w:szCs w:val="16"/>
                <w:lang w:eastAsia="zh-CN"/>
              </w:rPr>
            </w:pPr>
            <w:r>
              <w:rPr>
                <w:bCs/>
                <w:sz w:val="16"/>
                <w:szCs w:val="16"/>
                <w:lang w:val="en-US" w:eastAsia="zh-CN"/>
              </w:rPr>
              <w:t>29</w:t>
            </w:r>
          </w:p>
        </w:tc>
        <w:tc>
          <w:tcPr>
            <w:tcW w:w="289" w:type="pct"/>
            <w:tcBorders>
              <w:top w:val="single" w:color="auto" w:sz="4" w:space="0"/>
            </w:tcBorders>
            <w:vAlign w:val="center"/>
          </w:tcPr>
          <w:p>
            <w:pPr>
              <w:spacing w:line="280" w:lineRule="exact"/>
              <w:jc w:val="center"/>
              <w:rPr>
                <w:bCs/>
                <w:sz w:val="16"/>
                <w:szCs w:val="16"/>
                <w:lang w:eastAsia="zh-CN"/>
              </w:rPr>
            </w:pPr>
            <w:r>
              <w:rPr>
                <w:bCs/>
                <w:sz w:val="16"/>
                <w:szCs w:val="16"/>
                <w:lang w:val="en-US" w:eastAsia="zh-CN"/>
              </w:rPr>
              <w:t>30</w:t>
            </w:r>
          </w:p>
        </w:tc>
        <w:tc>
          <w:tcPr>
            <w:tcW w:w="289" w:type="pct"/>
            <w:tcBorders>
              <w:top w:val="single" w:color="auto" w:sz="4" w:space="0"/>
            </w:tcBorders>
            <w:vAlign w:val="center"/>
          </w:tcPr>
          <w:p>
            <w:pPr>
              <w:spacing w:line="280" w:lineRule="exact"/>
              <w:jc w:val="center"/>
              <w:rPr>
                <w:bCs/>
                <w:sz w:val="16"/>
                <w:szCs w:val="16"/>
                <w:lang w:eastAsia="zh-CN"/>
              </w:rPr>
            </w:pPr>
            <w:r>
              <w:rPr>
                <w:bCs/>
                <w:sz w:val="16"/>
                <w:szCs w:val="16"/>
                <w:lang w:val="en-US" w:eastAsia="zh-CN"/>
              </w:rPr>
              <w:t>31</w:t>
            </w:r>
          </w:p>
        </w:tc>
        <w:tc>
          <w:tcPr>
            <w:tcW w:w="289" w:type="pct"/>
            <w:tcBorders>
              <w:top w:val="single" w:color="auto" w:sz="4" w:space="0"/>
            </w:tcBorders>
            <w:vAlign w:val="center"/>
          </w:tcPr>
          <w:p>
            <w:pPr>
              <w:spacing w:line="280" w:lineRule="exact"/>
              <w:jc w:val="center"/>
              <w:rPr>
                <w:bCs/>
                <w:sz w:val="16"/>
                <w:szCs w:val="16"/>
                <w:lang w:eastAsia="zh-CN"/>
              </w:rPr>
            </w:pPr>
            <w:r>
              <w:rPr>
                <w:bCs/>
                <w:sz w:val="16"/>
                <w:szCs w:val="16"/>
                <w:lang w:val="en-US" w:eastAsia="zh-CN"/>
              </w:rPr>
              <w:t>32</w:t>
            </w:r>
          </w:p>
        </w:tc>
        <w:tc>
          <w:tcPr>
            <w:tcW w:w="289" w:type="pct"/>
            <w:tcBorders>
              <w:top w:val="single" w:color="auto" w:sz="4" w:space="0"/>
            </w:tcBorders>
            <w:vAlign w:val="center"/>
          </w:tcPr>
          <w:p>
            <w:pPr>
              <w:spacing w:line="280" w:lineRule="exact"/>
              <w:jc w:val="center"/>
              <w:rPr>
                <w:bCs/>
                <w:sz w:val="16"/>
                <w:szCs w:val="16"/>
                <w:lang w:eastAsia="zh-CN"/>
              </w:rPr>
            </w:pPr>
            <w:r>
              <w:rPr>
                <w:bCs/>
                <w:sz w:val="16"/>
                <w:szCs w:val="16"/>
                <w:lang w:val="en-US" w:eastAsia="zh-CN"/>
              </w:rPr>
              <w:t>33</w:t>
            </w:r>
          </w:p>
        </w:tc>
        <w:tc>
          <w:tcPr>
            <w:tcW w:w="289" w:type="pct"/>
            <w:tcBorders>
              <w:top w:val="single" w:color="auto" w:sz="4" w:space="0"/>
            </w:tcBorders>
            <w:vAlign w:val="center"/>
          </w:tcPr>
          <w:p>
            <w:pPr>
              <w:spacing w:line="280" w:lineRule="exact"/>
              <w:jc w:val="center"/>
              <w:rPr>
                <w:bCs/>
                <w:sz w:val="16"/>
                <w:szCs w:val="16"/>
                <w:lang w:eastAsia="zh-CN"/>
              </w:rPr>
            </w:pPr>
            <w:r>
              <w:rPr>
                <w:bCs/>
                <w:sz w:val="16"/>
                <w:szCs w:val="16"/>
                <w:lang w:val="en-US" w:eastAsia="zh-CN"/>
              </w:rPr>
              <w:t>34</w:t>
            </w:r>
          </w:p>
        </w:tc>
        <w:tc>
          <w:tcPr>
            <w:tcW w:w="289" w:type="pct"/>
            <w:tcBorders>
              <w:top w:val="single" w:color="auto" w:sz="4" w:space="0"/>
            </w:tcBorders>
            <w:vAlign w:val="center"/>
          </w:tcPr>
          <w:p>
            <w:pPr>
              <w:spacing w:line="280" w:lineRule="exact"/>
              <w:jc w:val="center"/>
              <w:rPr>
                <w:bCs/>
                <w:sz w:val="16"/>
                <w:szCs w:val="16"/>
                <w:lang w:eastAsia="zh-CN"/>
              </w:rPr>
            </w:pPr>
            <w:r>
              <w:rPr>
                <w:bCs/>
                <w:sz w:val="16"/>
                <w:szCs w:val="16"/>
                <w:lang w:val="en-US" w:eastAsia="zh-CN"/>
              </w:rPr>
              <w:t>35</w:t>
            </w:r>
          </w:p>
        </w:tc>
        <w:tc>
          <w:tcPr>
            <w:tcW w:w="329" w:type="pct"/>
            <w:tcBorders>
              <w:top w:val="single" w:color="auto" w:sz="4" w:space="0"/>
            </w:tcBorders>
            <w:vAlign w:val="center"/>
          </w:tcPr>
          <w:p>
            <w:pPr>
              <w:spacing w:line="280" w:lineRule="exact"/>
              <w:jc w:val="center"/>
              <w:rPr>
                <w:bCs/>
                <w:sz w:val="16"/>
                <w:szCs w:val="16"/>
                <w:lang w:eastAsia="zh-CN"/>
              </w:rPr>
            </w:pPr>
            <w:r>
              <w:rPr>
                <w:bCs/>
                <w:sz w:val="16"/>
                <w:szCs w:val="16"/>
                <w:lang w:val="en-US" w:eastAsia="zh-CN"/>
              </w:rPr>
              <w:t>36</w:t>
            </w:r>
          </w:p>
        </w:tc>
        <w:tc>
          <w:tcPr>
            <w:tcW w:w="289" w:type="pct"/>
            <w:tcBorders>
              <w:top w:val="single" w:color="auto" w:sz="4" w:space="0"/>
            </w:tcBorders>
            <w:vAlign w:val="center"/>
          </w:tcPr>
          <w:p>
            <w:pPr>
              <w:spacing w:line="280" w:lineRule="exact"/>
              <w:jc w:val="center"/>
              <w:rPr>
                <w:bCs/>
                <w:sz w:val="16"/>
                <w:szCs w:val="16"/>
                <w:lang w:eastAsia="zh-CN"/>
              </w:rPr>
            </w:pPr>
            <w:r>
              <w:rPr>
                <w:bCs/>
                <w:sz w:val="16"/>
                <w:szCs w:val="16"/>
                <w:lang w:val="en-US" w:eastAsia="zh-CN"/>
              </w:rPr>
              <w:t>37</w:t>
            </w:r>
          </w:p>
        </w:tc>
        <w:tc>
          <w:tcPr>
            <w:tcW w:w="289" w:type="pct"/>
            <w:tcBorders>
              <w:top w:val="single" w:color="auto" w:sz="4" w:space="0"/>
            </w:tcBorders>
            <w:vAlign w:val="center"/>
          </w:tcPr>
          <w:p>
            <w:pPr>
              <w:spacing w:line="280" w:lineRule="exact"/>
              <w:jc w:val="center"/>
              <w:rPr>
                <w:bCs/>
                <w:sz w:val="16"/>
                <w:szCs w:val="16"/>
                <w:lang w:eastAsia="zh-CN"/>
              </w:rPr>
            </w:pPr>
            <w:r>
              <w:rPr>
                <w:bCs/>
                <w:sz w:val="16"/>
                <w:szCs w:val="16"/>
                <w:lang w:val="en-US" w:eastAsia="zh-CN"/>
              </w:rPr>
              <w:t>38</w:t>
            </w:r>
          </w:p>
        </w:tc>
        <w:tc>
          <w:tcPr>
            <w:tcW w:w="289" w:type="pct"/>
            <w:tcBorders>
              <w:top w:val="single" w:color="auto" w:sz="4" w:space="0"/>
            </w:tcBorders>
            <w:vAlign w:val="center"/>
          </w:tcPr>
          <w:p>
            <w:pPr>
              <w:spacing w:line="280" w:lineRule="exact"/>
              <w:jc w:val="center"/>
              <w:rPr>
                <w:bCs/>
                <w:sz w:val="16"/>
                <w:szCs w:val="16"/>
                <w:lang w:eastAsia="zh-CN"/>
              </w:rPr>
            </w:pPr>
            <w:r>
              <w:rPr>
                <w:bCs/>
                <w:sz w:val="16"/>
                <w:szCs w:val="16"/>
                <w:lang w:val="en-US" w:eastAsia="zh-CN"/>
              </w:rPr>
              <w:t>39</w:t>
            </w:r>
          </w:p>
        </w:tc>
        <w:tc>
          <w:tcPr>
            <w:tcW w:w="289" w:type="pct"/>
            <w:tcBorders>
              <w:top w:val="single" w:color="auto" w:sz="4" w:space="0"/>
            </w:tcBorders>
            <w:vAlign w:val="center"/>
          </w:tcPr>
          <w:p>
            <w:pPr>
              <w:spacing w:line="280" w:lineRule="exact"/>
              <w:jc w:val="center"/>
              <w:rPr>
                <w:bCs/>
                <w:sz w:val="16"/>
                <w:szCs w:val="16"/>
                <w:lang w:eastAsia="zh-CN"/>
              </w:rPr>
            </w:pPr>
            <w:r>
              <w:rPr>
                <w:bCs/>
                <w:sz w:val="16"/>
                <w:szCs w:val="16"/>
                <w:lang w:val="en-US" w:eastAsia="zh-CN"/>
              </w:rPr>
              <w:t>40</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94" w:type="pct"/>
            <w:vAlign w:val="center"/>
          </w:tcPr>
          <w:p>
            <w:pPr>
              <w:spacing w:line="252" w:lineRule="auto"/>
              <w:jc w:val="center"/>
              <w:rPr>
                <w:color w:val="000000"/>
                <w:sz w:val="16"/>
                <w:szCs w:val="16"/>
                <w:lang w:eastAsia="zh-CN"/>
              </w:rPr>
            </w:pPr>
            <w:r>
              <w:rPr>
                <w:color w:val="000000"/>
                <w:sz w:val="16"/>
                <w:szCs w:val="16"/>
                <w:lang w:val="en-US" w:eastAsia="zh-CN"/>
              </w:rPr>
              <w:t>Low voltage grid harmonic limits</w:t>
            </w:r>
          </w:p>
        </w:tc>
        <w:tc>
          <w:tcPr>
            <w:tcW w:w="289" w:type="pct"/>
            <w:vAlign w:val="center"/>
          </w:tcPr>
          <w:p>
            <w:pPr>
              <w:spacing w:line="280" w:lineRule="exact"/>
              <w:jc w:val="center"/>
              <w:rPr>
                <w:bCs/>
                <w:sz w:val="16"/>
                <w:szCs w:val="16"/>
                <w:lang w:eastAsia="zh-CN"/>
              </w:rPr>
            </w:pPr>
            <w:r>
              <w:rPr>
                <w:bCs/>
                <w:sz w:val="16"/>
                <w:szCs w:val="16"/>
                <w:lang w:val="en-US" w:eastAsia="zh-CN"/>
              </w:rPr>
              <w:t>0.339</w:t>
            </w:r>
          </w:p>
        </w:tc>
        <w:tc>
          <w:tcPr>
            <w:tcW w:w="289" w:type="pct"/>
            <w:vAlign w:val="center"/>
          </w:tcPr>
          <w:p>
            <w:pPr>
              <w:spacing w:line="280" w:lineRule="exact"/>
              <w:jc w:val="center"/>
              <w:rPr>
                <w:bCs/>
                <w:sz w:val="16"/>
                <w:szCs w:val="16"/>
                <w:lang w:eastAsia="zh-CN"/>
              </w:rPr>
            </w:pPr>
            <w:r>
              <w:rPr>
                <w:bCs/>
                <w:sz w:val="16"/>
                <w:szCs w:val="16"/>
                <w:lang w:val="en-US" w:eastAsia="zh-CN"/>
              </w:rPr>
              <w:t>1.061</w:t>
            </w:r>
          </w:p>
        </w:tc>
        <w:tc>
          <w:tcPr>
            <w:tcW w:w="289" w:type="pct"/>
            <w:vAlign w:val="center"/>
          </w:tcPr>
          <w:p>
            <w:pPr>
              <w:spacing w:line="280" w:lineRule="exact"/>
              <w:jc w:val="center"/>
              <w:rPr>
                <w:bCs/>
                <w:sz w:val="16"/>
                <w:szCs w:val="16"/>
                <w:lang w:eastAsia="zh-CN"/>
              </w:rPr>
            </w:pPr>
            <w:r>
              <w:rPr>
                <w:bCs/>
                <w:sz w:val="16"/>
                <w:szCs w:val="16"/>
                <w:lang w:val="en-US" w:eastAsia="zh-CN"/>
              </w:rPr>
              <w:t>0.333</w:t>
            </w:r>
          </w:p>
        </w:tc>
        <w:tc>
          <w:tcPr>
            <w:tcW w:w="289" w:type="pct"/>
            <w:vAlign w:val="center"/>
          </w:tcPr>
          <w:p>
            <w:pPr>
              <w:spacing w:line="280" w:lineRule="exact"/>
              <w:jc w:val="center"/>
              <w:rPr>
                <w:bCs/>
                <w:sz w:val="16"/>
                <w:szCs w:val="16"/>
                <w:lang w:eastAsia="zh-CN"/>
              </w:rPr>
            </w:pPr>
            <w:r>
              <w:rPr>
                <w:bCs/>
                <w:sz w:val="16"/>
                <w:szCs w:val="16"/>
                <w:lang w:val="en-US" w:eastAsia="zh-CN"/>
              </w:rPr>
              <w:t>0.975</w:t>
            </w:r>
          </w:p>
        </w:tc>
        <w:tc>
          <w:tcPr>
            <w:tcW w:w="289" w:type="pct"/>
            <w:vAlign w:val="center"/>
          </w:tcPr>
          <w:p>
            <w:pPr>
              <w:spacing w:line="280" w:lineRule="exact"/>
              <w:jc w:val="center"/>
              <w:rPr>
                <w:bCs/>
                <w:sz w:val="16"/>
                <w:szCs w:val="16"/>
                <w:lang w:eastAsia="zh-CN"/>
              </w:rPr>
            </w:pPr>
            <w:r>
              <w:rPr>
                <w:bCs/>
                <w:sz w:val="16"/>
                <w:szCs w:val="16"/>
                <w:lang w:val="en-US" w:eastAsia="zh-CN"/>
              </w:rPr>
              <w:t>0.328</w:t>
            </w:r>
          </w:p>
        </w:tc>
        <w:tc>
          <w:tcPr>
            <w:tcW w:w="289" w:type="pct"/>
            <w:vAlign w:val="center"/>
          </w:tcPr>
          <w:p>
            <w:pPr>
              <w:spacing w:line="280" w:lineRule="exact"/>
              <w:jc w:val="center"/>
              <w:rPr>
                <w:bCs/>
                <w:sz w:val="16"/>
                <w:szCs w:val="16"/>
                <w:lang w:eastAsia="zh-CN"/>
              </w:rPr>
            </w:pPr>
            <w:r>
              <w:rPr>
                <w:bCs/>
                <w:sz w:val="16"/>
                <w:szCs w:val="16"/>
                <w:lang w:val="en-US" w:eastAsia="zh-CN"/>
              </w:rPr>
              <w:t>0.2</w:t>
            </w:r>
          </w:p>
        </w:tc>
        <w:tc>
          <w:tcPr>
            <w:tcW w:w="289" w:type="pct"/>
            <w:vAlign w:val="center"/>
          </w:tcPr>
          <w:p>
            <w:pPr>
              <w:spacing w:line="280" w:lineRule="exact"/>
              <w:jc w:val="center"/>
              <w:rPr>
                <w:bCs/>
                <w:sz w:val="16"/>
                <w:szCs w:val="16"/>
                <w:lang w:eastAsia="zh-CN"/>
              </w:rPr>
            </w:pPr>
            <w:r>
              <w:rPr>
                <w:bCs/>
                <w:sz w:val="16"/>
                <w:szCs w:val="16"/>
                <w:lang w:val="en-US" w:eastAsia="zh-CN"/>
              </w:rPr>
              <w:t>0.324</w:t>
            </w:r>
          </w:p>
        </w:tc>
        <w:tc>
          <w:tcPr>
            <w:tcW w:w="289" w:type="pct"/>
            <w:vAlign w:val="center"/>
          </w:tcPr>
          <w:p>
            <w:pPr>
              <w:spacing w:line="280" w:lineRule="exact"/>
              <w:jc w:val="center"/>
              <w:rPr>
                <w:bCs/>
                <w:sz w:val="16"/>
                <w:szCs w:val="16"/>
                <w:lang w:eastAsia="zh-CN"/>
              </w:rPr>
            </w:pPr>
            <w:r>
              <w:rPr>
                <w:bCs/>
                <w:sz w:val="16"/>
                <w:szCs w:val="16"/>
                <w:lang w:val="en-US" w:eastAsia="zh-CN"/>
              </w:rPr>
              <w:t>0.833</w:t>
            </w:r>
          </w:p>
        </w:tc>
        <w:tc>
          <w:tcPr>
            <w:tcW w:w="329" w:type="pct"/>
            <w:vAlign w:val="center"/>
          </w:tcPr>
          <w:p>
            <w:pPr>
              <w:spacing w:line="280" w:lineRule="exact"/>
              <w:jc w:val="center"/>
              <w:rPr>
                <w:bCs/>
                <w:sz w:val="16"/>
                <w:szCs w:val="16"/>
                <w:lang w:eastAsia="zh-CN"/>
              </w:rPr>
            </w:pPr>
            <w:r>
              <w:rPr>
                <w:bCs/>
                <w:sz w:val="16"/>
                <w:szCs w:val="16"/>
                <w:lang w:val="en-US" w:eastAsia="zh-CN"/>
              </w:rPr>
              <w:t>0.319</w:t>
            </w:r>
          </w:p>
        </w:tc>
        <w:tc>
          <w:tcPr>
            <w:tcW w:w="289" w:type="pct"/>
            <w:vAlign w:val="center"/>
          </w:tcPr>
          <w:p>
            <w:pPr>
              <w:spacing w:line="280" w:lineRule="exact"/>
              <w:jc w:val="center"/>
              <w:rPr>
                <w:bCs/>
                <w:sz w:val="16"/>
                <w:szCs w:val="16"/>
                <w:lang w:eastAsia="zh-CN"/>
              </w:rPr>
            </w:pPr>
            <w:r>
              <w:rPr>
                <w:bCs/>
                <w:sz w:val="16"/>
                <w:szCs w:val="16"/>
                <w:lang w:val="en-US" w:eastAsia="zh-CN"/>
              </w:rPr>
              <w:t>0.773</w:t>
            </w:r>
          </w:p>
        </w:tc>
        <w:tc>
          <w:tcPr>
            <w:tcW w:w="289" w:type="pct"/>
            <w:vAlign w:val="center"/>
          </w:tcPr>
          <w:p>
            <w:pPr>
              <w:spacing w:line="280" w:lineRule="exact"/>
              <w:jc w:val="center"/>
              <w:rPr>
                <w:bCs/>
                <w:sz w:val="16"/>
                <w:szCs w:val="16"/>
                <w:lang w:eastAsia="zh-CN"/>
              </w:rPr>
            </w:pPr>
            <w:r>
              <w:rPr>
                <w:bCs/>
                <w:sz w:val="16"/>
                <w:szCs w:val="16"/>
                <w:lang w:val="en-US" w:eastAsia="zh-CN"/>
              </w:rPr>
              <w:t>0.316</w:t>
            </w:r>
          </w:p>
        </w:tc>
        <w:tc>
          <w:tcPr>
            <w:tcW w:w="289" w:type="pct"/>
            <w:vAlign w:val="center"/>
          </w:tcPr>
          <w:p>
            <w:pPr>
              <w:spacing w:line="280" w:lineRule="exact"/>
              <w:jc w:val="center"/>
              <w:rPr>
                <w:bCs/>
                <w:sz w:val="16"/>
                <w:szCs w:val="16"/>
                <w:lang w:eastAsia="zh-CN"/>
              </w:rPr>
            </w:pPr>
            <w:r>
              <w:rPr>
                <w:bCs/>
                <w:sz w:val="16"/>
                <w:szCs w:val="16"/>
                <w:lang w:val="en-US" w:eastAsia="zh-CN"/>
              </w:rPr>
              <w:t>0.2</w:t>
            </w:r>
          </w:p>
        </w:tc>
        <w:tc>
          <w:tcPr>
            <w:tcW w:w="289" w:type="pct"/>
            <w:vAlign w:val="center"/>
          </w:tcPr>
          <w:p>
            <w:pPr>
              <w:spacing w:line="280" w:lineRule="exact"/>
              <w:jc w:val="center"/>
              <w:rPr>
                <w:bCs/>
                <w:sz w:val="16"/>
                <w:szCs w:val="16"/>
                <w:lang w:eastAsia="zh-CN"/>
              </w:rPr>
            </w:pPr>
            <w:r>
              <w:rPr>
                <w:bCs/>
                <w:sz w:val="16"/>
                <w:szCs w:val="16"/>
                <w:lang w:val="en-US" w:eastAsia="zh-CN"/>
              </w:rPr>
              <w:t>0.313</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94" w:type="pct"/>
            <w:vAlign w:val="center"/>
          </w:tcPr>
          <w:p>
            <w:pPr>
              <w:spacing w:line="252" w:lineRule="auto"/>
              <w:jc w:val="center"/>
              <w:rPr>
                <w:color w:val="000000"/>
                <w:sz w:val="16"/>
                <w:szCs w:val="16"/>
                <w:lang w:eastAsia="zh-CN"/>
              </w:rPr>
            </w:pPr>
            <w:r>
              <w:rPr>
                <w:color w:val="000000"/>
                <w:sz w:val="16"/>
                <w:szCs w:val="16"/>
                <w:lang w:val="en-US" w:eastAsia="zh-CN"/>
              </w:rPr>
              <w:t>DG harmonic limits</w:t>
            </w:r>
          </w:p>
        </w:tc>
        <w:tc>
          <w:tcPr>
            <w:tcW w:w="289" w:type="pct"/>
            <w:vAlign w:val="center"/>
          </w:tcPr>
          <w:p>
            <w:pPr>
              <w:spacing w:line="280" w:lineRule="exact"/>
              <w:jc w:val="center"/>
              <w:rPr>
                <w:bCs/>
                <w:sz w:val="16"/>
                <w:szCs w:val="16"/>
                <w:lang w:eastAsia="zh-CN"/>
              </w:rPr>
            </w:pPr>
            <w:r>
              <w:rPr>
                <w:bCs/>
                <w:sz w:val="16"/>
                <w:szCs w:val="16"/>
                <w:lang w:val="en-US" w:eastAsia="zh-CN"/>
              </w:rPr>
              <w:t>2</w:t>
            </w:r>
          </w:p>
        </w:tc>
        <w:tc>
          <w:tcPr>
            <w:tcW w:w="289" w:type="pct"/>
            <w:vAlign w:val="center"/>
          </w:tcPr>
          <w:p>
            <w:pPr>
              <w:spacing w:line="280" w:lineRule="exact"/>
              <w:jc w:val="center"/>
              <w:rPr>
                <w:bCs/>
                <w:sz w:val="16"/>
                <w:szCs w:val="16"/>
                <w:lang w:eastAsia="zh-CN"/>
              </w:rPr>
            </w:pPr>
            <w:r>
              <w:rPr>
                <w:bCs/>
                <w:sz w:val="16"/>
                <w:szCs w:val="16"/>
                <w:lang w:val="en-US" w:eastAsia="zh-CN"/>
              </w:rPr>
              <w:t>3</w:t>
            </w:r>
          </w:p>
        </w:tc>
        <w:tc>
          <w:tcPr>
            <w:tcW w:w="289" w:type="pct"/>
            <w:vAlign w:val="center"/>
          </w:tcPr>
          <w:p>
            <w:pPr>
              <w:spacing w:line="280" w:lineRule="exact"/>
              <w:jc w:val="center"/>
              <w:rPr>
                <w:bCs/>
                <w:sz w:val="16"/>
                <w:szCs w:val="16"/>
                <w:lang w:eastAsia="zh-CN"/>
              </w:rPr>
            </w:pPr>
            <w:r>
              <w:rPr>
                <w:bCs/>
                <w:sz w:val="16"/>
                <w:szCs w:val="16"/>
                <w:lang w:val="en-US" w:eastAsia="zh-CN"/>
              </w:rPr>
              <w:t>2</w:t>
            </w:r>
          </w:p>
        </w:tc>
        <w:tc>
          <w:tcPr>
            <w:tcW w:w="289" w:type="pct"/>
            <w:vAlign w:val="center"/>
          </w:tcPr>
          <w:p>
            <w:pPr>
              <w:spacing w:line="280" w:lineRule="exact"/>
              <w:jc w:val="center"/>
              <w:rPr>
                <w:bCs/>
                <w:sz w:val="16"/>
                <w:szCs w:val="16"/>
                <w:lang w:eastAsia="zh-CN"/>
              </w:rPr>
            </w:pPr>
            <w:r>
              <w:rPr>
                <w:bCs/>
                <w:sz w:val="16"/>
                <w:szCs w:val="16"/>
                <w:lang w:val="en-US" w:eastAsia="zh-CN"/>
              </w:rPr>
              <w:t>3</w:t>
            </w:r>
          </w:p>
        </w:tc>
        <w:tc>
          <w:tcPr>
            <w:tcW w:w="289" w:type="pct"/>
            <w:vAlign w:val="center"/>
          </w:tcPr>
          <w:p>
            <w:pPr>
              <w:spacing w:line="280" w:lineRule="exact"/>
              <w:jc w:val="center"/>
              <w:rPr>
                <w:bCs/>
                <w:sz w:val="16"/>
                <w:szCs w:val="16"/>
                <w:lang w:eastAsia="zh-CN"/>
              </w:rPr>
            </w:pPr>
            <w:r>
              <w:rPr>
                <w:bCs/>
                <w:sz w:val="16"/>
                <w:szCs w:val="16"/>
                <w:lang w:val="en-US" w:eastAsia="zh-CN"/>
              </w:rPr>
              <w:t>2</w:t>
            </w:r>
          </w:p>
        </w:tc>
        <w:tc>
          <w:tcPr>
            <w:tcW w:w="289" w:type="pct"/>
            <w:vAlign w:val="center"/>
          </w:tcPr>
          <w:p>
            <w:pPr>
              <w:spacing w:line="280" w:lineRule="exact"/>
              <w:jc w:val="center"/>
              <w:rPr>
                <w:bCs/>
                <w:sz w:val="16"/>
                <w:szCs w:val="16"/>
                <w:lang w:eastAsia="zh-CN"/>
              </w:rPr>
            </w:pPr>
            <w:r>
              <w:rPr>
                <w:bCs/>
                <w:sz w:val="16"/>
                <w:szCs w:val="16"/>
                <w:lang w:val="en-US" w:eastAsia="zh-CN"/>
              </w:rPr>
              <w:t>3</w:t>
            </w:r>
          </w:p>
        </w:tc>
        <w:tc>
          <w:tcPr>
            <w:tcW w:w="289" w:type="pct"/>
            <w:vAlign w:val="center"/>
          </w:tcPr>
          <w:p>
            <w:pPr>
              <w:spacing w:line="280" w:lineRule="exact"/>
              <w:jc w:val="center"/>
              <w:rPr>
                <w:bCs/>
                <w:sz w:val="16"/>
                <w:szCs w:val="16"/>
                <w:lang w:eastAsia="zh-CN"/>
              </w:rPr>
            </w:pPr>
            <w:r>
              <w:rPr>
                <w:bCs/>
                <w:sz w:val="16"/>
                <w:szCs w:val="16"/>
                <w:lang w:val="en-US" w:eastAsia="zh-CN"/>
              </w:rPr>
              <w:t>2</w:t>
            </w:r>
          </w:p>
        </w:tc>
        <w:tc>
          <w:tcPr>
            <w:tcW w:w="289" w:type="pct"/>
            <w:vAlign w:val="center"/>
          </w:tcPr>
          <w:p>
            <w:pPr>
              <w:spacing w:line="280" w:lineRule="exact"/>
              <w:jc w:val="center"/>
              <w:rPr>
                <w:bCs/>
                <w:sz w:val="16"/>
                <w:szCs w:val="16"/>
                <w:lang w:eastAsia="zh-CN"/>
              </w:rPr>
            </w:pPr>
            <w:r>
              <w:rPr>
                <w:bCs/>
                <w:sz w:val="16"/>
                <w:szCs w:val="16"/>
                <w:lang w:val="en-US" w:eastAsia="zh-CN"/>
              </w:rPr>
              <w:t>3</w:t>
            </w:r>
          </w:p>
        </w:tc>
        <w:tc>
          <w:tcPr>
            <w:tcW w:w="329" w:type="pct"/>
            <w:vAlign w:val="center"/>
          </w:tcPr>
          <w:p>
            <w:pPr>
              <w:spacing w:line="280" w:lineRule="exact"/>
              <w:jc w:val="center"/>
              <w:rPr>
                <w:bCs/>
                <w:sz w:val="16"/>
                <w:szCs w:val="16"/>
                <w:lang w:eastAsia="zh-CN"/>
              </w:rPr>
            </w:pPr>
            <w:r>
              <w:rPr>
                <w:bCs/>
                <w:sz w:val="16"/>
                <w:szCs w:val="16"/>
                <w:lang w:val="en-US" w:eastAsia="zh-CN"/>
              </w:rPr>
              <w:t>2</w:t>
            </w:r>
          </w:p>
        </w:tc>
        <w:tc>
          <w:tcPr>
            <w:tcW w:w="289" w:type="pct"/>
            <w:vAlign w:val="center"/>
          </w:tcPr>
          <w:p>
            <w:pPr>
              <w:spacing w:line="280" w:lineRule="exact"/>
              <w:jc w:val="center"/>
              <w:rPr>
                <w:bCs/>
                <w:sz w:val="16"/>
                <w:szCs w:val="16"/>
                <w:lang w:eastAsia="zh-CN"/>
              </w:rPr>
            </w:pPr>
            <w:r>
              <w:rPr>
                <w:bCs/>
                <w:sz w:val="16"/>
                <w:szCs w:val="16"/>
                <w:lang w:val="en-US" w:eastAsia="zh-CN"/>
              </w:rPr>
              <w:t>3</w:t>
            </w:r>
          </w:p>
        </w:tc>
        <w:tc>
          <w:tcPr>
            <w:tcW w:w="289" w:type="pct"/>
            <w:vAlign w:val="center"/>
          </w:tcPr>
          <w:p>
            <w:pPr>
              <w:spacing w:line="280" w:lineRule="exact"/>
              <w:jc w:val="center"/>
              <w:rPr>
                <w:bCs/>
                <w:sz w:val="16"/>
                <w:szCs w:val="16"/>
                <w:lang w:eastAsia="zh-CN"/>
              </w:rPr>
            </w:pPr>
            <w:r>
              <w:rPr>
                <w:bCs/>
                <w:sz w:val="16"/>
                <w:szCs w:val="16"/>
                <w:lang w:val="en-US" w:eastAsia="zh-CN"/>
              </w:rPr>
              <w:t>2</w:t>
            </w:r>
          </w:p>
        </w:tc>
        <w:tc>
          <w:tcPr>
            <w:tcW w:w="289" w:type="pct"/>
            <w:vAlign w:val="center"/>
          </w:tcPr>
          <w:p>
            <w:pPr>
              <w:spacing w:line="280" w:lineRule="exact"/>
              <w:jc w:val="center"/>
              <w:rPr>
                <w:bCs/>
                <w:sz w:val="16"/>
                <w:szCs w:val="16"/>
                <w:lang w:eastAsia="zh-CN"/>
              </w:rPr>
            </w:pPr>
            <w:r>
              <w:rPr>
                <w:bCs/>
                <w:sz w:val="16"/>
                <w:szCs w:val="16"/>
                <w:lang w:val="en-US" w:eastAsia="zh-CN"/>
              </w:rPr>
              <w:t>3</w:t>
            </w:r>
          </w:p>
        </w:tc>
        <w:tc>
          <w:tcPr>
            <w:tcW w:w="289" w:type="pct"/>
            <w:vAlign w:val="center"/>
          </w:tcPr>
          <w:p>
            <w:pPr>
              <w:spacing w:line="280" w:lineRule="exact"/>
              <w:jc w:val="center"/>
              <w:rPr>
                <w:bCs/>
                <w:sz w:val="16"/>
                <w:szCs w:val="16"/>
                <w:lang w:eastAsia="zh-CN"/>
              </w:rPr>
            </w:pPr>
            <w:r>
              <w:rPr>
                <w:bCs/>
                <w:sz w:val="16"/>
                <w:szCs w:val="16"/>
                <w:lang w:val="en-US" w:eastAsia="zh-CN"/>
              </w:rPr>
              <w:t>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94" w:type="pct"/>
            <w:vAlign w:val="center"/>
          </w:tcPr>
          <w:p>
            <w:pPr>
              <w:spacing w:line="252" w:lineRule="auto"/>
              <w:jc w:val="center"/>
              <w:rPr>
                <w:color w:val="000000"/>
                <w:sz w:val="16"/>
                <w:szCs w:val="16"/>
                <w:lang w:eastAsia="zh-CN"/>
              </w:rPr>
            </w:pPr>
            <w:r>
              <w:rPr>
                <w:color w:val="000000"/>
                <w:sz w:val="16"/>
                <w:szCs w:val="16"/>
                <w:lang w:val="en-US" w:eastAsia="zh-CN"/>
              </w:rPr>
              <w:t xml:space="preserve">Harmonic amplification factor </w:t>
            </w:r>
            <w:r>
              <w:rPr>
                <w:i/>
                <w:iCs/>
                <w:color w:val="000000"/>
                <w:sz w:val="16"/>
                <w:szCs w:val="16"/>
                <w:lang w:val="en-US" w:eastAsia="zh-CN"/>
              </w:rPr>
              <w:t>Φ</w:t>
            </w:r>
            <w:r>
              <w:rPr>
                <w:color w:val="000000"/>
                <w:sz w:val="16"/>
                <w:szCs w:val="16"/>
                <w:vertAlign w:val="subscript"/>
                <w:lang w:val="en-US" w:eastAsia="zh-CN"/>
              </w:rPr>
              <w:t>1</w:t>
            </w:r>
          </w:p>
        </w:tc>
        <w:tc>
          <w:tcPr>
            <w:tcW w:w="289" w:type="pct"/>
            <w:vAlign w:val="center"/>
          </w:tcPr>
          <w:p>
            <w:pPr>
              <w:spacing w:line="280" w:lineRule="exact"/>
              <w:jc w:val="center"/>
              <w:rPr>
                <w:bCs/>
                <w:sz w:val="16"/>
                <w:szCs w:val="16"/>
                <w:lang w:eastAsia="zh-CN"/>
              </w:rPr>
            </w:pPr>
            <w:r>
              <w:rPr>
                <w:bCs/>
                <w:sz w:val="16"/>
                <w:szCs w:val="16"/>
                <w:lang w:val="en-US" w:eastAsia="zh-CN"/>
              </w:rPr>
              <w:t>5.9</w:t>
            </w:r>
          </w:p>
        </w:tc>
        <w:tc>
          <w:tcPr>
            <w:tcW w:w="289" w:type="pct"/>
            <w:vAlign w:val="center"/>
          </w:tcPr>
          <w:p>
            <w:pPr>
              <w:spacing w:line="280" w:lineRule="exact"/>
              <w:jc w:val="center"/>
              <w:rPr>
                <w:bCs/>
                <w:sz w:val="16"/>
                <w:szCs w:val="16"/>
                <w:lang w:eastAsia="zh-CN"/>
              </w:rPr>
            </w:pPr>
            <w:r>
              <w:rPr>
                <w:bCs/>
                <w:sz w:val="16"/>
                <w:szCs w:val="16"/>
                <w:lang w:val="en-US" w:eastAsia="zh-CN"/>
              </w:rPr>
              <w:t>2.8</w:t>
            </w:r>
          </w:p>
        </w:tc>
        <w:tc>
          <w:tcPr>
            <w:tcW w:w="289" w:type="pct"/>
            <w:vAlign w:val="center"/>
          </w:tcPr>
          <w:p>
            <w:pPr>
              <w:spacing w:line="280" w:lineRule="exact"/>
              <w:jc w:val="center"/>
              <w:rPr>
                <w:bCs/>
                <w:sz w:val="16"/>
                <w:szCs w:val="16"/>
                <w:lang w:eastAsia="zh-CN"/>
              </w:rPr>
            </w:pPr>
            <w:r>
              <w:rPr>
                <w:bCs/>
                <w:sz w:val="16"/>
                <w:szCs w:val="16"/>
                <w:lang w:val="en-US" w:eastAsia="zh-CN"/>
              </w:rPr>
              <w:t>6.0</w:t>
            </w:r>
          </w:p>
        </w:tc>
        <w:tc>
          <w:tcPr>
            <w:tcW w:w="289" w:type="pct"/>
            <w:vAlign w:val="center"/>
          </w:tcPr>
          <w:p>
            <w:pPr>
              <w:spacing w:line="280" w:lineRule="exact"/>
              <w:jc w:val="center"/>
              <w:rPr>
                <w:bCs/>
                <w:sz w:val="16"/>
                <w:szCs w:val="16"/>
                <w:lang w:eastAsia="zh-CN"/>
              </w:rPr>
            </w:pPr>
            <w:r>
              <w:rPr>
                <w:bCs/>
                <w:sz w:val="16"/>
                <w:szCs w:val="16"/>
                <w:lang w:val="en-US" w:eastAsia="zh-CN"/>
              </w:rPr>
              <w:t>3.1</w:t>
            </w:r>
          </w:p>
        </w:tc>
        <w:tc>
          <w:tcPr>
            <w:tcW w:w="289" w:type="pct"/>
            <w:vAlign w:val="center"/>
          </w:tcPr>
          <w:p>
            <w:pPr>
              <w:spacing w:line="280" w:lineRule="exact"/>
              <w:jc w:val="center"/>
              <w:rPr>
                <w:bCs/>
                <w:sz w:val="16"/>
                <w:szCs w:val="16"/>
                <w:lang w:eastAsia="zh-CN"/>
              </w:rPr>
            </w:pPr>
            <w:r>
              <w:rPr>
                <w:bCs/>
                <w:sz w:val="16"/>
                <w:szCs w:val="16"/>
                <w:lang w:val="en-US" w:eastAsia="zh-CN"/>
              </w:rPr>
              <w:t>6.1</w:t>
            </w:r>
          </w:p>
        </w:tc>
        <w:tc>
          <w:tcPr>
            <w:tcW w:w="289" w:type="pct"/>
            <w:vAlign w:val="center"/>
          </w:tcPr>
          <w:p>
            <w:pPr>
              <w:spacing w:line="280" w:lineRule="exact"/>
              <w:jc w:val="center"/>
              <w:rPr>
                <w:bCs/>
                <w:sz w:val="16"/>
                <w:szCs w:val="16"/>
                <w:lang w:eastAsia="zh-CN"/>
              </w:rPr>
            </w:pPr>
            <w:r>
              <w:rPr>
                <w:bCs/>
                <w:sz w:val="16"/>
                <w:szCs w:val="16"/>
                <w:lang w:val="en-US" w:eastAsia="zh-CN"/>
              </w:rPr>
              <w:t>15.0</w:t>
            </w:r>
          </w:p>
        </w:tc>
        <w:tc>
          <w:tcPr>
            <w:tcW w:w="289" w:type="pct"/>
            <w:vAlign w:val="center"/>
          </w:tcPr>
          <w:p>
            <w:pPr>
              <w:spacing w:line="280" w:lineRule="exact"/>
              <w:jc w:val="center"/>
              <w:rPr>
                <w:bCs/>
                <w:sz w:val="16"/>
                <w:szCs w:val="16"/>
                <w:lang w:eastAsia="zh-CN"/>
              </w:rPr>
            </w:pPr>
            <w:r>
              <w:rPr>
                <w:bCs/>
                <w:sz w:val="16"/>
                <w:szCs w:val="16"/>
                <w:lang w:val="en-US" w:eastAsia="zh-CN"/>
              </w:rPr>
              <w:t>6.2</w:t>
            </w:r>
          </w:p>
        </w:tc>
        <w:tc>
          <w:tcPr>
            <w:tcW w:w="289" w:type="pct"/>
            <w:vAlign w:val="center"/>
          </w:tcPr>
          <w:p>
            <w:pPr>
              <w:spacing w:line="280" w:lineRule="exact"/>
              <w:jc w:val="center"/>
              <w:rPr>
                <w:bCs/>
                <w:sz w:val="16"/>
                <w:szCs w:val="16"/>
                <w:lang w:eastAsia="zh-CN"/>
              </w:rPr>
            </w:pPr>
            <w:r>
              <w:rPr>
                <w:bCs/>
                <w:sz w:val="16"/>
                <w:szCs w:val="16"/>
                <w:lang w:val="en-US" w:eastAsia="zh-CN"/>
              </w:rPr>
              <w:t>3.6</w:t>
            </w:r>
          </w:p>
        </w:tc>
        <w:tc>
          <w:tcPr>
            <w:tcW w:w="329" w:type="pct"/>
            <w:vAlign w:val="center"/>
          </w:tcPr>
          <w:p>
            <w:pPr>
              <w:spacing w:line="280" w:lineRule="exact"/>
              <w:jc w:val="center"/>
              <w:rPr>
                <w:bCs/>
                <w:sz w:val="16"/>
                <w:szCs w:val="16"/>
                <w:lang w:eastAsia="zh-CN"/>
              </w:rPr>
            </w:pPr>
            <w:r>
              <w:rPr>
                <w:bCs/>
                <w:sz w:val="16"/>
                <w:szCs w:val="16"/>
                <w:lang w:val="en-US" w:eastAsia="zh-CN"/>
              </w:rPr>
              <w:t>6.3</w:t>
            </w:r>
          </w:p>
        </w:tc>
        <w:tc>
          <w:tcPr>
            <w:tcW w:w="289" w:type="pct"/>
            <w:vAlign w:val="center"/>
          </w:tcPr>
          <w:p>
            <w:pPr>
              <w:spacing w:line="280" w:lineRule="exact"/>
              <w:jc w:val="center"/>
              <w:rPr>
                <w:bCs/>
                <w:sz w:val="16"/>
                <w:szCs w:val="16"/>
                <w:lang w:eastAsia="zh-CN"/>
              </w:rPr>
            </w:pPr>
            <w:r>
              <w:rPr>
                <w:bCs/>
                <w:sz w:val="16"/>
                <w:szCs w:val="16"/>
                <w:lang w:val="en-US" w:eastAsia="zh-CN"/>
              </w:rPr>
              <w:t>3.9</w:t>
            </w:r>
          </w:p>
        </w:tc>
        <w:tc>
          <w:tcPr>
            <w:tcW w:w="289" w:type="pct"/>
            <w:vAlign w:val="center"/>
          </w:tcPr>
          <w:p>
            <w:pPr>
              <w:spacing w:line="280" w:lineRule="exact"/>
              <w:jc w:val="center"/>
              <w:rPr>
                <w:bCs/>
                <w:sz w:val="16"/>
                <w:szCs w:val="16"/>
                <w:lang w:eastAsia="zh-CN"/>
              </w:rPr>
            </w:pPr>
            <w:r>
              <w:rPr>
                <w:bCs/>
                <w:sz w:val="16"/>
                <w:szCs w:val="16"/>
                <w:lang w:val="en-US" w:eastAsia="zh-CN"/>
              </w:rPr>
              <w:t>6.3</w:t>
            </w:r>
          </w:p>
        </w:tc>
        <w:tc>
          <w:tcPr>
            <w:tcW w:w="289" w:type="pct"/>
            <w:vAlign w:val="center"/>
          </w:tcPr>
          <w:p>
            <w:pPr>
              <w:spacing w:line="280" w:lineRule="exact"/>
              <w:jc w:val="center"/>
              <w:rPr>
                <w:bCs/>
                <w:sz w:val="16"/>
                <w:szCs w:val="16"/>
                <w:lang w:eastAsia="zh-CN"/>
              </w:rPr>
            </w:pPr>
            <w:r>
              <w:rPr>
                <w:bCs/>
                <w:sz w:val="16"/>
                <w:szCs w:val="16"/>
                <w:lang w:val="en-US" w:eastAsia="zh-CN"/>
              </w:rPr>
              <w:t>15</w:t>
            </w:r>
          </w:p>
        </w:tc>
        <w:tc>
          <w:tcPr>
            <w:tcW w:w="289" w:type="pct"/>
            <w:vAlign w:val="center"/>
          </w:tcPr>
          <w:p>
            <w:pPr>
              <w:spacing w:line="280" w:lineRule="exact"/>
              <w:jc w:val="center"/>
              <w:rPr>
                <w:bCs/>
                <w:sz w:val="16"/>
                <w:szCs w:val="16"/>
                <w:lang w:eastAsia="zh-CN"/>
              </w:rPr>
            </w:pPr>
            <w:r>
              <w:rPr>
                <w:bCs/>
                <w:sz w:val="16"/>
                <w:szCs w:val="16"/>
                <w:lang w:val="en-US" w:eastAsia="zh-CN"/>
              </w:rPr>
              <w:t>6.4</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94" w:type="pct"/>
            <w:vAlign w:val="center"/>
          </w:tcPr>
          <w:p>
            <w:pPr>
              <w:spacing w:line="252" w:lineRule="auto"/>
              <w:jc w:val="center"/>
              <w:rPr>
                <w:color w:val="000000"/>
                <w:sz w:val="16"/>
                <w:szCs w:val="16"/>
                <w:lang w:eastAsia="zh-CN"/>
              </w:rPr>
            </w:pPr>
            <w:r>
              <w:rPr>
                <w:color w:val="000000"/>
                <w:sz w:val="16"/>
                <w:szCs w:val="16"/>
                <w:lang w:val="en-US" w:eastAsia="zh-CN"/>
              </w:rPr>
              <w:t xml:space="preserve">critical value of </w:t>
            </w:r>
            <w:r>
              <w:rPr>
                <w:i/>
                <w:iCs/>
                <w:color w:val="000000"/>
                <w:sz w:val="16"/>
                <w:szCs w:val="16"/>
                <w:lang w:val="en-US" w:eastAsia="zh-CN"/>
              </w:rPr>
              <w:t>ξ</w:t>
            </w:r>
          </w:p>
        </w:tc>
        <w:tc>
          <w:tcPr>
            <w:tcW w:w="289" w:type="pct"/>
            <w:vAlign w:val="center"/>
          </w:tcPr>
          <w:p>
            <w:pPr>
              <w:spacing w:line="280" w:lineRule="exact"/>
              <w:jc w:val="center"/>
              <w:rPr>
                <w:bCs/>
                <w:sz w:val="16"/>
                <w:szCs w:val="16"/>
                <w:lang w:eastAsia="zh-CN"/>
              </w:rPr>
            </w:pPr>
            <w:r>
              <w:rPr>
                <w:bCs/>
                <w:sz w:val="16"/>
                <w:szCs w:val="16"/>
                <w:lang w:val="en-US" w:eastAsia="zh-CN"/>
              </w:rPr>
              <w:t>0.085</w:t>
            </w:r>
          </w:p>
        </w:tc>
        <w:tc>
          <w:tcPr>
            <w:tcW w:w="289" w:type="pct"/>
            <w:vAlign w:val="center"/>
          </w:tcPr>
          <w:p>
            <w:pPr>
              <w:spacing w:line="280" w:lineRule="exact"/>
              <w:jc w:val="center"/>
              <w:rPr>
                <w:bCs/>
                <w:sz w:val="16"/>
                <w:szCs w:val="16"/>
                <w:lang w:eastAsia="zh-CN"/>
              </w:rPr>
            </w:pPr>
            <w:r>
              <w:rPr>
                <w:bCs/>
                <w:sz w:val="16"/>
                <w:szCs w:val="16"/>
                <w:lang w:val="en-US" w:eastAsia="zh-CN"/>
              </w:rPr>
              <w:t>0.177</w:t>
            </w:r>
          </w:p>
        </w:tc>
        <w:tc>
          <w:tcPr>
            <w:tcW w:w="289" w:type="pct"/>
            <w:vAlign w:val="center"/>
          </w:tcPr>
          <w:p>
            <w:pPr>
              <w:spacing w:line="280" w:lineRule="exact"/>
              <w:jc w:val="center"/>
              <w:rPr>
                <w:bCs/>
                <w:sz w:val="16"/>
                <w:szCs w:val="16"/>
                <w:lang w:eastAsia="zh-CN"/>
              </w:rPr>
            </w:pPr>
            <w:r>
              <w:rPr>
                <w:bCs/>
                <w:sz w:val="16"/>
                <w:szCs w:val="16"/>
                <w:lang w:val="en-US" w:eastAsia="zh-CN"/>
              </w:rPr>
              <w:t>0.083</w:t>
            </w:r>
          </w:p>
        </w:tc>
        <w:tc>
          <w:tcPr>
            <w:tcW w:w="289" w:type="pct"/>
            <w:vAlign w:val="center"/>
          </w:tcPr>
          <w:p>
            <w:pPr>
              <w:spacing w:line="280" w:lineRule="exact"/>
              <w:jc w:val="center"/>
              <w:rPr>
                <w:bCs/>
                <w:sz w:val="16"/>
                <w:szCs w:val="16"/>
                <w:lang w:eastAsia="zh-CN"/>
              </w:rPr>
            </w:pPr>
            <w:r>
              <w:rPr>
                <w:bCs/>
                <w:sz w:val="16"/>
                <w:szCs w:val="16"/>
                <w:lang w:val="en-US" w:eastAsia="zh-CN"/>
              </w:rPr>
              <w:t>0.163</w:t>
            </w:r>
          </w:p>
        </w:tc>
        <w:tc>
          <w:tcPr>
            <w:tcW w:w="289" w:type="pct"/>
            <w:vAlign w:val="center"/>
          </w:tcPr>
          <w:p>
            <w:pPr>
              <w:spacing w:line="280" w:lineRule="exact"/>
              <w:jc w:val="center"/>
              <w:rPr>
                <w:bCs/>
                <w:sz w:val="16"/>
                <w:szCs w:val="16"/>
                <w:lang w:eastAsia="zh-CN"/>
              </w:rPr>
            </w:pPr>
            <w:r>
              <w:rPr>
                <w:bCs/>
                <w:sz w:val="16"/>
                <w:szCs w:val="16"/>
                <w:lang w:val="en-US" w:eastAsia="zh-CN"/>
              </w:rPr>
              <w:t>0.082</w:t>
            </w:r>
          </w:p>
        </w:tc>
        <w:tc>
          <w:tcPr>
            <w:tcW w:w="289" w:type="pct"/>
            <w:vAlign w:val="center"/>
          </w:tcPr>
          <w:p>
            <w:pPr>
              <w:spacing w:line="280" w:lineRule="exact"/>
              <w:jc w:val="center"/>
              <w:rPr>
                <w:bCs/>
                <w:sz w:val="16"/>
                <w:szCs w:val="16"/>
                <w:lang w:eastAsia="zh-CN"/>
              </w:rPr>
            </w:pPr>
            <w:r>
              <w:rPr>
                <w:bCs/>
                <w:sz w:val="16"/>
                <w:szCs w:val="16"/>
                <w:lang w:val="en-US" w:eastAsia="zh-CN"/>
              </w:rPr>
              <w:t>0.033</w:t>
            </w:r>
          </w:p>
        </w:tc>
        <w:tc>
          <w:tcPr>
            <w:tcW w:w="289" w:type="pct"/>
            <w:vAlign w:val="center"/>
          </w:tcPr>
          <w:p>
            <w:pPr>
              <w:spacing w:line="280" w:lineRule="exact"/>
              <w:jc w:val="center"/>
              <w:rPr>
                <w:bCs/>
                <w:sz w:val="16"/>
                <w:szCs w:val="16"/>
                <w:lang w:eastAsia="zh-CN"/>
              </w:rPr>
            </w:pPr>
            <w:r>
              <w:rPr>
                <w:bCs/>
                <w:sz w:val="16"/>
                <w:szCs w:val="16"/>
                <w:lang w:val="en-US" w:eastAsia="zh-CN"/>
              </w:rPr>
              <w:t>0.081</w:t>
            </w:r>
          </w:p>
        </w:tc>
        <w:tc>
          <w:tcPr>
            <w:tcW w:w="289" w:type="pct"/>
            <w:vAlign w:val="center"/>
          </w:tcPr>
          <w:p>
            <w:pPr>
              <w:spacing w:line="280" w:lineRule="exact"/>
              <w:jc w:val="center"/>
              <w:rPr>
                <w:bCs/>
                <w:sz w:val="16"/>
                <w:szCs w:val="16"/>
                <w:lang w:eastAsia="zh-CN"/>
              </w:rPr>
            </w:pPr>
            <w:r>
              <w:rPr>
                <w:bCs/>
                <w:sz w:val="16"/>
                <w:szCs w:val="16"/>
                <w:lang w:val="en-US" w:eastAsia="zh-CN"/>
              </w:rPr>
              <w:t>0.139</w:t>
            </w:r>
          </w:p>
        </w:tc>
        <w:tc>
          <w:tcPr>
            <w:tcW w:w="329" w:type="pct"/>
            <w:vAlign w:val="center"/>
          </w:tcPr>
          <w:p>
            <w:pPr>
              <w:spacing w:line="280" w:lineRule="exact"/>
              <w:jc w:val="center"/>
              <w:rPr>
                <w:bCs/>
                <w:sz w:val="16"/>
                <w:szCs w:val="16"/>
                <w:lang w:eastAsia="zh-CN"/>
              </w:rPr>
            </w:pPr>
            <w:r>
              <w:rPr>
                <w:bCs/>
                <w:sz w:val="16"/>
                <w:szCs w:val="16"/>
                <w:lang w:val="en-US" w:eastAsia="zh-CN"/>
              </w:rPr>
              <w:t>0.08</w:t>
            </w:r>
          </w:p>
        </w:tc>
        <w:tc>
          <w:tcPr>
            <w:tcW w:w="289" w:type="pct"/>
            <w:vAlign w:val="center"/>
          </w:tcPr>
          <w:p>
            <w:pPr>
              <w:spacing w:line="280" w:lineRule="exact"/>
              <w:jc w:val="center"/>
              <w:rPr>
                <w:bCs/>
                <w:sz w:val="16"/>
                <w:szCs w:val="16"/>
                <w:lang w:eastAsia="zh-CN"/>
              </w:rPr>
            </w:pPr>
            <w:r>
              <w:rPr>
                <w:bCs/>
                <w:sz w:val="16"/>
                <w:szCs w:val="16"/>
                <w:lang w:val="en-US" w:eastAsia="zh-CN"/>
              </w:rPr>
              <w:t>0.129</w:t>
            </w:r>
          </w:p>
        </w:tc>
        <w:tc>
          <w:tcPr>
            <w:tcW w:w="289" w:type="pct"/>
            <w:vAlign w:val="center"/>
          </w:tcPr>
          <w:p>
            <w:pPr>
              <w:spacing w:line="280" w:lineRule="exact"/>
              <w:jc w:val="center"/>
              <w:rPr>
                <w:bCs/>
                <w:sz w:val="16"/>
                <w:szCs w:val="16"/>
                <w:lang w:eastAsia="zh-CN"/>
              </w:rPr>
            </w:pPr>
            <w:r>
              <w:rPr>
                <w:bCs/>
                <w:sz w:val="16"/>
                <w:szCs w:val="16"/>
                <w:lang w:val="en-US" w:eastAsia="zh-CN"/>
              </w:rPr>
              <w:t>0.079</w:t>
            </w:r>
          </w:p>
        </w:tc>
        <w:tc>
          <w:tcPr>
            <w:tcW w:w="289" w:type="pct"/>
            <w:vAlign w:val="center"/>
          </w:tcPr>
          <w:p>
            <w:pPr>
              <w:spacing w:line="280" w:lineRule="exact"/>
              <w:jc w:val="center"/>
              <w:rPr>
                <w:bCs/>
                <w:sz w:val="16"/>
                <w:szCs w:val="16"/>
                <w:lang w:eastAsia="zh-CN"/>
              </w:rPr>
            </w:pPr>
            <w:r>
              <w:rPr>
                <w:bCs/>
                <w:sz w:val="16"/>
                <w:szCs w:val="16"/>
                <w:lang w:val="en-US" w:eastAsia="zh-CN"/>
              </w:rPr>
              <w:t>0.033</w:t>
            </w:r>
          </w:p>
        </w:tc>
        <w:tc>
          <w:tcPr>
            <w:tcW w:w="289" w:type="pct"/>
            <w:vAlign w:val="center"/>
          </w:tcPr>
          <w:p>
            <w:pPr>
              <w:spacing w:line="280" w:lineRule="exact"/>
              <w:jc w:val="center"/>
              <w:rPr>
                <w:bCs/>
                <w:sz w:val="16"/>
                <w:szCs w:val="16"/>
                <w:lang w:eastAsia="zh-CN"/>
              </w:rPr>
            </w:pPr>
            <w:r>
              <w:rPr>
                <w:bCs/>
                <w:sz w:val="16"/>
                <w:szCs w:val="16"/>
                <w:lang w:val="en-US" w:eastAsia="zh-CN"/>
              </w:rPr>
              <w:t>0.078</w:t>
            </w:r>
          </w:p>
        </w:tc>
      </w:tr>
    </w:tbl>
    <w:p>
      <w:pPr>
        <w:ind w:firstLine="400"/>
        <w:jc w:val="both"/>
        <w:rPr>
          <w:color w:val="000000" w:themeColor="text1"/>
          <w:sz w:val="20"/>
          <w:szCs w:val="20"/>
          <w:lang w:val="en-US"/>
          <w14:textFill>
            <w14:solidFill>
              <w14:schemeClr w14:val="tx1"/>
            </w14:solidFill>
          </w14:textFill>
        </w:rPr>
        <w:sectPr>
          <w:type w:val="continuous"/>
          <w:pgSz w:w="11906" w:h="16838"/>
          <w:pgMar w:top="1191" w:right="1077" w:bottom="1134" w:left="1077" w:header="851" w:footer="992" w:gutter="0"/>
          <w:cols w:space="454" w:num="1"/>
          <w:docGrid w:type="lines" w:linePitch="312" w:charSpace="0"/>
        </w:sectPr>
      </w:pPr>
    </w:p>
    <w:p>
      <w:pPr>
        <w:ind w:firstLine="400"/>
        <w:jc w:val="both"/>
        <w:rPr>
          <w:rFonts w:hint="default" w:ascii="Times New Roman" w:hAnsi="Times New Roman" w:cs="Times New Roman"/>
          <w:color w:val="000000" w:themeColor="text1"/>
          <w:sz w:val="20"/>
          <w:szCs w:val="20"/>
          <w:lang w:val="en-US"/>
          <w14:textFill>
            <w14:solidFill>
              <w14:schemeClr w14:val="tx1"/>
            </w14:solidFill>
          </w14:textFill>
        </w:rPr>
      </w:pPr>
      <w:r>
        <w:rPr>
          <w:rFonts w:hint="default" w:ascii="Times New Roman" w:hAnsi="Times New Roman" w:cs="Times New Roman"/>
          <w:color w:val="000000" w:themeColor="text1"/>
          <w:sz w:val="20"/>
          <w:szCs w:val="20"/>
          <w14:textFill>
            <w14:solidFill>
              <w14:schemeClr w14:val="tx1"/>
            </w14:solidFill>
          </w14:textFill>
        </w:rPr>
        <w:t xml:space="preserve">Table </w:t>
      </w:r>
      <w:r>
        <w:rPr>
          <w:rFonts w:hint="eastAsia" w:cs="Times New Roman"/>
          <w:color w:val="000000" w:themeColor="text1"/>
          <w:sz w:val="20"/>
          <w:szCs w:val="20"/>
          <w:lang w:val="en-US" w:eastAsia="zh-CN"/>
          <w14:textFill>
            <w14:solidFill>
              <w14:schemeClr w14:val="tx1"/>
            </w14:solidFill>
          </w14:textFill>
        </w:rPr>
        <w:t>4</w:t>
      </w:r>
      <w:r>
        <w:rPr>
          <w:rFonts w:hint="default" w:ascii="Times New Roman" w:hAnsi="Times New Roman" w:cs="Times New Roman"/>
          <w:color w:val="000000" w:themeColor="text1"/>
          <w:sz w:val="20"/>
          <w:szCs w:val="20"/>
          <w14:textFill>
            <w14:solidFill>
              <w14:schemeClr w14:val="tx1"/>
            </w14:solidFill>
          </w14:textFill>
        </w:rPr>
        <w:t xml:space="preserve"> indicates that the harmonic voltage distribution in the low-voltage network follows a consistent pattern.</w:t>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 Specifically, the harmonic magnitude decreases with increasing order. Adjacent odd-order harmonics are generally larger than the corresponding even-order ones, except for the 3</w:t>
      </w:r>
      <w:r>
        <w:rPr>
          <w:rFonts w:hint="default" w:ascii="Times New Roman" w:hAnsi="Times New Roman" w:cs="Times New Roman"/>
          <w:color w:val="000000" w:themeColor="text1"/>
          <w:sz w:val="20"/>
          <w:szCs w:val="20"/>
          <w:vertAlign w:val="superscript"/>
          <w:lang w:val="en-US" w:eastAsia="zh-CN"/>
          <w14:textFill>
            <w14:solidFill>
              <w14:schemeClr w14:val="tx1"/>
            </w14:solidFill>
          </w14:textFill>
        </w:rPr>
        <w:t>rd</w:t>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 order and its integer multiples, which are comparatively lower. The damping ratio (</w:t>
      </w:r>
      <w:r>
        <w:rPr>
          <w:rFonts w:hint="default" w:ascii="Times New Roman" w:hAnsi="Times New Roman" w:cs="Times New Roman"/>
          <w:i/>
          <w:iCs/>
          <w:color w:val="000000" w:themeColor="text1"/>
          <w:sz w:val="20"/>
          <w:szCs w:val="20"/>
          <w:lang w:val="en-US" w:eastAsia="zh-CN"/>
          <w14:textFill>
            <w14:solidFill>
              <w14:schemeClr w14:val="tx1"/>
            </w14:solidFill>
          </w14:textFill>
        </w:rPr>
        <w:t>ξ</w:t>
      </w:r>
      <w:r>
        <w:rPr>
          <w:rFonts w:hint="default" w:ascii="Times New Roman" w:hAnsi="Times New Roman" w:cs="Times New Roman"/>
          <w:color w:val="000000" w:themeColor="text1"/>
          <w:sz w:val="20"/>
          <w:szCs w:val="20"/>
          <w:lang w:val="en-US" w:eastAsia="zh-CN"/>
          <w14:textFill>
            <w14:solidFill>
              <w14:schemeClr w14:val="tx1"/>
            </w14:solidFill>
          </w14:textFill>
        </w:rPr>
        <w:t>) required to meet the harmonic limits of DG grid-connected currents is higher for odd orders and lower for even orders.</w:t>
      </w:r>
      <w:r>
        <w:rPr>
          <w:rFonts w:hint="eastAsia" w:ascii="Times New Roman" w:hAnsi="Times New Roman" w:cs="Times New Roman"/>
          <w:color w:val="000000" w:themeColor="text1"/>
          <w:sz w:val="20"/>
          <w:szCs w:val="20"/>
          <w:lang w:val="en-US" w:eastAsia="zh-CN"/>
          <w14:textFill>
            <w14:solidFill>
              <w14:schemeClr w14:val="tx1"/>
            </w14:solidFill>
          </w14:textFill>
        </w:rPr>
        <w:t xml:space="preserve"> </w:t>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Therefore, the pole (resonant) frequency of the distribution network should be placed as close as possible to an even-order harmonic, and the corresponding pole eigenvalue should maintain a damping ratio of </w:t>
      </w:r>
      <w:r>
        <w:rPr>
          <w:rFonts w:hint="default" w:ascii="Times New Roman" w:hAnsi="Times New Roman" w:cs="Times New Roman"/>
          <w:i/>
          <w:iCs/>
          <w:color w:val="000000" w:themeColor="text1"/>
          <w:sz w:val="20"/>
          <w:szCs w:val="20"/>
          <w:lang w:val="en-US" w:eastAsia="zh-CN"/>
          <w14:textFill>
            <w14:solidFill>
              <w14:schemeClr w14:val="tx1"/>
            </w14:solidFill>
          </w14:textFill>
        </w:rPr>
        <w:t>ξ</w:t>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 ≥ 0.2 to satisfy the harmonic-limit requirements for DG grid connection.</w:t>
      </w:r>
    </w:p>
    <w:p>
      <w:pPr>
        <w:pStyle w:val="44"/>
        <w:numPr>
          <w:ilvl w:val="0"/>
          <w:numId w:val="0"/>
        </w:numPr>
        <w:ind w:left="360"/>
        <w:rPr>
          <w:color w:val="000000" w:themeColor="text1"/>
          <w14:textFill>
            <w14:solidFill>
              <w14:schemeClr w14:val="tx1"/>
            </w14:solidFill>
          </w14:textFill>
        </w:rPr>
      </w:pPr>
      <w:r>
        <w:rPr>
          <w:color w:val="000000" w:themeColor="text1"/>
          <w14:textFill>
            <w14:solidFill>
              <w14:schemeClr w14:val="tx1"/>
            </w14:solidFill>
          </w14:textFill>
        </w:rPr>
        <w:t xml:space="preserve">3.3 </w:t>
      </w:r>
      <w:r>
        <w:rPr>
          <w:rFonts w:hint="eastAsia"/>
          <w:color w:val="000000" w:themeColor="text1"/>
          <w14:textFill>
            <w14:solidFill>
              <w14:schemeClr w14:val="tx1"/>
            </w14:solidFill>
          </w14:textFill>
        </w:rPr>
        <w:t xml:space="preserve">General Procedure for </w:t>
      </w:r>
      <w:r>
        <w:rPr>
          <w:rFonts w:hint="eastAsia"/>
          <w:color w:val="000000" w:themeColor="text1"/>
          <w:lang w:val="en-US" w:eastAsia="zh-CN"/>
          <w14:textFill>
            <w14:solidFill>
              <w14:schemeClr w14:val="tx1"/>
            </w14:solidFill>
          </w14:textFill>
        </w:rPr>
        <w:t>P</w:t>
      </w:r>
      <w:r>
        <w:rPr>
          <w:rFonts w:hint="eastAsia"/>
          <w:color w:val="000000" w:themeColor="text1"/>
          <w14:textFill>
            <w14:solidFill>
              <w14:schemeClr w14:val="tx1"/>
            </w14:solidFill>
          </w14:textFill>
        </w:rPr>
        <w:t xml:space="preserve">arameter </w:t>
      </w:r>
      <w:r>
        <w:rPr>
          <w:rFonts w:hint="eastAsia"/>
          <w:color w:val="000000" w:themeColor="text1"/>
          <w:lang w:val="en-US" w:eastAsia="zh-CN"/>
          <w14:textFill>
            <w14:solidFill>
              <w14:schemeClr w14:val="tx1"/>
            </w14:solidFill>
          </w14:textFill>
        </w:rPr>
        <w:t>D</w:t>
      </w:r>
      <w:r>
        <w:rPr>
          <w:rFonts w:hint="eastAsia"/>
          <w:color w:val="000000" w:themeColor="text1"/>
          <w14:textFill>
            <w14:solidFill>
              <w14:schemeClr w14:val="tx1"/>
            </w14:solidFill>
          </w14:textFill>
        </w:rPr>
        <w:t xml:space="preserve">esign of </w:t>
      </w:r>
      <w:r>
        <w:rPr>
          <w:rFonts w:hint="eastAsia"/>
          <w:color w:val="000000" w:themeColor="text1"/>
          <w:lang w:val="en-US" w:eastAsia="zh-CN"/>
          <w14:textFill>
            <w14:solidFill>
              <w14:schemeClr w14:val="tx1"/>
            </w14:solidFill>
          </w14:textFill>
        </w:rPr>
        <w:t>D</w:t>
      </w:r>
      <w:r>
        <w:rPr>
          <w:rFonts w:hint="eastAsia"/>
          <w:color w:val="000000" w:themeColor="text1"/>
          <w14:textFill>
            <w14:solidFill>
              <w14:schemeClr w14:val="tx1"/>
            </w14:solidFill>
          </w14:textFill>
        </w:rPr>
        <w:t>irect-</w:t>
      </w:r>
      <w:r>
        <w:rPr>
          <w:rFonts w:hint="eastAsia"/>
          <w:color w:val="000000" w:themeColor="text1"/>
          <w:lang w:val="en-US" w:eastAsia="zh-CN"/>
          <w14:textFill>
            <w14:solidFill>
              <w14:schemeClr w14:val="tx1"/>
            </w14:solidFill>
          </w14:textFill>
        </w:rPr>
        <w:t>M</w:t>
      </w:r>
      <w:r>
        <w:rPr>
          <w:rFonts w:hint="eastAsia"/>
          <w:color w:val="000000" w:themeColor="text1"/>
          <w14:textFill>
            <w14:solidFill>
              <w14:schemeClr w14:val="tx1"/>
            </w14:solidFill>
          </w14:textFill>
        </w:rPr>
        <w:t xml:space="preserve">ounted </w:t>
      </w:r>
      <w:r>
        <w:rPr>
          <w:rFonts w:hint="eastAsia"/>
          <w:color w:val="000000" w:themeColor="text1"/>
          <w:lang w:val="en-US" w:eastAsia="zh-CN"/>
          <w14:textFill>
            <w14:solidFill>
              <w14:schemeClr w14:val="tx1"/>
            </w14:solidFill>
          </w14:textFill>
        </w:rPr>
        <w:t>D</w:t>
      </w:r>
      <w:r>
        <w:rPr>
          <w:rFonts w:hint="eastAsia"/>
          <w:color w:val="000000" w:themeColor="text1"/>
          <w14:textFill>
            <w14:solidFill>
              <w14:schemeClr w14:val="tx1"/>
            </w14:solidFill>
          </w14:textFill>
        </w:rPr>
        <w:t xml:space="preserve">amping </w:t>
      </w:r>
      <w:r>
        <w:rPr>
          <w:rFonts w:hint="eastAsia"/>
          <w:color w:val="000000" w:themeColor="text1"/>
          <w:lang w:val="en-US" w:eastAsia="zh-CN"/>
          <w14:textFill>
            <w14:solidFill>
              <w14:schemeClr w14:val="tx1"/>
            </w14:solidFill>
          </w14:textFill>
        </w:rPr>
        <w:t>D</w:t>
      </w:r>
      <w:r>
        <w:rPr>
          <w:rFonts w:hint="eastAsia"/>
          <w:color w:val="000000" w:themeColor="text1"/>
          <w14:textFill>
            <w14:solidFill>
              <w14:schemeClr w14:val="tx1"/>
            </w14:solidFill>
          </w14:textFill>
        </w:rPr>
        <w:t>evice</w:t>
      </w:r>
    </w:p>
    <w:p>
      <w:pPr>
        <w:ind w:firstLine="400"/>
        <w:jc w:val="both"/>
        <w:rPr>
          <w:rFonts w:hint="default" w:ascii="Times New Roman" w:hAnsi="Times New Roman" w:cs="Times New Roman"/>
          <w:color w:val="000000" w:themeColor="text1"/>
          <w:sz w:val="20"/>
          <w:szCs w:val="20"/>
          <w14:textFill>
            <w14:solidFill>
              <w14:schemeClr w14:val="tx1"/>
            </w14:solidFill>
          </w14:textFill>
        </w:rPr>
      </w:pPr>
      <w:r>
        <w:rPr>
          <w:rFonts w:hint="default" w:ascii="Times New Roman" w:hAnsi="Times New Roman" w:cs="Times New Roman"/>
          <w:color w:val="000000" w:themeColor="text1"/>
          <w:sz w:val="20"/>
          <w:szCs w:val="20"/>
          <w14:textFill>
            <w14:solidFill>
              <w14:schemeClr w14:val="tx1"/>
            </w14:solidFill>
          </w14:textFill>
        </w:rPr>
        <w:t>Based on the above analysis, the fundamental frequency loss caused by the direct-mounted damping device can be kept below a specified threshold by appropriately setting the upper limits of its parameters.</w:t>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 Parameter design should take the system’s characteristic roots as the primary optimization objective. Specifically, the following conditions </w:t>
      </w:r>
      <w:r>
        <w:rPr>
          <w:rFonts w:hint="eastAsia" w:ascii="Times New Roman" w:hAnsi="Times New Roman" w:cs="Times New Roman"/>
          <w:color w:val="000000" w:themeColor="text1"/>
          <w:sz w:val="20"/>
          <w:szCs w:val="20"/>
          <w:lang w:val="en-US" w:eastAsia="zh-CN"/>
          <w14:textFill>
            <w14:solidFill>
              <w14:schemeClr w14:val="tx1"/>
            </w14:solidFill>
          </w14:textFill>
        </w:rPr>
        <w:t>should</w:t>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 be satisfied:</w:t>
      </w:r>
    </w:p>
    <w:p>
      <w:pPr>
        <w:keepNext w:val="0"/>
        <w:keepLines w:val="0"/>
        <w:pageBreakBefore w:val="0"/>
        <w:widowControl/>
        <w:numPr>
          <w:ilvl w:val="0"/>
          <w:numId w:val="0"/>
        </w:numPr>
        <w:kinsoku/>
        <w:wordWrap/>
        <w:overflowPunct/>
        <w:topLinePunct w:val="0"/>
        <w:autoSpaceDE/>
        <w:autoSpaceDN/>
        <w:bidi w:val="0"/>
        <w:adjustRightInd/>
        <w:snapToGrid/>
        <w:ind w:firstLine="403"/>
        <w:jc w:val="both"/>
        <w:textAlignment w:val="auto"/>
        <w:rPr>
          <w:rFonts w:hint="default" w:ascii="Times New Roman" w:hAnsi="Times New Roman" w:cs="Times New Roman"/>
          <w:color w:val="000000" w:themeColor="text1"/>
          <w:sz w:val="20"/>
          <w:szCs w:val="20"/>
          <w14:textFill>
            <w14:solidFill>
              <w14:schemeClr w14:val="tx1"/>
            </w14:solidFill>
          </w14:textFill>
        </w:rPr>
      </w:pPr>
      <w:r>
        <w:rPr>
          <w:rFonts w:hint="eastAsia" w:ascii="Times New Roman" w:hAnsi="Times New Roman" w:cs="Times New Roman"/>
          <w:color w:val="000000" w:themeColor="text1"/>
          <w:sz w:val="20"/>
          <w:szCs w:val="20"/>
          <w:lang w:val="en-US" w:eastAsia="zh-CN"/>
          <w14:textFill>
            <w14:solidFill>
              <w14:schemeClr w14:val="tx1"/>
            </w14:solidFill>
          </w14:textFill>
        </w:rPr>
        <w:t xml:space="preserve">1) </w:t>
      </w:r>
      <w:r>
        <w:rPr>
          <w:rFonts w:hint="default" w:ascii="Times New Roman" w:hAnsi="Times New Roman" w:cs="Times New Roman"/>
          <w:color w:val="000000" w:themeColor="text1"/>
          <w:sz w:val="20"/>
          <w:szCs w:val="20"/>
          <w14:textFill>
            <w14:solidFill>
              <w14:schemeClr w14:val="tx1"/>
            </w14:solidFill>
          </w14:textFill>
        </w:rPr>
        <w:t>After connecting the parallel damping device, the system’s resonant frequency should be close to an even-order harmonic, where the imaginary part of the characteristic root equals an integer multiple of 2π·100;</w:t>
      </w:r>
    </w:p>
    <w:p>
      <w:pPr>
        <w:ind w:firstLine="400"/>
        <w:rPr>
          <w:color w:val="000000" w:themeColor="text1"/>
          <w:sz w:val="20"/>
          <w:szCs w:val="20"/>
          <w14:textFill>
            <w14:solidFill>
              <w14:schemeClr w14:val="tx1"/>
            </w14:solidFill>
          </w14:textFill>
        </w:rPr>
      </w:pPr>
      <w:r>
        <w:rPr>
          <w:color w:val="000000" w:themeColor="text1"/>
          <w:sz w:val="20"/>
          <w:szCs w:val="20"/>
          <w14:textFill>
            <w14:solidFill>
              <w14:schemeClr w14:val="tx1"/>
            </w14:solidFill>
          </w14:textFill>
        </w:rPr>
        <w:t xml:space="preserve">2) </w:t>
      </w:r>
      <w:r>
        <w:rPr>
          <w:rFonts w:hint="eastAsia"/>
          <w:color w:val="000000" w:themeColor="text1"/>
          <w:sz w:val="20"/>
          <w:szCs w:val="20"/>
          <w14:textFill>
            <w14:solidFill>
              <w14:schemeClr w14:val="tx1"/>
            </w14:solidFill>
          </w14:textFill>
        </w:rPr>
        <w:t>The damping ratio corresponding to the</w:t>
      </w:r>
      <w:r>
        <w:rPr>
          <w:rFonts w:hint="eastAsia"/>
          <w:color w:val="000000" w:themeColor="text1"/>
          <w:sz w:val="20"/>
          <w:szCs w:val="20"/>
          <w:lang w:val="en-US" w:eastAsia="zh-CN"/>
          <w14:textFill>
            <w14:solidFill>
              <w14:schemeClr w14:val="tx1"/>
            </w14:solidFill>
          </w14:textFill>
        </w:rPr>
        <w:t xml:space="preserve"> </w:t>
      </w:r>
      <w:r>
        <w:rPr>
          <w:rFonts w:hint="eastAsia"/>
          <w:color w:val="000000" w:themeColor="text1"/>
          <w:sz w:val="20"/>
          <w:szCs w:val="20"/>
          <w14:textFill>
            <w14:solidFill>
              <w14:schemeClr w14:val="tx1"/>
            </w14:solidFill>
          </w14:textFill>
        </w:rPr>
        <w:t>characteristic root should satisfy</w:t>
      </w:r>
      <w:r>
        <w:rPr>
          <w:rFonts w:hint="default" w:ascii="Times New Roman" w:hAnsi="Times New Roman" w:cs="Times New Roman"/>
          <w:color w:val="000000" w:themeColor="text1"/>
          <w:sz w:val="20"/>
          <w:szCs w:val="20"/>
          <w14:textFill>
            <w14:solidFill>
              <w14:schemeClr w14:val="tx1"/>
            </w14:solidFill>
          </w14:textFill>
        </w:rPr>
        <w:t xml:space="preserve"> </w:t>
      </w:r>
      <w:r>
        <w:rPr>
          <w:rFonts w:hint="default" w:ascii="Times New Roman" w:hAnsi="Times New Roman" w:cs="Times New Roman"/>
          <w:i/>
          <w:iCs/>
          <w:color w:val="000000" w:themeColor="text1"/>
          <w:sz w:val="20"/>
          <w:szCs w:val="20"/>
          <w14:textFill>
            <w14:solidFill>
              <w14:schemeClr w14:val="tx1"/>
            </w14:solidFill>
          </w14:textFill>
        </w:rPr>
        <w:t>ξ</w:t>
      </w:r>
      <w:r>
        <w:rPr>
          <w:rFonts w:hint="default" w:ascii="Times New Roman" w:hAnsi="Times New Roman" w:cs="Times New Roman"/>
          <w:color w:val="000000" w:themeColor="text1"/>
          <w:sz w:val="20"/>
          <w:szCs w:val="20"/>
          <w14:textFill>
            <w14:solidFill>
              <w14:schemeClr w14:val="tx1"/>
            </w14:solidFill>
          </w14:textFill>
        </w:rPr>
        <w:t xml:space="preserve"> ≥ 0.2 to e</w:t>
      </w:r>
      <w:r>
        <w:rPr>
          <w:rFonts w:hint="eastAsia"/>
          <w:color w:val="000000" w:themeColor="text1"/>
          <w:sz w:val="20"/>
          <w:szCs w:val="20"/>
          <w14:textFill>
            <w14:solidFill>
              <w14:schemeClr w14:val="tx1"/>
            </w14:solidFill>
          </w14:textFill>
        </w:rPr>
        <w:t>nsure system stability.</w:t>
      </w:r>
    </w:p>
    <w:p>
      <w:pPr>
        <w:ind w:firstLine="400"/>
        <w:jc w:val="both"/>
        <w:rPr>
          <w:color w:val="000000" w:themeColor="text1"/>
          <w:sz w:val="20"/>
          <w:szCs w:val="20"/>
          <w14:textFill>
            <w14:solidFill>
              <w14:schemeClr w14:val="tx1"/>
            </w14:solidFill>
          </w14:textFill>
        </w:rPr>
      </w:pPr>
      <w:r>
        <w:rPr>
          <w:rFonts w:hint="eastAsia"/>
          <w:color w:val="000000" w:themeColor="text1"/>
          <w:sz w:val="20"/>
          <w:szCs w:val="20"/>
          <w14:textFill>
            <w14:solidFill>
              <w14:schemeClr w14:val="tx1"/>
            </w14:solidFill>
          </w14:textFill>
        </w:rPr>
        <w:t>Particle Swarm Optimization (PSO) is an algorithm characterized by strong convergence and fast search performance.</w:t>
      </w:r>
      <w:r>
        <w:rPr>
          <w:color w:val="000000" w:themeColor="text1"/>
          <w:sz w:val="20"/>
          <w:szCs w:val="20"/>
          <w14:textFill>
            <w14:solidFill>
              <w14:schemeClr w14:val="tx1"/>
            </w14:solidFill>
          </w14:textFill>
        </w:rPr>
        <w:t xml:space="preserve"> </w:t>
      </w:r>
      <w:r>
        <w:rPr>
          <w:rFonts w:hint="eastAsia"/>
          <w:color w:val="000000" w:themeColor="text1"/>
          <w:sz w:val="20"/>
          <w:szCs w:val="20"/>
          <w14:textFill>
            <w14:solidFill>
              <w14:schemeClr w14:val="tx1"/>
            </w14:solidFill>
          </w14:textFill>
        </w:rPr>
        <w:t>It has been widely applied to the parameter design of passive filter devices and is adopted here as the optimization algorithm for determining the damping device parameters</w:t>
      </w:r>
      <w:r>
        <w:rPr>
          <w:rFonts w:hint="eastAsia"/>
          <w:color w:val="000000" w:themeColor="text1"/>
          <w:sz w:val="20"/>
          <w:szCs w:val="20"/>
          <w:vertAlign w:val="superscript"/>
          <w14:textFill>
            <w14:solidFill>
              <w14:schemeClr w14:val="tx1"/>
            </w14:solidFill>
          </w14:textFill>
        </w:rPr>
        <w:t>[3</w:t>
      </w:r>
      <w:r>
        <w:rPr>
          <w:rFonts w:hint="eastAsia"/>
          <w:color w:val="000000" w:themeColor="text1"/>
          <w:sz w:val="20"/>
          <w:szCs w:val="20"/>
          <w:vertAlign w:val="superscript"/>
          <w:lang w:val="en-US" w:eastAsia="zh-CN"/>
          <w14:textFill>
            <w14:solidFill>
              <w14:schemeClr w14:val="tx1"/>
            </w14:solidFill>
          </w14:textFill>
        </w:rPr>
        <w:t>1</w:t>
      </w:r>
      <w:r>
        <w:rPr>
          <w:rFonts w:hint="eastAsia"/>
          <w:color w:val="000000" w:themeColor="text1"/>
          <w:sz w:val="20"/>
          <w:szCs w:val="20"/>
          <w:vertAlign w:val="superscript"/>
          <w14:textFill>
            <w14:solidFill>
              <w14:schemeClr w14:val="tx1"/>
            </w14:solidFill>
          </w14:textFill>
        </w:rPr>
        <w:t>]</w:t>
      </w:r>
      <w:r>
        <w:rPr>
          <w:rFonts w:hint="eastAsia"/>
          <w:color w:val="000000" w:themeColor="text1"/>
          <w:sz w:val="20"/>
          <w:szCs w:val="20"/>
          <w14:textFill>
            <w14:solidFill>
              <w14:schemeClr w14:val="tx1"/>
            </w14:solidFill>
          </w14:textFill>
        </w:rPr>
        <w:t>.</w:t>
      </w:r>
      <w:r>
        <w:rPr>
          <w:color w:val="000000" w:themeColor="text1"/>
          <w:sz w:val="20"/>
          <w:szCs w:val="20"/>
          <w14:textFill>
            <w14:solidFill>
              <w14:schemeClr w14:val="tx1"/>
            </w14:solidFill>
          </w14:textFill>
        </w:rPr>
        <w:t xml:space="preserve"> </w:t>
      </w:r>
      <w:r>
        <w:rPr>
          <w:rFonts w:hint="eastAsia"/>
          <w:color w:val="000000" w:themeColor="text1"/>
          <w:sz w:val="20"/>
          <w:szCs w:val="20"/>
          <w14:textFill>
            <w14:solidFill>
              <w14:schemeClr w14:val="tx1"/>
            </w14:solidFill>
          </w14:textFill>
        </w:rPr>
        <w:t>The detailed parameter design procedure is illustrated in Fig</w:t>
      </w:r>
      <w:r>
        <w:rPr>
          <w:rFonts w:hint="eastAsia"/>
          <w:color w:val="000000" w:themeColor="text1"/>
          <w:sz w:val="20"/>
          <w:szCs w:val="20"/>
          <w:lang w:val="en-US" w:eastAsia="zh-CN"/>
          <w14:textFill>
            <w14:solidFill>
              <w14:schemeClr w14:val="tx1"/>
            </w14:solidFill>
          </w14:textFill>
        </w:rPr>
        <w:t>.</w:t>
      </w:r>
      <w:r>
        <w:rPr>
          <w:rFonts w:hint="eastAsia"/>
          <w:color w:val="000000" w:themeColor="text1"/>
          <w:sz w:val="20"/>
          <w:szCs w:val="20"/>
          <w14:textFill>
            <w14:solidFill>
              <w14:schemeClr w14:val="tx1"/>
            </w14:solidFill>
          </w14:textFill>
        </w:rPr>
        <w:t xml:space="preserve"> </w:t>
      </w:r>
      <w:r>
        <w:rPr>
          <w:rFonts w:hint="eastAsia"/>
          <w:color w:val="000000" w:themeColor="text1"/>
          <w:sz w:val="20"/>
          <w:szCs w:val="20"/>
          <w:lang w:val="en-US" w:eastAsia="zh-CN"/>
          <w14:textFill>
            <w14:solidFill>
              <w14:schemeClr w14:val="tx1"/>
            </w14:solidFill>
          </w14:textFill>
        </w:rPr>
        <w:t>6</w:t>
      </w:r>
      <w:r>
        <w:rPr>
          <w:rFonts w:hint="eastAsia"/>
          <w:color w:val="000000" w:themeColor="text1"/>
          <w:sz w:val="20"/>
          <w:szCs w:val="20"/>
          <w14:textFill>
            <w14:solidFill>
              <w14:schemeClr w14:val="tx1"/>
            </w14:solidFill>
          </w14:textFill>
        </w:rPr>
        <w:t>.</w:t>
      </w:r>
    </w:p>
    <w:p>
      <w:pPr>
        <w:keepNext w:val="0"/>
        <w:keepLines w:val="0"/>
        <w:pageBreakBefore w:val="0"/>
        <w:widowControl/>
        <w:kinsoku/>
        <w:wordWrap/>
        <w:overflowPunct/>
        <w:topLinePunct w:val="0"/>
        <w:autoSpaceDE/>
        <w:autoSpaceDN/>
        <w:bidi w:val="0"/>
        <w:adjustRightInd/>
        <w:snapToGrid/>
        <w:jc w:val="center"/>
        <w:textAlignment w:val="auto"/>
      </w:pPr>
      <w:r>
        <w:rPr>
          <w:color w:val="000000" w:themeColor="text1"/>
          <w:sz w:val="20"/>
          <w:szCs w:val="20"/>
          <w14:textFill>
            <w14:solidFill>
              <w14:schemeClr w14:val="tx1"/>
            </w14:solidFill>
          </w14:textFill>
        </w:rPr>
        <w:object>
          <v:shape id="_x0000_i1039" o:spt="75" type="#_x0000_t75" style="height:230.8pt;width:232.75pt;" o:ole="t" filled="f" o:preferrelative="t" stroked="f" coordsize="21600,21600">
            <v:path/>
            <v:fill on="f" focussize="0,0"/>
            <v:stroke on="f"/>
            <v:imagedata r:id="rId45" o:title=""/>
            <o:lock v:ext="edit" aspectratio="f"/>
            <w10:wrap type="none"/>
            <w10:anchorlock/>
          </v:shape>
          <o:OLEObject Type="Embed" ProgID="Visio.Drawing.15" ShapeID="_x0000_i1039" DrawAspect="Content" ObjectID="_1468075739" r:id="rId44">
            <o:LockedField>false</o:LockedField>
          </o:OLEObject>
        </w:object>
      </w:r>
    </w:p>
    <w:p>
      <w:pPr>
        <w:jc w:val="center"/>
        <w:rPr>
          <w:i/>
          <w:iCs/>
          <w:color w:val="000000" w:themeColor="text1"/>
          <w:sz w:val="20"/>
          <w:szCs w:val="20"/>
          <w:lang w:val="en-US"/>
          <w14:textFill>
            <w14:solidFill>
              <w14:schemeClr w14:val="tx1"/>
            </w14:solidFill>
          </w14:textFill>
        </w:rPr>
      </w:pPr>
      <w:r>
        <w:rPr>
          <w:rFonts w:hint="eastAsia"/>
          <w:b/>
          <w:bCs/>
          <w:i/>
          <w:iCs/>
          <w:color w:val="000000" w:themeColor="text1"/>
          <w:sz w:val="20"/>
          <w:szCs w:val="20"/>
          <w:lang w:val="en-US"/>
          <w14:textFill>
            <w14:solidFill>
              <w14:schemeClr w14:val="tx1"/>
            </w14:solidFill>
          </w14:textFill>
        </w:rPr>
        <w:t>F</w:t>
      </w:r>
      <w:r>
        <w:rPr>
          <w:b/>
          <w:bCs/>
          <w:i/>
          <w:iCs/>
          <w:color w:val="000000" w:themeColor="text1"/>
          <w:sz w:val="20"/>
          <w:szCs w:val="20"/>
          <w:lang w:val="en-US"/>
          <w14:textFill>
            <w14:solidFill>
              <w14:schemeClr w14:val="tx1"/>
            </w14:solidFill>
          </w14:textFill>
        </w:rPr>
        <w:t xml:space="preserve">ig. </w:t>
      </w:r>
      <w:r>
        <w:rPr>
          <w:rFonts w:hint="eastAsia"/>
          <w:b/>
          <w:bCs/>
          <w:i/>
          <w:iCs/>
          <w:color w:val="000000" w:themeColor="text1"/>
          <w:sz w:val="20"/>
          <w:szCs w:val="20"/>
          <w:lang w:val="en-US" w:eastAsia="zh-CN"/>
          <w14:textFill>
            <w14:solidFill>
              <w14:schemeClr w14:val="tx1"/>
            </w14:solidFill>
          </w14:textFill>
        </w:rPr>
        <w:t>6</w:t>
      </w:r>
      <w:r>
        <w:rPr>
          <w:i/>
          <w:iCs/>
          <w:color w:val="000000" w:themeColor="text1"/>
          <w:sz w:val="20"/>
          <w:szCs w:val="20"/>
          <w:lang w:val="en-US"/>
          <w14:textFill>
            <w14:solidFill>
              <w14:schemeClr w14:val="tx1"/>
            </w14:solidFill>
          </w14:textFill>
        </w:rPr>
        <w:t xml:space="preserve"> </w:t>
      </w:r>
      <w:r>
        <w:rPr>
          <w:rFonts w:hint="eastAsia"/>
          <w:i/>
          <w:iCs/>
          <w:color w:val="000000" w:themeColor="text1"/>
          <w:sz w:val="20"/>
          <w:szCs w:val="20"/>
          <w14:textFill>
            <w14:solidFill>
              <w14:schemeClr w14:val="tx1"/>
            </w14:solidFill>
          </w14:textFill>
        </w:rPr>
        <w:t>Procedure</w:t>
      </w:r>
      <w:r>
        <w:rPr>
          <w:rFonts w:hint="eastAsia"/>
          <w:i/>
          <w:iCs/>
          <w:color w:val="000000" w:themeColor="text1"/>
          <w:sz w:val="20"/>
          <w:szCs w:val="20"/>
          <w:lang w:val="en-US" w:eastAsia="zh-CN"/>
          <w14:textFill>
            <w14:solidFill>
              <w14:schemeClr w14:val="tx1"/>
            </w14:solidFill>
          </w14:textFill>
        </w:rPr>
        <w:t xml:space="preserve"> </w:t>
      </w:r>
      <w:r>
        <w:rPr>
          <w:i/>
          <w:iCs/>
          <w:color w:val="000000" w:themeColor="text1"/>
          <w:sz w:val="20"/>
          <w:szCs w:val="20"/>
          <w14:textFill>
            <w14:solidFill>
              <w14:schemeClr w14:val="tx1"/>
            </w14:solidFill>
          </w14:textFill>
        </w:rPr>
        <w:t xml:space="preserve">for the </w:t>
      </w:r>
      <w:r>
        <w:rPr>
          <w:rFonts w:hint="eastAsia"/>
          <w:i/>
          <w:iCs/>
          <w:color w:val="000000" w:themeColor="text1"/>
          <w:sz w:val="20"/>
          <w:szCs w:val="20"/>
          <w14:textFill>
            <w14:solidFill>
              <w14:schemeClr w14:val="tx1"/>
            </w14:solidFill>
          </w14:textFill>
        </w:rPr>
        <w:t>p</w:t>
      </w:r>
      <w:r>
        <w:rPr>
          <w:i/>
          <w:iCs/>
          <w:color w:val="000000" w:themeColor="text1"/>
          <w:sz w:val="20"/>
          <w:szCs w:val="20"/>
          <w14:textFill>
            <w14:solidFill>
              <w14:schemeClr w14:val="tx1"/>
            </w14:solidFill>
          </w14:textFill>
        </w:rPr>
        <w:t xml:space="preserve">arameter </w:t>
      </w:r>
      <w:r>
        <w:rPr>
          <w:rFonts w:hint="eastAsia"/>
          <w:i/>
          <w:iCs/>
          <w:color w:val="000000" w:themeColor="text1"/>
          <w:sz w:val="20"/>
          <w:szCs w:val="20"/>
          <w14:textFill>
            <w14:solidFill>
              <w14:schemeClr w14:val="tx1"/>
            </w14:solidFill>
          </w14:textFill>
        </w:rPr>
        <w:t>d</w:t>
      </w:r>
      <w:r>
        <w:rPr>
          <w:i/>
          <w:iCs/>
          <w:color w:val="000000" w:themeColor="text1"/>
          <w:sz w:val="20"/>
          <w:szCs w:val="20"/>
          <w14:textFill>
            <w14:solidFill>
              <w14:schemeClr w14:val="tx1"/>
            </w14:solidFill>
          </w14:textFill>
        </w:rPr>
        <w:t xml:space="preserve">esign of the </w:t>
      </w:r>
      <w:r>
        <w:rPr>
          <w:rFonts w:hint="eastAsia"/>
          <w:i/>
          <w:iCs/>
          <w:color w:val="000000" w:themeColor="text1"/>
          <w:sz w:val="20"/>
          <w:szCs w:val="20"/>
          <w14:textFill>
            <w14:solidFill>
              <w14:schemeClr w14:val="tx1"/>
            </w14:solidFill>
          </w14:textFill>
        </w:rPr>
        <w:t>direct-mounted damping device</w:t>
      </w:r>
    </w:p>
    <w:p>
      <w:pPr>
        <w:pStyle w:val="40"/>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Verification of the Direct-Mounted Damping Device’s Effectiveness in Multi-Modal Resonance Suppression</w:t>
      </w:r>
    </w:p>
    <w:p>
      <w:pPr>
        <w:ind w:firstLine="400"/>
        <w:jc w:val="both"/>
        <w:rPr>
          <w:color w:val="000000" w:themeColor="text1"/>
          <w:sz w:val="20"/>
          <w:szCs w:val="20"/>
          <w14:textFill>
            <w14:solidFill>
              <w14:schemeClr w14:val="tx1"/>
            </w14:solidFill>
          </w14:textFill>
        </w:rPr>
      </w:pPr>
      <w:r>
        <w:rPr>
          <w:rFonts w:hint="eastAsia"/>
          <w:color w:val="000000" w:themeColor="text1"/>
          <w:sz w:val="20"/>
          <w:szCs w:val="20"/>
          <w14:textFill>
            <w14:solidFill>
              <w14:schemeClr w14:val="tx1"/>
            </w14:solidFill>
          </w14:textFill>
        </w:rPr>
        <w:t>The equivalent grid inductance of the system shown in Fig</w:t>
      </w:r>
      <w:r>
        <w:rPr>
          <w:rFonts w:hint="eastAsia"/>
          <w:color w:val="000000" w:themeColor="text1"/>
          <w:sz w:val="20"/>
          <w:szCs w:val="20"/>
          <w:lang w:val="en-US" w:eastAsia="zh-CN"/>
          <w14:textFill>
            <w14:solidFill>
              <w14:schemeClr w14:val="tx1"/>
            </w14:solidFill>
          </w14:textFill>
        </w:rPr>
        <w:t>.</w:t>
      </w:r>
      <w:r>
        <w:rPr>
          <w:rFonts w:hint="eastAsia"/>
          <w:color w:val="000000" w:themeColor="text1"/>
          <w:sz w:val="20"/>
          <w:szCs w:val="20"/>
          <w14:textFill>
            <w14:solidFill>
              <w14:schemeClr w14:val="tx1"/>
            </w14:solidFill>
          </w14:textFill>
        </w:rPr>
        <w:t xml:space="preserve"> 2 is 1 mH.</w:t>
      </w:r>
      <w:r>
        <w:rPr>
          <w:rFonts w:hint="eastAsia"/>
          <w:color w:val="000000" w:themeColor="text1"/>
          <w:sz w:val="20"/>
          <w:szCs w:val="20"/>
          <w:lang w:val="en-US" w:eastAsia="zh-CN"/>
          <w14:textFill>
            <w14:solidFill>
              <w14:schemeClr w14:val="tx1"/>
            </w14:solidFill>
          </w14:textFill>
        </w:rPr>
        <w:t xml:space="preserve"> Based on this value, the upper limits of the parameters of the direct-mounted damping device are determined to ensure that the fundamental frequency loss remains below 1%. The calculated upper-limit parameter values are presented in Table 5.</w:t>
      </w:r>
    </w:p>
    <w:p>
      <w:pPr>
        <w:jc w:val="center"/>
        <w:rPr>
          <w:rFonts w:eastAsia="黑体"/>
          <w:sz w:val="18"/>
          <w:szCs w:val="18"/>
        </w:rPr>
      </w:pPr>
      <w:r>
        <w:rPr>
          <w:b/>
          <w:bCs/>
          <w:i/>
          <w:iCs/>
          <w:color w:val="000000" w:themeColor="text1"/>
          <w:sz w:val="20"/>
          <w:szCs w:val="20"/>
          <w:lang w:val="en-US"/>
          <w14:textFill>
            <w14:solidFill>
              <w14:schemeClr w14:val="tx1"/>
            </w14:solidFill>
          </w14:textFill>
        </w:rPr>
        <w:t>Tab.</w:t>
      </w:r>
      <w:r>
        <w:rPr>
          <w:rFonts w:hint="eastAsia"/>
          <w:b/>
          <w:bCs/>
          <w:i/>
          <w:iCs/>
          <w:color w:val="000000" w:themeColor="text1"/>
          <w:sz w:val="20"/>
          <w:szCs w:val="20"/>
          <w:lang w:val="en-US" w:eastAsia="zh-CN"/>
          <w14:textFill>
            <w14:solidFill>
              <w14:schemeClr w14:val="tx1"/>
            </w14:solidFill>
          </w14:textFill>
        </w:rPr>
        <w:t>5</w:t>
      </w:r>
      <w:r>
        <w:rPr>
          <w:rFonts w:eastAsia="黑体"/>
          <w:sz w:val="18"/>
          <w:szCs w:val="18"/>
        </w:rPr>
        <w:t xml:space="preserve"> </w:t>
      </w:r>
      <w:r>
        <w:rPr>
          <w:rFonts w:eastAsia="黑体"/>
          <w:i/>
          <w:iCs/>
          <w:sz w:val="20"/>
          <w:szCs w:val="20"/>
        </w:rPr>
        <w:t xml:space="preserve">Upper </w:t>
      </w:r>
      <w:r>
        <w:rPr>
          <w:rFonts w:hint="eastAsia" w:eastAsia="黑体"/>
          <w:i/>
          <w:iCs/>
          <w:sz w:val="20"/>
          <w:szCs w:val="20"/>
          <w:lang w:val="en-US" w:eastAsia="zh-CN"/>
        </w:rPr>
        <w:t>l</w:t>
      </w:r>
      <w:r>
        <w:rPr>
          <w:rFonts w:eastAsia="黑体"/>
          <w:i/>
          <w:iCs/>
          <w:sz w:val="20"/>
          <w:szCs w:val="20"/>
        </w:rPr>
        <w:t xml:space="preserve">imit of the </w:t>
      </w:r>
      <w:r>
        <w:rPr>
          <w:rFonts w:hint="eastAsia" w:eastAsia="黑体"/>
          <w:i/>
          <w:iCs/>
          <w:sz w:val="20"/>
          <w:szCs w:val="20"/>
        </w:rPr>
        <w:t>direct-mounted damping device</w:t>
      </w:r>
    </w:p>
    <w:tbl>
      <w:tblPr>
        <w:tblStyle w:val="16"/>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63"/>
        <w:gridCol w:w="21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834" w:type="pct"/>
            <w:tcBorders>
              <w:top w:val="single" w:color="auto" w:sz="4" w:space="0"/>
              <w:left w:val="nil"/>
              <w:bottom w:val="single" w:color="auto" w:sz="4" w:space="0"/>
              <w:right w:val="nil"/>
            </w:tcBorders>
            <w:vAlign w:val="center"/>
          </w:tcPr>
          <w:p>
            <w:pPr>
              <w:spacing w:line="252" w:lineRule="auto"/>
              <w:jc w:val="center"/>
              <w:rPr>
                <w:color w:val="000000"/>
                <w:sz w:val="16"/>
                <w:szCs w:val="16"/>
                <w:lang w:eastAsia="zh-CN"/>
              </w:rPr>
            </w:pPr>
            <w:r>
              <w:rPr>
                <w:color w:val="000000"/>
                <w:sz w:val="16"/>
                <w:szCs w:val="16"/>
                <w:lang w:val="en-US" w:eastAsia="zh-CN"/>
              </w:rPr>
              <w:t>Parameter</w:t>
            </w:r>
          </w:p>
        </w:tc>
        <w:tc>
          <w:tcPr>
            <w:tcW w:w="2165" w:type="pct"/>
            <w:tcBorders>
              <w:top w:val="single" w:color="auto" w:sz="4" w:space="0"/>
              <w:left w:val="nil"/>
              <w:bottom w:val="single" w:color="auto" w:sz="4" w:space="0"/>
              <w:right w:val="nil"/>
            </w:tcBorders>
            <w:vAlign w:val="center"/>
          </w:tcPr>
          <w:p>
            <w:pPr>
              <w:spacing w:line="252" w:lineRule="auto"/>
              <w:jc w:val="center"/>
              <w:rPr>
                <w:color w:val="000000"/>
                <w:sz w:val="16"/>
                <w:szCs w:val="16"/>
                <w:lang w:eastAsia="zh-CN"/>
              </w:rPr>
            </w:pPr>
            <w:r>
              <w:rPr>
                <w:color w:val="000000"/>
                <w:sz w:val="16"/>
                <w:szCs w:val="16"/>
                <w:lang w:val="en-US" w:eastAsia="zh-CN"/>
              </w:rPr>
              <w:t>Values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4" w:type="pct"/>
            <w:tcBorders>
              <w:top w:val="single" w:color="auto" w:sz="4" w:space="0"/>
              <w:left w:val="nil"/>
              <w:bottom w:val="nil"/>
              <w:right w:val="nil"/>
            </w:tcBorders>
            <w:vAlign w:val="center"/>
          </w:tcPr>
          <w:p>
            <w:pPr>
              <w:jc w:val="center"/>
              <w:rPr>
                <w:bCs/>
                <w:sz w:val="16"/>
                <w:szCs w:val="16"/>
                <w:lang w:eastAsia="zh-CN"/>
              </w:rPr>
            </w:pPr>
            <w:r>
              <w:rPr>
                <w:bCs/>
                <w:i/>
                <w:iCs/>
                <w:sz w:val="16"/>
                <w:szCs w:val="16"/>
                <w:lang w:val="en-US" w:eastAsia="zh-CN"/>
              </w:rPr>
              <w:t>C</w:t>
            </w:r>
            <w:r>
              <w:rPr>
                <w:bCs/>
                <w:sz w:val="16"/>
                <w:szCs w:val="16"/>
                <w:vertAlign w:val="subscript"/>
                <w:lang w:val="en-US" w:eastAsia="zh-CN"/>
              </w:rPr>
              <w:t>1</w:t>
            </w:r>
            <w:r>
              <w:rPr>
                <w:rFonts w:hint="eastAsia"/>
                <w:bCs/>
                <w:sz w:val="16"/>
                <w:szCs w:val="16"/>
                <w:vertAlign w:val="subscript"/>
                <w:lang w:val="en-US" w:eastAsia="zh-CN"/>
              </w:rPr>
              <w:t>d</w:t>
            </w:r>
            <w:r>
              <w:rPr>
                <w:bCs/>
                <w:sz w:val="16"/>
                <w:szCs w:val="16"/>
                <w:vertAlign w:val="subscript"/>
                <w:lang w:val="en-US" w:eastAsia="zh-CN"/>
              </w:rPr>
              <w:t xml:space="preserve"> </w:t>
            </w:r>
            <w:r>
              <w:rPr>
                <w:bCs/>
                <w:sz w:val="16"/>
                <w:szCs w:val="16"/>
                <w:lang w:val="en-US" w:eastAsia="zh-CN"/>
              </w:rPr>
              <w:t>/μF</w:t>
            </w:r>
          </w:p>
        </w:tc>
        <w:tc>
          <w:tcPr>
            <w:tcW w:w="2165" w:type="pct"/>
            <w:tcBorders>
              <w:top w:val="single" w:color="auto" w:sz="4" w:space="0"/>
              <w:left w:val="nil"/>
              <w:bottom w:val="nil"/>
              <w:right w:val="nil"/>
            </w:tcBorders>
            <w:vAlign w:val="center"/>
          </w:tcPr>
          <w:p>
            <w:pPr>
              <w:jc w:val="center"/>
              <w:rPr>
                <w:bCs/>
                <w:sz w:val="16"/>
                <w:szCs w:val="16"/>
                <w:lang w:eastAsia="zh-CN"/>
              </w:rPr>
            </w:pPr>
            <w:r>
              <w:rPr>
                <w:rFonts w:hint="eastAsia"/>
                <w:bCs/>
                <w:sz w:val="16"/>
                <w:szCs w:val="16"/>
                <w:lang w:eastAsia="zh-CN"/>
              </w:rPr>
              <w:t>102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4" w:type="pct"/>
            <w:tcBorders>
              <w:top w:val="nil"/>
              <w:left w:val="nil"/>
              <w:bottom w:val="nil"/>
              <w:right w:val="nil"/>
            </w:tcBorders>
            <w:vAlign w:val="center"/>
          </w:tcPr>
          <w:p>
            <w:pPr>
              <w:jc w:val="center"/>
              <w:rPr>
                <w:bCs/>
                <w:sz w:val="16"/>
                <w:szCs w:val="16"/>
                <w:lang w:eastAsia="zh-CN"/>
              </w:rPr>
            </w:pPr>
            <w:r>
              <w:rPr>
                <w:bCs/>
                <w:i/>
                <w:iCs/>
                <w:sz w:val="16"/>
                <w:szCs w:val="16"/>
                <w:lang w:val="en-US" w:eastAsia="zh-CN"/>
              </w:rPr>
              <w:t>C</w:t>
            </w:r>
            <w:r>
              <w:rPr>
                <w:bCs/>
                <w:sz w:val="16"/>
                <w:szCs w:val="16"/>
                <w:vertAlign w:val="subscript"/>
                <w:lang w:val="en-US" w:eastAsia="zh-CN"/>
              </w:rPr>
              <w:t>2</w:t>
            </w:r>
            <w:r>
              <w:rPr>
                <w:rFonts w:hint="eastAsia"/>
                <w:bCs/>
                <w:sz w:val="16"/>
                <w:szCs w:val="16"/>
                <w:vertAlign w:val="subscript"/>
                <w:lang w:val="en-US" w:eastAsia="zh-CN"/>
              </w:rPr>
              <w:t>d</w:t>
            </w:r>
            <w:r>
              <w:rPr>
                <w:bCs/>
                <w:sz w:val="16"/>
                <w:szCs w:val="16"/>
                <w:vertAlign w:val="subscript"/>
                <w:lang w:val="en-US" w:eastAsia="zh-CN"/>
              </w:rPr>
              <w:t xml:space="preserve"> </w:t>
            </w:r>
            <w:r>
              <w:rPr>
                <w:bCs/>
                <w:sz w:val="16"/>
                <w:szCs w:val="16"/>
                <w:lang w:val="en-US" w:eastAsia="zh-CN"/>
              </w:rPr>
              <w:t>/ μF</w:t>
            </w:r>
          </w:p>
        </w:tc>
        <w:tc>
          <w:tcPr>
            <w:tcW w:w="2165" w:type="pct"/>
            <w:tcBorders>
              <w:top w:val="nil"/>
              <w:left w:val="nil"/>
              <w:bottom w:val="nil"/>
              <w:right w:val="nil"/>
            </w:tcBorders>
            <w:vAlign w:val="center"/>
          </w:tcPr>
          <w:p>
            <w:pPr>
              <w:jc w:val="center"/>
              <w:rPr>
                <w:bCs/>
                <w:sz w:val="16"/>
                <w:szCs w:val="16"/>
                <w:lang w:eastAsia="zh-CN"/>
              </w:rPr>
            </w:pPr>
            <w:r>
              <w:rPr>
                <w:bCs/>
                <w:sz w:val="16"/>
                <w:szCs w:val="16"/>
                <w:lang w:val="en-US" w:eastAsia="zh-CN"/>
              </w:rPr>
              <w:t>1</w:t>
            </w:r>
            <w:r>
              <w:rPr>
                <w:rFonts w:hint="eastAsia"/>
                <w:bCs/>
                <w:sz w:val="16"/>
                <w:szCs w:val="16"/>
                <w:lang w:val="en-US" w:eastAsia="zh-CN"/>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4" w:type="pct"/>
            <w:tcBorders>
              <w:top w:val="nil"/>
              <w:left w:val="nil"/>
              <w:bottom w:val="nil"/>
              <w:right w:val="nil"/>
            </w:tcBorders>
            <w:vAlign w:val="center"/>
          </w:tcPr>
          <w:p>
            <w:pPr>
              <w:jc w:val="center"/>
              <w:rPr>
                <w:bCs/>
                <w:sz w:val="16"/>
                <w:szCs w:val="16"/>
                <w:lang w:eastAsia="zh-CN"/>
              </w:rPr>
            </w:pPr>
            <w:r>
              <w:rPr>
                <w:bCs/>
                <w:i/>
                <w:iCs/>
                <w:sz w:val="16"/>
                <w:szCs w:val="16"/>
                <w:lang w:val="en-US" w:eastAsia="zh-CN"/>
              </w:rPr>
              <w:t>L</w:t>
            </w:r>
            <w:r>
              <w:rPr>
                <w:bCs/>
                <w:sz w:val="16"/>
                <w:szCs w:val="16"/>
                <w:vertAlign w:val="subscript"/>
                <w:lang w:val="en-US" w:eastAsia="zh-CN"/>
              </w:rPr>
              <w:t>1</w:t>
            </w:r>
            <w:r>
              <w:rPr>
                <w:rFonts w:hint="eastAsia"/>
                <w:bCs/>
                <w:sz w:val="16"/>
                <w:szCs w:val="16"/>
                <w:vertAlign w:val="subscript"/>
                <w:lang w:val="en-US" w:eastAsia="zh-CN"/>
              </w:rPr>
              <w:t>d</w:t>
            </w:r>
            <w:r>
              <w:rPr>
                <w:bCs/>
                <w:sz w:val="16"/>
                <w:szCs w:val="16"/>
                <w:vertAlign w:val="subscript"/>
                <w:lang w:val="en-US" w:eastAsia="zh-CN"/>
              </w:rPr>
              <w:t xml:space="preserve"> </w:t>
            </w:r>
            <w:r>
              <w:rPr>
                <w:bCs/>
                <w:sz w:val="16"/>
                <w:szCs w:val="16"/>
                <w:lang w:val="en-US" w:eastAsia="zh-CN"/>
              </w:rPr>
              <w:t>/ mH</w:t>
            </w:r>
          </w:p>
        </w:tc>
        <w:tc>
          <w:tcPr>
            <w:tcW w:w="2165" w:type="pct"/>
            <w:tcBorders>
              <w:top w:val="nil"/>
              <w:left w:val="nil"/>
              <w:bottom w:val="nil"/>
              <w:right w:val="nil"/>
            </w:tcBorders>
            <w:vAlign w:val="center"/>
          </w:tcPr>
          <w:p>
            <w:pPr>
              <w:jc w:val="center"/>
              <w:rPr>
                <w:rFonts w:hint="default"/>
                <w:bCs/>
                <w:sz w:val="16"/>
                <w:szCs w:val="16"/>
                <w:lang w:val="en-US" w:eastAsia="zh-CN"/>
              </w:rPr>
            </w:pPr>
            <w:r>
              <w:rPr>
                <w:rFonts w:hint="eastAsia"/>
                <w:bCs/>
                <w:sz w:val="16"/>
                <w:szCs w:val="16"/>
                <w:lang w:val="en-US" w:eastAsia="zh-CN"/>
              </w:rPr>
              <w:t>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4" w:type="pct"/>
            <w:tcBorders>
              <w:top w:val="nil"/>
              <w:left w:val="nil"/>
              <w:bottom w:val="nil"/>
              <w:right w:val="nil"/>
            </w:tcBorders>
            <w:vAlign w:val="center"/>
          </w:tcPr>
          <w:p>
            <w:pPr>
              <w:jc w:val="center"/>
              <w:rPr>
                <w:rFonts w:ascii="Times New Roman" w:hAnsi="Times New Roman" w:eastAsia="宋体" w:cs="Times New Roman"/>
                <w:bCs/>
                <w:sz w:val="16"/>
                <w:szCs w:val="16"/>
                <w:lang w:val="en-AU" w:eastAsia="zh-CN" w:bidi="ar-SA"/>
              </w:rPr>
            </w:pPr>
            <w:r>
              <w:rPr>
                <w:bCs/>
                <w:i/>
                <w:iCs/>
                <w:sz w:val="16"/>
                <w:szCs w:val="16"/>
                <w:lang w:val="en-US" w:eastAsia="zh-CN"/>
              </w:rPr>
              <w:t>L</w:t>
            </w:r>
            <w:r>
              <w:rPr>
                <w:rFonts w:hint="eastAsia"/>
                <w:bCs/>
                <w:sz w:val="16"/>
                <w:szCs w:val="16"/>
                <w:vertAlign w:val="subscript"/>
                <w:lang w:val="en-US" w:eastAsia="zh-CN"/>
              </w:rPr>
              <w:t>2d</w:t>
            </w:r>
            <w:r>
              <w:rPr>
                <w:bCs/>
                <w:sz w:val="16"/>
                <w:szCs w:val="16"/>
                <w:vertAlign w:val="subscript"/>
                <w:lang w:val="en-US" w:eastAsia="zh-CN"/>
              </w:rPr>
              <w:t xml:space="preserve"> </w:t>
            </w:r>
            <w:r>
              <w:rPr>
                <w:bCs/>
                <w:sz w:val="16"/>
                <w:szCs w:val="16"/>
                <w:lang w:val="en-US" w:eastAsia="zh-CN"/>
              </w:rPr>
              <w:t>/ mH</w:t>
            </w:r>
          </w:p>
        </w:tc>
        <w:tc>
          <w:tcPr>
            <w:tcW w:w="2165" w:type="pct"/>
            <w:tcBorders>
              <w:top w:val="nil"/>
              <w:left w:val="nil"/>
              <w:bottom w:val="nil"/>
              <w:right w:val="nil"/>
            </w:tcBorders>
            <w:vAlign w:val="center"/>
          </w:tcPr>
          <w:p>
            <w:pPr>
              <w:jc w:val="center"/>
              <w:rPr>
                <w:rFonts w:hint="default" w:ascii="Times New Roman" w:hAnsi="Times New Roman" w:eastAsia="宋体" w:cs="Times New Roman"/>
                <w:bCs/>
                <w:sz w:val="16"/>
                <w:szCs w:val="16"/>
                <w:lang w:val="en-US" w:eastAsia="zh-CN" w:bidi="ar-SA"/>
              </w:rPr>
            </w:pPr>
            <w:r>
              <w:rPr>
                <w:rFonts w:hint="eastAsia"/>
                <w:bCs/>
                <w:sz w:val="16"/>
                <w:szCs w:val="16"/>
                <w:lang w:val="en-US" w:eastAsia="zh-CN"/>
              </w:rPr>
              <w:t>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4" w:type="pct"/>
            <w:tcBorders>
              <w:top w:val="nil"/>
              <w:left w:val="nil"/>
              <w:bottom w:val="single" w:color="auto" w:sz="4" w:space="0"/>
              <w:right w:val="nil"/>
            </w:tcBorders>
            <w:vAlign w:val="center"/>
          </w:tcPr>
          <w:p>
            <w:pPr>
              <w:jc w:val="center"/>
              <w:rPr>
                <w:rFonts w:ascii="Times New Roman" w:hAnsi="Times New Roman" w:eastAsia="宋体" w:cs="Times New Roman"/>
                <w:bCs/>
                <w:i/>
                <w:iCs/>
                <w:sz w:val="16"/>
                <w:szCs w:val="16"/>
                <w:lang w:val="en-US" w:eastAsia="zh-CN" w:bidi="ar-SA"/>
              </w:rPr>
            </w:pPr>
            <w:r>
              <w:rPr>
                <w:bCs/>
                <w:i/>
                <w:iCs/>
                <w:sz w:val="16"/>
                <w:szCs w:val="16"/>
                <w:lang w:val="en-US" w:eastAsia="zh-CN"/>
              </w:rPr>
              <w:t>R</w:t>
            </w:r>
            <w:r>
              <w:rPr>
                <w:rFonts w:hint="eastAsia"/>
                <w:bCs/>
                <w:sz w:val="16"/>
                <w:szCs w:val="16"/>
                <w:vertAlign w:val="subscript"/>
                <w:lang w:val="en-US" w:eastAsia="zh-CN"/>
              </w:rPr>
              <w:t>1d</w:t>
            </w:r>
            <w:r>
              <w:rPr>
                <w:bCs/>
                <w:sz w:val="16"/>
                <w:szCs w:val="16"/>
                <w:vertAlign w:val="subscript"/>
                <w:lang w:val="en-US" w:eastAsia="zh-CN"/>
              </w:rPr>
              <w:t xml:space="preserve"> </w:t>
            </w:r>
            <w:r>
              <w:rPr>
                <w:bCs/>
                <w:sz w:val="16"/>
                <w:szCs w:val="16"/>
                <w:lang w:val="en-US" w:eastAsia="zh-CN"/>
              </w:rPr>
              <w:t>/ Ω</w:t>
            </w:r>
          </w:p>
        </w:tc>
        <w:tc>
          <w:tcPr>
            <w:tcW w:w="2165" w:type="pct"/>
            <w:tcBorders>
              <w:top w:val="nil"/>
              <w:left w:val="nil"/>
              <w:bottom w:val="single" w:color="auto" w:sz="4" w:space="0"/>
              <w:right w:val="nil"/>
            </w:tcBorders>
            <w:vAlign w:val="center"/>
          </w:tcPr>
          <w:p>
            <w:pPr>
              <w:jc w:val="center"/>
              <w:rPr>
                <w:rFonts w:hint="eastAsia" w:ascii="Times New Roman" w:hAnsi="Times New Roman" w:eastAsia="宋体" w:cs="Times New Roman"/>
                <w:bCs/>
                <w:sz w:val="16"/>
                <w:szCs w:val="16"/>
                <w:lang w:val="en-AU" w:eastAsia="zh-CN" w:bidi="ar-SA"/>
              </w:rPr>
            </w:pPr>
            <w:r>
              <w:rPr>
                <w:rFonts w:hint="eastAsia"/>
                <w:bCs/>
                <w:sz w:val="16"/>
                <w:szCs w:val="16"/>
                <w:lang w:eastAsia="zh-CN"/>
              </w:rPr>
              <w:t>1000</w:t>
            </w:r>
          </w:p>
        </w:tc>
      </w:tr>
    </w:tbl>
    <w:p>
      <w:pPr>
        <w:ind w:firstLine="400"/>
        <w:jc w:val="both"/>
        <w:rPr>
          <w:rFonts w:hint="default" w:ascii="Times New Roman" w:hAnsi="Times New Roman" w:cs="Times New Roman"/>
          <w:color w:val="000000" w:themeColor="text1"/>
          <w:sz w:val="20"/>
          <w:szCs w:val="20"/>
          <w:lang w:val="en-US"/>
          <w14:textFill>
            <w14:solidFill>
              <w14:schemeClr w14:val="tx1"/>
            </w14:solidFill>
          </w14:textFill>
        </w:rPr>
      </w:pPr>
      <w:r>
        <w:rPr>
          <w:rFonts w:hint="default" w:ascii="Times New Roman" w:hAnsi="Times New Roman" w:cs="Times New Roman"/>
          <w:color w:val="000000" w:themeColor="text1"/>
          <w:sz w:val="20"/>
          <w:szCs w:val="20"/>
          <w:lang w:val="en-US"/>
          <w14:textFill>
            <w14:solidFill>
              <w14:schemeClr w14:val="tx1"/>
            </w14:solidFill>
          </w14:textFill>
        </w:rPr>
        <w:t xml:space="preserve">As analyzed in Section </w:t>
      </w:r>
      <w:r>
        <w:rPr>
          <w:rFonts w:hint="eastAsia" w:cs="Times New Roman"/>
          <w:color w:val="000000" w:themeColor="text1"/>
          <w:sz w:val="20"/>
          <w:szCs w:val="20"/>
          <w:lang w:val="en-US" w:eastAsia="zh-CN"/>
          <w14:textFill>
            <w14:solidFill>
              <w14:schemeClr w14:val="tx1"/>
            </w14:solidFill>
          </w14:textFill>
        </w:rPr>
        <w:t>2</w:t>
      </w:r>
      <w:r>
        <w:rPr>
          <w:rFonts w:hint="default" w:ascii="Times New Roman" w:hAnsi="Times New Roman" w:cs="Times New Roman"/>
          <w:color w:val="000000" w:themeColor="text1"/>
          <w:sz w:val="20"/>
          <w:szCs w:val="20"/>
          <w:lang w:val="en-US"/>
          <w14:textFill>
            <w14:solidFill>
              <w14:schemeClr w14:val="tx1"/>
            </w14:solidFill>
          </w14:textFill>
        </w:rPr>
        <w:t>.</w:t>
      </w:r>
      <w:r>
        <w:rPr>
          <w:rFonts w:hint="default" w:ascii="Times New Roman" w:hAnsi="Times New Roman" w:cs="Times New Roman"/>
          <w:color w:val="000000" w:themeColor="text1"/>
          <w:sz w:val="20"/>
          <w:szCs w:val="20"/>
          <w:lang w:val="en-US" w:eastAsia="zh-CN"/>
          <w14:textFill>
            <w14:solidFill>
              <w14:schemeClr w14:val="tx1"/>
            </w14:solidFill>
          </w14:textFill>
        </w:rPr>
        <w:t>2</w:t>
      </w:r>
      <w:r>
        <w:rPr>
          <w:rFonts w:hint="default" w:ascii="Times New Roman" w:hAnsi="Times New Roman" w:cs="Times New Roman"/>
          <w:color w:val="000000" w:themeColor="text1"/>
          <w:sz w:val="20"/>
          <w:szCs w:val="20"/>
          <w:lang w:val="en-US"/>
          <w14:textFill>
            <w14:solidFill>
              <w14:schemeClr w14:val="tx1"/>
            </w14:solidFill>
          </w14:textFill>
        </w:rPr>
        <w:t xml:space="preserve">, connecting the direct-mounted damping device in parallel at node 3 of the system shown in Fig. 2 enables the simultaneous suppression of two pairs of resonant modes. The system’s nodal admittance matrix </w:t>
      </w:r>
      <w:r>
        <w:rPr>
          <w:rFonts w:hint="default" w:ascii="Times New Roman" w:hAnsi="Times New Roman" w:cs="Times New Roman"/>
          <w:b/>
          <w:bCs/>
          <w:i/>
          <w:iCs/>
          <w:color w:val="000000" w:themeColor="text1"/>
          <w:sz w:val="20"/>
          <w:szCs w:val="20"/>
          <w:lang w:val="en-US"/>
          <w14:textFill>
            <w14:solidFill>
              <w14:schemeClr w14:val="tx1"/>
            </w14:solidFill>
          </w14:textFill>
        </w:rPr>
        <w:t>Y</w:t>
      </w:r>
      <w:r>
        <w:rPr>
          <w:rFonts w:hint="default" w:ascii="Times New Roman" w:hAnsi="Times New Roman" w:cs="Times New Roman"/>
          <w:color w:val="000000" w:themeColor="text1"/>
          <w:sz w:val="20"/>
          <w:szCs w:val="20"/>
          <w:lang w:val="en-US"/>
          <w14:textFill>
            <w14:solidFill>
              <w14:schemeClr w14:val="tx1"/>
            </w14:solidFill>
          </w14:textFill>
        </w:rPr>
        <w:t xml:space="preserve"> is used as input to the PSO algorithm, and the admittance expression of the damping device (</w:t>
      </w:r>
      <w:r>
        <w:rPr>
          <w:rFonts w:hint="default" w:ascii="Times New Roman" w:hAnsi="Times New Roman" w:cs="Times New Roman"/>
          <w:i/>
          <w:iCs/>
          <w:color w:val="000000" w:themeColor="text1"/>
          <w:sz w:val="20"/>
          <w:szCs w:val="20"/>
          <w:lang w:val="en-US"/>
          <w14:textFill>
            <w14:solidFill>
              <w14:schemeClr w14:val="tx1"/>
            </w14:solidFill>
          </w14:textFill>
        </w:rPr>
        <w:t>Y</w:t>
      </w:r>
      <w:r>
        <w:rPr>
          <w:rFonts w:hint="eastAsia" w:cs="Times New Roman"/>
          <w:color w:val="000000" w:themeColor="text1"/>
          <w:sz w:val="20"/>
          <w:szCs w:val="20"/>
          <w:vertAlign w:val="subscript"/>
          <w:lang w:val="en-US" w:eastAsia="zh-CN"/>
          <w14:textFill>
            <w14:solidFill>
              <w14:schemeClr w14:val="tx1"/>
            </w14:solidFill>
          </w14:textFill>
        </w:rPr>
        <w:t>d</w:t>
      </w:r>
      <w:r>
        <w:rPr>
          <w:rFonts w:hint="default" w:ascii="Times New Roman" w:hAnsi="Times New Roman" w:cs="Times New Roman"/>
          <w:color w:val="000000" w:themeColor="text1"/>
          <w:sz w:val="20"/>
          <w:szCs w:val="20"/>
          <w:lang w:val="en-US"/>
          <w14:textFill>
            <w14:solidFill>
              <w14:schemeClr w14:val="tx1"/>
            </w14:solidFill>
          </w14:textFill>
        </w:rPr>
        <w:t xml:space="preserve">) is substituted into node 3 of </w:t>
      </w:r>
      <w:r>
        <w:rPr>
          <w:rFonts w:hint="default" w:ascii="Times New Roman" w:hAnsi="Times New Roman" w:cs="Times New Roman"/>
          <w:b/>
          <w:bCs/>
          <w:i/>
          <w:iCs/>
          <w:color w:val="000000" w:themeColor="text1"/>
          <w:sz w:val="20"/>
          <w:szCs w:val="20"/>
          <w:lang w:val="en-US"/>
          <w14:textFill>
            <w14:solidFill>
              <w14:schemeClr w14:val="tx1"/>
            </w14:solidFill>
          </w14:textFill>
        </w:rPr>
        <w:t>Y</w:t>
      </w:r>
      <w:r>
        <w:rPr>
          <w:rFonts w:hint="default" w:ascii="Times New Roman" w:hAnsi="Times New Roman" w:cs="Times New Roman"/>
          <w:color w:val="000000" w:themeColor="text1"/>
          <w:sz w:val="20"/>
          <w:szCs w:val="20"/>
          <w:lang w:val="en-US"/>
          <w14:textFill>
            <w14:solidFill>
              <w14:schemeClr w14:val="tx1"/>
            </w14:solidFill>
          </w14:textFill>
        </w:rPr>
        <w:t xml:space="preserve"> (see the Appendix for details of </w:t>
      </w:r>
      <w:r>
        <w:rPr>
          <w:rFonts w:hint="default" w:ascii="Times New Roman" w:hAnsi="Times New Roman" w:cs="Times New Roman"/>
          <w:i/>
          <w:iCs/>
          <w:color w:val="000000" w:themeColor="text1"/>
          <w:sz w:val="20"/>
          <w:szCs w:val="20"/>
          <w:lang w:val="en-US"/>
          <w14:textFill>
            <w14:solidFill>
              <w14:schemeClr w14:val="tx1"/>
            </w14:solidFill>
          </w14:textFill>
        </w:rPr>
        <w:t>Y</w:t>
      </w:r>
      <w:r>
        <w:rPr>
          <w:rFonts w:hint="eastAsia" w:cs="Times New Roman"/>
          <w:color w:val="000000" w:themeColor="text1"/>
          <w:sz w:val="20"/>
          <w:szCs w:val="20"/>
          <w:vertAlign w:val="subscript"/>
          <w:lang w:val="en-US" w:eastAsia="zh-CN"/>
          <w14:textFill>
            <w14:solidFill>
              <w14:schemeClr w14:val="tx1"/>
            </w14:solidFill>
          </w14:textFill>
        </w:rPr>
        <w:t>d</w:t>
      </w:r>
      <w:r>
        <w:rPr>
          <w:rFonts w:hint="default" w:ascii="Times New Roman" w:hAnsi="Times New Roman" w:cs="Times New Roman"/>
          <w:color w:val="000000" w:themeColor="text1"/>
          <w:sz w:val="20"/>
          <w:szCs w:val="20"/>
          <w:lang w:val="en-US"/>
          <w14:textFill>
            <w14:solidFill>
              <w14:schemeClr w14:val="tx1"/>
            </w14:solidFill>
          </w14:textFill>
        </w:rPr>
        <w:t xml:space="preserve">). The number of particles is set to 70, and the maximum number of iterations is 100. The upper and lower bounds of the parameters </w:t>
      </w:r>
      <w:r>
        <w:rPr>
          <w:rFonts w:hint="default" w:ascii="Times New Roman" w:hAnsi="Times New Roman" w:cs="Times New Roman"/>
          <w:i/>
          <w:iCs/>
          <w:color w:val="000000" w:themeColor="text1"/>
          <w:sz w:val="20"/>
          <w:szCs w:val="20"/>
          <w:lang w:val="en-US"/>
          <w14:textFill>
            <w14:solidFill>
              <w14:schemeClr w14:val="tx1"/>
            </w14:solidFill>
          </w14:textFill>
        </w:rPr>
        <w:t>C</w:t>
      </w:r>
      <w:r>
        <w:rPr>
          <w:rFonts w:hint="eastAsia" w:ascii="Times New Roman" w:hAnsi="Times New Roman" w:cs="Times New Roman"/>
          <w:color w:val="000000" w:themeColor="text1"/>
          <w:sz w:val="20"/>
          <w:szCs w:val="20"/>
          <w:vertAlign w:val="subscript"/>
          <w:lang w:val="en-US" w:eastAsia="zh-CN"/>
          <w14:textFill>
            <w14:solidFill>
              <w14:schemeClr w14:val="tx1"/>
            </w14:solidFill>
          </w14:textFill>
        </w:rPr>
        <w:t>1d</w:t>
      </w:r>
      <w:r>
        <w:rPr>
          <w:rFonts w:hint="default" w:ascii="Times New Roman" w:hAnsi="Times New Roman" w:cs="Times New Roman"/>
          <w:color w:val="000000" w:themeColor="text1"/>
          <w:sz w:val="20"/>
          <w:szCs w:val="20"/>
          <w:lang w:val="en-US"/>
          <w14:textFill>
            <w14:solidFill>
              <w14:schemeClr w14:val="tx1"/>
            </w14:solidFill>
          </w14:textFill>
        </w:rPr>
        <w:t xml:space="preserve">, </w:t>
      </w:r>
      <w:r>
        <w:rPr>
          <w:rFonts w:hint="default" w:ascii="Times New Roman" w:hAnsi="Times New Roman" w:cs="Times New Roman"/>
          <w:i/>
          <w:iCs/>
          <w:color w:val="000000" w:themeColor="text1"/>
          <w:sz w:val="20"/>
          <w:szCs w:val="20"/>
          <w:lang w:val="en-US"/>
          <w14:textFill>
            <w14:solidFill>
              <w14:schemeClr w14:val="tx1"/>
            </w14:solidFill>
          </w14:textFill>
        </w:rPr>
        <w:t>C</w:t>
      </w:r>
      <w:r>
        <w:rPr>
          <w:rFonts w:hint="eastAsia" w:ascii="Times New Roman" w:hAnsi="Times New Roman" w:cs="Times New Roman"/>
          <w:color w:val="000000" w:themeColor="text1"/>
          <w:sz w:val="20"/>
          <w:szCs w:val="20"/>
          <w:vertAlign w:val="subscript"/>
          <w:lang w:val="en-US" w:eastAsia="zh-CN"/>
          <w14:textFill>
            <w14:solidFill>
              <w14:schemeClr w14:val="tx1"/>
            </w14:solidFill>
          </w14:textFill>
        </w:rPr>
        <w:t>2d</w:t>
      </w:r>
      <w:r>
        <w:rPr>
          <w:rFonts w:hint="default" w:ascii="Times New Roman" w:hAnsi="Times New Roman" w:cs="Times New Roman"/>
          <w:color w:val="000000" w:themeColor="text1"/>
          <w:sz w:val="20"/>
          <w:szCs w:val="20"/>
          <w:lang w:val="en-US"/>
          <w14:textFill>
            <w14:solidFill>
              <w14:schemeClr w14:val="tx1"/>
            </w14:solidFill>
          </w14:textFill>
        </w:rPr>
        <w:t xml:space="preserve">, </w:t>
      </w:r>
      <w:r>
        <w:rPr>
          <w:rFonts w:hint="default" w:ascii="Times New Roman" w:hAnsi="Times New Roman" w:cs="Times New Roman"/>
          <w:i/>
          <w:iCs/>
          <w:color w:val="000000" w:themeColor="text1"/>
          <w:sz w:val="20"/>
          <w:szCs w:val="20"/>
          <w:lang w:val="en-US"/>
          <w14:textFill>
            <w14:solidFill>
              <w14:schemeClr w14:val="tx1"/>
            </w14:solidFill>
          </w14:textFill>
        </w:rPr>
        <w:t>L</w:t>
      </w:r>
      <w:r>
        <w:rPr>
          <w:rFonts w:hint="eastAsia" w:ascii="Times New Roman" w:hAnsi="Times New Roman" w:cs="Times New Roman"/>
          <w:color w:val="000000" w:themeColor="text1"/>
          <w:sz w:val="20"/>
          <w:szCs w:val="20"/>
          <w:vertAlign w:val="subscript"/>
          <w:lang w:val="en-US" w:eastAsia="zh-CN"/>
          <w14:textFill>
            <w14:solidFill>
              <w14:schemeClr w14:val="tx1"/>
            </w14:solidFill>
          </w14:textFill>
        </w:rPr>
        <w:t>1d</w:t>
      </w:r>
      <w:r>
        <w:rPr>
          <w:rFonts w:hint="default" w:ascii="Times New Roman" w:hAnsi="Times New Roman" w:cs="Times New Roman"/>
          <w:color w:val="000000" w:themeColor="text1"/>
          <w:sz w:val="20"/>
          <w:szCs w:val="20"/>
          <w:lang w:val="en-US"/>
          <w14:textFill>
            <w14:solidFill>
              <w14:schemeClr w14:val="tx1"/>
            </w14:solidFill>
          </w14:textFill>
        </w:rPr>
        <w:t xml:space="preserve">, </w:t>
      </w:r>
      <w:r>
        <w:rPr>
          <w:rFonts w:hint="default" w:ascii="Times New Roman" w:hAnsi="Times New Roman" w:cs="Times New Roman"/>
          <w:i/>
          <w:iCs/>
          <w:color w:val="000000" w:themeColor="text1"/>
          <w:sz w:val="20"/>
          <w:szCs w:val="20"/>
          <w:lang w:val="en-US"/>
          <w14:textFill>
            <w14:solidFill>
              <w14:schemeClr w14:val="tx1"/>
            </w14:solidFill>
          </w14:textFill>
        </w:rPr>
        <w:t>L</w:t>
      </w:r>
      <w:r>
        <w:rPr>
          <w:rFonts w:hint="eastAsia" w:ascii="Times New Roman" w:hAnsi="Times New Roman" w:cs="Times New Roman"/>
          <w:color w:val="000000" w:themeColor="text1"/>
          <w:sz w:val="20"/>
          <w:szCs w:val="20"/>
          <w:vertAlign w:val="subscript"/>
          <w:lang w:val="en-US" w:eastAsia="zh-CN"/>
          <w14:textFill>
            <w14:solidFill>
              <w14:schemeClr w14:val="tx1"/>
            </w14:solidFill>
          </w14:textFill>
        </w:rPr>
        <w:t>2d</w:t>
      </w:r>
      <w:r>
        <w:rPr>
          <w:rFonts w:hint="default" w:ascii="Times New Roman" w:hAnsi="Times New Roman" w:cs="Times New Roman"/>
          <w:color w:val="000000" w:themeColor="text1"/>
          <w:sz w:val="20"/>
          <w:szCs w:val="20"/>
          <w:lang w:val="en-US"/>
          <w14:textFill>
            <w14:solidFill>
              <w14:schemeClr w14:val="tx1"/>
            </w14:solidFill>
          </w14:textFill>
        </w:rPr>
        <w:t xml:space="preserve">, and </w:t>
      </w:r>
      <w:r>
        <w:rPr>
          <w:rFonts w:hint="default" w:ascii="Times New Roman" w:hAnsi="Times New Roman" w:cs="Times New Roman"/>
          <w:i/>
          <w:iCs/>
          <w:color w:val="000000" w:themeColor="text1"/>
          <w:sz w:val="20"/>
          <w:szCs w:val="20"/>
          <w:lang w:val="en-US"/>
          <w14:textFill>
            <w14:solidFill>
              <w14:schemeClr w14:val="tx1"/>
            </w14:solidFill>
          </w14:textFill>
        </w:rPr>
        <w:t>R</w:t>
      </w:r>
      <w:r>
        <w:rPr>
          <w:rFonts w:hint="eastAsia" w:cs="Times New Roman"/>
          <w:color w:val="000000" w:themeColor="text1"/>
          <w:sz w:val="20"/>
          <w:szCs w:val="20"/>
          <w:vertAlign w:val="subscript"/>
          <w:lang w:val="en-US" w:eastAsia="zh-CN"/>
          <w14:textFill>
            <w14:solidFill>
              <w14:schemeClr w14:val="tx1"/>
            </w14:solidFill>
          </w14:textFill>
        </w:rPr>
        <w:t>1d</w:t>
      </w:r>
      <w:r>
        <w:rPr>
          <w:rFonts w:hint="default" w:ascii="Times New Roman" w:hAnsi="Times New Roman" w:cs="Times New Roman"/>
          <w:color w:val="000000" w:themeColor="text1"/>
          <w:sz w:val="20"/>
          <w:szCs w:val="20"/>
          <w:lang w:val="en-US"/>
          <w14:textFill>
            <w14:solidFill>
              <w14:schemeClr w14:val="tx1"/>
            </w14:solidFill>
          </w14:textFill>
        </w:rPr>
        <w:t xml:space="preserve"> are defined as [10</w:t>
      </w:r>
      <w:r>
        <w:rPr>
          <w:rFonts w:hint="eastAsia" w:ascii="Times New Roman" w:hAnsi="Times New Roman" w:cs="Times New Roman"/>
          <w:color w:val="000000" w:themeColor="text1"/>
          <w:sz w:val="20"/>
          <w:szCs w:val="20"/>
          <w:vertAlign w:val="superscript"/>
          <w:lang w:val="en-US" w:eastAsia="zh-CN"/>
          <w14:textFill>
            <w14:solidFill>
              <w14:schemeClr w14:val="tx1"/>
            </w14:solidFill>
          </w14:textFill>
        </w:rPr>
        <w:t>-6</w:t>
      </w:r>
      <w:r>
        <w:rPr>
          <w:rFonts w:hint="default" w:ascii="Times New Roman" w:hAnsi="Times New Roman" w:cs="Times New Roman"/>
          <w:color w:val="000000" w:themeColor="text1"/>
          <w:sz w:val="20"/>
          <w:szCs w:val="20"/>
          <w:lang w:val="en-US"/>
          <w14:textFill>
            <w14:solidFill>
              <w14:schemeClr w14:val="tx1"/>
            </w14:solidFill>
          </w14:textFill>
        </w:rPr>
        <w:t>, 1.02×10</w:t>
      </w:r>
      <w:r>
        <w:rPr>
          <w:rFonts w:hint="eastAsia" w:ascii="Times New Roman" w:hAnsi="Times New Roman" w:cs="Times New Roman"/>
          <w:color w:val="000000" w:themeColor="text1"/>
          <w:sz w:val="20"/>
          <w:szCs w:val="20"/>
          <w:vertAlign w:val="superscript"/>
          <w:lang w:val="en-US" w:eastAsia="zh-CN"/>
          <w14:textFill>
            <w14:solidFill>
              <w14:schemeClr w14:val="tx1"/>
            </w14:solidFill>
          </w14:textFill>
        </w:rPr>
        <w:t>-4</w:t>
      </w:r>
      <w:r>
        <w:rPr>
          <w:rFonts w:hint="default" w:ascii="Times New Roman" w:hAnsi="Times New Roman" w:cs="Times New Roman"/>
          <w:color w:val="000000" w:themeColor="text1"/>
          <w:sz w:val="20"/>
          <w:szCs w:val="20"/>
          <w:lang w:val="en-US"/>
          <w14:textFill>
            <w14:solidFill>
              <w14:schemeClr w14:val="tx1"/>
            </w14:solidFill>
          </w14:textFill>
        </w:rPr>
        <w:t>]</w:t>
      </w:r>
      <w:r>
        <w:rPr>
          <w:rFonts w:hint="eastAsia" w:ascii="Times New Roman" w:hAnsi="Times New Roman" w:cs="Times New Roman"/>
          <w:color w:val="000000" w:themeColor="text1"/>
          <w:sz w:val="20"/>
          <w:szCs w:val="20"/>
          <w:lang w:val="en-US" w:eastAsia="zh-CN"/>
          <w14:textFill>
            <w14:solidFill>
              <w14:schemeClr w14:val="tx1"/>
            </w14:solidFill>
          </w14:textFill>
        </w:rPr>
        <w:t>F</w:t>
      </w:r>
      <w:r>
        <w:rPr>
          <w:rFonts w:hint="default" w:ascii="Times New Roman" w:hAnsi="Times New Roman" w:cs="Times New Roman"/>
          <w:color w:val="000000" w:themeColor="text1"/>
          <w:sz w:val="20"/>
          <w:szCs w:val="20"/>
          <w:lang w:val="en-US"/>
          <w14:textFill>
            <w14:solidFill>
              <w14:schemeClr w14:val="tx1"/>
            </w14:solidFill>
          </w14:textFill>
        </w:rPr>
        <w:t>, [10</w:t>
      </w:r>
      <w:r>
        <w:rPr>
          <w:rFonts w:hint="eastAsia" w:ascii="Times New Roman" w:hAnsi="Times New Roman" w:cs="Times New Roman"/>
          <w:color w:val="000000" w:themeColor="text1"/>
          <w:sz w:val="20"/>
          <w:szCs w:val="20"/>
          <w:vertAlign w:val="superscript"/>
          <w:lang w:val="en-US" w:eastAsia="zh-CN"/>
          <w14:textFill>
            <w14:solidFill>
              <w14:schemeClr w14:val="tx1"/>
            </w14:solidFill>
          </w14:textFill>
        </w:rPr>
        <w:t>-6</w:t>
      </w:r>
      <w:r>
        <w:rPr>
          <w:rFonts w:hint="default" w:ascii="Times New Roman" w:hAnsi="Times New Roman" w:cs="Times New Roman"/>
          <w:color w:val="000000" w:themeColor="text1"/>
          <w:sz w:val="20"/>
          <w:szCs w:val="20"/>
          <w:lang w:val="en-US"/>
          <w14:textFill>
            <w14:solidFill>
              <w14:schemeClr w14:val="tx1"/>
            </w14:solidFill>
          </w14:textFill>
        </w:rPr>
        <w:t>, 1.02×10</w:t>
      </w:r>
      <w:r>
        <w:rPr>
          <w:rFonts w:hint="eastAsia" w:ascii="Times New Roman" w:hAnsi="Times New Roman" w:cs="Times New Roman"/>
          <w:color w:val="000000" w:themeColor="text1"/>
          <w:sz w:val="20"/>
          <w:szCs w:val="20"/>
          <w:vertAlign w:val="superscript"/>
          <w:lang w:val="en-US" w:eastAsia="zh-CN"/>
          <w14:textFill>
            <w14:solidFill>
              <w14:schemeClr w14:val="tx1"/>
            </w14:solidFill>
          </w14:textFill>
        </w:rPr>
        <w:t>-4</w:t>
      </w:r>
      <w:r>
        <w:rPr>
          <w:rFonts w:hint="default" w:ascii="Times New Roman" w:hAnsi="Times New Roman" w:cs="Times New Roman"/>
          <w:color w:val="000000" w:themeColor="text1"/>
          <w:sz w:val="20"/>
          <w:szCs w:val="20"/>
          <w:lang w:val="en-US"/>
          <w14:textFill>
            <w14:solidFill>
              <w14:schemeClr w14:val="tx1"/>
            </w14:solidFill>
          </w14:textFill>
        </w:rPr>
        <w:t>]</w:t>
      </w:r>
      <w:r>
        <w:rPr>
          <w:rFonts w:hint="eastAsia" w:ascii="Times New Roman" w:hAnsi="Times New Roman" w:cs="Times New Roman"/>
          <w:color w:val="000000" w:themeColor="text1"/>
          <w:sz w:val="20"/>
          <w:szCs w:val="20"/>
          <w:lang w:val="en-US" w:eastAsia="zh-CN"/>
          <w14:textFill>
            <w14:solidFill>
              <w14:schemeClr w14:val="tx1"/>
            </w14:solidFill>
          </w14:textFill>
        </w:rPr>
        <w:t>F</w:t>
      </w:r>
      <w:r>
        <w:rPr>
          <w:rFonts w:hint="default" w:ascii="Times New Roman" w:hAnsi="Times New Roman" w:cs="Times New Roman"/>
          <w:color w:val="000000" w:themeColor="text1"/>
          <w:sz w:val="20"/>
          <w:szCs w:val="20"/>
          <w:lang w:val="en-US"/>
          <w14:textFill>
            <w14:solidFill>
              <w14:schemeClr w14:val="tx1"/>
            </w14:solidFill>
          </w14:textFill>
        </w:rPr>
        <w:t>, [10</w:t>
      </w:r>
      <w:r>
        <w:rPr>
          <w:rFonts w:hint="eastAsia" w:ascii="Times New Roman" w:hAnsi="Times New Roman" w:cs="Times New Roman"/>
          <w:color w:val="000000" w:themeColor="text1"/>
          <w:sz w:val="20"/>
          <w:szCs w:val="20"/>
          <w:vertAlign w:val="superscript"/>
          <w:lang w:val="en-US" w:eastAsia="zh-CN"/>
          <w14:textFill>
            <w14:solidFill>
              <w14:schemeClr w14:val="tx1"/>
            </w14:solidFill>
          </w14:textFill>
        </w:rPr>
        <w:t>-4</w:t>
      </w:r>
      <w:r>
        <w:rPr>
          <w:rFonts w:hint="default" w:ascii="Times New Roman" w:hAnsi="Times New Roman" w:cs="Times New Roman"/>
          <w:color w:val="000000" w:themeColor="text1"/>
          <w:sz w:val="20"/>
          <w:szCs w:val="20"/>
          <w:lang w:val="en-US"/>
          <w14:textFill>
            <w14:solidFill>
              <w14:schemeClr w14:val="tx1"/>
            </w14:solidFill>
          </w14:textFill>
        </w:rPr>
        <w:t>, 0.011]</w:t>
      </w:r>
      <w:r>
        <w:rPr>
          <w:rFonts w:hint="eastAsia" w:ascii="Times New Roman" w:hAnsi="Times New Roman" w:cs="Times New Roman"/>
          <w:color w:val="000000" w:themeColor="text1"/>
          <w:sz w:val="20"/>
          <w:szCs w:val="20"/>
          <w:lang w:val="en-US" w:eastAsia="zh-CN"/>
          <w14:textFill>
            <w14:solidFill>
              <w14:schemeClr w14:val="tx1"/>
            </w14:solidFill>
          </w14:textFill>
        </w:rPr>
        <w:t>H</w:t>
      </w:r>
      <w:r>
        <w:rPr>
          <w:rFonts w:hint="default" w:ascii="Times New Roman" w:hAnsi="Times New Roman" w:cs="Times New Roman"/>
          <w:color w:val="000000" w:themeColor="text1"/>
          <w:sz w:val="20"/>
          <w:szCs w:val="20"/>
          <w:lang w:val="en-US"/>
          <w14:textFill>
            <w14:solidFill>
              <w14:schemeClr w14:val="tx1"/>
            </w14:solidFill>
          </w14:textFill>
        </w:rPr>
        <w:t>, [10</w:t>
      </w:r>
      <w:r>
        <w:rPr>
          <w:rFonts w:hint="eastAsia" w:ascii="Times New Roman" w:hAnsi="Times New Roman" w:cs="Times New Roman"/>
          <w:color w:val="000000" w:themeColor="text1"/>
          <w:sz w:val="20"/>
          <w:szCs w:val="20"/>
          <w:vertAlign w:val="superscript"/>
          <w:lang w:val="en-US" w:eastAsia="zh-CN"/>
          <w14:textFill>
            <w14:solidFill>
              <w14:schemeClr w14:val="tx1"/>
            </w14:solidFill>
          </w14:textFill>
        </w:rPr>
        <w:t>-4</w:t>
      </w:r>
      <w:r>
        <w:rPr>
          <w:rFonts w:hint="default" w:ascii="Times New Roman" w:hAnsi="Times New Roman" w:cs="Times New Roman"/>
          <w:color w:val="000000" w:themeColor="text1"/>
          <w:sz w:val="20"/>
          <w:szCs w:val="20"/>
          <w:lang w:val="en-US"/>
          <w14:textFill>
            <w14:solidFill>
              <w14:schemeClr w14:val="tx1"/>
            </w14:solidFill>
          </w14:textFill>
        </w:rPr>
        <w:t>, 0.011]</w:t>
      </w:r>
      <w:r>
        <w:rPr>
          <w:rFonts w:hint="eastAsia" w:ascii="Times New Roman" w:hAnsi="Times New Roman" w:cs="Times New Roman"/>
          <w:color w:val="000000" w:themeColor="text1"/>
          <w:sz w:val="20"/>
          <w:szCs w:val="20"/>
          <w:lang w:val="en-US" w:eastAsia="zh-CN"/>
          <w14:textFill>
            <w14:solidFill>
              <w14:schemeClr w14:val="tx1"/>
            </w14:solidFill>
          </w14:textFill>
        </w:rPr>
        <w:t>H</w:t>
      </w:r>
      <w:r>
        <w:rPr>
          <w:rFonts w:hint="default" w:ascii="Times New Roman" w:hAnsi="Times New Roman" w:cs="Times New Roman"/>
          <w:color w:val="000000" w:themeColor="text1"/>
          <w:sz w:val="20"/>
          <w:szCs w:val="20"/>
          <w:lang w:val="en-US"/>
          <w14:textFill>
            <w14:solidFill>
              <w14:schemeClr w14:val="tx1"/>
            </w14:solidFill>
          </w14:textFill>
        </w:rPr>
        <w:t>, and [10</w:t>
      </w:r>
      <w:r>
        <w:rPr>
          <w:rFonts w:hint="eastAsia" w:ascii="Times New Roman" w:hAnsi="Times New Roman" w:cs="Times New Roman"/>
          <w:color w:val="000000" w:themeColor="text1"/>
          <w:sz w:val="20"/>
          <w:szCs w:val="20"/>
          <w:vertAlign w:val="superscript"/>
          <w:lang w:val="en-US" w:eastAsia="zh-CN"/>
          <w14:textFill>
            <w14:solidFill>
              <w14:schemeClr w14:val="tx1"/>
            </w14:solidFill>
          </w14:textFill>
        </w:rPr>
        <w:t>-1</w:t>
      </w:r>
      <w:r>
        <w:rPr>
          <w:rFonts w:hint="default" w:ascii="Times New Roman" w:hAnsi="Times New Roman" w:cs="Times New Roman"/>
          <w:color w:val="000000" w:themeColor="text1"/>
          <w:sz w:val="20"/>
          <w:szCs w:val="20"/>
          <w:lang w:val="en-US"/>
          <w14:textFill>
            <w14:solidFill>
              <w14:schemeClr w14:val="tx1"/>
            </w14:solidFill>
          </w14:textFill>
        </w:rPr>
        <w:t>, 10</w:t>
      </w:r>
      <w:r>
        <w:rPr>
          <w:rFonts w:hint="eastAsia" w:ascii="Times New Roman" w:hAnsi="Times New Roman" w:cs="Times New Roman"/>
          <w:color w:val="000000" w:themeColor="text1"/>
          <w:sz w:val="20"/>
          <w:szCs w:val="20"/>
          <w:vertAlign w:val="superscript"/>
          <w:lang w:val="en-US" w:eastAsia="zh-CN"/>
          <w14:textFill>
            <w14:solidFill>
              <w14:schemeClr w14:val="tx1"/>
            </w14:solidFill>
          </w14:textFill>
        </w:rPr>
        <w:t>3</w:t>
      </w:r>
      <w:r>
        <w:rPr>
          <w:rFonts w:hint="default" w:ascii="Times New Roman" w:hAnsi="Times New Roman" w:cs="Times New Roman"/>
          <w:color w:val="000000" w:themeColor="text1"/>
          <w:sz w:val="20"/>
          <w:szCs w:val="20"/>
          <w:lang w:val="en-US"/>
          <w14:textFill>
            <w14:solidFill>
              <w14:schemeClr w14:val="tx1"/>
            </w14:solidFill>
          </w14:textFill>
        </w:rPr>
        <w:t xml:space="preserve">]Ω, respectively. The objective function is defined as follows: for all conjugate complex characteristic roots of matrix </w:t>
      </w:r>
      <w:r>
        <w:rPr>
          <w:rFonts w:hint="default" w:ascii="Times New Roman" w:hAnsi="Times New Roman" w:cs="Times New Roman"/>
          <w:b/>
          <w:bCs/>
          <w:i/>
          <w:iCs/>
          <w:color w:val="000000" w:themeColor="text1"/>
          <w:sz w:val="20"/>
          <w:szCs w:val="20"/>
          <w:lang w:val="en-US"/>
          <w14:textFill>
            <w14:solidFill>
              <w14:schemeClr w14:val="tx1"/>
            </w14:solidFill>
          </w14:textFill>
        </w:rPr>
        <w:t>Y</w:t>
      </w:r>
      <w:r>
        <w:rPr>
          <w:rFonts w:hint="default" w:ascii="Times New Roman" w:hAnsi="Times New Roman" w:cs="Times New Roman"/>
          <w:color w:val="000000" w:themeColor="text1"/>
          <w:sz w:val="20"/>
          <w:szCs w:val="20"/>
          <w:lang w:val="en-US"/>
          <w14:textFill>
            <w14:solidFill>
              <w14:schemeClr w14:val="tx1"/>
            </w14:solidFill>
          </w14:textFill>
        </w:rPr>
        <w:t xml:space="preserve">, the equivalent damping coefficient </w:t>
      </w:r>
      <w:r>
        <w:rPr>
          <w:rFonts w:hint="default" w:ascii="Times New Roman" w:hAnsi="Times New Roman" w:cs="Times New Roman"/>
          <w:i/>
          <w:iCs/>
          <w:color w:val="000000" w:themeColor="text1"/>
          <w:sz w:val="20"/>
          <w:szCs w:val="20"/>
          <w:lang w:val="en-US"/>
          <w14:textFill>
            <w14:solidFill>
              <w14:schemeClr w14:val="tx1"/>
            </w14:solidFill>
          </w14:textFill>
        </w:rPr>
        <w:t>ξ</w:t>
      </w:r>
      <w:r>
        <w:rPr>
          <w:rFonts w:hint="default" w:ascii="Times New Roman" w:hAnsi="Times New Roman" w:cs="Times New Roman"/>
          <w:color w:val="000000" w:themeColor="text1"/>
          <w:sz w:val="20"/>
          <w:szCs w:val="20"/>
          <w:lang w:val="en-US"/>
          <w14:textFill>
            <w14:solidFill>
              <w14:schemeClr w14:val="tx1"/>
            </w14:solidFill>
          </w14:textFill>
        </w:rPr>
        <w:t xml:space="preserve"> must satisfy </w:t>
      </w:r>
      <w:r>
        <w:rPr>
          <w:rFonts w:hint="default" w:ascii="Times New Roman" w:hAnsi="Times New Roman" w:cs="Times New Roman"/>
          <w:i/>
          <w:iCs/>
          <w:color w:val="000000" w:themeColor="text1"/>
          <w:sz w:val="20"/>
          <w:szCs w:val="20"/>
          <w:lang w:val="en-US"/>
          <w14:textFill>
            <w14:solidFill>
              <w14:schemeClr w14:val="tx1"/>
            </w14:solidFill>
          </w14:textFill>
        </w:rPr>
        <w:t>ξ</w:t>
      </w:r>
      <w:r>
        <w:rPr>
          <w:rFonts w:hint="default" w:ascii="Times New Roman" w:hAnsi="Times New Roman" w:cs="Times New Roman"/>
          <w:color w:val="000000" w:themeColor="text1"/>
          <w:sz w:val="20"/>
          <w:szCs w:val="20"/>
          <w:lang w:val="en-US"/>
          <w14:textFill>
            <w14:solidFill>
              <w14:schemeClr w14:val="tx1"/>
            </w14:solidFill>
          </w14:textFill>
        </w:rPr>
        <w:t xml:space="preserve"> ≥ 0.2, and the remainder </w:t>
      </w:r>
      <w:r>
        <w:rPr>
          <w:rFonts w:hint="default" w:ascii="Times New Roman" w:hAnsi="Times New Roman" w:cs="Times New Roman"/>
          <w:i/>
          <w:iCs/>
          <w:color w:val="000000" w:themeColor="text1"/>
          <w:sz w:val="20"/>
          <w:szCs w:val="20"/>
          <w:lang w:val="en-US"/>
          <w14:textFill>
            <w14:solidFill>
              <w14:schemeClr w14:val="tx1"/>
            </w14:solidFill>
          </w14:textFill>
        </w:rPr>
        <w:t>n</w:t>
      </w:r>
      <w:r>
        <w:rPr>
          <w:rFonts w:hint="default" w:ascii="Times New Roman" w:hAnsi="Times New Roman" w:cs="Times New Roman"/>
          <w:color w:val="000000" w:themeColor="text1"/>
          <w:sz w:val="20"/>
          <w:szCs w:val="20"/>
          <w:lang w:val="en-US"/>
          <w14:textFill>
            <w14:solidFill>
              <w14:schemeClr w14:val="tx1"/>
            </w14:solidFill>
          </w14:textFill>
        </w:rPr>
        <w:t xml:space="preserve"> obtained by dividing the imaginary part of the root by (2π·100) must be an integer. The optimization results obtained through iteration are presented in Table 6.</w:t>
      </w:r>
    </w:p>
    <w:p>
      <w:pPr>
        <w:jc w:val="center"/>
        <w:rPr>
          <w:i/>
          <w:iCs/>
          <w:color w:val="000000" w:themeColor="text1"/>
          <w:sz w:val="20"/>
          <w:szCs w:val="20"/>
          <w14:textFill>
            <w14:solidFill>
              <w14:schemeClr w14:val="tx1"/>
            </w14:solidFill>
          </w14:textFill>
        </w:rPr>
      </w:pPr>
      <w:r>
        <w:rPr>
          <w:b/>
          <w:bCs/>
          <w:i/>
          <w:iCs/>
          <w:color w:val="000000" w:themeColor="text1"/>
          <w:sz w:val="20"/>
          <w:szCs w:val="20"/>
          <w:lang w:val="en-US"/>
          <w14:textFill>
            <w14:solidFill>
              <w14:schemeClr w14:val="tx1"/>
            </w14:solidFill>
          </w14:textFill>
        </w:rPr>
        <w:t>Tab.</w:t>
      </w:r>
      <w:r>
        <w:rPr>
          <w:rFonts w:hint="eastAsia"/>
          <w:b/>
          <w:bCs/>
          <w:i/>
          <w:iCs/>
          <w:color w:val="000000" w:themeColor="text1"/>
          <w:sz w:val="20"/>
          <w:szCs w:val="20"/>
          <w:lang w:val="en-US" w:eastAsia="zh-CN"/>
          <w14:textFill>
            <w14:solidFill>
              <w14:schemeClr w14:val="tx1"/>
            </w14:solidFill>
          </w14:textFill>
        </w:rPr>
        <w:t>6</w:t>
      </w:r>
      <w:r>
        <w:rPr>
          <w:i/>
          <w:iCs/>
          <w:color w:val="000000" w:themeColor="text1"/>
          <w:sz w:val="20"/>
          <w:szCs w:val="20"/>
          <w14:textFill>
            <w14:solidFill>
              <w14:schemeClr w14:val="tx1"/>
            </w14:solidFill>
          </w14:textFill>
        </w:rPr>
        <w:t xml:space="preserve"> Iteration </w:t>
      </w:r>
      <w:r>
        <w:rPr>
          <w:rFonts w:hint="eastAsia"/>
          <w:i/>
          <w:iCs/>
          <w:color w:val="000000" w:themeColor="text1"/>
          <w:sz w:val="20"/>
          <w:szCs w:val="20"/>
          <w:lang w:val="en-US" w:eastAsia="zh-CN"/>
          <w14:textFill>
            <w14:solidFill>
              <w14:schemeClr w14:val="tx1"/>
            </w14:solidFill>
          </w14:textFill>
        </w:rPr>
        <w:t>r</w:t>
      </w:r>
      <w:r>
        <w:rPr>
          <w:i/>
          <w:iCs/>
          <w:color w:val="000000" w:themeColor="text1"/>
          <w:sz w:val="20"/>
          <w:szCs w:val="20"/>
          <w14:textFill>
            <w14:solidFill>
              <w14:schemeClr w14:val="tx1"/>
            </w14:solidFill>
          </w14:textFill>
        </w:rPr>
        <w:t xml:space="preserve">esults of the </w:t>
      </w:r>
      <w:r>
        <w:rPr>
          <w:rFonts w:hint="eastAsia" w:eastAsia="黑体"/>
          <w:i/>
          <w:iCs/>
          <w:sz w:val="20"/>
          <w:szCs w:val="20"/>
        </w:rPr>
        <w:t>damping device</w:t>
      </w:r>
    </w:p>
    <w:tbl>
      <w:tblPr>
        <w:tblStyle w:val="16"/>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63"/>
        <w:gridCol w:w="2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834" w:type="pct"/>
            <w:tcBorders>
              <w:top w:val="single" w:color="auto" w:sz="4" w:space="0"/>
              <w:left w:val="nil"/>
              <w:bottom w:val="single" w:color="auto" w:sz="4" w:space="0"/>
              <w:right w:val="nil"/>
            </w:tcBorders>
            <w:vAlign w:val="center"/>
          </w:tcPr>
          <w:p>
            <w:pPr>
              <w:spacing w:line="252" w:lineRule="auto"/>
              <w:jc w:val="center"/>
              <w:rPr>
                <w:color w:val="000000"/>
                <w:sz w:val="16"/>
                <w:szCs w:val="16"/>
                <w:lang w:eastAsia="zh-CN"/>
              </w:rPr>
            </w:pPr>
            <w:r>
              <w:rPr>
                <w:color w:val="000000"/>
                <w:sz w:val="16"/>
                <w:szCs w:val="16"/>
                <w:lang w:val="en-US" w:eastAsia="zh-CN"/>
              </w:rPr>
              <w:t>Parameter</w:t>
            </w:r>
          </w:p>
        </w:tc>
        <w:tc>
          <w:tcPr>
            <w:tcW w:w="2165" w:type="pct"/>
            <w:tcBorders>
              <w:top w:val="single" w:color="auto" w:sz="4" w:space="0"/>
              <w:left w:val="nil"/>
              <w:bottom w:val="single" w:color="auto" w:sz="4" w:space="0"/>
              <w:right w:val="nil"/>
            </w:tcBorders>
            <w:vAlign w:val="center"/>
          </w:tcPr>
          <w:p>
            <w:pPr>
              <w:spacing w:line="252" w:lineRule="auto"/>
              <w:jc w:val="center"/>
              <w:rPr>
                <w:color w:val="000000"/>
                <w:sz w:val="16"/>
                <w:szCs w:val="16"/>
                <w:lang w:eastAsia="zh-CN"/>
              </w:rPr>
            </w:pPr>
            <w:r>
              <w:rPr>
                <w:color w:val="000000"/>
                <w:sz w:val="16"/>
                <w:szCs w:val="16"/>
                <w:lang w:val="en-US" w:eastAsia="zh-CN"/>
              </w:rPr>
              <w:t>Values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4" w:type="pct"/>
            <w:tcBorders>
              <w:top w:val="single" w:color="auto" w:sz="4" w:space="0"/>
              <w:left w:val="nil"/>
              <w:bottom w:val="nil"/>
              <w:right w:val="nil"/>
            </w:tcBorders>
            <w:vAlign w:val="center"/>
          </w:tcPr>
          <w:p>
            <w:pPr>
              <w:jc w:val="center"/>
              <w:rPr>
                <w:bCs/>
                <w:sz w:val="16"/>
                <w:szCs w:val="16"/>
                <w:lang w:eastAsia="zh-CN"/>
              </w:rPr>
            </w:pPr>
            <w:r>
              <w:rPr>
                <w:bCs/>
                <w:i/>
                <w:iCs/>
                <w:sz w:val="16"/>
                <w:szCs w:val="16"/>
                <w:lang w:val="en-US" w:eastAsia="zh-CN"/>
              </w:rPr>
              <w:t>C</w:t>
            </w:r>
            <w:r>
              <w:rPr>
                <w:bCs/>
                <w:sz w:val="16"/>
                <w:szCs w:val="16"/>
                <w:vertAlign w:val="subscript"/>
                <w:lang w:val="en-US" w:eastAsia="zh-CN"/>
              </w:rPr>
              <w:t>1</w:t>
            </w:r>
            <w:r>
              <w:rPr>
                <w:rFonts w:hint="eastAsia"/>
                <w:bCs/>
                <w:sz w:val="16"/>
                <w:szCs w:val="16"/>
                <w:vertAlign w:val="subscript"/>
                <w:lang w:val="en-US" w:eastAsia="zh-CN"/>
              </w:rPr>
              <w:t>d</w:t>
            </w:r>
            <w:r>
              <w:rPr>
                <w:bCs/>
                <w:sz w:val="16"/>
                <w:szCs w:val="16"/>
                <w:vertAlign w:val="subscript"/>
                <w:lang w:val="en-US" w:eastAsia="zh-CN"/>
              </w:rPr>
              <w:t xml:space="preserve"> </w:t>
            </w:r>
            <w:r>
              <w:rPr>
                <w:bCs/>
                <w:sz w:val="16"/>
                <w:szCs w:val="16"/>
                <w:lang w:val="en-US" w:eastAsia="zh-CN"/>
              </w:rPr>
              <w:t>/μF</w:t>
            </w:r>
          </w:p>
        </w:tc>
        <w:tc>
          <w:tcPr>
            <w:tcW w:w="2165" w:type="pct"/>
            <w:tcBorders>
              <w:top w:val="single" w:color="auto" w:sz="4" w:space="0"/>
              <w:left w:val="nil"/>
              <w:bottom w:val="nil"/>
              <w:right w:val="nil"/>
            </w:tcBorders>
            <w:vAlign w:val="center"/>
          </w:tcPr>
          <w:p>
            <w:pPr>
              <w:jc w:val="center"/>
              <w:rPr>
                <w:rFonts w:hint="default"/>
                <w:bCs/>
                <w:sz w:val="16"/>
                <w:szCs w:val="16"/>
                <w:lang w:val="en-US" w:eastAsia="zh-CN"/>
              </w:rPr>
            </w:pPr>
            <w:r>
              <w:rPr>
                <w:rFonts w:hint="eastAsia"/>
                <w:bCs/>
                <w:sz w:val="16"/>
                <w:szCs w:val="16"/>
                <w:lang w:val="en-US" w:eastAsia="zh-CN"/>
              </w:rPr>
              <w:t>84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4" w:type="pct"/>
            <w:tcBorders>
              <w:top w:val="nil"/>
              <w:left w:val="nil"/>
              <w:bottom w:val="nil"/>
              <w:right w:val="nil"/>
            </w:tcBorders>
            <w:vAlign w:val="center"/>
          </w:tcPr>
          <w:p>
            <w:pPr>
              <w:jc w:val="center"/>
              <w:rPr>
                <w:bCs/>
                <w:sz w:val="16"/>
                <w:szCs w:val="16"/>
                <w:lang w:eastAsia="zh-CN"/>
              </w:rPr>
            </w:pPr>
            <w:r>
              <w:rPr>
                <w:bCs/>
                <w:i/>
                <w:iCs/>
                <w:sz w:val="16"/>
                <w:szCs w:val="16"/>
                <w:lang w:val="en-US" w:eastAsia="zh-CN"/>
              </w:rPr>
              <w:t>C</w:t>
            </w:r>
            <w:r>
              <w:rPr>
                <w:bCs/>
                <w:sz w:val="16"/>
                <w:szCs w:val="16"/>
                <w:vertAlign w:val="subscript"/>
                <w:lang w:val="en-US" w:eastAsia="zh-CN"/>
              </w:rPr>
              <w:t>2</w:t>
            </w:r>
            <w:r>
              <w:rPr>
                <w:rFonts w:hint="eastAsia"/>
                <w:bCs/>
                <w:sz w:val="16"/>
                <w:szCs w:val="16"/>
                <w:vertAlign w:val="subscript"/>
                <w:lang w:val="en-US" w:eastAsia="zh-CN"/>
              </w:rPr>
              <w:t>d</w:t>
            </w:r>
            <w:r>
              <w:rPr>
                <w:bCs/>
                <w:sz w:val="16"/>
                <w:szCs w:val="16"/>
                <w:vertAlign w:val="subscript"/>
                <w:lang w:val="en-US" w:eastAsia="zh-CN"/>
              </w:rPr>
              <w:t xml:space="preserve"> </w:t>
            </w:r>
            <w:r>
              <w:rPr>
                <w:bCs/>
                <w:sz w:val="16"/>
                <w:szCs w:val="16"/>
                <w:lang w:val="en-US" w:eastAsia="zh-CN"/>
              </w:rPr>
              <w:t>/ μF</w:t>
            </w:r>
          </w:p>
        </w:tc>
        <w:tc>
          <w:tcPr>
            <w:tcW w:w="2165" w:type="pct"/>
            <w:tcBorders>
              <w:top w:val="nil"/>
              <w:left w:val="nil"/>
              <w:bottom w:val="nil"/>
              <w:right w:val="nil"/>
            </w:tcBorders>
            <w:vAlign w:val="center"/>
          </w:tcPr>
          <w:p>
            <w:pPr>
              <w:jc w:val="center"/>
              <w:rPr>
                <w:rFonts w:hint="default"/>
                <w:bCs/>
                <w:sz w:val="16"/>
                <w:szCs w:val="16"/>
                <w:lang w:val="en-US" w:eastAsia="zh-CN"/>
              </w:rPr>
            </w:pPr>
            <w:r>
              <w:rPr>
                <w:rFonts w:hint="eastAsia"/>
                <w:bCs/>
                <w:sz w:val="16"/>
                <w:szCs w:val="16"/>
                <w:lang w:val="en-US" w:eastAsia="zh-CN"/>
              </w:rPr>
              <w:t>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4" w:type="pct"/>
            <w:tcBorders>
              <w:top w:val="nil"/>
              <w:left w:val="nil"/>
              <w:bottom w:val="nil"/>
              <w:right w:val="nil"/>
            </w:tcBorders>
            <w:vAlign w:val="center"/>
          </w:tcPr>
          <w:p>
            <w:pPr>
              <w:jc w:val="center"/>
              <w:rPr>
                <w:bCs/>
                <w:sz w:val="16"/>
                <w:szCs w:val="16"/>
                <w:lang w:eastAsia="zh-CN"/>
              </w:rPr>
            </w:pPr>
            <w:r>
              <w:rPr>
                <w:bCs/>
                <w:i/>
                <w:iCs/>
                <w:sz w:val="16"/>
                <w:szCs w:val="16"/>
                <w:lang w:val="en-US" w:eastAsia="zh-CN"/>
              </w:rPr>
              <w:t>L</w:t>
            </w:r>
            <w:r>
              <w:rPr>
                <w:bCs/>
                <w:sz w:val="16"/>
                <w:szCs w:val="16"/>
                <w:vertAlign w:val="subscript"/>
                <w:lang w:val="en-US" w:eastAsia="zh-CN"/>
              </w:rPr>
              <w:t>1</w:t>
            </w:r>
            <w:r>
              <w:rPr>
                <w:rFonts w:hint="eastAsia"/>
                <w:bCs/>
                <w:sz w:val="16"/>
                <w:szCs w:val="16"/>
                <w:vertAlign w:val="subscript"/>
                <w:lang w:val="en-US" w:eastAsia="zh-CN"/>
              </w:rPr>
              <w:t>d</w:t>
            </w:r>
            <w:r>
              <w:rPr>
                <w:bCs/>
                <w:sz w:val="16"/>
                <w:szCs w:val="16"/>
                <w:vertAlign w:val="subscript"/>
                <w:lang w:val="en-US" w:eastAsia="zh-CN"/>
              </w:rPr>
              <w:t xml:space="preserve"> </w:t>
            </w:r>
            <w:r>
              <w:rPr>
                <w:bCs/>
                <w:sz w:val="16"/>
                <w:szCs w:val="16"/>
                <w:lang w:val="en-US" w:eastAsia="zh-CN"/>
              </w:rPr>
              <w:t>/ mH</w:t>
            </w:r>
          </w:p>
        </w:tc>
        <w:tc>
          <w:tcPr>
            <w:tcW w:w="2165" w:type="pct"/>
            <w:tcBorders>
              <w:top w:val="nil"/>
              <w:left w:val="nil"/>
              <w:bottom w:val="nil"/>
              <w:right w:val="nil"/>
            </w:tcBorders>
            <w:vAlign w:val="center"/>
          </w:tcPr>
          <w:p>
            <w:pPr>
              <w:jc w:val="center"/>
              <w:rPr>
                <w:rFonts w:hint="default"/>
                <w:bCs/>
                <w:sz w:val="16"/>
                <w:szCs w:val="16"/>
                <w:lang w:val="en-US" w:eastAsia="zh-CN"/>
              </w:rPr>
            </w:pPr>
            <w:r>
              <w:rPr>
                <w:rFonts w:hint="eastAsia"/>
                <w:bCs/>
                <w:sz w:val="16"/>
                <w:szCs w:val="16"/>
                <w:lang w:val="en-US" w:eastAsia="zh-CN"/>
              </w:rPr>
              <w:t>9.38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63" w:type="dxa"/>
            <w:tcBorders>
              <w:top w:val="nil"/>
              <w:left w:val="nil"/>
              <w:bottom w:val="nil"/>
              <w:right w:val="nil"/>
            </w:tcBorders>
            <w:vAlign w:val="center"/>
          </w:tcPr>
          <w:p>
            <w:pPr>
              <w:jc w:val="center"/>
              <w:rPr>
                <w:bCs/>
                <w:i/>
                <w:iCs/>
                <w:sz w:val="16"/>
                <w:szCs w:val="16"/>
                <w:lang w:eastAsia="zh-CN"/>
              </w:rPr>
            </w:pPr>
            <w:r>
              <w:rPr>
                <w:bCs/>
                <w:i/>
                <w:iCs/>
                <w:sz w:val="16"/>
                <w:szCs w:val="16"/>
                <w:lang w:val="en-US" w:eastAsia="zh-CN"/>
              </w:rPr>
              <w:t>L</w:t>
            </w:r>
            <w:r>
              <w:rPr>
                <w:rFonts w:hint="eastAsia"/>
                <w:bCs/>
                <w:sz w:val="16"/>
                <w:szCs w:val="16"/>
                <w:vertAlign w:val="subscript"/>
                <w:lang w:val="en-US" w:eastAsia="zh-CN"/>
              </w:rPr>
              <w:t>2d</w:t>
            </w:r>
            <w:r>
              <w:rPr>
                <w:bCs/>
                <w:sz w:val="16"/>
                <w:szCs w:val="16"/>
                <w:vertAlign w:val="subscript"/>
                <w:lang w:val="en-US" w:eastAsia="zh-CN"/>
              </w:rPr>
              <w:t xml:space="preserve"> </w:t>
            </w:r>
            <w:r>
              <w:rPr>
                <w:bCs/>
                <w:sz w:val="16"/>
                <w:szCs w:val="16"/>
                <w:lang w:val="en-US" w:eastAsia="zh-CN"/>
              </w:rPr>
              <w:t>/ mH</w:t>
            </w:r>
          </w:p>
        </w:tc>
        <w:tc>
          <w:tcPr>
            <w:tcW w:w="2111" w:type="dxa"/>
            <w:tcBorders>
              <w:top w:val="nil"/>
              <w:left w:val="nil"/>
              <w:bottom w:val="nil"/>
              <w:right w:val="nil"/>
            </w:tcBorders>
            <w:vAlign w:val="center"/>
          </w:tcPr>
          <w:p>
            <w:pPr>
              <w:jc w:val="center"/>
              <w:rPr>
                <w:rFonts w:hint="default"/>
                <w:bCs/>
                <w:sz w:val="16"/>
                <w:szCs w:val="16"/>
                <w:lang w:val="en-US" w:eastAsia="zh-CN"/>
              </w:rPr>
            </w:pPr>
            <w:r>
              <w:rPr>
                <w:rFonts w:hint="eastAsia"/>
                <w:bCs/>
                <w:sz w:val="16"/>
                <w:szCs w:val="16"/>
                <w:lang w:val="en-US" w:eastAsia="zh-CN"/>
              </w:rPr>
              <w:t>2.29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4" w:type="pct"/>
            <w:tcBorders>
              <w:top w:val="nil"/>
              <w:left w:val="nil"/>
              <w:bottom w:val="single" w:color="auto" w:sz="4" w:space="0"/>
              <w:right w:val="nil"/>
            </w:tcBorders>
            <w:vAlign w:val="center"/>
          </w:tcPr>
          <w:p>
            <w:pPr>
              <w:jc w:val="center"/>
              <w:rPr>
                <w:rFonts w:ascii="Times New Roman" w:hAnsi="Times New Roman" w:eastAsia="宋体" w:cs="Times New Roman"/>
                <w:bCs/>
                <w:i/>
                <w:iCs/>
                <w:sz w:val="16"/>
                <w:szCs w:val="16"/>
                <w:lang w:val="en-US" w:eastAsia="zh-CN" w:bidi="ar-SA"/>
              </w:rPr>
            </w:pPr>
            <w:r>
              <w:rPr>
                <w:bCs/>
                <w:i/>
                <w:iCs/>
                <w:sz w:val="16"/>
                <w:szCs w:val="16"/>
                <w:lang w:val="en-US" w:eastAsia="zh-CN"/>
              </w:rPr>
              <w:t>R</w:t>
            </w:r>
            <w:r>
              <w:rPr>
                <w:rFonts w:hint="eastAsia"/>
                <w:bCs/>
                <w:sz w:val="16"/>
                <w:szCs w:val="16"/>
                <w:vertAlign w:val="subscript"/>
                <w:lang w:val="en-US" w:eastAsia="zh-CN"/>
              </w:rPr>
              <w:t>1d</w:t>
            </w:r>
            <w:r>
              <w:rPr>
                <w:bCs/>
                <w:sz w:val="16"/>
                <w:szCs w:val="16"/>
                <w:vertAlign w:val="subscript"/>
                <w:lang w:val="en-US" w:eastAsia="zh-CN"/>
              </w:rPr>
              <w:t xml:space="preserve"> </w:t>
            </w:r>
            <w:r>
              <w:rPr>
                <w:bCs/>
                <w:sz w:val="16"/>
                <w:szCs w:val="16"/>
                <w:lang w:val="en-US" w:eastAsia="zh-CN"/>
              </w:rPr>
              <w:t>/ Ω</w:t>
            </w:r>
          </w:p>
        </w:tc>
        <w:tc>
          <w:tcPr>
            <w:tcW w:w="2165" w:type="pct"/>
            <w:tcBorders>
              <w:top w:val="nil"/>
              <w:left w:val="nil"/>
              <w:bottom w:val="single" w:color="auto" w:sz="4" w:space="0"/>
              <w:right w:val="nil"/>
            </w:tcBorders>
            <w:vAlign w:val="center"/>
          </w:tcPr>
          <w:p>
            <w:pPr>
              <w:jc w:val="center"/>
              <w:rPr>
                <w:rFonts w:hint="default" w:ascii="Times New Roman" w:hAnsi="Times New Roman" w:eastAsia="宋体" w:cs="Times New Roman"/>
                <w:bCs/>
                <w:sz w:val="16"/>
                <w:szCs w:val="16"/>
                <w:lang w:val="en-US" w:eastAsia="zh-CN" w:bidi="ar-SA"/>
              </w:rPr>
            </w:pPr>
            <w:r>
              <w:rPr>
                <w:rFonts w:hint="eastAsia"/>
                <w:bCs/>
                <w:sz w:val="16"/>
                <w:szCs w:val="16"/>
                <w:lang w:val="en-US" w:eastAsia="zh-CN"/>
              </w:rPr>
              <w:t>30.54</w:t>
            </w:r>
          </w:p>
        </w:tc>
      </w:tr>
    </w:tbl>
    <w:p>
      <w:pPr>
        <w:ind w:firstLine="400"/>
        <w:jc w:val="both"/>
        <w:rPr>
          <w:rFonts w:hint="eastAsia"/>
        </w:rPr>
      </w:pPr>
      <w:r>
        <w:rPr>
          <w:rFonts w:hint="default" w:ascii="Times New Roman" w:hAnsi="Times New Roman" w:cs="Times New Roman"/>
          <w:color w:val="000000" w:themeColor="text1"/>
          <w:sz w:val="20"/>
          <w:szCs w:val="20"/>
          <w14:textFill>
            <w14:solidFill>
              <w14:schemeClr w14:val="tx1"/>
            </w14:solidFill>
          </w14:textFill>
        </w:rPr>
        <w:t xml:space="preserve">The parameters given in Table </w:t>
      </w:r>
      <w:r>
        <w:rPr>
          <w:rFonts w:hint="eastAsia" w:cs="Times New Roman"/>
          <w:color w:val="000000" w:themeColor="text1"/>
          <w:sz w:val="20"/>
          <w:szCs w:val="20"/>
          <w:lang w:val="en-US" w:eastAsia="zh-CN"/>
          <w14:textFill>
            <w14:solidFill>
              <w14:schemeClr w14:val="tx1"/>
            </w14:solidFill>
          </w14:textFill>
        </w:rPr>
        <w:t>6</w:t>
      </w:r>
      <w:r>
        <w:rPr>
          <w:rFonts w:hint="default" w:ascii="Times New Roman" w:hAnsi="Times New Roman" w:cs="Times New Roman"/>
          <w:color w:val="000000" w:themeColor="text1"/>
          <w:sz w:val="20"/>
          <w:szCs w:val="20"/>
          <w14:textFill>
            <w14:solidFill>
              <w14:schemeClr w14:val="tx1"/>
            </w14:solidFill>
          </w14:textFill>
        </w:rPr>
        <w:t xml:space="preserve"> are substituted into the direct-mounted damping device to obtain the system’s frequency-response curves before and after its installation, as shown in Fig</w:t>
      </w:r>
      <w:r>
        <w:rPr>
          <w:rFonts w:hint="eastAsia" w:ascii="Times New Roman" w:hAnsi="Times New Roman" w:cs="Times New Roman"/>
          <w:color w:val="000000" w:themeColor="text1"/>
          <w:sz w:val="20"/>
          <w:szCs w:val="20"/>
          <w:lang w:val="en-US" w:eastAsia="zh-CN"/>
          <w14:textFill>
            <w14:solidFill>
              <w14:schemeClr w14:val="tx1"/>
            </w14:solidFill>
          </w14:textFill>
        </w:rPr>
        <w:t>.</w:t>
      </w:r>
      <w:r>
        <w:rPr>
          <w:rFonts w:hint="default" w:ascii="Times New Roman" w:hAnsi="Times New Roman" w:cs="Times New Roman"/>
          <w:color w:val="000000" w:themeColor="text1"/>
          <w:sz w:val="20"/>
          <w:szCs w:val="20"/>
          <w14:textFill>
            <w14:solidFill>
              <w14:schemeClr w14:val="tx1"/>
            </w14:solidFill>
          </w14:textFill>
        </w:rPr>
        <w:t xml:space="preserve"> </w:t>
      </w:r>
      <w:r>
        <w:rPr>
          <w:rFonts w:hint="eastAsia" w:cs="Times New Roman"/>
          <w:color w:val="000000" w:themeColor="text1"/>
          <w:sz w:val="20"/>
          <w:szCs w:val="20"/>
          <w:lang w:val="en-US" w:eastAsia="zh-CN"/>
          <w14:textFill>
            <w14:solidFill>
              <w14:schemeClr w14:val="tx1"/>
            </w14:solidFill>
          </w14:textFill>
        </w:rPr>
        <w:t>7</w:t>
      </w:r>
      <w:r>
        <w:rPr>
          <w:rFonts w:hint="default" w:ascii="Times New Roman" w:hAnsi="Times New Roman" w:cs="Times New Roman"/>
          <w:color w:val="000000" w:themeColor="text1"/>
          <w:sz w:val="20"/>
          <w:szCs w:val="20"/>
          <w14:textFill>
            <w14:solidFill>
              <w14:schemeClr w14:val="tx1"/>
            </w14:solidFill>
          </w14:textFill>
        </w:rPr>
        <w:t>.</w:t>
      </w:r>
    </w:p>
    <w:p>
      <w:pPr>
        <w:jc w:val="center"/>
        <w:rPr>
          <w:rFonts w:hint="eastAsia"/>
        </w:rPr>
      </w:pPr>
      <w:r>
        <w:rPr>
          <w:rFonts w:hint="eastAsia"/>
        </w:rPr>
        <w:object>
          <v:shape id="_x0000_i1040" o:spt="75" type="#_x0000_t75" style="height:153.5pt;width:184.5pt;" o:ole="t" filled="f" o:preferrelative="t" stroked="f" coordsize="21600,21600">
            <v:path/>
            <v:fill on="f" focussize="0,0"/>
            <v:stroke on="f"/>
            <v:imagedata r:id="rId47" o:title=""/>
            <o:lock v:ext="edit" aspectratio="f"/>
            <w10:wrap type="none"/>
            <w10:anchorlock/>
          </v:shape>
          <o:OLEObject Type="Embed" ProgID="Visio.Drawing.15" ShapeID="_x0000_i1040" DrawAspect="Content" ObjectID="_1468075740" r:id="rId46">
            <o:LockedField>false</o:LockedField>
          </o:OLEObject>
        </w:object>
      </w:r>
    </w:p>
    <w:p>
      <w:pPr>
        <w:jc w:val="center"/>
        <w:rPr>
          <w:i/>
          <w:iCs/>
          <w:color w:val="000000" w:themeColor="text1"/>
          <w:sz w:val="20"/>
          <w:szCs w:val="20"/>
          <w14:textFill>
            <w14:solidFill>
              <w14:schemeClr w14:val="tx1"/>
            </w14:solidFill>
          </w14:textFill>
        </w:rPr>
      </w:pPr>
      <w:r>
        <w:rPr>
          <w:b/>
          <w:bCs/>
          <w:i/>
          <w:iCs/>
          <w:color w:val="000000" w:themeColor="text1"/>
          <w:sz w:val="20"/>
          <w:szCs w:val="20"/>
          <w:lang w:val="en-US"/>
          <w14:textFill>
            <w14:solidFill>
              <w14:schemeClr w14:val="tx1"/>
            </w14:solidFill>
          </w14:textFill>
        </w:rPr>
        <w:t>Fig.</w:t>
      </w:r>
      <w:r>
        <w:rPr>
          <w:rFonts w:hint="eastAsia"/>
          <w:b/>
          <w:bCs/>
          <w:i/>
          <w:iCs/>
          <w:color w:val="000000" w:themeColor="text1"/>
          <w:sz w:val="20"/>
          <w:szCs w:val="20"/>
          <w:lang w:val="en-US" w:eastAsia="zh-CN"/>
          <w14:textFill>
            <w14:solidFill>
              <w14:schemeClr w14:val="tx1"/>
            </w14:solidFill>
          </w14:textFill>
        </w:rPr>
        <w:t>7</w:t>
      </w:r>
      <w:r>
        <w:t xml:space="preserve"> </w:t>
      </w:r>
      <w:r>
        <w:rPr>
          <w:rFonts w:hint="eastAsia"/>
          <w:i/>
          <w:iCs/>
          <w:color w:val="000000" w:themeColor="text1"/>
          <w:sz w:val="20"/>
          <w:szCs w:val="20"/>
          <w:lang w:val="en-US" w:eastAsia="zh-CN"/>
          <w14:textFill>
            <w14:solidFill>
              <w14:schemeClr w14:val="tx1"/>
            </w14:solidFill>
          </w14:textFill>
        </w:rPr>
        <w:t>S</w:t>
      </w:r>
      <w:r>
        <w:rPr>
          <w:rFonts w:hint="eastAsia"/>
          <w:i/>
          <w:iCs/>
          <w:color w:val="000000" w:themeColor="text1"/>
          <w:sz w:val="20"/>
          <w:szCs w:val="20"/>
          <w14:textFill>
            <w14:solidFill>
              <w14:schemeClr w14:val="tx1"/>
            </w14:solidFill>
          </w14:textFill>
        </w:rPr>
        <w:t>ystem</w:t>
      </w:r>
      <w:r>
        <w:rPr>
          <w:rFonts w:hint="eastAsia"/>
          <w:i/>
          <w:iCs/>
          <w:color w:val="000000" w:themeColor="text1"/>
          <w:sz w:val="20"/>
          <w:szCs w:val="20"/>
          <w:lang w:val="en-US" w:eastAsia="zh-CN"/>
          <w14:textFill>
            <w14:solidFill>
              <w14:schemeClr w14:val="tx1"/>
            </w14:solidFill>
          </w14:textFill>
        </w:rPr>
        <w:t xml:space="preserve"> </w:t>
      </w:r>
      <w:r>
        <w:rPr>
          <w:rFonts w:hint="eastAsia"/>
          <w:i/>
          <w:iCs/>
          <w:color w:val="000000" w:themeColor="text1"/>
          <w:sz w:val="20"/>
          <w:szCs w:val="20"/>
          <w14:textFill>
            <w14:solidFill>
              <w14:schemeClr w14:val="tx1"/>
            </w14:solidFill>
          </w14:textFill>
        </w:rPr>
        <w:t>frequency response before and after applying the parallel direct-mounted damping device</w:t>
      </w:r>
    </w:p>
    <w:p>
      <w:pPr>
        <w:keepNext w:val="0"/>
        <w:keepLines w:val="0"/>
        <w:pageBreakBefore w:val="0"/>
        <w:widowControl/>
        <w:kinsoku/>
        <w:wordWrap/>
        <w:overflowPunct/>
        <w:topLinePunct w:val="0"/>
        <w:autoSpaceDE/>
        <w:autoSpaceDN/>
        <w:bidi w:val="0"/>
        <w:adjustRightInd/>
        <w:snapToGrid/>
        <w:ind w:firstLine="403"/>
        <w:jc w:val="both"/>
        <w:textAlignment w:val="auto"/>
        <w:rPr>
          <w:rFonts w:hint="default" w:ascii="Times New Roman" w:hAnsi="Times New Roman" w:cs="Times New Roman"/>
          <w:color w:val="000000" w:themeColor="text1"/>
          <w:sz w:val="20"/>
          <w:szCs w:val="20"/>
          <w14:textFill>
            <w14:solidFill>
              <w14:schemeClr w14:val="tx1"/>
            </w14:solidFill>
          </w14:textFill>
        </w:rPr>
      </w:pPr>
      <w:r>
        <w:rPr>
          <w:rFonts w:hint="default" w:ascii="Times New Roman" w:hAnsi="Times New Roman" w:cs="Times New Roman"/>
          <w:color w:val="000000" w:themeColor="text1"/>
          <w:sz w:val="20"/>
          <w:szCs w:val="20"/>
          <w14:textFill>
            <w14:solidFill>
              <w14:schemeClr w14:val="tx1"/>
            </w14:solidFill>
          </w14:textFill>
        </w:rPr>
        <w:t>As shown in Fig</w:t>
      </w:r>
      <w:r>
        <w:rPr>
          <w:rFonts w:hint="default" w:ascii="Times New Roman" w:hAnsi="Times New Roman" w:cs="Times New Roman"/>
          <w:color w:val="000000" w:themeColor="text1"/>
          <w:sz w:val="20"/>
          <w:szCs w:val="20"/>
          <w:lang w:val="en-US" w:eastAsia="zh-CN"/>
          <w14:textFill>
            <w14:solidFill>
              <w14:schemeClr w14:val="tx1"/>
            </w14:solidFill>
          </w14:textFill>
        </w:rPr>
        <w:t>.</w:t>
      </w:r>
      <w:r>
        <w:rPr>
          <w:rFonts w:hint="default" w:ascii="Times New Roman" w:hAnsi="Times New Roman" w:cs="Times New Roman"/>
          <w:color w:val="000000" w:themeColor="text1"/>
          <w:sz w:val="20"/>
          <w:szCs w:val="20"/>
          <w14:textFill>
            <w14:solidFill>
              <w14:schemeClr w14:val="tx1"/>
            </w14:solidFill>
          </w14:textFill>
        </w:rPr>
        <w:t xml:space="preserve"> </w:t>
      </w:r>
      <w:r>
        <w:rPr>
          <w:rFonts w:hint="eastAsia" w:cs="Times New Roman"/>
          <w:color w:val="000000" w:themeColor="text1"/>
          <w:sz w:val="20"/>
          <w:szCs w:val="20"/>
          <w:lang w:val="en-US" w:eastAsia="zh-CN"/>
          <w14:textFill>
            <w14:solidFill>
              <w14:schemeClr w14:val="tx1"/>
            </w14:solidFill>
          </w14:textFill>
        </w:rPr>
        <w:t>7</w:t>
      </w:r>
      <w:r>
        <w:rPr>
          <w:rFonts w:hint="default" w:ascii="Times New Roman" w:hAnsi="Times New Roman" w:cs="Times New Roman"/>
          <w:color w:val="000000" w:themeColor="text1"/>
          <w:sz w:val="20"/>
          <w:szCs w:val="20"/>
          <w14:textFill>
            <w14:solidFill>
              <w14:schemeClr w14:val="tx1"/>
            </w14:solidFill>
          </w14:textFill>
        </w:rPr>
        <w:t>, the parallel connection of the direct-mounted damper effectively modifies the system’s port impedance, shifts its resonant frequency, and suppresses the two resonant peaks. The system’s characteristic roots, resonant frequencies, and damping ratios (</w:t>
      </w:r>
      <w:r>
        <w:rPr>
          <w:rFonts w:hint="default" w:ascii="Times New Roman" w:hAnsi="Times New Roman" w:cs="Times New Roman"/>
          <w:i/>
          <w:iCs/>
          <w:color w:val="000000" w:themeColor="text1"/>
          <w:sz w:val="20"/>
          <w:szCs w:val="20"/>
          <w14:textFill>
            <w14:solidFill>
              <w14:schemeClr w14:val="tx1"/>
            </w14:solidFill>
          </w14:textFill>
        </w:rPr>
        <w:t>ξ</w:t>
      </w:r>
      <w:r>
        <w:rPr>
          <w:rFonts w:hint="default" w:ascii="Times New Roman" w:hAnsi="Times New Roman" w:cs="Times New Roman"/>
          <w:color w:val="000000" w:themeColor="text1"/>
          <w:sz w:val="20"/>
          <w:szCs w:val="20"/>
          <w14:textFill>
            <w14:solidFill>
              <w14:schemeClr w14:val="tx1"/>
            </w14:solidFill>
          </w14:textFill>
        </w:rPr>
        <w:t xml:space="preserve">) are calculated before and after the damper is connected in parallel, and the results are presented in Table </w:t>
      </w:r>
      <w:r>
        <w:rPr>
          <w:rFonts w:hint="eastAsia" w:cs="Times New Roman"/>
          <w:color w:val="000000" w:themeColor="text1"/>
          <w:sz w:val="20"/>
          <w:szCs w:val="20"/>
          <w:lang w:val="en-US" w:eastAsia="zh-CN"/>
          <w14:textFill>
            <w14:solidFill>
              <w14:schemeClr w14:val="tx1"/>
            </w14:solidFill>
          </w14:textFill>
        </w:rPr>
        <w:t>7</w:t>
      </w:r>
      <w:r>
        <w:rPr>
          <w:rFonts w:hint="default" w:ascii="Times New Roman" w:hAnsi="Times New Roman" w:cs="Times New Roman"/>
          <w:color w:val="000000" w:themeColor="text1"/>
          <w:sz w:val="20"/>
          <w:szCs w:val="20"/>
          <w14:textFill>
            <w14:solidFill>
              <w14:schemeClr w14:val="tx1"/>
            </w14:solidFill>
          </w14:textFill>
        </w:rPr>
        <w:t>.</w:t>
      </w:r>
    </w:p>
    <w:p>
      <w:pPr>
        <w:keepNext w:val="0"/>
        <w:keepLines w:val="0"/>
        <w:pageBreakBefore w:val="0"/>
        <w:widowControl/>
        <w:kinsoku/>
        <w:wordWrap/>
        <w:overflowPunct/>
        <w:topLinePunct w:val="0"/>
        <w:autoSpaceDE/>
        <w:autoSpaceDN/>
        <w:bidi w:val="0"/>
        <w:adjustRightInd/>
        <w:snapToGrid/>
        <w:jc w:val="both"/>
        <w:textAlignment w:val="auto"/>
        <w:rPr>
          <w:rFonts w:hint="default" w:ascii="Times New Roman" w:hAnsi="Times New Roman" w:cs="Times New Roman"/>
          <w:color w:val="000000" w:themeColor="text1"/>
          <w:sz w:val="20"/>
          <w:szCs w:val="20"/>
          <w14:textFill>
            <w14:solidFill>
              <w14:schemeClr w14:val="tx1"/>
            </w14:solidFill>
          </w14:textFill>
        </w:rPr>
        <w:sectPr>
          <w:type w:val="continuous"/>
          <w:pgSz w:w="11906" w:h="16838"/>
          <w:pgMar w:top="1440" w:right="1080" w:bottom="1440" w:left="1080" w:header="851" w:footer="992" w:gutter="0"/>
          <w:cols w:space="426" w:num="2"/>
          <w:docGrid w:type="lines" w:linePitch="312" w:charSpace="0"/>
        </w:sectPr>
      </w:pPr>
    </w:p>
    <w:p>
      <w:pPr>
        <w:keepNext w:val="0"/>
        <w:keepLines w:val="0"/>
        <w:pageBreakBefore w:val="0"/>
        <w:widowControl/>
        <w:kinsoku/>
        <w:wordWrap/>
        <w:overflowPunct/>
        <w:topLinePunct w:val="0"/>
        <w:autoSpaceDE/>
        <w:autoSpaceDN/>
        <w:bidi w:val="0"/>
        <w:adjustRightInd/>
        <w:snapToGrid/>
        <w:jc w:val="center"/>
        <w:textAlignment w:val="auto"/>
        <w:rPr>
          <w:rFonts w:hint="eastAsia" w:eastAsia="黑体"/>
          <w:b/>
          <w:bCs/>
          <w:i/>
          <w:iCs/>
          <w:sz w:val="20"/>
          <w:szCs w:val="20"/>
        </w:rPr>
      </w:pPr>
      <w:bookmarkStart w:id="3" w:name="_Hlk209003184"/>
      <w:r>
        <w:rPr>
          <w:rFonts w:hint="eastAsia" w:eastAsia="黑体"/>
          <w:b/>
          <w:bCs/>
          <w:i/>
          <w:iCs/>
          <w:sz w:val="20"/>
          <w:szCs w:val="20"/>
        </w:rPr>
        <w:t>Tab.</w:t>
      </w:r>
      <w:r>
        <w:rPr>
          <w:rFonts w:hint="eastAsia" w:eastAsia="黑体"/>
          <w:b/>
          <w:bCs/>
          <w:i/>
          <w:iCs/>
          <w:sz w:val="20"/>
          <w:szCs w:val="20"/>
          <w:lang w:val="en-US" w:eastAsia="zh-CN"/>
        </w:rPr>
        <w:t>7</w:t>
      </w:r>
      <w:r>
        <w:rPr>
          <w:rFonts w:hint="eastAsia"/>
        </w:rPr>
        <w:t xml:space="preserve"> </w:t>
      </w:r>
      <w:r>
        <w:rPr>
          <w:rFonts w:hint="eastAsia"/>
          <w:i/>
          <w:iCs/>
          <w:color w:val="000000" w:themeColor="text1"/>
          <w:sz w:val="20"/>
          <w:szCs w:val="20"/>
          <w14:textFill>
            <w14:solidFill>
              <w14:schemeClr w14:val="tx1"/>
            </w14:solidFill>
          </w14:textFill>
        </w:rPr>
        <w:t xml:space="preserve">Characteristic roots, resonant frequencies and damping coefficient </w:t>
      </w:r>
      <w:r>
        <w:rPr>
          <w:i/>
          <w:iCs/>
          <w:color w:val="000000" w:themeColor="text1"/>
          <w:sz w:val="20"/>
          <w:szCs w:val="20"/>
          <w14:textFill>
            <w14:solidFill>
              <w14:schemeClr w14:val="tx1"/>
            </w14:solidFill>
          </w14:textFill>
        </w:rPr>
        <w:t>ξ</w:t>
      </w:r>
      <w:r>
        <w:rPr>
          <w:rFonts w:hint="eastAsia"/>
          <w:i/>
          <w:iCs/>
          <w:color w:val="000000" w:themeColor="text1"/>
          <w:sz w:val="20"/>
          <w:szCs w:val="20"/>
          <w14:textFill>
            <w14:solidFill>
              <w14:schemeClr w14:val="tx1"/>
            </w14:solidFill>
          </w14:textFill>
        </w:rPr>
        <w:t xml:space="preserve"> under </w:t>
      </w:r>
      <w:r>
        <w:rPr>
          <w:rFonts w:hint="eastAsia"/>
          <w:i/>
          <w:iCs/>
          <w:color w:val="000000" w:themeColor="text1"/>
          <w:sz w:val="20"/>
          <w:szCs w:val="20"/>
          <w:lang w:val="en-US" w:eastAsia="zh-CN"/>
          <w14:textFill>
            <w14:solidFill>
              <w14:schemeClr w14:val="tx1"/>
            </w14:solidFill>
          </w14:textFill>
        </w:rPr>
        <w:t>2</w:t>
      </w:r>
      <w:r>
        <w:rPr>
          <w:rFonts w:hint="eastAsia"/>
          <w:i/>
          <w:iCs/>
          <w:color w:val="000000" w:themeColor="text1"/>
          <w:sz w:val="20"/>
          <w:szCs w:val="20"/>
          <w14:textFill>
            <w14:solidFill>
              <w14:schemeClr w14:val="tx1"/>
            </w14:solidFill>
          </w14:textFill>
        </w:rPr>
        <w:t xml:space="preserve"> operating conditions</w:t>
      </w:r>
      <w:bookmarkEnd w:id="3"/>
    </w:p>
    <w:tbl>
      <w:tblPr>
        <w:tblStyle w:val="16"/>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072"/>
        <w:gridCol w:w="2143"/>
        <w:gridCol w:w="1425"/>
        <w:gridCol w:w="838"/>
        <w:gridCol w:w="1887"/>
        <w:gridCol w:w="1325"/>
        <w:gridCol w:w="127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38" w:type="pct"/>
            <w:tcBorders>
              <w:top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lang w:eastAsia="en-GB"/>
              </w:rPr>
            </w:pPr>
            <w:bookmarkStart w:id="4" w:name="_Hlk209003379"/>
          </w:p>
        </w:tc>
        <w:tc>
          <w:tcPr>
            <w:tcW w:w="1075" w:type="pct"/>
            <w:tcBorders>
              <w:top w:val="single" w:color="auto" w:sz="4" w:space="0"/>
              <w:left w:val="single" w:color="auto" w:sz="4" w:space="0"/>
              <w:bottom w:val="single" w:color="auto" w:sz="4" w:space="0"/>
            </w:tcBorders>
            <w:vAlign w:val="center"/>
          </w:tcPr>
          <w:p>
            <w:pPr>
              <w:jc w:val="center"/>
              <w:rPr>
                <w:rFonts w:hint="default" w:ascii="Times New Roman" w:hAnsi="Times New Roman" w:eastAsia="宋体" w:cs="Times New Roman"/>
                <w:sz w:val="16"/>
                <w:szCs w:val="16"/>
                <w:lang w:eastAsia="en-GB"/>
              </w:rPr>
            </w:pPr>
            <w:r>
              <w:rPr>
                <w:rFonts w:hint="default" w:ascii="Times New Roman" w:hAnsi="Times New Roman" w:eastAsia="宋体" w:cs="Times New Roman"/>
                <w:sz w:val="16"/>
                <w:szCs w:val="16"/>
                <w:lang w:eastAsia="en-GB"/>
              </w:rPr>
              <w:t>Parallel resonance characteristic root</w:t>
            </w:r>
          </w:p>
        </w:tc>
        <w:tc>
          <w:tcPr>
            <w:tcW w:w="715" w:type="pct"/>
            <w:tcBorders>
              <w:top w:val="single" w:color="auto" w:sz="4" w:space="0"/>
              <w:bottom w:val="single" w:color="auto" w:sz="4" w:space="0"/>
            </w:tcBorders>
            <w:vAlign w:val="center"/>
          </w:tcPr>
          <w:p>
            <w:pPr>
              <w:jc w:val="center"/>
              <w:rPr>
                <w:rFonts w:hint="eastAsia" w:ascii="Times New Roman" w:hAnsi="Times New Roman" w:eastAsia="宋体" w:cs="Times New Roman"/>
                <w:sz w:val="16"/>
                <w:szCs w:val="16"/>
                <w:lang w:val="en-US" w:eastAsia="zh-CN"/>
              </w:rPr>
            </w:pPr>
            <w:r>
              <w:rPr>
                <w:rFonts w:hint="default" w:ascii="Times New Roman" w:hAnsi="Times New Roman" w:eastAsia="宋体" w:cs="Times New Roman"/>
                <w:sz w:val="16"/>
                <w:szCs w:val="16"/>
                <w:lang w:eastAsia="en-GB"/>
              </w:rPr>
              <w:t>Resonant frequency</w:t>
            </w:r>
            <w:r>
              <w:rPr>
                <w:rFonts w:hint="eastAsia" w:ascii="Times New Roman" w:hAnsi="Times New Roman" w:cs="Times New Roman"/>
                <w:sz w:val="16"/>
                <w:szCs w:val="16"/>
                <w:lang w:val="en-US" w:eastAsia="zh-CN"/>
              </w:rPr>
              <w:t xml:space="preserve"> (</w:t>
            </w:r>
            <w:r>
              <w:rPr>
                <w:rFonts w:hint="default" w:ascii="Times New Roman" w:hAnsi="Times New Roman" w:eastAsia="宋体" w:cs="Times New Roman"/>
                <w:sz w:val="16"/>
                <w:szCs w:val="16"/>
                <w:lang w:eastAsia="en-GB"/>
              </w:rPr>
              <w:t>Hz</w:t>
            </w:r>
            <w:r>
              <w:rPr>
                <w:rFonts w:hint="eastAsia" w:ascii="Times New Roman" w:hAnsi="Times New Roman" w:cs="Times New Roman"/>
                <w:sz w:val="16"/>
                <w:szCs w:val="16"/>
                <w:lang w:val="en-US" w:eastAsia="zh-CN"/>
              </w:rPr>
              <w:t>)</w:t>
            </w:r>
          </w:p>
        </w:tc>
        <w:tc>
          <w:tcPr>
            <w:tcW w:w="420" w:type="pct"/>
            <w:tcBorders>
              <w:top w:val="single" w:color="auto" w:sz="4" w:space="0"/>
              <w:bottom w:val="single" w:color="auto" w:sz="4" w:space="0"/>
              <w:right w:val="single" w:color="auto" w:sz="4" w:space="0"/>
            </w:tcBorders>
            <w:vAlign w:val="center"/>
          </w:tcPr>
          <w:p>
            <w:pPr>
              <w:jc w:val="center"/>
              <w:rPr>
                <w:rFonts w:hint="default" w:ascii="Times New Roman" w:hAnsi="Times New Roman" w:eastAsia="宋体" w:cs="Times New Roman"/>
                <w:sz w:val="16"/>
                <w:szCs w:val="16"/>
                <w:lang w:eastAsia="en-GB"/>
              </w:rPr>
            </w:pPr>
            <w:r>
              <w:rPr>
                <w:rFonts w:hint="default" w:ascii="Times New Roman" w:hAnsi="Times New Roman" w:eastAsia="宋体" w:cs="Times New Roman"/>
                <w:i/>
                <w:iCs/>
                <w:sz w:val="16"/>
                <w:szCs w:val="16"/>
                <w:lang w:eastAsia="en-GB"/>
              </w:rPr>
              <w:t>ξ</w:t>
            </w:r>
          </w:p>
        </w:tc>
        <w:tc>
          <w:tcPr>
            <w:tcW w:w="947" w:type="pct"/>
            <w:tcBorders>
              <w:top w:val="single" w:color="auto" w:sz="4" w:space="0"/>
              <w:left w:val="single" w:color="auto" w:sz="4" w:space="0"/>
              <w:bottom w:val="single" w:color="auto" w:sz="4" w:space="0"/>
            </w:tcBorders>
            <w:vAlign w:val="center"/>
          </w:tcPr>
          <w:p>
            <w:pPr>
              <w:jc w:val="center"/>
              <w:rPr>
                <w:rFonts w:hint="default" w:ascii="Times New Roman" w:hAnsi="Times New Roman" w:eastAsia="宋体" w:cs="Times New Roman"/>
                <w:sz w:val="16"/>
                <w:szCs w:val="16"/>
                <w:lang w:eastAsia="en-GB"/>
              </w:rPr>
            </w:pPr>
            <w:r>
              <w:rPr>
                <w:rFonts w:hint="default" w:ascii="Times New Roman" w:hAnsi="Times New Roman" w:eastAsia="宋体" w:cs="Times New Roman"/>
                <w:sz w:val="16"/>
                <w:szCs w:val="16"/>
                <w:lang w:eastAsia="en-GB"/>
              </w:rPr>
              <w:t>Series resonance characteristic root</w:t>
            </w:r>
          </w:p>
        </w:tc>
        <w:tc>
          <w:tcPr>
            <w:tcW w:w="665" w:type="pct"/>
            <w:tcBorders>
              <w:top w:val="single" w:color="auto" w:sz="4" w:space="0"/>
              <w:bottom w:val="single" w:color="auto" w:sz="4" w:space="0"/>
            </w:tcBorders>
            <w:vAlign w:val="center"/>
          </w:tcPr>
          <w:p>
            <w:pPr>
              <w:jc w:val="center"/>
              <w:rPr>
                <w:rFonts w:hint="eastAsia" w:ascii="Times New Roman" w:hAnsi="Times New Roman" w:eastAsia="宋体" w:cs="Times New Roman"/>
                <w:sz w:val="16"/>
                <w:szCs w:val="16"/>
                <w:lang w:val="en-US" w:eastAsia="zh-CN"/>
              </w:rPr>
            </w:pPr>
            <w:r>
              <w:rPr>
                <w:rFonts w:hint="default" w:ascii="Times New Roman" w:hAnsi="Times New Roman" w:eastAsia="宋体" w:cs="Times New Roman"/>
                <w:sz w:val="16"/>
                <w:szCs w:val="16"/>
                <w:lang w:eastAsia="en-GB"/>
              </w:rPr>
              <w:t>Resonant frequency</w:t>
            </w:r>
            <w:r>
              <w:rPr>
                <w:rFonts w:hint="eastAsia" w:ascii="Times New Roman" w:hAnsi="Times New Roman" w:cs="Times New Roman"/>
                <w:sz w:val="16"/>
                <w:szCs w:val="16"/>
                <w:lang w:val="en-US" w:eastAsia="zh-CN"/>
              </w:rPr>
              <w:t xml:space="preserve"> (</w:t>
            </w:r>
            <w:r>
              <w:rPr>
                <w:rFonts w:hint="default" w:ascii="Times New Roman" w:hAnsi="Times New Roman" w:eastAsia="宋体" w:cs="Times New Roman"/>
                <w:sz w:val="16"/>
                <w:szCs w:val="16"/>
                <w:lang w:eastAsia="en-GB"/>
              </w:rPr>
              <w:t>Hz</w:t>
            </w:r>
            <w:r>
              <w:rPr>
                <w:rFonts w:hint="eastAsia" w:ascii="Times New Roman" w:hAnsi="Times New Roman" w:cs="Times New Roman"/>
                <w:sz w:val="16"/>
                <w:szCs w:val="16"/>
                <w:lang w:val="en-US" w:eastAsia="zh-CN"/>
              </w:rPr>
              <w:t>)</w:t>
            </w:r>
          </w:p>
        </w:tc>
        <w:tc>
          <w:tcPr>
            <w:tcW w:w="638" w:type="pct"/>
            <w:tcBorders>
              <w:top w:val="single" w:color="auto" w:sz="4" w:space="0"/>
              <w:bottom w:val="single" w:color="auto" w:sz="4" w:space="0"/>
            </w:tcBorders>
            <w:vAlign w:val="center"/>
          </w:tcPr>
          <w:p>
            <w:pPr>
              <w:jc w:val="center"/>
              <w:rPr>
                <w:rFonts w:hint="default" w:ascii="Times New Roman" w:hAnsi="Times New Roman" w:eastAsia="宋体" w:cs="Times New Roman"/>
                <w:sz w:val="16"/>
                <w:szCs w:val="16"/>
                <w:lang w:eastAsia="en-GB"/>
              </w:rPr>
            </w:pPr>
            <w:r>
              <w:rPr>
                <w:rFonts w:hint="default" w:ascii="Times New Roman" w:hAnsi="Times New Roman" w:eastAsia="宋体" w:cs="Times New Roman"/>
                <w:i/>
                <w:iCs/>
                <w:sz w:val="16"/>
                <w:szCs w:val="16"/>
                <w:lang w:eastAsia="en-GB"/>
              </w:rPr>
              <w:t>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6" w:hRule="atLeast"/>
        </w:trPr>
        <w:tc>
          <w:tcPr>
            <w:tcW w:w="538" w:type="pct"/>
            <w:vMerge w:val="restart"/>
            <w:tcBorders>
              <w:top w:val="single" w:color="auto" w:sz="4" w:space="0"/>
              <w:right w:val="single" w:color="auto" w:sz="4" w:space="0"/>
            </w:tcBorders>
            <w:vAlign w:val="center"/>
          </w:tcPr>
          <w:p>
            <w:pPr>
              <w:jc w:val="center"/>
              <w:rPr>
                <w:rFonts w:hint="default" w:ascii="Times New Roman" w:hAnsi="Times New Roman" w:eastAsia="宋体" w:cs="Times New Roman"/>
                <w:sz w:val="16"/>
                <w:szCs w:val="16"/>
                <w:lang w:eastAsia="en-GB"/>
              </w:rPr>
            </w:pPr>
            <w:r>
              <w:rPr>
                <w:rFonts w:hint="default" w:ascii="Times New Roman" w:hAnsi="Times New Roman" w:eastAsia="宋体" w:cs="Times New Roman"/>
                <w:sz w:val="16"/>
                <w:szCs w:val="16"/>
                <w:lang w:eastAsia="en-GB"/>
              </w:rPr>
              <w:t>Original system</w:t>
            </w:r>
          </w:p>
        </w:tc>
        <w:tc>
          <w:tcPr>
            <w:tcW w:w="1075" w:type="pct"/>
            <w:tcBorders>
              <w:top w:val="single" w:color="auto" w:sz="4" w:space="0"/>
              <w:left w:val="single" w:color="auto" w:sz="4" w:space="0"/>
            </w:tcBorders>
            <w:vAlign w:val="center"/>
          </w:tcPr>
          <w:p>
            <w:pPr>
              <w:jc w:val="center"/>
              <w:rPr>
                <w:rFonts w:hint="default" w:ascii="Times New Roman" w:hAnsi="Times New Roman" w:eastAsia="宋体" w:cs="Times New Roman"/>
                <w:sz w:val="16"/>
                <w:szCs w:val="16"/>
                <w:lang w:eastAsia="en-GB"/>
              </w:rPr>
            </w:pPr>
            <w:r>
              <w:rPr>
                <w:rFonts w:hint="default" w:ascii="Times New Roman" w:hAnsi="Times New Roman" w:eastAsia="宋体" w:cs="Times New Roman"/>
                <w:i/>
                <w:iCs/>
                <w:sz w:val="16"/>
                <w:szCs w:val="16"/>
                <w:lang w:eastAsia="en-GB"/>
              </w:rPr>
              <w:t>λ</w:t>
            </w:r>
            <w:r>
              <w:rPr>
                <w:rFonts w:hint="default" w:ascii="Times New Roman" w:hAnsi="Times New Roman" w:eastAsia="宋体" w:cs="Times New Roman"/>
                <w:sz w:val="16"/>
                <w:szCs w:val="16"/>
                <w:vertAlign w:val="subscript"/>
                <w:lang w:eastAsia="en-GB"/>
              </w:rPr>
              <w:t xml:space="preserve">1,2 </w:t>
            </w:r>
            <w:r>
              <w:rPr>
                <w:rFonts w:hint="default" w:ascii="Times New Roman" w:hAnsi="Times New Roman" w:eastAsia="宋体" w:cs="Times New Roman"/>
                <w:sz w:val="16"/>
                <w:szCs w:val="16"/>
                <w:lang w:eastAsia="en-GB"/>
              </w:rPr>
              <w:t>= -7.67 ± j95.62</w:t>
            </w:r>
          </w:p>
        </w:tc>
        <w:tc>
          <w:tcPr>
            <w:tcW w:w="715" w:type="pct"/>
            <w:tcBorders>
              <w:top w:val="single" w:color="auto" w:sz="4" w:space="0"/>
            </w:tcBorders>
            <w:vAlign w:val="center"/>
          </w:tcPr>
          <w:p>
            <w:pPr>
              <w:jc w:val="center"/>
              <w:rPr>
                <w:rFonts w:hint="default" w:ascii="Times New Roman" w:hAnsi="Times New Roman" w:eastAsia="宋体" w:cs="Times New Roman"/>
                <w:sz w:val="16"/>
                <w:szCs w:val="16"/>
                <w:lang w:eastAsia="en-GB"/>
              </w:rPr>
            </w:pPr>
            <w:r>
              <w:rPr>
                <w:rFonts w:hint="default" w:ascii="Times New Roman" w:hAnsi="Times New Roman" w:eastAsia="宋体" w:cs="Times New Roman"/>
                <w:sz w:val="16"/>
                <w:szCs w:val="16"/>
                <w:lang w:eastAsia="en-GB"/>
              </w:rPr>
              <w:t>15</w:t>
            </w:r>
          </w:p>
        </w:tc>
        <w:tc>
          <w:tcPr>
            <w:tcW w:w="420" w:type="pct"/>
            <w:tcBorders>
              <w:top w:val="single" w:color="auto" w:sz="4" w:space="0"/>
              <w:right w:val="single" w:color="auto" w:sz="4" w:space="0"/>
            </w:tcBorders>
            <w:vAlign w:val="center"/>
          </w:tcPr>
          <w:p>
            <w:pPr>
              <w:jc w:val="center"/>
              <w:rPr>
                <w:rFonts w:hint="default" w:ascii="Times New Roman" w:hAnsi="Times New Roman" w:eastAsia="宋体" w:cs="Times New Roman"/>
                <w:sz w:val="16"/>
                <w:szCs w:val="16"/>
                <w:lang w:eastAsia="en-GB"/>
              </w:rPr>
            </w:pPr>
            <w:r>
              <w:rPr>
                <w:rFonts w:hint="default" w:ascii="Times New Roman" w:hAnsi="Times New Roman" w:eastAsia="宋体" w:cs="Times New Roman"/>
                <w:sz w:val="16"/>
                <w:szCs w:val="16"/>
                <w:lang w:eastAsia="en-GB"/>
              </w:rPr>
              <w:t>0.08</w:t>
            </w:r>
          </w:p>
        </w:tc>
        <w:tc>
          <w:tcPr>
            <w:tcW w:w="947" w:type="pct"/>
            <w:tcBorders>
              <w:top w:val="single" w:color="auto" w:sz="4" w:space="0"/>
              <w:left w:val="single" w:color="auto" w:sz="4" w:space="0"/>
            </w:tcBorders>
            <w:vAlign w:val="center"/>
          </w:tcPr>
          <w:p>
            <w:pPr>
              <w:jc w:val="center"/>
              <w:rPr>
                <w:rFonts w:hint="default" w:ascii="Times New Roman" w:hAnsi="Times New Roman" w:eastAsia="宋体" w:cs="Times New Roman"/>
                <w:sz w:val="16"/>
                <w:szCs w:val="16"/>
                <w:lang w:eastAsia="en-GB"/>
              </w:rPr>
            </w:pPr>
            <w:r>
              <w:rPr>
                <w:rFonts w:hint="default" w:ascii="Times New Roman" w:hAnsi="Times New Roman" w:eastAsia="宋体" w:cs="Times New Roman"/>
                <w:i/>
                <w:iCs/>
                <w:sz w:val="16"/>
                <w:szCs w:val="16"/>
                <w:lang w:eastAsia="en-GB"/>
              </w:rPr>
              <w:t>λ</w:t>
            </w:r>
            <w:r>
              <w:rPr>
                <w:rFonts w:hint="default" w:ascii="Times New Roman" w:hAnsi="Times New Roman" w:eastAsia="宋体" w:cs="Times New Roman"/>
                <w:sz w:val="16"/>
                <w:szCs w:val="16"/>
                <w:vertAlign w:val="subscript"/>
                <w:lang w:eastAsia="en-GB"/>
              </w:rPr>
              <w:t xml:space="preserve">1,2 </w:t>
            </w:r>
            <w:r>
              <w:rPr>
                <w:rFonts w:hint="default" w:ascii="Times New Roman" w:hAnsi="Times New Roman" w:eastAsia="宋体" w:cs="Times New Roman"/>
                <w:sz w:val="16"/>
                <w:szCs w:val="16"/>
                <w:lang w:eastAsia="en-GB"/>
              </w:rPr>
              <w:t>= -15.63 ± j136.04</w:t>
            </w:r>
          </w:p>
        </w:tc>
        <w:tc>
          <w:tcPr>
            <w:tcW w:w="665" w:type="pct"/>
            <w:tcBorders>
              <w:top w:val="single" w:color="auto" w:sz="4" w:space="0"/>
            </w:tcBorders>
            <w:vAlign w:val="center"/>
          </w:tcPr>
          <w:p>
            <w:pPr>
              <w:jc w:val="center"/>
              <w:rPr>
                <w:rFonts w:hint="default" w:ascii="Times New Roman" w:hAnsi="Times New Roman" w:eastAsia="宋体" w:cs="Times New Roman"/>
                <w:sz w:val="16"/>
                <w:szCs w:val="16"/>
                <w:lang w:eastAsia="en-GB"/>
              </w:rPr>
            </w:pPr>
            <w:r>
              <w:rPr>
                <w:rFonts w:hint="default" w:ascii="Times New Roman" w:hAnsi="Times New Roman" w:eastAsia="宋体" w:cs="Times New Roman"/>
                <w:sz w:val="16"/>
                <w:szCs w:val="16"/>
                <w:lang w:eastAsia="en-GB"/>
              </w:rPr>
              <w:t>22</w:t>
            </w:r>
          </w:p>
        </w:tc>
        <w:tc>
          <w:tcPr>
            <w:tcW w:w="638" w:type="pct"/>
            <w:tcBorders>
              <w:top w:val="single" w:color="auto" w:sz="4" w:space="0"/>
            </w:tcBorders>
            <w:vAlign w:val="center"/>
          </w:tcPr>
          <w:p>
            <w:pPr>
              <w:jc w:val="center"/>
              <w:rPr>
                <w:rFonts w:hint="default" w:ascii="Times New Roman" w:hAnsi="Times New Roman" w:eastAsia="宋体" w:cs="Times New Roman"/>
                <w:sz w:val="16"/>
                <w:szCs w:val="16"/>
                <w:lang w:eastAsia="en-GB"/>
              </w:rPr>
            </w:pPr>
            <w:r>
              <w:rPr>
                <w:rFonts w:hint="default" w:ascii="Times New Roman" w:hAnsi="Times New Roman" w:eastAsia="宋体" w:cs="Times New Roman"/>
                <w:sz w:val="16"/>
                <w:szCs w:val="16"/>
                <w:lang w:eastAsia="en-GB"/>
              </w:rPr>
              <w:t>0.11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7" w:hRule="atLeast"/>
        </w:trPr>
        <w:tc>
          <w:tcPr>
            <w:tcW w:w="538" w:type="pct"/>
            <w:vMerge w:val="continue"/>
            <w:tcBorders>
              <w:right w:val="single" w:color="auto" w:sz="4" w:space="0"/>
            </w:tcBorders>
            <w:vAlign w:val="center"/>
          </w:tcPr>
          <w:p>
            <w:pPr>
              <w:jc w:val="center"/>
              <w:rPr>
                <w:rFonts w:hint="default" w:ascii="Times New Roman" w:hAnsi="Times New Roman" w:eastAsia="宋体" w:cs="Times New Roman"/>
                <w:sz w:val="16"/>
                <w:szCs w:val="16"/>
                <w:lang w:eastAsia="en-GB"/>
              </w:rPr>
            </w:pPr>
          </w:p>
        </w:tc>
        <w:tc>
          <w:tcPr>
            <w:tcW w:w="1075" w:type="pct"/>
            <w:tcBorders>
              <w:left w:val="single" w:color="auto" w:sz="4" w:space="0"/>
            </w:tcBorders>
            <w:vAlign w:val="center"/>
          </w:tcPr>
          <w:p>
            <w:pPr>
              <w:jc w:val="center"/>
              <w:rPr>
                <w:rFonts w:hint="default" w:ascii="Times New Roman" w:hAnsi="Times New Roman" w:eastAsia="宋体" w:cs="Times New Roman"/>
                <w:sz w:val="16"/>
                <w:szCs w:val="16"/>
                <w:lang w:eastAsia="en-GB"/>
              </w:rPr>
            </w:pPr>
            <w:r>
              <w:rPr>
                <w:rFonts w:hint="default" w:ascii="Times New Roman" w:hAnsi="Times New Roman" w:eastAsia="宋体" w:cs="Times New Roman"/>
                <w:i/>
                <w:iCs/>
                <w:sz w:val="16"/>
                <w:szCs w:val="16"/>
                <w:lang w:eastAsia="en-GB"/>
              </w:rPr>
              <w:t>λ</w:t>
            </w:r>
            <w:r>
              <w:rPr>
                <w:rFonts w:hint="default" w:ascii="Times New Roman" w:hAnsi="Times New Roman" w:eastAsia="宋体" w:cs="Times New Roman"/>
                <w:sz w:val="16"/>
                <w:szCs w:val="16"/>
                <w:vertAlign w:val="subscript"/>
                <w:lang w:eastAsia="en-GB"/>
              </w:rPr>
              <w:t xml:space="preserve">3,4 </w:t>
            </w:r>
            <w:r>
              <w:rPr>
                <w:rFonts w:hint="default" w:ascii="Times New Roman" w:hAnsi="Times New Roman" w:eastAsia="宋体" w:cs="Times New Roman"/>
                <w:sz w:val="16"/>
                <w:szCs w:val="16"/>
                <w:lang w:eastAsia="en-GB"/>
              </w:rPr>
              <w:t>= -6.53 ± j4908.1</w:t>
            </w:r>
          </w:p>
        </w:tc>
        <w:tc>
          <w:tcPr>
            <w:tcW w:w="715" w:type="pct"/>
            <w:vAlign w:val="center"/>
          </w:tcPr>
          <w:p>
            <w:pPr>
              <w:jc w:val="center"/>
              <w:rPr>
                <w:rFonts w:hint="default" w:ascii="Times New Roman" w:hAnsi="Times New Roman" w:eastAsia="宋体" w:cs="Times New Roman"/>
                <w:sz w:val="16"/>
                <w:szCs w:val="16"/>
                <w:lang w:eastAsia="en-GB"/>
              </w:rPr>
            </w:pPr>
            <w:r>
              <w:rPr>
                <w:rFonts w:hint="default" w:ascii="Times New Roman" w:hAnsi="Times New Roman" w:eastAsia="宋体" w:cs="Times New Roman"/>
                <w:sz w:val="16"/>
                <w:szCs w:val="16"/>
                <w:lang w:eastAsia="en-GB"/>
              </w:rPr>
              <w:t>781</w:t>
            </w:r>
          </w:p>
        </w:tc>
        <w:tc>
          <w:tcPr>
            <w:tcW w:w="420" w:type="pct"/>
            <w:tcBorders>
              <w:right w:val="single" w:color="auto" w:sz="4" w:space="0"/>
            </w:tcBorders>
            <w:vAlign w:val="center"/>
          </w:tcPr>
          <w:p>
            <w:pPr>
              <w:jc w:val="center"/>
              <w:rPr>
                <w:rFonts w:hint="default" w:ascii="Times New Roman" w:hAnsi="Times New Roman" w:eastAsia="宋体" w:cs="Times New Roman"/>
                <w:sz w:val="16"/>
                <w:szCs w:val="16"/>
                <w:lang w:eastAsia="en-GB"/>
              </w:rPr>
            </w:pPr>
            <w:r>
              <w:rPr>
                <w:rFonts w:hint="default" w:ascii="Times New Roman" w:hAnsi="Times New Roman" w:eastAsia="宋体" w:cs="Times New Roman"/>
                <w:sz w:val="16"/>
                <w:szCs w:val="16"/>
                <w:lang w:eastAsia="en-GB"/>
              </w:rPr>
              <w:t>0.00133</w:t>
            </w:r>
          </w:p>
        </w:tc>
        <w:tc>
          <w:tcPr>
            <w:tcW w:w="947" w:type="pct"/>
            <w:tcBorders>
              <w:left w:val="single" w:color="auto" w:sz="4" w:space="0"/>
            </w:tcBorders>
            <w:vAlign w:val="center"/>
          </w:tcPr>
          <w:p>
            <w:pPr>
              <w:jc w:val="center"/>
              <w:rPr>
                <w:rFonts w:hint="default" w:ascii="Times New Roman" w:hAnsi="Times New Roman" w:eastAsia="宋体" w:cs="Times New Roman"/>
                <w:sz w:val="16"/>
                <w:szCs w:val="16"/>
                <w:lang w:eastAsia="en-GB"/>
              </w:rPr>
            </w:pPr>
            <w:r>
              <w:rPr>
                <w:rFonts w:hint="default" w:ascii="Times New Roman" w:hAnsi="Times New Roman" w:eastAsia="宋体" w:cs="Times New Roman"/>
                <w:i/>
                <w:iCs/>
                <w:sz w:val="16"/>
                <w:szCs w:val="16"/>
                <w:lang w:eastAsia="en-GB"/>
              </w:rPr>
              <w:t>λ</w:t>
            </w:r>
            <w:r>
              <w:rPr>
                <w:rFonts w:hint="default" w:ascii="Times New Roman" w:hAnsi="Times New Roman" w:eastAsia="宋体" w:cs="Times New Roman"/>
                <w:sz w:val="16"/>
                <w:szCs w:val="16"/>
                <w:vertAlign w:val="subscript"/>
                <w:lang w:eastAsia="en-GB"/>
              </w:rPr>
              <w:t xml:space="preserve">3,4 </w:t>
            </w:r>
            <w:r>
              <w:rPr>
                <w:rFonts w:hint="default" w:ascii="Times New Roman" w:hAnsi="Times New Roman" w:eastAsia="宋体" w:cs="Times New Roman"/>
                <w:sz w:val="16"/>
                <w:szCs w:val="16"/>
                <w:lang w:eastAsia="en-GB"/>
              </w:rPr>
              <w:t>= -1.86 ± j7269.2</w:t>
            </w:r>
          </w:p>
        </w:tc>
        <w:tc>
          <w:tcPr>
            <w:tcW w:w="665" w:type="pct"/>
            <w:vAlign w:val="center"/>
          </w:tcPr>
          <w:p>
            <w:pPr>
              <w:jc w:val="center"/>
              <w:rPr>
                <w:rFonts w:hint="default" w:ascii="Times New Roman" w:hAnsi="Times New Roman" w:eastAsia="宋体" w:cs="Times New Roman"/>
                <w:sz w:val="16"/>
                <w:szCs w:val="16"/>
                <w:lang w:eastAsia="en-GB"/>
              </w:rPr>
            </w:pPr>
            <w:r>
              <w:rPr>
                <w:rFonts w:hint="default" w:ascii="Times New Roman" w:hAnsi="Times New Roman" w:eastAsia="宋体" w:cs="Times New Roman"/>
                <w:sz w:val="16"/>
                <w:szCs w:val="16"/>
                <w:lang w:eastAsia="en-GB"/>
              </w:rPr>
              <w:t>1157</w:t>
            </w:r>
          </w:p>
        </w:tc>
        <w:tc>
          <w:tcPr>
            <w:tcW w:w="638" w:type="pct"/>
            <w:vAlign w:val="center"/>
          </w:tcPr>
          <w:p>
            <w:pPr>
              <w:jc w:val="center"/>
              <w:rPr>
                <w:rFonts w:hint="default" w:ascii="Times New Roman" w:hAnsi="Times New Roman" w:eastAsia="宋体" w:cs="Times New Roman"/>
                <w:sz w:val="16"/>
                <w:szCs w:val="16"/>
                <w:lang w:eastAsia="en-GB"/>
              </w:rPr>
            </w:pPr>
            <w:r>
              <w:rPr>
                <w:rFonts w:hint="default" w:ascii="Times New Roman" w:hAnsi="Times New Roman" w:eastAsia="宋体" w:cs="Times New Roman"/>
                <w:sz w:val="16"/>
                <w:szCs w:val="16"/>
                <w:lang w:eastAsia="en-GB"/>
              </w:rPr>
              <w:t>0.00026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38" w:type="pct"/>
            <w:vMerge w:val="continue"/>
            <w:tcBorders>
              <w:bottom w:val="single" w:color="auto" w:sz="4" w:space="0"/>
              <w:right w:val="single" w:color="auto" w:sz="4" w:space="0"/>
            </w:tcBorders>
            <w:vAlign w:val="center"/>
          </w:tcPr>
          <w:p>
            <w:pPr>
              <w:jc w:val="center"/>
              <w:rPr>
                <w:rFonts w:hint="default" w:ascii="Times New Roman" w:hAnsi="Times New Roman" w:eastAsia="宋体" w:cs="Times New Roman"/>
                <w:sz w:val="16"/>
                <w:szCs w:val="16"/>
                <w:lang w:eastAsia="en-GB"/>
              </w:rPr>
            </w:pPr>
          </w:p>
        </w:tc>
        <w:tc>
          <w:tcPr>
            <w:tcW w:w="1075" w:type="pct"/>
            <w:tcBorders>
              <w:left w:val="single" w:color="auto" w:sz="4" w:space="0"/>
              <w:bottom w:val="single" w:color="auto" w:sz="4" w:space="0"/>
            </w:tcBorders>
            <w:vAlign w:val="center"/>
          </w:tcPr>
          <w:p>
            <w:pPr>
              <w:jc w:val="center"/>
              <w:rPr>
                <w:rFonts w:hint="default" w:ascii="Times New Roman" w:hAnsi="Times New Roman" w:eastAsia="宋体" w:cs="Times New Roman"/>
                <w:sz w:val="16"/>
                <w:szCs w:val="16"/>
                <w:lang w:eastAsia="en-GB"/>
              </w:rPr>
            </w:pPr>
            <w:r>
              <w:rPr>
                <w:rFonts w:hint="default" w:ascii="Times New Roman" w:hAnsi="Times New Roman" w:eastAsia="宋体" w:cs="Times New Roman"/>
                <w:i/>
                <w:iCs/>
                <w:sz w:val="16"/>
                <w:szCs w:val="16"/>
                <w:lang w:eastAsia="en-GB"/>
              </w:rPr>
              <w:t>λ</w:t>
            </w:r>
            <w:r>
              <w:rPr>
                <w:rFonts w:hint="default" w:ascii="Times New Roman" w:hAnsi="Times New Roman" w:eastAsia="宋体" w:cs="Times New Roman"/>
                <w:sz w:val="16"/>
                <w:szCs w:val="16"/>
                <w:vertAlign w:val="subscript"/>
                <w:lang w:eastAsia="en-GB"/>
              </w:rPr>
              <w:t xml:space="preserve">5,6 </w:t>
            </w:r>
            <w:r>
              <w:rPr>
                <w:rFonts w:hint="default" w:ascii="Times New Roman" w:hAnsi="Times New Roman" w:eastAsia="宋体" w:cs="Times New Roman"/>
                <w:sz w:val="16"/>
                <w:szCs w:val="16"/>
                <w:lang w:eastAsia="en-GB"/>
              </w:rPr>
              <w:t>= -9.76 ± j21525</w:t>
            </w:r>
          </w:p>
        </w:tc>
        <w:tc>
          <w:tcPr>
            <w:tcW w:w="715" w:type="pct"/>
            <w:tcBorders>
              <w:bottom w:val="single" w:color="auto" w:sz="4" w:space="0"/>
            </w:tcBorders>
            <w:vAlign w:val="center"/>
          </w:tcPr>
          <w:p>
            <w:pPr>
              <w:jc w:val="center"/>
              <w:rPr>
                <w:rFonts w:hint="default" w:ascii="Times New Roman" w:hAnsi="Times New Roman" w:eastAsia="宋体" w:cs="Times New Roman"/>
                <w:sz w:val="16"/>
                <w:szCs w:val="16"/>
                <w:lang w:eastAsia="en-GB"/>
              </w:rPr>
            </w:pPr>
            <w:r>
              <w:rPr>
                <w:rFonts w:hint="default" w:ascii="Times New Roman" w:hAnsi="Times New Roman" w:eastAsia="宋体" w:cs="Times New Roman"/>
                <w:sz w:val="16"/>
                <w:szCs w:val="16"/>
                <w:lang w:eastAsia="en-GB"/>
              </w:rPr>
              <w:t>3426</w:t>
            </w:r>
          </w:p>
        </w:tc>
        <w:tc>
          <w:tcPr>
            <w:tcW w:w="420" w:type="pct"/>
            <w:tcBorders>
              <w:bottom w:val="single" w:color="auto" w:sz="4" w:space="0"/>
              <w:right w:val="single" w:color="auto" w:sz="4" w:space="0"/>
            </w:tcBorders>
            <w:vAlign w:val="center"/>
          </w:tcPr>
          <w:p>
            <w:pPr>
              <w:jc w:val="center"/>
              <w:rPr>
                <w:rFonts w:hint="default" w:ascii="Times New Roman" w:hAnsi="Times New Roman" w:eastAsia="宋体" w:cs="Times New Roman"/>
                <w:sz w:val="16"/>
                <w:szCs w:val="16"/>
                <w:lang w:eastAsia="en-GB"/>
              </w:rPr>
            </w:pPr>
            <w:r>
              <w:rPr>
                <w:rFonts w:hint="default" w:ascii="Times New Roman" w:hAnsi="Times New Roman" w:eastAsia="宋体" w:cs="Times New Roman"/>
                <w:sz w:val="16"/>
                <w:szCs w:val="16"/>
                <w:lang w:eastAsia="en-GB"/>
              </w:rPr>
              <w:t>0.00045</w:t>
            </w:r>
          </w:p>
        </w:tc>
        <w:tc>
          <w:tcPr>
            <w:tcW w:w="947" w:type="pct"/>
            <w:tcBorders>
              <w:left w:val="single" w:color="auto" w:sz="4" w:space="0"/>
              <w:bottom w:val="single" w:color="auto" w:sz="4" w:space="0"/>
            </w:tcBorders>
            <w:vAlign w:val="center"/>
          </w:tcPr>
          <w:p>
            <w:pPr>
              <w:jc w:val="center"/>
              <w:rPr>
                <w:rFonts w:hint="default" w:ascii="Times New Roman" w:hAnsi="Times New Roman" w:eastAsia="宋体" w:cs="Times New Roman"/>
                <w:sz w:val="16"/>
                <w:szCs w:val="16"/>
                <w:lang w:eastAsia="en-GB"/>
              </w:rPr>
            </w:pPr>
            <w:r>
              <w:rPr>
                <w:rFonts w:hint="default" w:ascii="Times New Roman" w:hAnsi="Times New Roman" w:eastAsia="宋体" w:cs="Times New Roman"/>
                <w:i/>
                <w:iCs/>
                <w:sz w:val="16"/>
                <w:szCs w:val="16"/>
                <w:lang w:eastAsia="en-GB"/>
              </w:rPr>
              <w:t>λ</w:t>
            </w:r>
            <w:r>
              <w:rPr>
                <w:rFonts w:hint="default" w:ascii="Times New Roman" w:hAnsi="Times New Roman" w:eastAsia="宋体" w:cs="Times New Roman"/>
                <w:sz w:val="16"/>
                <w:szCs w:val="16"/>
                <w:vertAlign w:val="subscript"/>
                <w:lang w:eastAsia="en-GB"/>
              </w:rPr>
              <w:t xml:space="preserve">5,6 </w:t>
            </w:r>
            <w:r>
              <w:rPr>
                <w:rFonts w:hint="default" w:ascii="Times New Roman" w:hAnsi="Times New Roman" w:eastAsia="宋体" w:cs="Times New Roman"/>
                <w:sz w:val="16"/>
                <w:szCs w:val="16"/>
                <w:lang w:eastAsia="en-GB"/>
              </w:rPr>
              <w:t>= -6.46 ± j25197</w:t>
            </w:r>
          </w:p>
        </w:tc>
        <w:tc>
          <w:tcPr>
            <w:tcW w:w="665" w:type="pct"/>
            <w:tcBorders>
              <w:bottom w:val="single" w:color="auto" w:sz="4" w:space="0"/>
            </w:tcBorders>
            <w:vAlign w:val="center"/>
          </w:tcPr>
          <w:p>
            <w:pPr>
              <w:jc w:val="center"/>
              <w:rPr>
                <w:rFonts w:hint="default" w:ascii="Times New Roman" w:hAnsi="Times New Roman" w:eastAsia="宋体" w:cs="Times New Roman"/>
                <w:sz w:val="16"/>
                <w:szCs w:val="16"/>
                <w:lang w:eastAsia="en-GB"/>
              </w:rPr>
            </w:pPr>
            <w:r>
              <w:rPr>
                <w:rFonts w:hint="default" w:ascii="Times New Roman" w:hAnsi="Times New Roman" w:eastAsia="宋体" w:cs="Times New Roman"/>
                <w:sz w:val="16"/>
                <w:szCs w:val="16"/>
                <w:lang w:eastAsia="en-GB"/>
              </w:rPr>
              <w:t>4010</w:t>
            </w:r>
          </w:p>
        </w:tc>
        <w:tc>
          <w:tcPr>
            <w:tcW w:w="638" w:type="pct"/>
            <w:tcBorders>
              <w:bottom w:val="single" w:color="auto" w:sz="4" w:space="0"/>
            </w:tcBorders>
            <w:vAlign w:val="center"/>
          </w:tcPr>
          <w:p>
            <w:pPr>
              <w:jc w:val="center"/>
              <w:rPr>
                <w:rFonts w:hint="default" w:ascii="Times New Roman" w:hAnsi="Times New Roman" w:eastAsia="宋体" w:cs="Times New Roman"/>
                <w:sz w:val="16"/>
                <w:szCs w:val="16"/>
                <w:lang w:eastAsia="en-GB"/>
              </w:rPr>
            </w:pPr>
            <w:r>
              <w:rPr>
                <w:rFonts w:hint="default" w:ascii="Times New Roman" w:hAnsi="Times New Roman" w:eastAsia="宋体" w:cs="Times New Roman"/>
                <w:sz w:val="16"/>
                <w:szCs w:val="16"/>
                <w:lang w:eastAsia="en-GB"/>
              </w:rPr>
              <w:t>0.00026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38" w:type="pct"/>
            <w:vMerge w:val="restart"/>
            <w:tcBorders>
              <w:top w:val="single" w:color="auto" w:sz="4" w:space="0"/>
              <w:right w:val="single" w:color="auto" w:sz="4" w:space="0"/>
            </w:tcBorders>
            <w:vAlign w:val="center"/>
          </w:tcPr>
          <w:p>
            <w:pPr>
              <w:jc w:val="center"/>
              <w:rPr>
                <w:rFonts w:hint="default" w:ascii="Times New Roman" w:hAnsi="Times New Roman" w:eastAsia="宋体" w:cs="Times New Roman"/>
                <w:sz w:val="16"/>
                <w:szCs w:val="16"/>
                <w:lang w:eastAsia="en-GB"/>
              </w:rPr>
            </w:pPr>
            <w:r>
              <w:rPr>
                <w:rFonts w:hint="eastAsia"/>
                <w:sz w:val="16"/>
                <w:szCs w:val="16"/>
                <w:lang w:val="en-US" w:eastAsia="zh-CN"/>
              </w:rPr>
              <w:t xml:space="preserve">After connecting Direct-mounted Damping Device in </w:t>
            </w:r>
            <w:r>
              <w:rPr>
                <w:sz w:val="16"/>
                <w:szCs w:val="16"/>
                <w:lang w:eastAsia="en-GB"/>
              </w:rPr>
              <w:t>Parallel</w:t>
            </w:r>
          </w:p>
        </w:tc>
        <w:tc>
          <w:tcPr>
            <w:tcW w:w="1075" w:type="pct"/>
            <w:tcBorders>
              <w:top w:val="single" w:color="auto" w:sz="4" w:space="0"/>
              <w:left w:val="single" w:color="auto" w:sz="4" w:space="0"/>
            </w:tcBorders>
            <w:vAlign w:val="center"/>
          </w:tcPr>
          <w:p>
            <w:pPr>
              <w:jc w:val="center"/>
              <w:rPr>
                <w:rFonts w:hint="default" w:ascii="Times New Roman" w:hAnsi="Times New Roman" w:eastAsia="宋体" w:cs="Times New Roman"/>
                <w:i/>
                <w:iCs/>
                <w:sz w:val="16"/>
                <w:szCs w:val="16"/>
                <w:lang w:eastAsia="en-GB"/>
              </w:rPr>
            </w:pPr>
            <w:r>
              <w:rPr>
                <w:rFonts w:hint="default" w:ascii="Times New Roman" w:hAnsi="Times New Roman" w:eastAsia="宋体" w:cs="Times New Roman"/>
                <w:i/>
                <w:iCs/>
                <w:sz w:val="16"/>
                <w:szCs w:val="16"/>
                <w:lang w:eastAsia="en-GB"/>
              </w:rPr>
              <w:t>λ</w:t>
            </w:r>
            <w:r>
              <w:rPr>
                <w:rFonts w:hint="default" w:ascii="Times New Roman" w:hAnsi="Times New Roman" w:eastAsia="宋体" w:cs="Times New Roman"/>
                <w:sz w:val="16"/>
                <w:szCs w:val="16"/>
                <w:vertAlign w:val="subscript"/>
                <w:lang w:eastAsia="en-GB"/>
              </w:rPr>
              <w:t xml:space="preserve">1 </w:t>
            </w:r>
            <w:r>
              <w:rPr>
                <w:rFonts w:hint="default" w:ascii="Times New Roman" w:hAnsi="Times New Roman" w:eastAsia="宋体" w:cs="Times New Roman"/>
                <w:sz w:val="16"/>
                <w:szCs w:val="16"/>
                <w:lang w:eastAsia="en-GB"/>
              </w:rPr>
              <w:t>= -1.00</w:t>
            </w:r>
          </w:p>
        </w:tc>
        <w:tc>
          <w:tcPr>
            <w:tcW w:w="715" w:type="pct"/>
            <w:tcBorders>
              <w:top w:val="single" w:color="auto" w:sz="4" w:space="0"/>
            </w:tcBorders>
            <w:vAlign w:val="center"/>
          </w:tcPr>
          <w:p>
            <w:pPr>
              <w:jc w:val="center"/>
              <w:rPr>
                <w:rFonts w:hint="default" w:ascii="Times New Roman" w:hAnsi="Times New Roman" w:eastAsia="宋体" w:cs="Times New Roman"/>
                <w:sz w:val="16"/>
                <w:szCs w:val="16"/>
                <w:lang w:eastAsia="en-GB"/>
              </w:rPr>
            </w:pPr>
            <w:r>
              <w:rPr>
                <w:rFonts w:hint="default" w:ascii="Times New Roman" w:hAnsi="Times New Roman" w:eastAsia="宋体" w:cs="Times New Roman"/>
                <w:sz w:val="16"/>
                <w:szCs w:val="16"/>
                <w:lang w:eastAsia="en-GB"/>
              </w:rPr>
              <w:t>/</w:t>
            </w:r>
          </w:p>
        </w:tc>
        <w:tc>
          <w:tcPr>
            <w:tcW w:w="420" w:type="pct"/>
            <w:tcBorders>
              <w:top w:val="single" w:color="auto" w:sz="4" w:space="0"/>
              <w:right w:val="single" w:color="auto" w:sz="4" w:space="0"/>
            </w:tcBorders>
            <w:vAlign w:val="center"/>
          </w:tcPr>
          <w:p>
            <w:pPr>
              <w:jc w:val="center"/>
              <w:rPr>
                <w:rFonts w:hint="default" w:ascii="Times New Roman" w:hAnsi="Times New Roman" w:eastAsia="宋体" w:cs="Times New Roman"/>
                <w:sz w:val="16"/>
                <w:szCs w:val="16"/>
                <w:lang w:eastAsia="en-GB"/>
              </w:rPr>
            </w:pPr>
            <w:r>
              <w:rPr>
                <w:rFonts w:hint="default" w:ascii="Times New Roman" w:hAnsi="Times New Roman" w:eastAsia="宋体" w:cs="Times New Roman"/>
                <w:sz w:val="16"/>
                <w:szCs w:val="16"/>
                <w:lang w:eastAsia="en-GB"/>
              </w:rPr>
              <w:t>/</w:t>
            </w:r>
          </w:p>
        </w:tc>
        <w:tc>
          <w:tcPr>
            <w:tcW w:w="947" w:type="pct"/>
            <w:tcBorders>
              <w:top w:val="single" w:color="auto" w:sz="4" w:space="0"/>
              <w:left w:val="single" w:color="auto" w:sz="4" w:space="0"/>
            </w:tcBorders>
            <w:vAlign w:val="center"/>
          </w:tcPr>
          <w:p>
            <w:pPr>
              <w:jc w:val="center"/>
              <w:rPr>
                <w:rFonts w:hint="default" w:ascii="Times New Roman" w:hAnsi="Times New Roman" w:eastAsia="宋体" w:cs="Times New Roman"/>
                <w:sz w:val="16"/>
                <w:szCs w:val="16"/>
                <w:lang w:eastAsia="en-GB"/>
              </w:rPr>
            </w:pPr>
            <w:r>
              <w:rPr>
                <w:rFonts w:hint="default" w:ascii="Times New Roman" w:hAnsi="Times New Roman" w:eastAsia="宋体" w:cs="Times New Roman"/>
                <w:i/>
                <w:iCs/>
                <w:sz w:val="16"/>
                <w:szCs w:val="16"/>
                <w:lang w:eastAsia="en-GB"/>
              </w:rPr>
              <w:t>λ</w:t>
            </w:r>
            <w:r>
              <w:rPr>
                <w:rFonts w:hint="default" w:ascii="Times New Roman" w:hAnsi="Times New Roman" w:eastAsia="宋体" w:cs="Times New Roman"/>
                <w:sz w:val="16"/>
                <w:szCs w:val="16"/>
                <w:vertAlign w:val="subscript"/>
                <w:lang w:eastAsia="en-GB"/>
              </w:rPr>
              <w:t xml:space="preserve">1 </w:t>
            </w:r>
            <w:r>
              <w:rPr>
                <w:rFonts w:hint="default" w:ascii="Times New Roman" w:hAnsi="Times New Roman" w:eastAsia="宋体" w:cs="Times New Roman"/>
                <w:sz w:val="16"/>
                <w:szCs w:val="16"/>
                <w:lang w:eastAsia="en-GB"/>
              </w:rPr>
              <w:t>= -1.00</w:t>
            </w:r>
          </w:p>
        </w:tc>
        <w:tc>
          <w:tcPr>
            <w:tcW w:w="665" w:type="pct"/>
            <w:tcBorders>
              <w:top w:val="single" w:color="auto" w:sz="4" w:space="0"/>
            </w:tcBorders>
            <w:vAlign w:val="center"/>
          </w:tcPr>
          <w:p>
            <w:pPr>
              <w:jc w:val="center"/>
              <w:rPr>
                <w:rFonts w:hint="default" w:ascii="Times New Roman" w:hAnsi="Times New Roman" w:eastAsia="宋体" w:cs="Times New Roman"/>
                <w:sz w:val="16"/>
                <w:szCs w:val="16"/>
                <w:lang w:eastAsia="en-GB"/>
              </w:rPr>
            </w:pPr>
            <w:r>
              <w:rPr>
                <w:rFonts w:hint="default" w:ascii="Times New Roman" w:hAnsi="Times New Roman" w:eastAsia="宋体" w:cs="Times New Roman"/>
                <w:sz w:val="16"/>
                <w:szCs w:val="16"/>
                <w:lang w:eastAsia="en-GB"/>
              </w:rPr>
              <w:t>/</w:t>
            </w:r>
          </w:p>
        </w:tc>
        <w:tc>
          <w:tcPr>
            <w:tcW w:w="638" w:type="pct"/>
            <w:tcBorders>
              <w:top w:val="single" w:color="auto" w:sz="4" w:space="0"/>
            </w:tcBorders>
            <w:vAlign w:val="center"/>
          </w:tcPr>
          <w:p>
            <w:pPr>
              <w:jc w:val="center"/>
              <w:rPr>
                <w:rFonts w:hint="default" w:ascii="Times New Roman" w:hAnsi="Times New Roman" w:eastAsia="宋体" w:cs="Times New Roman"/>
                <w:sz w:val="16"/>
                <w:szCs w:val="16"/>
                <w:lang w:eastAsia="en-GB"/>
              </w:rPr>
            </w:pPr>
            <w:r>
              <w:rPr>
                <w:rFonts w:hint="default" w:ascii="Times New Roman" w:hAnsi="Times New Roman" w:eastAsia="宋体" w:cs="Times New Roman"/>
                <w:sz w:val="16"/>
                <w:szCs w:val="16"/>
                <w:lang w:eastAsia="en-GB"/>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38" w:type="pct"/>
            <w:vMerge w:val="continue"/>
            <w:tcBorders>
              <w:right w:val="single" w:color="auto" w:sz="4" w:space="0"/>
            </w:tcBorders>
            <w:vAlign w:val="center"/>
          </w:tcPr>
          <w:p>
            <w:pPr>
              <w:jc w:val="center"/>
              <w:rPr>
                <w:rFonts w:hint="default" w:ascii="Times New Roman" w:hAnsi="Times New Roman" w:eastAsia="宋体" w:cs="Times New Roman"/>
                <w:lang w:eastAsia="en-GB"/>
              </w:rPr>
            </w:pPr>
          </w:p>
        </w:tc>
        <w:tc>
          <w:tcPr>
            <w:tcW w:w="1075" w:type="pct"/>
            <w:tcBorders>
              <w:left w:val="single" w:color="auto" w:sz="4" w:space="0"/>
            </w:tcBorders>
            <w:vAlign w:val="center"/>
          </w:tcPr>
          <w:p>
            <w:pPr>
              <w:jc w:val="center"/>
              <w:rPr>
                <w:rFonts w:hint="default" w:ascii="Times New Roman" w:hAnsi="Times New Roman" w:eastAsia="宋体" w:cs="Times New Roman"/>
                <w:i/>
                <w:iCs/>
                <w:sz w:val="16"/>
                <w:szCs w:val="16"/>
                <w:lang w:eastAsia="en-GB"/>
              </w:rPr>
            </w:pPr>
            <w:r>
              <w:rPr>
                <w:rFonts w:hint="default" w:ascii="Times New Roman" w:hAnsi="Times New Roman" w:eastAsia="宋体" w:cs="Times New Roman"/>
                <w:i/>
                <w:iCs/>
                <w:sz w:val="16"/>
                <w:szCs w:val="16"/>
                <w:lang w:eastAsia="en-GB"/>
              </w:rPr>
              <w:t>λ</w:t>
            </w:r>
            <w:r>
              <w:rPr>
                <w:rFonts w:hint="default" w:ascii="Times New Roman" w:hAnsi="Times New Roman" w:eastAsia="宋体" w:cs="Times New Roman"/>
                <w:sz w:val="16"/>
                <w:szCs w:val="16"/>
                <w:vertAlign w:val="subscript"/>
                <w:lang w:eastAsia="en-GB"/>
              </w:rPr>
              <w:t xml:space="preserve">2 </w:t>
            </w:r>
            <w:r>
              <w:rPr>
                <w:rFonts w:hint="default" w:ascii="Times New Roman" w:hAnsi="Times New Roman" w:eastAsia="宋体" w:cs="Times New Roman"/>
                <w:sz w:val="16"/>
                <w:szCs w:val="16"/>
                <w:lang w:eastAsia="en-GB"/>
              </w:rPr>
              <w:t>= -</w:t>
            </w:r>
            <w:r>
              <w:rPr>
                <w:rFonts w:hint="eastAsia"/>
                <w:bCs/>
                <w:sz w:val="15"/>
                <w:szCs w:val="15"/>
              </w:rPr>
              <w:t>482.12</w:t>
            </w:r>
          </w:p>
        </w:tc>
        <w:tc>
          <w:tcPr>
            <w:tcW w:w="715" w:type="pct"/>
            <w:vAlign w:val="center"/>
          </w:tcPr>
          <w:p>
            <w:pPr>
              <w:jc w:val="center"/>
              <w:rPr>
                <w:rFonts w:hint="default" w:ascii="Times New Roman" w:hAnsi="Times New Roman" w:eastAsia="宋体" w:cs="Times New Roman"/>
                <w:sz w:val="16"/>
                <w:szCs w:val="16"/>
                <w:lang w:eastAsia="en-GB"/>
              </w:rPr>
            </w:pPr>
            <w:r>
              <w:rPr>
                <w:rFonts w:hint="default" w:ascii="Times New Roman" w:hAnsi="Times New Roman" w:eastAsia="宋体" w:cs="Times New Roman"/>
                <w:sz w:val="16"/>
                <w:szCs w:val="16"/>
                <w:lang w:eastAsia="en-GB"/>
              </w:rPr>
              <w:t>/</w:t>
            </w:r>
          </w:p>
        </w:tc>
        <w:tc>
          <w:tcPr>
            <w:tcW w:w="420" w:type="pct"/>
            <w:tcBorders>
              <w:right w:val="single" w:color="auto" w:sz="4" w:space="0"/>
            </w:tcBorders>
            <w:vAlign w:val="center"/>
          </w:tcPr>
          <w:p>
            <w:pPr>
              <w:jc w:val="center"/>
              <w:rPr>
                <w:rFonts w:hint="default" w:ascii="Times New Roman" w:hAnsi="Times New Roman" w:eastAsia="宋体" w:cs="Times New Roman"/>
                <w:sz w:val="16"/>
                <w:szCs w:val="16"/>
                <w:lang w:eastAsia="en-GB"/>
              </w:rPr>
            </w:pPr>
            <w:r>
              <w:rPr>
                <w:rFonts w:hint="default" w:ascii="Times New Roman" w:hAnsi="Times New Roman" w:eastAsia="宋体" w:cs="Times New Roman"/>
                <w:sz w:val="16"/>
                <w:szCs w:val="16"/>
                <w:lang w:eastAsia="en-GB"/>
              </w:rPr>
              <w:t>/</w:t>
            </w:r>
          </w:p>
        </w:tc>
        <w:tc>
          <w:tcPr>
            <w:tcW w:w="947" w:type="pct"/>
            <w:tcBorders>
              <w:left w:val="single" w:color="auto" w:sz="4" w:space="0"/>
            </w:tcBorders>
            <w:vAlign w:val="center"/>
          </w:tcPr>
          <w:p>
            <w:pPr>
              <w:jc w:val="center"/>
              <w:rPr>
                <w:rFonts w:hint="default" w:ascii="Times New Roman" w:hAnsi="Times New Roman" w:eastAsia="宋体" w:cs="Times New Roman"/>
                <w:sz w:val="16"/>
                <w:szCs w:val="16"/>
                <w:lang w:eastAsia="en-GB"/>
              </w:rPr>
            </w:pPr>
            <w:r>
              <w:rPr>
                <w:rFonts w:hint="default" w:ascii="Times New Roman" w:hAnsi="Times New Roman" w:eastAsia="宋体" w:cs="Times New Roman"/>
                <w:i/>
                <w:iCs/>
                <w:sz w:val="16"/>
                <w:szCs w:val="16"/>
                <w:lang w:eastAsia="en-GB"/>
              </w:rPr>
              <w:t>λ</w:t>
            </w:r>
            <w:r>
              <w:rPr>
                <w:rFonts w:hint="eastAsia" w:cs="Times New Roman"/>
                <w:sz w:val="16"/>
                <w:szCs w:val="16"/>
                <w:vertAlign w:val="subscript"/>
                <w:lang w:val="en-US" w:eastAsia="zh-CN"/>
              </w:rPr>
              <w:t>2</w:t>
            </w:r>
            <w:r>
              <w:rPr>
                <w:rFonts w:hint="default" w:ascii="Times New Roman" w:hAnsi="Times New Roman" w:eastAsia="宋体" w:cs="Times New Roman"/>
                <w:sz w:val="16"/>
                <w:szCs w:val="16"/>
                <w:vertAlign w:val="subscript"/>
                <w:lang w:eastAsia="en-GB"/>
              </w:rPr>
              <w:t xml:space="preserve"> </w:t>
            </w:r>
            <w:r>
              <w:rPr>
                <w:rFonts w:hint="default" w:ascii="Times New Roman" w:hAnsi="Times New Roman" w:eastAsia="宋体" w:cs="Times New Roman"/>
                <w:sz w:val="16"/>
                <w:szCs w:val="16"/>
                <w:lang w:eastAsia="en-GB"/>
              </w:rPr>
              <w:t>= -481</w:t>
            </w:r>
          </w:p>
        </w:tc>
        <w:tc>
          <w:tcPr>
            <w:tcW w:w="665" w:type="pct"/>
            <w:vAlign w:val="center"/>
          </w:tcPr>
          <w:p>
            <w:pPr>
              <w:jc w:val="center"/>
              <w:rPr>
                <w:rFonts w:hint="default" w:ascii="Times New Roman" w:hAnsi="Times New Roman" w:eastAsia="宋体" w:cs="Times New Roman"/>
                <w:sz w:val="16"/>
                <w:szCs w:val="16"/>
                <w:lang w:eastAsia="en-GB"/>
              </w:rPr>
            </w:pPr>
            <w:r>
              <w:rPr>
                <w:rFonts w:hint="default" w:ascii="Times New Roman" w:hAnsi="Times New Roman" w:eastAsia="宋体" w:cs="Times New Roman"/>
                <w:sz w:val="16"/>
                <w:szCs w:val="16"/>
                <w:lang w:eastAsia="en-GB"/>
              </w:rPr>
              <w:t>/</w:t>
            </w:r>
          </w:p>
        </w:tc>
        <w:tc>
          <w:tcPr>
            <w:tcW w:w="638" w:type="pct"/>
            <w:vAlign w:val="center"/>
          </w:tcPr>
          <w:p>
            <w:pPr>
              <w:jc w:val="center"/>
              <w:rPr>
                <w:rFonts w:hint="default" w:ascii="Times New Roman" w:hAnsi="Times New Roman" w:eastAsia="宋体" w:cs="Times New Roman"/>
                <w:sz w:val="16"/>
                <w:szCs w:val="16"/>
                <w:lang w:eastAsia="en-GB"/>
              </w:rPr>
            </w:pPr>
            <w:r>
              <w:rPr>
                <w:rFonts w:hint="default" w:ascii="Times New Roman" w:hAnsi="Times New Roman" w:eastAsia="宋体" w:cs="Times New Roman"/>
                <w:sz w:val="16"/>
                <w:szCs w:val="16"/>
                <w:lang w:eastAsia="en-GB"/>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38" w:type="pct"/>
            <w:vMerge w:val="continue"/>
            <w:tcBorders>
              <w:right w:val="single" w:color="auto" w:sz="4" w:space="0"/>
            </w:tcBorders>
            <w:vAlign w:val="center"/>
          </w:tcPr>
          <w:p>
            <w:pPr>
              <w:jc w:val="center"/>
              <w:rPr>
                <w:rFonts w:hint="default" w:ascii="Times New Roman" w:hAnsi="Times New Roman" w:eastAsia="宋体" w:cs="Times New Roman"/>
                <w:lang w:eastAsia="en-GB"/>
              </w:rPr>
            </w:pPr>
          </w:p>
        </w:tc>
        <w:tc>
          <w:tcPr>
            <w:tcW w:w="1075" w:type="pct"/>
            <w:tcBorders>
              <w:left w:val="single" w:color="auto" w:sz="4" w:space="0"/>
            </w:tcBorders>
            <w:vAlign w:val="center"/>
          </w:tcPr>
          <w:p>
            <w:pPr>
              <w:jc w:val="center"/>
              <w:rPr>
                <w:rFonts w:hint="default" w:ascii="Times New Roman" w:hAnsi="Times New Roman" w:eastAsia="宋体" w:cs="Times New Roman"/>
                <w:i/>
                <w:iCs/>
                <w:sz w:val="16"/>
                <w:szCs w:val="16"/>
                <w:lang w:eastAsia="en-GB"/>
              </w:rPr>
            </w:pPr>
            <w:r>
              <w:rPr>
                <w:bCs/>
                <w:i/>
                <w:iCs/>
                <w:sz w:val="15"/>
                <w:szCs w:val="15"/>
              </w:rPr>
              <w:t>λ</w:t>
            </w:r>
            <w:r>
              <w:rPr>
                <w:rFonts w:hint="eastAsia"/>
                <w:bCs/>
                <w:sz w:val="15"/>
                <w:szCs w:val="15"/>
                <w:vertAlign w:val="subscript"/>
              </w:rPr>
              <w:t>3</w:t>
            </w:r>
            <w:r>
              <w:rPr>
                <w:bCs/>
                <w:sz w:val="15"/>
                <w:szCs w:val="15"/>
                <w:vertAlign w:val="subscript"/>
              </w:rPr>
              <w:t>,</w:t>
            </w:r>
            <w:r>
              <w:rPr>
                <w:rFonts w:hint="eastAsia"/>
                <w:bCs/>
                <w:sz w:val="15"/>
                <w:szCs w:val="15"/>
                <w:vertAlign w:val="subscript"/>
              </w:rPr>
              <w:t>4</w:t>
            </w:r>
            <w:r>
              <w:rPr>
                <w:bCs/>
                <w:sz w:val="15"/>
                <w:szCs w:val="15"/>
                <w:vertAlign w:val="subscript"/>
              </w:rPr>
              <w:t xml:space="preserve"> </w:t>
            </w:r>
            <w:r>
              <w:rPr>
                <w:bCs/>
                <w:sz w:val="15"/>
                <w:szCs w:val="15"/>
              </w:rPr>
              <w:t>= -</w:t>
            </w:r>
            <w:r>
              <w:rPr>
                <w:rFonts w:hint="eastAsia"/>
                <w:bCs/>
                <w:sz w:val="15"/>
                <w:szCs w:val="15"/>
              </w:rPr>
              <w:t>7.65</w:t>
            </w:r>
            <w:r>
              <w:rPr>
                <w:bCs/>
                <w:sz w:val="15"/>
                <w:szCs w:val="15"/>
              </w:rPr>
              <w:t xml:space="preserve"> ± j</w:t>
            </w:r>
            <w:r>
              <w:rPr>
                <w:rFonts w:hint="eastAsia"/>
                <w:bCs/>
                <w:sz w:val="15"/>
                <w:szCs w:val="15"/>
              </w:rPr>
              <w:t>95.56</w:t>
            </w:r>
          </w:p>
        </w:tc>
        <w:tc>
          <w:tcPr>
            <w:tcW w:w="715" w:type="pct"/>
            <w:vAlign w:val="center"/>
          </w:tcPr>
          <w:p>
            <w:pPr>
              <w:jc w:val="center"/>
              <w:rPr>
                <w:rFonts w:hint="default" w:ascii="Times New Roman" w:hAnsi="Times New Roman" w:eastAsia="宋体" w:cs="Times New Roman"/>
                <w:sz w:val="16"/>
                <w:szCs w:val="16"/>
                <w:lang w:val="en-US" w:eastAsia="zh-CN"/>
              </w:rPr>
            </w:pPr>
            <w:r>
              <w:rPr>
                <w:rFonts w:hint="eastAsia" w:cs="Times New Roman"/>
                <w:sz w:val="16"/>
                <w:szCs w:val="16"/>
                <w:lang w:val="en-US" w:eastAsia="zh-CN"/>
              </w:rPr>
              <w:t>15</w:t>
            </w:r>
          </w:p>
        </w:tc>
        <w:tc>
          <w:tcPr>
            <w:tcW w:w="420" w:type="pct"/>
            <w:tcBorders>
              <w:right w:val="single" w:color="auto" w:sz="4" w:space="0"/>
            </w:tcBorders>
            <w:vAlign w:val="center"/>
          </w:tcPr>
          <w:p>
            <w:pPr>
              <w:jc w:val="center"/>
              <w:rPr>
                <w:rFonts w:hint="default" w:ascii="Times New Roman" w:hAnsi="Times New Roman" w:eastAsia="宋体" w:cs="Times New Roman"/>
                <w:sz w:val="16"/>
                <w:szCs w:val="16"/>
                <w:lang w:val="en-US" w:eastAsia="zh-CN"/>
              </w:rPr>
            </w:pPr>
            <w:r>
              <w:rPr>
                <w:rFonts w:hint="eastAsia" w:cs="Times New Roman"/>
                <w:sz w:val="16"/>
                <w:szCs w:val="16"/>
                <w:lang w:val="en-US" w:eastAsia="zh-CN"/>
              </w:rPr>
              <w:t>0.08</w:t>
            </w:r>
          </w:p>
        </w:tc>
        <w:tc>
          <w:tcPr>
            <w:tcW w:w="947" w:type="pct"/>
            <w:tcBorders>
              <w:left w:val="single" w:color="auto" w:sz="4" w:space="0"/>
            </w:tcBorders>
            <w:vAlign w:val="center"/>
          </w:tcPr>
          <w:p>
            <w:pPr>
              <w:jc w:val="center"/>
              <w:rPr>
                <w:rFonts w:hint="default" w:ascii="Times New Roman" w:hAnsi="Times New Roman" w:eastAsia="宋体" w:cs="Times New Roman"/>
                <w:sz w:val="16"/>
                <w:szCs w:val="16"/>
                <w:lang w:eastAsia="en-GB"/>
              </w:rPr>
            </w:pPr>
            <w:r>
              <w:rPr>
                <w:bCs/>
                <w:i/>
                <w:iCs/>
                <w:sz w:val="15"/>
                <w:szCs w:val="15"/>
              </w:rPr>
              <w:t>λ</w:t>
            </w:r>
            <w:r>
              <w:rPr>
                <w:rFonts w:hint="eastAsia"/>
                <w:bCs/>
                <w:sz w:val="15"/>
                <w:szCs w:val="15"/>
                <w:vertAlign w:val="subscript"/>
              </w:rPr>
              <w:t>3</w:t>
            </w:r>
            <w:r>
              <w:rPr>
                <w:bCs/>
                <w:sz w:val="15"/>
                <w:szCs w:val="15"/>
                <w:vertAlign w:val="subscript"/>
              </w:rPr>
              <w:t>,</w:t>
            </w:r>
            <w:r>
              <w:rPr>
                <w:rFonts w:hint="eastAsia"/>
                <w:bCs/>
                <w:sz w:val="15"/>
                <w:szCs w:val="15"/>
                <w:vertAlign w:val="subscript"/>
              </w:rPr>
              <w:t>4</w:t>
            </w:r>
            <w:r>
              <w:rPr>
                <w:bCs/>
                <w:sz w:val="15"/>
                <w:szCs w:val="15"/>
                <w:vertAlign w:val="subscript"/>
              </w:rPr>
              <w:t xml:space="preserve"> </w:t>
            </w:r>
            <w:r>
              <w:rPr>
                <w:bCs/>
                <w:sz w:val="15"/>
                <w:szCs w:val="15"/>
              </w:rPr>
              <w:t>= -</w:t>
            </w:r>
            <w:r>
              <w:rPr>
                <w:rFonts w:hint="eastAsia"/>
                <w:bCs/>
                <w:sz w:val="15"/>
                <w:szCs w:val="15"/>
              </w:rPr>
              <w:t>15.63</w:t>
            </w:r>
            <w:r>
              <w:rPr>
                <w:bCs/>
                <w:sz w:val="15"/>
                <w:szCs w:val="15"/>
              </w:rPr>
              <w:t xml:space="preserve"> ± j</w:t>
            </w:r>
            <w:r>
              <w:rPr>
                <w:rFonts w:hint="eastAsia"/>
                <w:bCs/>
                <w:sz w:val="15"/>
                <w:szCs w:val="15"/>
              </w:rPr>
              <w:t>136.04</w:t>
            </w:r>
          </w:p>
        </w:tc>
        <w:tc>
          <w:tcPr>
            <w:tcW w:w="665" w:type="pct"/>
            <w:vAlign w:val="center"/>
          </w:tcPr>
          <w:p>
            <w:pPr>
              <w:jc w:val="center"/>
              <w:rPr>
                <w:rFonts w:hint="default" w:ascii="Times New Roman" w:hAnsi="Times New Roman" w:eastAsia="宋体" w:cs="Times New Roman"/>
                <w:sz w:val="16"/>
                <w:szCs w:val="16"/>
                <w:lang w:val="en-AU" w:eastAsia="en-GB" w:bidi="ar-SA"/>
              </w:rPr>
            </w:pPr>
            <w:r>
              <w:rPr>
                <w:rFonts w:hint="default" w:ascii="Times New Roman" w:hAnsi="Times New Roman" w:eastAsia="宋体" w:cs="Times New Roman"/>
                <w:sz w:val="16"/>
                <w:szCs w:val="16"/>
                <w:lang w:eastAsia="en-GB"/>
              </w:rPr>
              <w:t>22</w:t>
            </w:r>
          </w:p>
        </w:tc>
        <w:tc>
          <w:tcPr>
            <w:tcW w:w="638" w:type="pct"/>
            <w:vAlign w:val="center"/>
          </w:tcPr>
          <w:p>
            <w:pPr>
              <w:jc w:val="center"/>
              <w:rPr>
                <w:rFonts w:hint="default" w:ascii="Times New Roman" w:hAnsi="Times New Roman" w:eastAsia="宋体" w:cs="Times New Roman"/>
                <w:sz w:val="16"/>
                <w:szCs w:val="16"/>
                <w:lang w:val="en-AU" w:eastAsia="en-GB" w:bidi="ar-SA"/>
              </w:rPr>
            </w:pPr>
            <w:r>
              <w:rPr>
                <w:rFonts w:hint="default" w:ascii="Times New Roman" w:hAnsi="Times New Roman" w:eastAsia="宋体" w:cs="Times New Roman"/>
                <w:sz w:val="16"/>
                <w:szCs w:val="16"/>
                <w:lang w:eastAsia="en-GB"/>
              </w:rPr>
              <w:t>0.11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38" w:type="pct"/>
            <w:vMerge w:val="continue"/>
            <w:tcBorders>
              <w:right w:val="single" w:color="auto" w:sz="4" w:space="0"/>
            </w:tcBorders>
            <w:vAlign w:val="center"/>
          </w:tcPr>
          <w:p>
            <w:pPr>
              <w:jc w:val="center"/>
              <w:rPr>
                <w:rFonts w:hint="default" w:ascii="Times New Roman" w:hAnsi="Times New Roman" w:eastAsia="宋体" w:cs="Times New Roman"/>
                <w:lang w:eastAsia="en-GB"/>
              </w:rPr>
            </w:pPr>
          </w:p>
        </w:tc>
        <w:tc>
          <w:tcPr>
            <w:tcW w:w="1075" w:type="pct"/>
            <w:tcBorders>
              <w:left w:val="single" w:color="auto" w:sz="4" w:space="0"/>
            </w:tcBorders>
            <w:vAlign w:val="center"/>
          </w:tcPr>
          <w:p>
            <w:pPr>
              <w:jc w:val="center"/>
              <w:rPr>
                <w:rFonts w:hint="default" w:ascii="Times New Roman" w:hAnsi="Times New Roman" w:eastAsia="宋体" w:cs="Times New Roman"/>
                <w:i/>
                <w:iCs/>
                <w:sz w:val="16"/>
                <w:szCs w:val="16"/>
                <w:lang w:eastAsia="en-GB"/>
              </w:rPr>
            </w:pPr>
            <w:r>
              <w:rPr>
                <w:bCs/>
                <w:i/>
                <w:iCs/>
                <w:sz w:val="15"/>
                <w:szCs w:val="15"/>
              </w:rPr>
              <w:t>λ</w:t>
            </w:r>
            <w:r>
              <w:rPr>
                <w:rFonts w:hint="eastAsia"/>
                <w:bCs/>
                <w:sz w:val="15"/>
                <w:szCs w:val="15"/>
                <w:vertAlign w:val="subscript"/>
              </w:rPr>
              <w:t>5</w:t>
            </w:r>
            <w:r>
              <w:rPr>
                <w:bCs/>
                <w:sz w:val="15"/>
                <w:szCs w:val="15"/>
                <w:vertAlign w:val="subscript"/>
              </w:rPr>
              <w:t>,</w:t>
            </w:r>
            <w:r>
              <w:rPr>
                <w:rFonts w:hint="eastAsia"/>
                <w:bCs/>
                <w:sz w:val="15"/>
                <w:szCs w:val="15"/>
                <w:vertAlign w:val="subscript"/>
              </w:rPr>
              <w:t>6</w:t>
            </w:r>
            <w:r>
              <w:rPr>
                <w:bCs/>
                <w:sz w:val="15"/>
                <w:szCs w:val="15"/>
                <w:vertAlign w:val="subscript"/>
              </w:rPr>
              <w:t xml:space="preserve"> </w:t>
            </w:r>
            <w:r>
              <w:rPr>
                <w:bCs/>
                <w:sz w:val="15"/>
                <w:szCs w:val="15"/>
              </w:rPr>
              <w:t>= -</w:t>
            </w:r>
            <w:r>
              <w:rPr>
                <w:rFonts w:hint="eastAsia"/>
                <w:bCs/>
                <w:sz w:val="15"/>
                <w:szCs w:val="15"/>
              </w:rPr>
              <w:t>753.84</w:t>
            </w:r>
            <w:r>
              <w:rPr>
                <w:bCs/>
                <w:sz w:val="15"/>
                <w:szCs w:val="15"/>
              </w:rPr>
              <w:t xml:space="preserve"> ± j</w:t>
            </w:r>
            <w:r>
              <w:rPr>
                <w:rFonts w:hint="eastAsia"/>
                <w:bCs/>
                <w:sz w:val="15"/>
                <w:szCs w:val="15"/>
              </w:rPr>
              <w:t>5020.6</w:t>
            </w:r>
          </w:p>
        </w:tc>
        <w:tc>
          <w:tcPr>
            <w:tcW w:w="715" w:type="pct"/>
            <w:vAlign w:val="center"/>
          </w:tcPr>
          <w:p>
            <w:pPr>
              <w:jc w:val="center"/>
              <w:rPr>
                <w:rFonts w:hint="default" w:ascii="Times New Roman" w:hAnsi="Times New Roman" w:eastAsia="宋体" w:cs="Times New Roman"/>
                <w:sz w:val="16"/>
                <w:szCs w:val="16"/>
                <w:lang w:val="en-US" w:eastAsia="zh-CN"/>
              </w:rPr>
            </w:pPr>
            <w:r>
              <w:rPr>
                <w:rFonts w:hint="eastAsia" w:cs="Times New Roman"/>
                <w:sz w:val="16"/>
                <w:szCs w:val="16"/>
                <w:lang w:val="en-US" w:eastAsia="zh-CN"/>
              </w:rPr>
              <w:t>799</w:t>
            </w:r>
          </w:p>
        </w:tc>
        <w:tc>
          <w:tcPr>
            <w:tcW w:w="420" w:type="pct"/>
            <w:tcBorders>
              <w:right w:val="single" w:color="auto" w:sz="4" w:space="0"/>
            </w:tcBorders>
            <w:vAlign w:val="center"/>
          </w:tcPr>
          <w:p>
            <w:pPr>
              <w:jc w:val="center"/>
              <w:rPr>
                <w:rFonts w:hint="eastAsia" w:ascii="Times New Roman" w:hAnsi="Times New Roman" w:eastAsia="宋体" w:cs="Times New Roman"/>
                <w:sz w:val="16"/>
                <w:szCs w:val="16"/>
                <w:lang w:val="en-US" w:eastAsia="zh-CN"/>
              </w:rPr>
            </w:pPr>
            <w:r>
              <w:rPr>
                <w:rFonts w:hint="default" w:ascii="Times New Roman" w:hAnsi="Times New Roman" w:eastAsia="宋体" w:cs="Times New Roman"/>
                <w:sz w:val="16"/>
                <w:szCs w:val="16"/>
                <w:lang w:eastAsia="en-GB"/>
              </w:rPr>
              <w:t>0.1</w:t>
            </w:r>
            <w:r>
              <w:rPr>
                <w:rFonts w:hint="eastAsia" w:cs="Times New Roman"/>
                <w:sz w:val="16"/>
                <w:szCs w:val="16"/>
                <w:lang w:val="en-US" w:eastAsia="zh-CN"/>
              </w:rPr>
              <w:t>5</w:t>
            </w:r>
          </w:p>
        </w:tc>
        <w:tc>
          <w:tcPr>
            <w:tcW w:w="947" w:type="pct"/>
            <w:tcBorders>
              <w:left w:val="single" w:color="auto" w:sz="4" w:space="0"/>
            </w:tcBorders>
            <w:vAlign w:val="center"/>
          </w:tcPr>
          <w:p>
            <w:pPr>
              <w:jc w:val="center"/>
              <w:rPr>
                <w:rFonts w:hint="default" w:ascii="Times New Roman" w:hAnsi="Times New Roman" w:eastAsia="宋体" w:cs="Times New Roman"/>
                <w:sz w:val="16"/>
                <w:szCs w:val="16"/>
                <w:lang w:eastAsia="en-GB"/>
              </w:rPr>
            </w:pPr>
            <w:r>
              <w:rPr>
                <w:bCs/>
                <w:i/>
                <w:iCs/>
                <w:sz w:val="15"/>
                <w:szCs w:val="15"/>
              </w:rPr>
              <w:t>λ</w:t>
            </w:r>
            <w:r>
              <w:rPr>
                <w:rFonts w:hint="eastAsia"/>
                <w:bCs/>
                <w:sz w:val="15"/>
                <w:szCs w:val="15"/>
                <w:vertAlign w:val="subscript"/>
              </w:rPr>
              <w:t>5</w:t>
            </w:r>
            <w:r>
              <w:rPr>
                <w:bCs/>
                <w:sz w:val="15"/>
                <w:szCs w:val="15"/>
                <w:vertAlign w:val="subscript"/>
              </w:rPr>
              <w:t>,</w:t>
            </w:r>
            <w:r>
              <w:rPr>
                <w:rFonts w:hint="eastAsia"/>
                <w:bCs/>
                <w:sz w:val="15"/>
                <w:szCs w:val="15"/>
                <w:vertAlign w:val="subscript"/>
              </w:rPr>
              <w:t>6</w:t>
            </w:r>
            <w:r>
              <w:rPr>
                <w:bCs/>
                <w:sz w:val="15"/>
                <w:szCs w:val="15"/>
                <w:vertAlign w:val="subscript"/>
              </w:rPr>
              <w:t xml:space="preserve"> </w:t>
            </w:r>
            <w:r>
              <w:rPr>
                <w:bCs/>
                <w:sz w:val="15"/>
                <w:szCs w:val="15"/>
              </w:rPr>
              <w:t>= -</w:t>
            </w:r>
            <w:r>
              <w:rPr>
                <w:rFonts w:hint="eastAsia"/>
                <w:bCs/>
                <w:sz w:val="15"/>
                <w:szCs w:val="15"/>
              </w:rPr>
              <w:t>1345.4</w:t>
            </w:r>
            <w:r>
              <w:rPr>
                <w:bCs/>
                <w:sz w:val="15"/>
                <w:szCs w:val="15"/>
              </w:rPr>
              <w:t xml:space="preserve"> ± j</w:t>
            </w:r>
            <w:r>
              <w:rPr>
                <w:rFonts w:hint="eastAsia"/>
                <w:bCs/>
                <w:sz w:val="15"/>
                <w:szCs w:val="15"/>
              </w:rPr>
              <w:t>7514.6</w:t>
            </w:r>
          </w:p>
        </w:tc>
        <w:tc>
          <w:tcPr>
            <w:tcW w:w="665" w:type="pct"/>
            <w:vAlign w:val="center"/>
          </w:tcPr>
          <w:p>
            <w:pPr>
              <w:jc w:val="center"/>
              <w:rPr>
                <w:rFonts w:hint="eastAsia" w:ascii="Times New Roman" w:hAnsi="Times New Roman" w:eastAsia="宋体" w:cs="Times New Roman"/>
                <w:sz w:val="16"/>
                <w:szCs w:val="16"/>
                <w:lang w:val="en-US" w:eastAsia="zh-CN" w:bidi="ar-SA"/>
              </w:rPr>
            </w:pPr>
            <w:r>
              <w:rPr>
                <w:rFonts w:hint="default" w:ascii="Times New Roman" w:hAnsi="Times New Roman" w:eastAsia="宋体" w:cs="Times New Roman"/>
                <w:sz w:val="16"/>
                <w:szCs w:val="16"/>
                <w:lang w:eastAsia="en-GB"/>
              </w:rPr>
              <w:t>119</w:t>
            </w:r>
            <w:r>
              <w:rPr>
                <w:rFonts w:hint="eastAsia" w:cs="Times New Roman"/>
                <w:sz w:val="16"/>
                <w:szCs w:val="16"/>
                <w:lang w:val="en-US" w:eastAsia="zh-CN"/>
              </w:rPr>
              <w:t>6</w:t>
            </w:r>
          </w:p>
        </w:tc>
        <w:tc>
          <w:tcPr>
            <w:tcW w:w="638" w:type="pct"/>
            <w:vAlign w:val="center"/>
          </w:tcPr>
          <w:p>
            <w:pPr>
              <w:jc w:val="center"/>
              <w:rPr>
                <w:rFonts w:hint="eastAsia" w:ascii="Times New Roman" w:hAnsi="Times New Roman" w:eastAsia="宋体" w:cs="Times New Roman"/>
                <w:sz w:val="16"/>
                <w:szCs w:val="16"/>
                <w:lang w:val="en-US" w:eastAsia="zh-CN" w:bidi="ar-SA"/>
              </w:rPr>
            </w:pPr>
            <w:r>
              <w:rPr>
                <w:rFonts w:hint="default" w:ascii="Times New Roman" w:hAnsi="Times New Roman" w:eastAsia="宋体" w:cs="Times New Roman"/>
                <w:sz w:val="16"/>
                <w:szCs w:val="16"/>
                <w:lang w:eastAsia="en-GB"/>
              </w:rPr>
              <w:t>0.1</w:t>
            </w:r>
            <w:r>
              <w:rPr>
                <w:rFonts w:hint="eastAsia" w:cs="Times New Roman"/>
                <w:sz w:val="16"/>
                <w:szCs w:val="16"/>
                <w:lang w:val="en-US" w:eastAsia="zh-CN"/>
              </w:rPr>
              <w:t>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38" w:type="pct"/>
            <w:vMerge w:val="continue"/>
            <w:tcBorders>
              <w:right w:val="single" w:color="auto" w:sz="4" w:space="0"/>
            </w:tcBorders>
            <w:vAlign w:val="center"/>
          </w:tcPr>
          <w:p>
            <w:pPr>
              <w:jc w:val="center"/>
              <w:rPr>
                <w:rFonts w:hint="default" w:ascii="Times New Roman" w:hAnsi="Times New Roman" w:eastAsia="宋体" w:cs="Times New Roman"/>
                <w:lang w:eastAsia="en-GB"/>
              </w:rPr>
            </w:pPr>
          </w:p>
        </w:tc>
        <w:tc>
          <w:tcPr>
            <w:tcW w:w="1075" w:type="pct"/>
            <w:tcBorders>
              <w:left w:val="single" w:color="auto" w:sz="4" w:space="0"/>
            </w:tcBorders>
            <w:vAlign w:val="center"/>
          </w:tcPr>
          <w:p>
            <w:pPr>
              <w:jc w:val="center"/>
              <w:rPr>
                <w:rFonts w:hint="default" w:ascii="Times New Roman" w:hAnsi="Times New Roman" w:eastAsia="宋体" w:cs="Times New Roman"/>
                <w:i/>
                <w:iCs/>
                <w:sz w:val="16"/>
                <w:szCs w:val="16"/>
                <w:lang w:eastAsia="en-GB"/>
              </w:rPr>
            </w:pPr>
            <w:r>
              <w:rPr>
                <w:bCs/>
                <w:i/>
                <w:iCs/>
                <w:sz w:val="15"/>
                <w:szCs w:val="15"/>
              </w:rPr>
              <w:t>λ</w:t>
            </w:r>
            <w:r>
              <w:rPr>
                <w:rFonts w:hint="eastAsia"/>
                <w:bCs/>
                <w:sz w:val="15"/>
                <w:szCs w:val="15"/>
                <w:vertAlign w:val="subscript"/>
              </w:rPr>
              <w:t>7</w:t>
            </w:r>
            <w:r>
              <w:rPr>
                <w:bCs/>
                <w:sz w:val="15"/>
                <w:szCs w:val="15"/>
                <w:vertAlign w:val="subscript"/>
              </w:rPr>
              <w:t>,</w:t>
            </w:r>
            <w:r>
              <w:rPr>
                <w:rFonts w:hint="eastAsia"/>
                <w:bCs/>
                <w:sz w:val="15"/>
                <w:szCs w:val="15"/>
                <w:vertAlign w:val="subscript"/>
              </w:rPr>
              <w:t>8</w:t>
            </w:r>
            <w:r>
              <w:rPr>
                <w:bCs/>
                <w:sz w:val="15"/>
                <w:szCs w:val="15"/>
                <w:vertAlign w:val="subscript"/>
              </w:rPr>
              <w:t xml:space="preserve"> </w:t>
            </w:r>
            <w:r>
              <w:rPr>
                <w:bCs/>
                <w:sz w:val="15"/>
                <w:szCs w:val="15"/>
              </w:rPr>
              <w:t>= -</w:t>
            </w:r>
            <w:r>
              <w:rPr>
                <w:rFonts w:hint="eastAsia"/>
                <w:bCs/>
                <w:sz w:val="15"/>
                <w:szCs w:val="15"/>
              </w:rPr>
              <w:t>1903.3</w:t>
            </w:r>
            <w:r>
              <w:rPr>
                <w:bCs/>
                <w:sz w:val="15"/>
                <w:szCs w:val="15"/>
              </w:rPr>
              <w:t xml:space="preserve"> ± j</w:t>
            </w:r>
            <w:r>
              <w:rPr>
                <w:rFonts w:hint="eastAsia"/>
                <w:bCs/>
                <w:sz w:val="15"/>
                <w:szCs w:val="15"/>
              </w:rPr>
              <w:t>21376</w:t>
            </w:r>
          </w:p>
        </w:tc>
        <w:tc>
          <w:tcPr>
            <w:tcW w:w="715" w:type="pct"/>
            <w:vAlign w:val="center"/>
          </w:tcPr>
          <w:p>
            <w:pPr>
              <w:jc w:val="center"/>
              <w:rPr>
                <w:rFonts w:hint="default" w:ascii="Times New Roman" w:hAnsi="Times New Roman" w:eastAsia="宋体" w:cs="Times New Roman"/>
                <w:sz w:val="16"/>
                <w:szCs w:val="16"/>
                <w:lang w:eastAsia="en-GB"/>
              </w:rPr>
            </w:pPr>
            <w:r>
              <w:rPr>
                <w:rFonts w:hint="eastAsia" w:cs="Times New Roman"/>
                <w:sz w:val="16"/>
                <w:szCs w:val="16"/>
                <w:lang w:val="en-US" w:eastAsia="zh-CN"/>
              </w:rPr>
              <w:t>3402</w:t>
            </w:r>
          </w:p>
        </w:tc>
        <w:tc>
          <w:tcPr>
            <w:tcW w:w="420" w:type="pct"/>
            <w:tcBorders>
              <w:right w:val="single" w:color="auto" w:sz="4" w:space="0"/>
            </w:tcBorders>
            <w:vAlign w:val="center"/>
          </w:tcPr>
          <w:p>
            <w:pPr>
              <w:jc w:val="center"/>
              <w:rPr>
                <w:rFonts w:hint="default" w:ascii="Times New Roman" w:hAnsi="Times New Roman" w:eastAsia="宋体" w:cs="Times New Roman"/>
                <w:sz w:val="16"/>
                <w:szCs w:val="16"/>
                <w:lang w:eastAsia="en-GB"/>
              </w:rPr>
            </w:pPr>
            <w:r>
              <w:rPr>
                <w:rFonts w:hint="eastAsia" w:cs="Times New Roman"/>
                <w:sz w:val="16"/>
                <w:szCs w:val="16"/>
                <w:lang w:val="en-US" w:eastAsia="zh-CN"/>
              </w:rPr>
              <w:t>0.09</w:t>
            </w:r>
          </w:p>
        </w:tc>
        <w:tc>
          <w:tcPr>
            <w:tcW w:w="947" w:type="pct"/>
            <w:tcBorders>
              <w:left w:val="single" w:color="auto" w:sz="4" w:space="0"/>
            </w:tcBorders>
            <w:vAlign w:val="center"/>
          </w:tcPr>
          <w:p>
            <w:pPr>
              <w:jc w:val="center"/>
              <w:rPr>
                <w:rFonts w:hint="default" w:ascii="Times New Roman" w:hAnsi="Times New Roman" w:eastAsia="宋体" w:cs="Times New Roman"/>
                <w:sz w:val="16"/>
                <w:szCs w:val="16"/>
                <w:lang w:eastAsia="en-GB"/>
              </w:rPr>
            </w:pPr>
            <w:r>
              <w:rPr>
                <w:bCs/>
                <w:i/>
                <w:iCs/>
                <w:sz w:val="15"/>
                <w:szCs w:val="15"/>
              </w:rPr>
              <w:t>λ</w:t>
            </w:r>
            <w:r>
              <w:rPr>
                <w:rFonts w:hint="eastAsia"/>
                <w:bCs/>
                <w:sz w:val="15"/>
                <w:szCs w:val="15"/>
                <w:vertAlign w:val="subscript"/>
              </w:rPr>
              <w:t>7</w:t>
            </w:r>
            <w:r>
              <w:rPr>
                <w:bCs/>
                <w:sz w:val="15"/>
                <w:szCs w:val="15"/>
                <w:vertAlign w:val="subscript"/>
              </w:rPr>
              <w:t>,</w:t>
            </w:r>
            <w:r>
              <w:rPr>
                <w:rFonts w:hint="eastAsia"/>
                <w:bCs/>
                <w:sz w:val="15"/>
                <w:szCs w:val="15"/>
                <w:vertAlign w:val="subscript"/>
              </w:rPr>
              <w:t>8</w:t>
            </w:r>
            <w:r>
              <w:rPr>
                <w:bCs/>
                <w:sz w:val="15"/>
                <w:szCs w:val="15"/>
                <w:vertAlign w:val="subscript"/>
              </w:rPr>
              <w:t xml:space="preserve"> </w:t>
            </w:r>
            <w:r>
              <w:rPr>
                <w:bCs/>
                <w:sz w:val="15"/>
                <w:szCs w:val="15"/>
              </w:rPr>
              <w:t>= -</w:t>
            </w:r>
            <w:r>
              <w:rPr>
                <w:rFonts w:hint="eastAsia"/>
                <w:bCs/>
                <w:sz w:val="15"/>
                <w:szCs w:val="15"/>
              </w:rPr>
              <w:t>1784.2</w:t>
            </w:r>
            <w:r>
              <w:rPr>
                <w:bCs/>
                <w:sz w:val="15"/>
                <w:szCs w:val="15"/>
              </w:rPr>
              <w:t xml:space="preserve"> ± j</w:t>
            </w:r>
            <w:r>
              <w:rPr>
                <w:rFonts w:hint="eastAsia"/>
                <w:bCs/>
                <w:sz w:val="15"/>
                <w:szCs w:val="15"/>
              </w:rPr>
              <w:t>25134</w:t>
            </w:r>
          </w:p>
        </w:tc>
        <w:tc>
          <w:tcPr>
            <w:tcW w:w="665" w:type="pct"/>
            <w:vAlign w:val="center"/>
          </w:tcPr>
          <w:p>
            <w:pPr>
              <w:jc w:val="center"/>
              <w:rPr>
                <w:rFonts w:hint="default" w:ascii="Times New Roman" w:hAnsi="Times New Roman" w:eastAsia="宋体" w:cs="Times New Roman"/>
                <w:sz w:val="16"/>
                <w:szCs w:val="16"/>
                <w:lang w:val="en-US" w:eastAsia="zh-CN"/>
              </w:rPr>
            </w:pPr>
            <w:r>
              <w:rPr>
                <w:rFonts w:hint="eastAsia" w:cs="Times New Roman"/>
                <w:sz w:val="16"/>
                <w:szCs w:val="16"/>
                <w:lang w:val="en-US" w:eastAsia="zh-CN"/>
              </w:rPr>
              <w:t>4000</w:t>
            </w:r>
          </w:p>
        </w:tc>
        <w:tc>
          <w:tcPr>
            <w:tcW w:w="638" w:type="pct"/>
            <w:vAlign w:val="center"/>
          </w:tcPr>
          <w:p>
            <w:pPr>
              <w:jc w:val="center"/>
              <w:rPr>
                <w:rFonts w:hint="default" w:ascii="Times New Roman" w:hAnsi="Times New Roman" w:eastAsia="宋体" w:cs="Times New Roman"/>
                <w:sz w:val="16"/>
                <w:szCs w:val="16"/>
                <w:lang w:val="en-US" w:eastAsia="zh-CN"/>
              </w:rPr>
            </w:pPr>
            <w:r>
              <w:rPr>
                <w:rFonts w:hint="eastAsia" w:cs="Times New Roman"/>
                <w:sz w:val="16"/>
                <w:szCs w:val="16"/>
                <w:lang w:val="en-US" w:eastAsia="zh-CN"/>
              </w:rPr>
              <w:t>0.07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38" w:type="pct"/>
            <w:vMerge w:val="continue"/>
            <w:tcBorders>
              <w:right w:val="single" w:color="auto" w:sz="4" w:space="0"/>
            </w:tcBorders>
            <w:vAlign w:val="center"/>
          </w:tcPr>
          <w:p>
            <w:pPr>
              <w:jc w:val="center"/>
              <w:rPr>
                <w:rFonts w:hint="default" w:ascii="Times New Roman" w:hAnsi="Times New Roman" w:eastAsia="宋体" w:cs="Times New Roman"/>
                <w:lang w:eastAsia="en-GB"/>
              </w:rPr>
            </w:pPr>
          </w:p>
        </w:tc>
        <w:tc>
          <w:tcPr>
            <w:tcW w:w="1075" w:type="pct"/>
            <w:tcBorders>
              <w:left w:val="single" w:color="auto" w:sz="4" w:space="0"/>
            </w:tcBorders>
            <w:vAlign w:val="center"/>
          </w:tcPr>
          <w:p>
            <w:pPr>
              <w:jc w:val="center"/>
              <w:rPr>
                <w:rFonts w:hint="default" w:ascii="Times New Roman" w:hAnsi="Times New Roman" w:eastAsia="宋体" w:cs="Times New Roman"/>
                <w:i/>
                <w:iCs/>
                <w:sz w:val="16"/>
                <w:szCs w:val="16"/>
                <w:lang w:eastAsia="en-GB"/>
              </w:rPr>
            </w:pPr>
            <w:r>
              <w:rPr>
                <w:bCs/>
                <w:i/>
                <w:iCs/>
                <w:sz w:val="15"/>
                <w:szCs w:val="15"/>
              </w:rPr>
              <w:t>λ</w:t>
            </w:r>
            <w:r>
              <w:rPr>
                <w:rFonts w:hint="eastAsia"/>
                <w:bCs/>
                <w:sz w:val="15"/>
                <w:szCs w:val="15"/>
                <w:vertAlign w:val="subscript"/>
              </w:rPr>
              <w:t>9</w:t>
            </w:r>
            <w:r>
              <w:rPr>
                <w:bCs/>
                <w:sz w:val="15"/>
                <w:szCs w:val="15"/>
                <w:vertAlign w:val="subscript"/>
              </w:rPr>
              <w:t xml:space="preserve"> </w:t>
            </w:r>
            <w:r>
              <w:rPr>
                <w:bCs/>
                <w:sz w:val="15"/>
                <w:szCs w:val="15"/>
              </w:rPr>
              <w:t xml:space="preserve">= </w:t>
            </w:r>
            <w:r>
              <w:rPr>
                <w:rFonts w:hint="eastAsia"/>
                <w:bCs/>
                <w:sz w:val="15"/>
                <w:szCs w:val="15"/>
              </w:rPr>
              <w:t>-190570</w:t>
            </w:r>
          </w:p>
        </w:tc>
        <w:tc>
          <w:tcPr>
            <w:tcW w:w="715" w:type="pct"/>
            <w:vAlign w:val="center"/>
          </w:tcPr>
          <w:p>
            <w:pPr>
              <w:jc w:val="center"/>
              <w:rPr>
                <w:rFonts w:hint="default" w:ascii="Times New Roman" w:hAnsi="Times New Roman" w:eastAsia="宋体" w:cs="Times New Roman"/>
                <w:sz w:val="16"/>
                <w:szCs w:val="16"/>
                <w:lang w:val="en-US" w:eastAsia="zh-CN" w:bidi="ar-SA"/>
              </w:rPr>
            </w:pPr>
            <w:r>
              <w:rPr>
                <w:rFonts w:hint="default" w:ascii="Times New Roman" w:hAnsi="Times New Roman" w:eastAsia="宋体" w:cs="Times New Roman"/>
                <w:sz w:val="16"/>
                <w:szCs w:val="16"/>
                <w:lang w:eastAsia="en-GB"/>
              </w:rPr>
              <w:t>/</w:t>
            </w:r>
          </w:p>
        </w:tc>
        <w:tc>
          <w:tcPr>
            <w:tcW w:w="420" w:type="pct"/>
            <w:tcBorders>
              <w:right w:val="single" w:color="auto" w:sz="4" w:space="0"/>
            </w:tcBorders>
            <w:vAlign w:val="center"/>
          </w:tcPr>
          <w:p>
            <w:pPr>
              <w:jc w:val="center"/>
              <w:rPr>
                <w:rFonts w:hint="default" w:ascii="Times New Roman" w:hAnsi="Times New Roman" w:eastAsia="宋体" w:cs="Times New Roman"/>
                <w:sz w:val="16"/>
                <w:szCs w:val="16"/>
                <w:lang w:val="en-US" w:eastAsia="zh-CN" w:bidi="ar-SA"/>
              </w:rPr>
            </w:pPr>
            <w:r>
              <w:rPr>
                <w:rFonts w:hint="default" w:ascii="Times New Roman" w:hAnsi="Times New Roman" w:eastAsia="宋体" w:cs="Times New Roman"/>
                <w:sz w:val="16"/>
                <w:szCs w:val="16"/>
                <w:lang w:eastAsia="en-GB"/>
              </w:rPr>
              <w:t>/</w:t>
            </w:r>
          </w:p>
        </w:tc>
        <w:tc>
          <w:tcPr>
            <w:tcW w:w="947" w:type="pct"/>
            <w:tcBorders>
              <w:left w:val="single" w:color="auto" w:sz="4" w:space="0"/>
            </w:tcBorders>
            <w:vAlign w:val="center"/>
          </w:tcPr>
          <w:p>
            <w:pPr>
              <w:jc w:val="center"/>
              <w:rPr>
                <w:rFonts w:hint="eastAsia" w:ascii="Times New Roman" w:hAnsi="Times New Roman" w:eastAsia="宋体" w:cs="Times New Roman"/>
                <w:sz w:val="16"/>
                <w:szCs w:val="16"/>
                <w:lang w:val="en-US" w:eastAsia="zh-CN"/>
              </w:rPr>
            </w:pPr>
          </w:p>
        </w:tc>
        <w:tc>
          <w:tcPr>
            <w:tcW w:w="665" w:type="pct"/>
            <w:vAlign w:val="center"/>
          </w:tcPr>
          <w:p>
            <w:pPr>
              <w:jc w:val="center"/>
              <w:rPr>
                <w:rFonts w:hint="default" w:ascii="Times New Roman" w:hAnsi="Times New Roman" w:eastAsia="宋体" w:cs="Times New Roman"/>
                <w:sz w:val="16"/>
                <w:szCs w:val="16"/>
                <w:lang w:val="en-US" w:eastAsia="en-GB"/>
              </w:rPr>
            </w:pPr>
          </w:p>
        </w:tc>
        <w:tc>
          <w:tcPr>
            <w:tcW w:w="638" w:type="pct"/>
            <w:vAlign w:val="center"/>
          </w:tcPr>
          <w:p>
            <w:pPr>
              <w:jc w:val="center"/>
              <w:rPr>
                <w:rFonts w:hint="default" w:ascii="Times New Roman" w:hAnsi="Times New Roman" w:eastAsia="宋体" w:cs="Times New Roman"/>
                <w:sz w:val="16"/>
                <w:szCs w:val="16"/>
                <w:lang w:val="en-US" w:eastAsia="en-GB"/>
              </w:rPr>
            </w:pPr>
          </w:p>
        </w:tc>
      </w:tr>
      <w:bookmarkEnd w:id="4"/>
    </w:tbl>
    <w:p>
      <w:pPr>
        <w:keepNext w:val="0"/>
        <w:keepLines w:val="0"/>
        <w:pageBreakBefore w:val="0"/>
        <w:widowControl/>
        <w:kinsoku/>
        <w:wordWrap/>
        <w:overflowPunct/>
        <w:topLinePunct w:val="0"/>
        <w:autoSpaceDE/>
        <w:autoSpaceDN/>
        <w:bidi w:val="0"/>
        <w:adjustRightInd/>
        <w:snapToGrid/>
        <w:jc w:val="center"/>
        <w:textAlignment w:val="auto"/>
        <w:rPr>
          <w:rFonts w:hint="eastAsia" w:eastAsia="黑体"/>
          <w:b/>
          <w:bCs/>
          <w:i/>
          <w:iCs/>
          <w:sz w:val="20"/>
          <w:szCs w:val="20"/>
        </w:rPr>
        <w:sectPr>
          <w:type w:val="continuous"/>
          <w:pgSz w:w="11906" w:h="16838"/>
          <w:pgMar w:top="1440" w:right="1080" w:bottom="1440" w:left="1080" w:header="851" w:footer="992" w:gutter="0"/>
          <w:cols w:space="425" w:num="1"/>
          <w:docGrid w:type="lines" w:linePitch="312" w:charSpace="0"/>
        </w:sectPr>
      </w:pPr>
    </w:p>
    <w:p>
      <w:pPr>
        <w:ind w:firstLine="400"/>
        <w:jc w:val="both"/>
        <w:rPr>
          <w:rFonts w:hint="default" w:ascii="Times New Roman" w:hAnsi="Times New Roman" w:cs="Times New Roman"/>
          <w:color w:val="000000" w:themeColor="text1"/>
          <w:sz w:val="20"/>
          <w:szCs w:val="20"/>
          <w:lang w:val="en-US"/>
          <w14:textFill>
            <w14:solidFill>
              <w14:schemeClr w14:val="tx1"/>
            </w14:solidFill>
          </w14:textFill>
        </w:rPr>
      </w:pPr>
      <w:r>
        <w:rPr>
          <w:rFonts w:hint="default" w:ascii="Times New Roman" w:hAnsi="Times New Roman" w:cs="Times New Roman"/>
          <w:color w:val="000000" w:themeColor="text1"/>
          <w:sz w:val="20"/>
          <w:szCs w:val="20"/>
          <w14:textFill>
            <w14:solidFill>
              <w14:schemeClr w14:val="tx1"/>
            </w14:solidFill>
          </w14:textFill>
        </w:rPr>
        <w:t xml:space="preserve">As shown in Table </w:t>
      </w:r>
      <w:r>
        <w:rPr>
          <w:rFonts w:hint="eastAsia" w:cs="Times New Roman"/>
          <w:color w:val="000000" w:themeColor="text1"/>
          <w:sz w:val="20"/>
          <w:szCs w:val="20"/>
          <w:lang w:val="en-US" w:eastAsia="zh-CN"/>
          <w14:textFill>
            <w14:solidFill>
              <w14:schemeClr w14:val="tx1"/>
            </w14:solidFill>
          </w14:textFill>
        </w:rPr>
        <w:t>7</w:t>
      </w:r>
      <w:r>
        <w:rPr>
          <w:rFonts w:hint="default" w:ascii="Times New Roman" w:hAnsi="Times New Roman" w:cs="Times New Roman"/>
          <w:color w:val="000000" w:themeColor="text1"/>
          <w:sz w:val="20"/>
          <w:szCs w:val="20"/>
          <w14:textFill>
            <w14:solidFill>
              <w14:schemeClr w14:val="tx1"/>
            </w14:solidFill>
          </w14:textFill>
        </w:rPr>
        <w:t>, the original system exhibits two pairs of series–parallel resonance points at 781Hz, 1157Hz, 3426Hz, and 4010Hz, where the corresponding damping ratios (</w:t>
      </w:r>
      <w:r>
        <w:rPr>
          <w:rFonts w:hint="default" w:ascii="Times New Roman" w:hAnsi="Times New Roman" w:cs="Times New Roman"/>
          <w:i/>
          <w:iCs/>
          <w:color w:val="000000" w:themeColor="text1"/>
          <w:sz w:val="20"/>
          <w:szCs w:val="20"/>
          <w14:textFill>
            <w14:solidFill>
              <w14:schemeClr w14:val="tx1"/>
            </w14:solidFill>
          </w14:textFill>
        </w:rPr>
        <w:t>ξ</w:t>
      </w:r>
      <w:r>
        <w:rPr>
          <w:rFonts w:hint="default" w:ascii="Times New Roman" w:hAnsi="Times New Roman" w:cs="Times New Roman"/>
          <w:color w:val="000000" w:themeColor="text1"/>
          <w:sz w:val="20"/>
          <w:szCs w:val="20"/>
          <w14:textFill>
            <w14:solidFill>
              <w14:schemeClr w14:val="tx1"/>
            </w14:solidFill>
          </w14:textFill>
        </w:rPr>
        <w:t xml:space="preserve">) are relatively low. After the damping device is connected in parallel, the system’s resonant frequencies shift to 799 Hz, 1196 Hz, 3402 Hz, and 4000 Hz, which are all even harmonics. The corresponding </w:t>
      </w:r>
      <w:r>
        <w:rPr>
          <w:rFonts w:hint="default" w:ascii="Times New Roman" w:hAnsi="Times New Roman" w:cs="Times New Roman"/>
          <w:i/>
          <w:iCs/>
          <w:color w:val="000000" w:themeColor="text1"/>
          <w:sz w:val="20"/>
          <w:szCs w:val="20"/>
          <w14:textFill>
            <w14:solidFill>
              <w14:schemeClr w14:val="tx1"/>
            </w14:solidFill>
          </w14:textFill>
        </w:rPr>
        <w:t>ξ</w:t>
      </w:r>
      <w:r>
        <w:rPr>
          <w:rFonts w:hint="default" w:ascii="Times New Roman" w:hAnsi="Times New Roman" w:cs="Times New Roman"/>
          <w:color w:val="000000" w:themeColor="text1"/>
          <w:sz w:val="20"/>
          <w:szCs w:val="20"/>
          <w14:textFill>
            <w14:solidFill>
              <w14:schemeClr w14:val="tx1"/>
            </w14:solidFill>
          </w14:textFill>
        </w:rPr>
        <w:t xml:space="preserve"> values increase significantly compared with those of the original system, consistent with the results in Fig</w:t>
      </w:r>
      <w:r>
        <w:rPr>
          <w:rFonts w:hint="eastAsia" w:ascii="Times New Roman" w:hAnsi="Times New Roman" w:cs="Times New Roman"/>
          <w:color w:val="000000" w:themeColor="text1"/>
          <w:sz w:val="20"/>
          <w:szCs w:val="20"/>
          <w:lang w:val="en-US" w:eastAsia="zh-CN"/>
          <w14:textFill>
            <w14:solidFill>
              <w14:schemeClr w14:val="tx1"/>
            </w14:solidFill>
          </w14:textFill>
        </w:rPr>
        <w:t>.</w:t>
      </w:r>
      <w:r>
        <w:rPr>
          <w:rFonts w:hint="default" w:ascii="Times New Roman" w:hAnsi="Times New Roman" w:cs="Times New Roman"/>
          <w:color w:val="000000" w:themeColor="text1"/>
          <w:sz w:val="20"/>
          <w:szCs w:val="20"/>
          <w14:textFill>
            <w14:solidFill>
              <w14:schemeClr w14:val="tx1"/>
            </w14:solidFill>
          </w14:textFill>
        </w:rPr>
        <w:t xml:space="preserve"> </w:t>
      </w:r>
      <w:r>
        <w:rPr>
          <w:rFonts w:hint="eastAsia" w:cs="Times New Roman"/>
          <w:color w:val="000000" w:themeColor="text1"/>
          <w:sz w:val="20"/>
          <w:szCs w:val="20"/>
          <w:lang w:val="en-US" w:eastAsia="zh-CN"/>
          <w14:textFill>
            <w14:solidFill>
              <w14:schemeClr w14:val="tx1"/>
            </w14:solidFill>
          </w14:textFill>
        </w:rPr>
        <w:t>7</w:t>
      </w:r>
      <w:r>
        <w:rPr>
          <w:rFonts w:hint="default" w:ascii="Times New Roman" w:hAnsi="Times New Roman" w:cs="Times New Roman"/>
          <w:color w:val="000000" w:themeColor="text1"/>
          <w:sz w:val="20"/>
          <w:szCs w:val="20"/>
          <w14:textFill>
            <w14:solidFill>
              <w14:schemeClr w14:val="tx1"/>
            </w14:solidFill>
          </w14:textFill>
        </w:rPr>
        <w:t xml:space="preserve"> and confirming the effectiveness of the proposed method and algorithm.</w:t>
      </w:r>
    </w:p>
    <w:p>
      <w:pPr>
        <w:pStyle w:val="40"/>
        <w:rPr>
          <w:color w:val="000000" w:themeColor="text1"/>
          <w14:textFill>
            <w14:solidFill>
              <w14:schemeClr w14:val="tx1"/>
            </w14:solidFill>
          </w14:textFill>
        </w:rPr>
      </w:pPr>
      <w:r>
        <w:rPr>
          <w:rFonts w:hint="eastAsia"/>
          <w:color w:val="000000" w:themeColor="text1"/>
          <w14:textFill>
            <w14:solidFill>
              <w14:schemeClr w14:val="tx1"/>
            </w14:solidFill>
          </w14:textFill>
        </w:rPr>
        <w:t>Verification of Conclusions</w:t>
      </w:r>
    </w:p>
    <w:p>
      <w:pPr>
        <w:pStyle w:val="44"/>
        <w:numPr>
          <w:ilvl w:val="1"/>
          <w:numId w:val="4"/>
        </w:numPr>
        <w:rPr>
          <w:color w:val="000000" w:themeColor="text1"/>
          <w:lang w:val="en-US"/>
          <w14:textFill>
            <w14:solidFill>
              <w14:schemeClr w14:val="tx1"/>
            </w14:solidFill>
          </w14:textFill>
        </w:rPr>
      </w:pPr>
      <w:bookmarkStart w:id="5" w:name="_Hlk209085918"/>
      <w:r>
        <w:rPr>
          <w:color w:val="000000" w:themeColor="text1"/>
          <w:lang w:val="en-US"/>
          <w14:textFill>
            <w14:solidFill>
              <w14:schemeClr w14:val="tx1"/>
            </w14:solidFill>
          </w14:textFill>
        </w:rPr>
        <w:t>Simulation Verification</w:t>
      </w:r>
      <w:bookmarkEnd w:id="5"/>
    </w:p>
    <w:p>
      <w:pPr>
        <w:pStyle w:val="44"/>
        <w:numPr>
          <w:ilvl w:val="0"/>
          <w:numId w:val="0"/>
        </w:numPr>
        <w:ind w:left="360"/>
        <w:rPr>
          <w:rFonts w:hint="eastAsia"/>
          <w:color w:val="000000" w:themeColor="text1"/>
          <w:lang w:val="en-US"/>
          <w14:textFill>
            <w14:solidFill>
              <w14:schemeClr w14:val="tx1"/>
            </w14:solidFill>
          </w14:textFill>
        </w:rPr>
      </w:pPr>
      <w:bookmarkStart w:id="6" w:name="_Hlk209086115"/>
      <w:r>
        <w:rPr>
          <w:rFonts w:hint="eastAsia"/>
          <w:color w:val="000000" w:themeColor="text1"/>
          <w:lang w:val="en-US"/>
          <w14:textFill>
            <w14:solidFill>
              <w14:schemeClr w14:val="tx1"/>
            </w14:solidFill>
          </w14:textFill>
        </w:rPr>
        <w:t xml:space="preserve">5.1.1 </w:t>
      </w:r>
      <w:r>
        <w:rPr>
          <w:color w:val="000000" w:themeColor="text1"/>
          <w14:textFill>
            <w14:solidFill>
              <w14:schemeClr w14:val="tx1"/>
            </w14:solidFill>
          </w14:textFill>
        </w:rPr>
        <w:t>Operating Characteristics of the Original System Under Harmonic Disturbances</w:t>
      </w:r>
    </w:p>
    <w:bookmarkEnd w:id="6"/>
    <w:p>
      <w:pPr>
        <w:ind w:firstLine="400"/>
        <w:jc w:val="both"/>
        <w:rPr>
          <w:rFonts w:hint="default" w:ascii="Times New Roman" w:hAnsi="Times New Roman" w:eastAsia="宋体" w:cs="Times New Roman"/>
          <w:color w:val="000000" w:themeColor="text1"/>
          <w:sz w:val="20"/>
          <w:szCs w:val="20"/>
          <w:lang w:val="en-US" w:eastAsia="zh-CN"/>
          <w14:textFill>
            <w14:solidFill>
              <w14:schemeClr w14:val="tx1"/>
            </w14:solidFill>
          </w14:textFill>
        </w:rPr>
      </w:pPr>
      <w:r>
        <w:rPr>
          <w:rFonts w:hint="default" w:ascii="Times New Roman" w:hAnsi="Times New Roman" w:cs="Times New Roman"/>
          <w:color w:val="000000" w:themeColor="text1"/>
          <w:sz w:val="20"/>
          <w:szCs w:val="20"/>
          <w:lang w:val="en-US" w:eastAsia="zh-CN"/>
          <w14:textFill>
            <w14:solidFill>
              <w14:schemeClr w14:val="tx1"/>
            </w14:solidFill>
          </w14:textFill>
        </w:rPr>
        <w:t xml:space="preserve">The </w:t>
      </w:r>
      <w:r>
        <w:rPr>
          <w:rFonts w:hint="eastAsia" w:cs="Times New Roman"/>
          <w:color w:val="000000" w:themeColor="text1"/>
          <w:sz w:val="20"/>
          <w:szCs w:val="20"/>
          <w:lang w:val="en-US" w:eastAsia="zh-CN"/>
          <w14:textFill>
            <w14:solidFill>
              <w14:schemeClr w14:val="tx1"/>
            </w14:solidFill>
          </w14:textFill>
        </w:rPr>
        <w:t>two GCIs</w:t>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 system shown in Fig. 2 was modeled in MATLAB/Simulink, and the corresponding parameter settings are provided in </w:t>
      </w:r>
      <w:r>
        <w:rPr>
          <w:rFonts w:hint="eastAsia" w:cs="Times New Roman"/>
          <w:color w:val="000000" w:themeColor="text1"/>
          <w:sz w:val="20"/>
          <w:szCs w:val="20"/>
          <w:lang w:val="en-US" w:eastAsia="zh-CN"/>
          <w14:textFill>
            <w14:solidFill>
              <w14:schemeClr w14:val="tx1"/>
            </w14:solidFill>
          </w14:textFill>
        </w:rPr>
        <w:t>Table</w:t>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 1. As indicated in Table </w:t>
      </w:r>
      <w:r>
        <w:rPr>
          <w:rFonts w:hint="eastAsia" w:cs="Times New Roman"/>
          <w:color w:val="000000" w:themeColor="text1"/>
          <w:sz w:val="20"/>
          <w:szCs w:val="20"/>
          <w:lang w:val="en-US" w:eastAsia="zh-CN"/>
          <w14:textFill>
            <w14:solidFill>
              <w14:schemeClr w14:val="tx1"/>
            </w14:solidFill>
          </w14:textFill>
        </w:rPr>
        <w:t>7</w:t>
      </w:r>
      <w:r>
        <w:rPr>
          <w:rFonts w:hint="default" w:ascii="Times New Roman" w:hAnsi="Times New Roman" w:cs="Times New Roman"/>
          <w:color w:val="000000" w:themeColor="text1"/>
          <w:sz w:val="20"/>
          <w:szCs w:val="20"/>
          <w:lang w:val="en-US" w:eastAsia="zh-CN"/>
          <w14:textFill>
            <w14:solidFill>
              <w14:schemeClr w14:val="tx1"/>
            </w14:solidFill>
          </w14:textFill>
        </w:rPr>
        <w:t>, the original system exhibits two pairs of series–parallel resonance points: parallel resonances occur at 781 Hz and 3426 Hz, while series resonances appear at 1157 Hz and 4010 Hz. These findings are verified in the following section.</w:t>
      </w:r>
    </w:p>
    <w:p>
      <w:pPr>
        <w:ind w:firstLine="400"/>
        <w:jc w:val="both"/>
        <w:rPr>
          <w:spacing w:val="6"/>
          <w:kern w:val="20"/>
          <w:sz w:val="20"/>
          <w:lang w:val="en-US"/>
        </w:rPr>
      </w:pPr>
      <w:r>
        <w:rPr>
          <w:rFonts w:hint="eastAsia"/>
          <w:color w:val="000000" w:themeColor="text1"/>
          <w:sz w:val="20"/>
          <w:szCs w:val="20"/>
          <w14:textFill>
            <w14:solidFill>
              <w14:schemeClr w14:val="tx1"/>
            </w14:solidFill>
          </w14:textFill>
        </w:rPr>
        <w:t>A parallel harmonic current source was applied at node 3 of the system in Fig. 2. The harmonic current amplitude was set to 2% of the rated grid current, with frequencies of 781 Hz and 3426 Hz, respectively. The simulation duration was 0.5 s. Fig</w:t>
      </w:r>
      <w:r>
        <w:rPr>
          <w:rFonts w:hint="eastAsia"/>
          <w:color w:val="000000" w:themeColor="text1"/>
          <w:sz w:val="20"/>
          <w:szCs w:val="20"/>
          <w:lang w:val="en-US" w:eastAsia="zh-CN"/>
          <w14:textFill>
            <w14:solidFill>
              <w14:schemeClr w14:val="tx1"/>
            </w14:solidFill>
          </w14:textFill>
        </w:rPr>
        <w:t>.</w:t>
      </w:r>
      <w:r>
        <w:rPr>
          <w:rFonts w:hint="eastAsia"/>
          <w:color w:val="000000" w:themeColor="text1"/>
          <w:sz w:val="20"/>
          <w:szCs w:val="20"/>
          <w14:textFill>
            <w14:solidFill>
              <w14:schemeClr w14:val="tx1"/>
            </w14:solidFill>
          </w14:textFill>
        </w:rPr>
        <w:t xml:space="preserve"> </w:t>
      </w:r>
      <w:r>
        <w:rPr>
          <w:rFonts w:hint="eastAsia"/>
          <w:color w:val="000000" w:themeColor="text1"/>
          <w:sz w:val="20"/>
          <w:szCs w:val="20"/>
          <w:lang w:val="en-US" w:eastAsia="zh-CN"/>
          <w14:textFill>
            <w14:solidFill>
              <w14:schemeClr w14:val="tx1"/>
            </w14:solidFill>
          </w14:textFill>
        </w:rPr>
        <w:t>8</w:t>
      </w:r>
      <w:r>
        <w:rPr>
          <w:rFonts w:hint="eastAsia"/>
          <w:color w:val="000000" w:themeColor="text1"/>
          <w:sz w:val="20"/>
          <w:szCs w:val="20"/>
          <w14:textFill>
            <w14:solidFill>
              <w14:schemeClr w14:val="tx1"/>
            </w14:solidFill>
          </w14:textFill>
        </w:rPr>
        <w:t xml:space="preserve"> presents the voltage waveforms and FFT spectra of </w:t>
      </w:r>
      <w:r>
        <w:rPr>
          <w:rFonts w:hint="eastAsia"/>
          <w:i/>
          <w:iCs/>
          <w:color w:val="000000" w:themeColor="text1"/>
          <w:sz w:val="20"/>
          <w:szCs w:val="20"/>
          <w14:textFill>
            <w14:solidFill>
              <w14:schemeClr w14:val="tx1"/>
            </w14:solidFill>
          </w14:textFill>
        </w:rPr>
        <w:t>u</w:t>
      </w:r>
      <w:r>
        <w:rPr>
          <w:rFonts w:hint="eastAsia"/>
          <w:i/>
          <w:iCs/>
          <w:color w:val="000000" w:themeColor="text1"/>
          <w:sz w:val="20"/>
          <w:szCs w:val="20"/>
          <w:vertAlign w:val="subscript"/>
          <w14:textFill>
            <w14:solidFill>
              <w14:schemeClr w14:val="tx1"/>
            </w14:solidFill>
          </w14:textFill>
        </w:rPr>
        <w:t>C</w:t>
      </w:r>
      <w:r>
        <w:rPr>
          <w:rFonts w:hint="eastAsia"/>
          <w:color w:val="000000" w:themeColor="text1"/>
          <w:sz w:val="20"/>
          <w:szCs w:val="20"/>
          <w:vertAlign w:val="subscript"/>
          <w14:textFill>
            <w14:solidFill>
              <w14:schemeClr w14:val="tx1"/>
            </w14:solidFill>
          </w14:textFill>
        </w:rPr>
        <w:t>1</w:t>
      </w:r>
      <w:r>
        <w:rPr>
          <w:rFonts w:hint="eastAsia"/>
          <w:color w:val="000000" w:themeColor="text1"/>
          <w:sz w:val="20"/>
          <w:szCs w:val="20"/>
          <w14:textFill>
            <w14:solidFill>
              <w14:schemeClr w14:val="tx1"/>
            </w14:solidFill>
          </w14:textFill>
        </w:rPr>
        <w:t xml:space="preserve"> at node 1, </w:t>
      </w:r>
      <w:r>
        <w:rPr>
          <w:rFonts w:hint="eastAsia"/>
          <w:i/>
          <w:iCs/>
          <w:color w:val="000000" w:themeColor="text1"/>
          <w:sz w:val="20"/>
          <w:szCs w:val="20"/>
          <w14:textFill>
            <w14:solidFill>
              <w14:schemeClr w14:val="tx1"/>
            </w14:solidFill>
          </w14:textFill>
        </w:rPr>
        <w:t>u</w:t>
      </w:r>
      <w:r>
        <w:rPr>
          <w:rFonts w:hint="eastAsia"/>
          <w:i/>
          <w:iCs/>
          <w:color w:val="000000" w:themeColor="text1"/>
          <w:sz w:val="20"/>
          <w:szCs w:val="20"/>
          <w:vertAlign w:val="subscript"/>
          <w14:textFill>
            <w14:solidFill>
              <w14:schemeClr w14:val="tx1"/>
            </w14:solidFill>
          </w14:textFill>
        </w:rPr>
        <w:t>C</w:t>
      </w:r>
      <w:r>
        <w:rPr>
          <w:rFonts w:hint="eastAsia"/>
          <w:color w:val="000000" w:themeColor="text1"/>
          <w:sz w:val="20"/>
          <w:szCs w:val="20"/>
          <w:vertAlign w:val="subscript"/>
          <w14:textFill>
            <w14:solidFill>
              <w14:schemeClr w14:val="tx1"/>
            </w14:solidFill>
          </w14:textFill>
        </w:rPr>
        <w:t xml:space="preserve">2 </w:t>
      </w:r>
      <w:r>
        <w:rPr>
          <w:rFonts w:hint="eastAsia"/>
          <w:color w:val="000000" w:themeColor="text1"/>
          <w:sz w:val="20"/>
          <w:szCs w:val="20"/>
          <w14:textFill>
            <w14:solidFill>
              <w14:schemeClr w14:val="tx1"/>
            </w14:solidFill>
          </w14:textFill>
        </w:rPr>
        <w:t xml:space="preserve">at node 2, and </w:t>
      </w:r>
      <w:r>
        <w:rPr>
          <w:rFonts w:hint="eastAsia"/>
          <w:i/>
          <w:iCs/>
          <w:color w:val="000000" w:themeColor="text1"/>
          <w:sz w:val="20"/>
          <w:szCs w:val="20"/>
          <w14:textFill>
            <w14:solidFill>
              <w14:schemeClr w14:val="tx1"/>
            </w14:solidFill>
          </w14:textFill>
        </w:rPr>
        <w:t>u</w:t>
      </w:r>
      <w:r>
        <w:rPr>
          <w:rFonts w:hint="eastAsia"/>
          <w:color w:val="000000" w:themeColor="text1"/>
          <w:sz w:val="20"/>
          <w:szCs w:val="20"/>
          <w:vertAlign w:val="subscript"/>
          <w14:textFill>
            <w14:solidFill>
              <w14:schemeClr w14:val="tx1"/>
            </w14:solidFill>
          </w14:textFill>
        </w:rPr>
        <w:t>PCC</w:t>
      </w:r>
      <w:r>
        <w:rPr>
          <w:rFonts w:hint="eastAsia"/>
          <w:color w:val="000000" w:themeColor="text1"/>
          <w:sz w:val="20"/>
          <w:szCs w:val="20"/>
          <w14:textFill>
            <w14:solidFill>
              <w14:schemeClr w14:val="tx1"/>
            </w14:solidFill>
          </w14:textFill>
        </w:rPr>
        <w:t xml:space="preserve"> at node 3.</w:t>
      </w:r>
    </w:p>
    <w:p>
      <w:pPr>
        <w:jc w:val="center"/>
        <w:rPr>
          <w:spacing w:val="6"/>
          <w:kern w:val="20"/>
          <w:sz w:val="20"/>
          <w:lang w:val="en-US"/>
        </w:rPr>
      </w:pPr>
      <w:r>
        <w:rPr>
          <w:spacing w:val="6"/>
          <w:kern w:val="20"/>
          <w:sz w:val="20"/>
          <w:lang w:val="en-US"/>
        </w:rPr>
        <w:object>
          <v:shape id="_x0000_i1041" o:spt="75" type="#_x0000_t75" style="height:185.25pt;width:232.8pt;" o:ole="t" filled="f" o:preferrelative="t" stroked="f" coordsize="21600,21600">
            <v:path/>
            <v:fill on="f" focussize="0,0"/>
            <v:stroke on="f"/>
            <v:imagedata r:id="rId49" o:title=""/>
            <o:lock v:ext="edit" aspectratio="f"/>
            <w10:wrap type="none"/>
            <w10:anchorlock/>
          </v:shape>
          <o:OLEObject Type="Embed" ProgID="Visio.Drawing.15" ShapeID="_x0000_i1041" DrawAspect="Content" ObjectID="_1468075741" r:id="rId48">
            <o:LockedField>false</o:LockedField>
          </o:OLEObject>
        </w:object>
      </w:r>
    </w:p>
    <w:p>
      <w:pPr>
        <w:jc w:val="center"/>
        <w:rPr>
          <w:i/>
          <w:iCs/>
          <w:color w:val="000000" w:themeColor="text1"/>
          <w:sz w:val="20"/>
          <w:szCs w:val="20"/>
          <w:lang w:val="en-US"/>
          <w14:textFill>
            <w14:solidFill>
              <w14:schemeClr w14:val="tx1"/>
            </w14:solidFill>
          </w14:textFill>
        </w:rPr>
      </w:pPr>
      <w:r>
        <w:rPr>
          <w:rFonts w:hint="eastAsia"/>
          <w:b/>
          <w:bCs/>
          <w:i/>
          <w:iCs/>
          <w:color w:val="000000" w:themeColor="text1"/>
          <w:sz w:val="20"/>
          <w:szCs w:val="20"/>
          <w:lang w:val="en-US"/>
          <w14:textFill>
            <w14:solidFill>
              <w14:schemeClr w14:val="tx1"/>
            </w14:solidFill>
          </w14:textFill>
        </w:rPr>
        <w:t>F</w:t>
      </w:r>
      <w:r>
        <w:rPr>
          <w:b/>
          <w:bCs/>
          <w:i/>
          <w:iCs/>
          <w:color w:val="000000" w:themeColor="text1"/>
          <w:sz w:val="20"/>
          <w:szCs w:val="20"/>
          <w:lang w:val="en-US"/>
          <w14:textFill>
            <w14:solidFill>
              <w14:schemeClr w14:val="tx1"/>
            </w14:solidFill>
          </w14:textFill>
        </w:rPr>
        <w:t xml:space="preserve">ig. </w:t>
      </w:r>
      <w:r>
        <w:rPr>
          <w:rFonts w:hint="eastAsia"/>
          <w:b/>
          <w:bCs/>
          <w:i/>
          <w:iCs/>
          <w:color w:val="000000" w:themeColor="text1"/>
          <w:sz w:val="20"/>
          <w:szCs w:val="20"/>
          <w:lang w:val="en-US" w:eastAsia="zh-CN"/>
          <w14:textFill>
            <w14:solidFill>
              <w14:schemeClr w14:val="tx1"/>
            </w14:solidFill>
          </w14:textFill>
        </w:rPr>
        <w:t>8</w:t>
      </w:r>
      <w:r>
        <w:rPr>
          <w:rFonts w:hint="eastAsia"/>
          <w:b/>
          <w:bCs/>
          <w:i/>
          <w:iCs/>
          <w:color w:val="000000" w:themeColor="text1"/>
          <w:sz w:val="20"/>
          <w:szCs w:val="20"/>
          <w:lang w:val="en-US"/>
          <w14:textFill>
            <w14:solidFill>
              <w14:schemeClr w14:val="tx1"/>
            </w14:solidFill>
          </w14:textFill>
        </w:rPr>
        <w:t xml:space="preserve"> </w:t>
      </w:r>
      <w:r>
        <w:rPr>
          <w:rFonts w:hint="eastAsia"/>
          <w:i/>
          <w:iCs/>
          <w:color w:val="000000" w:themeColor="text1"/>
          <w:sz w:val="20"/>
          <w:szCs w:val="20"/>
          <w14:textFill>
            <w14:solidFill>
              <w14:schemeClr w14:val="tx1"/>
            </w14:solidFill>
          </w14:textFill>
        </w:rPr>
        <w:t>Node voltage waveforms and FFT spectra under harmonic current disturbance</w:t>
      </w:r>
    </w:p>
    <w:p>
      <w:pPr>
        <w:ind w:firstLine="400"/>
        <w:jc w:val="both"/>
        <w:rPr>
          <w:rFonts w:hint="default" w:ascii="Times New Roman" w:hAnsi="Times New Roman" w:cs="Times New Roman"/>
          <w:color w:val="000000" w:themeColor="text1"/>
          <w:sz w:val="20"/>
          <w:szCs w:val="20"/>
          <w14:textFill>
            <w14:solidFill>
              <w14:schemeClr w14:val="tx1"/>
            </w14:solidFill>
          </w14:textFill>
        </w:rPr>
      </w:pPr>
      <w:r>
        <w:rPr>
          <w:rFonts w:hint="default" w:ascii="Times New Roman" w:hAnsi="Times New Roman" w:cs="Times New Roman"/>
          <w:color w:val="000000" w:themeColor="text1"/>
          <w:sz w:val="20"/>
          <w:szCs w:val="20"/>
          <w14:textFill>
            <w14:solidFill>
              <w14:schemeClr w14:val="tx1"/>
            </w14:solidFill>
          </w14:textFill>
        </w:rPr>
        <w:t>As illustrated in Fig</w:t>
      </w:r>
      <w:r>
        <w:rPr>
          <w:rFonts w:hint="default" w:ascii="Times New Roman" w:hAnsi="Times New Roman" w:cs="Times New Roman"/>
          <w:color w:val="000000" w:themeColor="text1"/>
          <w:sz w:val="20"/>
          <w:szCs w:val="20"/>
          <w:lang w:val="en-US" w:eastAsia="zh-CN"/>
          <w14:textFill>
            <w14:solidFill>
              <w14:schemeClr w14:val="tx1"/>
            </w14:solidFill>
          </w14:textFill>
        </w:rPr>
        <w:t>.</w:t>
      </w:r>
      <w:r>
        <w:rPr>
          <w:rFonts w:hint="default" w:ascii="Times New Roman" w:hAnsi="Times New Roman" w:cs="Times New Roman"/>
          <w:color w:val="000000" w:themeColor="text1"/>
          <w:sz w:val="20"/>
          <w:szCs w:val="20"/>
          <w14:textFill>
            <w14:solidFill>
              <w14:schemeClr w14:val="tx1"/>
            </w14:solidFill>
          </w14:textFill>
        </w:rPr>
        <w:t xml:space="preserve"> </w:t>
      </w:r>
      <w:r>
        <w:rPr>
          <w:rFonts w:hint="eastAsia" w:cs="Times New Roman"/>
          <w:color w:val="000000" w:themeColor="text1"/>
          <w:sz w:val="20"/>
          <w:szCs w:val="20"/>
          <w:lang w:val="en-US" w:eastAsia="zh-CN"/>
          <w14:textFill>
            <w14:solidFill>
              <w14:schemeClr w14:val="tx1"/>
            </w14:solidFill>
          </w14:textFill>
        </w:rPr>
        <w:t>8</w:t>
      </w:r>
      <w:r>
        <w:rPr>
          <w:rFonts w:hint="default" w:ascii="Times New Roman" w:hAnsi="Times New Roman" w:cs="Times New Roman"/>
          <w:color w:val="000000" w:themeColor="text1"/>
          <w:sz w:val="20"/>
          <w:szCs w:val="20"/>
          <w14:textFill>
            <w14:solidFill>
              <w14:schemeClr w14:val="tx1"/>
            </w14:solidFill>
          </w14:textFill>
        </w:rPr>
        <w:t>, when background harmonic currents are present in the grid and their frequencies coincide with the system’s parallel resonance points, the voltage waveforms at each node exhibit noticeable distortion. In particular, the 15</w:t>
      </w:r>
      <w:r>
        <w:rPr>
          <w:rFonts w:hint="default" w:ascii="Times New Roman" w:hAnsi="Times New Roman" w:cs="Times New Roman"/>
          <w:color w:val="000000" w:themeColor="text1"/>
          <w:sz w:val="20"/>
          <w:szCs w:val="20"/>
          <w:vertAlign w:val="superscript"/>
          <w14:textFill>
            <w14:solidFill>
              <w14:schemeClr w14:val="tx1"/>
            </w14:solidFill>
          </w14:textFill>
        </w:rPr>
        <w:t>th</w:t>
      </w:r>
      <w:r>
        <w:rPr>
          <w:rFonts w:hint="default" w:ascii="Times New Roman" w:hAnsi="Times New Roman" w:cs="Times New Roman"/>
          <w:color w:val="000000" w:themeColor="text1"/>
          <w:sz w:val="20"/>
          <w:szCs w:val="20"/>
          <w14:textFill>
            <w14:solidFill>
              <w14:schemeClr w14:val="tx1"/>
            </w14:solidFill>
          </w14:textFill>
        </w:rPr>
        <w:t xml:space="preserve"> harmonic in the </w:t>
      </w:r>
      <w:r>
        <w:rPr>
          <w:rFonts w:hint="default" w:ascii="Times New Roman" w:hAnsi="Times New Roman" w:cs="Times New Roman"/>
          <w:i/>
          <w:iCs/>
          <w:color w:val="000000" w:themeColor="text1"/>
          <w:sz w:val="20"/>
          <w:szCs w:val="20"/>
          <w14:textFill>
            <w14:solidFill>
              <w14:schemeClr w14:val="tx1"/>
            </w14:solidFill>
          </w14:textFill>
        </w:rPr>
        <w:t>u</w:t>
      </w:r>
      <w:r>
        <w:rPr>
          <w:rFonts w:hint="default" w:ascii="Times New Roman" w:hAnsi="Times New Roman" w:cs="Times New Roman"/>
          <w:i/>
          <w:iCs/>
          <w:color w:val="000000" w:themeColor="text1"/>
          <w:sz w:val="20"/>
          <w:szCs w:val="20"/>
          <w:vertAlign w:val="subscript"/>
          <w14:textFill>
            <w14:solidFill>
              <w14:schemeClr w14:val="tx1"/>
            </w14:solidFill>
          </w14:textFill>
        </w:rPr>
        <w:t>C</w:t>
      </w:r>
      <w:r>
        <w:rPr>
          <w:rFonts w:hint="default" w:ascii="Times New Roman" w:hAnsi="Times New Roman" w:cs="Times New Roman"/>
          <w:color w:val="000000" w:themeColor="text1"/>
          <w:sz w:val="20"/>
          <w:szCs w:val="20"/>
          <w:vertAlign w:val="subscript"/>
          <w14:textFill>
            <w14:solidFill>
              <w14:schemeClr w14:val="tx1"/>
            </w14:solidFill>
          </w14:textFill>
        </w:rPr>
        <w:t>1</w:t>
      </w:r>
      <w:r>
        <w:rPr>
          <w:rFonts w:hint="default" w:ascii="Times New Roman" w:hAnsi="Times New Roman" w:cs="Times New Roman"/>
          <w:color w:val="000000" w:themeColor="text1"/>
          <w:sz w:val="20"/>
          <w:szCs w:val="20"/>
          <w14:textFill>
            <w14:solidFill>
              <w14:schemeClr w14:val="tx1"/>
            </w14:solidFill>
          </w14:textFill>
        </w:rPr>
        <w:t xml:space="preserve"> waveform and the 69</w:t>
      </w:r>
      <w:r>
        <w:rPr>
          <w:rFonts w:hint="default" w:ascii="Times New Roman" w:hAnsi="Times New Roman" w:cs="Times New Roman"/>
          <w:color w:val="000000" w:themeColor="text1"/>
          <w:sz w:val="20"/>
          <w:szCs w:val="20"/>
          <w:vertAlign w:val="superscript"/>
          <w14:textFill>
            <w14:solidFill>
              <w14:schemeClr w14:val="tx1"/>
            </w14:solidFill>
          </w14:textFill>
        </w:rPr>
        <w:t>th</w:t>
      </w:r>
      <w:r>
        <w:rPr>
          <w:rFonts w:hint="default" w:ascii="Times New Roman" w:hAnsi="Times New Roman" w:cs="Times New Roman"/>
          <w:color w:val="000000" w:themeColor="text1"/>
          <w:sz w:val="20"/>
          <w:szCs w:val="20"/>
          <w14:textFill>
            <w14:solidFill>
              <w14:schemeClr w14:val="tx1"/>
            </w14:solidFill>
          </w14:textFill>
        </w:rPr>
        <w:t xml:space="preserve"> harmonic in the </w:t>
      </w:r>
      <w:r>
        <w:rPr>
          <w:rFonts w:hint="default" w:ascii="Times New Roman" w:hAnsi="Times New Roman" w:cs="Times New Roman"/>
          <w:i/>
          <w:iCs/>
          <w:color w:val="000000" w:themeColor="text1"/>
          <w:sz w:val="20"/>
          <w:szCs w:val="20"/>
          <w14:textFill>
            <w14:solidFill>
              <w14:schemeClr w14:val="tx1"/>
            </w14:solidFill>
          </w14:textFill>
        </w:rPr>
        <w:t>u</w:t>
      </w:r>
      <w:r>
        <w:rPr>
          <w:rFonts w:hint="default" w:ascii="Times New Roman" w:hAnsi="Times New Roman" w:cs="Times New Roman"/>
          <w:i/>
          <w:iCs/>
          <w:color w:val="000000" w:themeColor="text1"/>
          <w:sz w:val="20"/>
          <w:szCs w:val="20"/>
          <w:vertAlign w:val="subscript"/>
          <w14:textFill>
            <w14:solidFill>
              <w14:schemeClr w14:val="tx1"/>
            </w14:solidFill>
          </w14:textFill>
        </w:rPr>
        <w:t>C</w:t>
      </w:r>
      <w:r>
        <w:rPr>
          <w:rFonts w:hint="default" w:ascii="Times New Roman" w:hAnsi="Times New Roman" w:cs="Times New Roman"/>
          <w:color w:val="000000" w:themeColor="text1"/>
          <w:sz w:val="20"/>
          <w:szCs w:val="20"/>
          <w:vertAlign w:val="subscript"/>
          <w14:textFill>
            <w14:solidFill>
              <w14:schemeClr w14:val="tx1"/>
            </w14:solidFill>
          </w14:textFill>
        </w:rPr>
        <w:t>2</w:t>
      </w:r>
      <w:r>
        <w:rPr>
          <w:rFonts w:hint="default" w:ascii="Times New Roman" w:hAnsi="Times New Roman" w:cs="Times New Roman"/>
          <w:color w:val="000000" w:themeColor="text1"/>
          <w:sz w:val="20"/>
          <w:szCs w:val="20"/>
          <w14:textFill>
            <w14:solidFill>
              <w14:schemeClr w14:val="tx1"/>
            </w14:solidFill>
          </w14:textFill>
        </w:rPr>
        <w:t xml:space="preserve"> waveform are significantly amplified, while both harmonics are simultaneously amplified in </w:t>
      </w:r>
      <w:r>
        <w:rPr>
          <w:rFonts w:hint="default" w:ascii="Times New Roman" w:hAnsi="Times New Roman" w:cs="Times New Roman"/>
          <w:i/>
          <w:iCs/>
          <w:color w:val="000000" w:themeColor="text1"/>
          <w:sz w:val="20"/>
          <w:szCs w:val="20"/>
          <w14:textFill>
            <w14:solidFill>
              <w14:schemeClr w14:val="tx1"/>
            </w14:solidFill>
          </w14:textFill>
        </w:rPr>
        <w:t>u</w:t>
      </w:r>
      <w:r>
        <w:rPr>
          <w:rFonts w:hint="default" w:ascii="Times New Roman" w:hAnsi="Times New Roman" w:cs="Times New Roman"/>
          <w:color w:val="000000" w:themeColor="text1"/>
          <w:sz w:val="20"/>
          <w:szCs w:val="20"/>
          <w:vertAlign w:val="subscript"/>
          <w14:textFill>
            <w14:solidFill>
              <w14:schemeClr w14:val="tx1"/>
            </w14:solidFill>
          </w14:textFill>
        </w:rPr>
        <w:t>PCC</w:t>
      </w:r>
      <w:r>
        <w:rPr>
          <w:rFonts w:hint="default" w:ascii="Times New Roman" w:hAnsi="Times New Roman" w:cs="Times New Roman"/>
          <w:color w:val="000000" w:themeColor="text1"/>
          <w:sz w:val="20"/>
          <w:szCs w:val="20"/>
          <w14:textFill>
            <w14:solidFill>
              <w14:schemeClr w14:val="tx1"/>
            </w14:solidFill>
          </w14:textFill>
        </w:rPr>
        <w:t xml:space="preserve">. These results agree well with the modal analysis findings in Table </w:t>
      </w:r>
      <w:r>
        <w:rPr>
          <w:rFonts w:hint="eastAsia" w:cs="Times New Roman"/>
          <w:color w:val="000000" w:themeColor="text1"/>
          <w:sz w:val="20"/>
          <w:szCs w:val="20"/>
          <w:lang w:val="en-US" w:eastAsia="zh-CN"/>
          <w14:textFill>
            <w14:solidFill>
              <w14:schemeClr w14:val="tx1"/>
            </w14:solidFill>
          </w14:textFill>
        </w:rPr>
        <w:t>2</w:t>
      </w:r>
      <w:r>
        <w:rPr>
          <w:rFonts w:hint="default" w:ascii="Times New Roman" w:hAnsi="Times New Roman" w:cs="Times New Roman"/>
          <w:color w:val="000000" w:themeColor="text1"/>
          <w:sz w:val="20"/>
          <w:szCs w:val="20"/>
          <w14:textFill>
            <w14:solidFill>
              <w14:schemeClr w14:val="tx1"/>
            </w14:solidFill>
          </w14:textFill>
        </w:rPr>
        <w:t xml:space="preserve">, indicating that the oscillation modes are most easily excited and observed at nodes with the largest participation factors. Consequently, the voltage waveforms at each node experience severe distortion, exceeding the harmonic limits required for </w:t>
      </w:r>
      <w:r>
        <w:rPr>
          <w:rFonts w:hint="eastAsia" w:ascii="Times New Roman" w:hAnsi="Times New Roman" w:cs="Times New Roman"/>
          <w:color w:val="000000" w:themeColor="text1"/>
          <w:sz w:val="20"/>
          <w:szCs w:val="20"/>
          <w:lang w:val="en-US" w:eastAsia="zh-CN"/>
          <w14:textFill>
            <w14:solidFill>
              <w14:schemeClr w14:val="tx1"/>
            </w14:solidFill>
          </w14:textFill>
        </w:rPr>
        <w:t>GCI</w:t>
      </w:r>
      <w:r>
        <w:rPr>
          <w:rFonts w:hint="default" w:ascii="Times New Roman" w:hAnsi="Times New Roman" w:cs="Times New Roman"/>
          <w:color w:val="000000" w:themeColor="text1"/>
          <w:sz w:val="20"/>
          <w:szCs w:val="20"/>
          <w14:textFill>
            <w14:solidFill>
              <w14:schemeClr w14:val="tx1"/>
            </w14:solidFill>
          </w14:textFill>
        </w:rPr>
        <w:t xml:space="preserve"> systems.</w:t>
      </w:r>
    </w:p>
    <w:p>
      <w:pPr>
        <w:ind w:firstLine="400"/>
        <w:jc w:val="both"/>
        <w:rPr>
          <w:spacing w:val="6"/>
          <w:kern w:val="20"/>
          <w:sz w:val="20"/>
          <w:lang w:val="en-US"/>
        </w:rPr>
      </w:pPr>
      <w:r>
        <w:rPr>
          <w:rFonts w:hint="default" w:ascii="Times New Roman" w:hAnsi="Times New Roman" w:cs="Times New Roman"/>
          <w:color w:val="000000" w:themeColor="text1"/>
          <w:sz w:val="20"/>
          <w:szCs w:val="20"/>
          <w:lang w:val="en-US"/>
          <w14:textFill>
            <w14:solidFill>
              <w14:schemeClr w14:val="tx1"/>
            </w14:solidFill>
          </w14:textFill>
        </w:rPr>
        <w:t xml:space="preserve">A series harmonic voltage source was </w:t>
      </w:r>
      <w:r>
        <w:rPr>
          <w:rFonts w:hint="eastAsia"/>
          <w:color w:val="000000" w:themeColor="text1"/>
          <w:sz w:val="20"/>
          <w:szCs w:val="20"/>
          <w14:textFill>
            <w14:solidFill>
              <w14:schemeClr w14:val="tx1"/>
            </w14:solidFill>
          </w14:textFill>
        </w:rPr>
        <w:t>applied</w:t>
      </w:r>
      <w:r>
        <w:rPr>
          <w:rFonts w:hint="default" w:ascii="Times New Roman" w:hAnsi="Times New Roman" w:cs="Times New Roman"/>
          <w:color w:val="000000" w:themeColor="text1"/>
          <w:sz w:val="20"/>
          <w:szCs w:val="20"/>
          <w:lang w:val="en-US"/>
          <w14:textFill>
            <w14:solidFill>
              <w14:schemeClr w14:val="tx1"/>
            </w14:solidFill>
          </w14:textFill>
        </w:rPr>
        <w:t xml:space="preserve"> to the grid, with an amplitude equal to 2% of the rated grid voltage. The harmonic frequencies were set to</w:t>
      </w:r>
      <w:r>
        <w:rPr>
          <w:rFonts w:hint="eastAsia" w:ascii="Times New Roman" w:hAnsi="Times New Roman" w:cs="Times New Roman"/>
          <w:color w:val="000000" w:themeColor="text1"/>
          <w:sz w:val="20"/>
          <w:szCs w:val="20"/>
          <w:lang w:val="en-US" w:eastAsia="zh-CN"/>
          <w14:textFill>
            <w14:solidFill>
              <w14:schemeClr w14:val="tx1"/>
            </w14:solidFill>
          </w14:textFill>
        </w:rPr>
        <w:t xml:space="preserve"> </w:t>
      </w:r>
      <w:r>
        <w:rPr>
          <w:rFonts w:hint="default" w:ascii="Times New Roman" w:hAnsi="Times New Roman" w:cs="Times New Roman"/>
          <w:color w:val="000000" w:themeColor="text1"/>
          <w:sz w:val="20"/>
          <w:szCs w:val="20"/>
          <w:lang w:val="en-US"/>
          <w14:textFill>
            <w14:solidFill>
              <w14:schemeClr w14:val="tx1"/>
            </w14:solidFill>
          </w14:textFill>
        </w:rPr>
        <w:t xml:space="preserve">1157Hz and 4010Hz, respectively, and the simulation </w:t>
      </w:r>
      <w:r>
        <w:rPr>
          <w:rFonts w:hint="eastAsia"/>
          <w:color w:val="000000" w:themeColor="text1"/>
          <w:sz w:val="20"/>
          <w:szCs w:val="20"/>
          <w14:textFill>
            <w14:solidFill>
              <w14:schemeClr w14:val="tx1"/>
            </w14:solidFill>
          </w14:textFill>
        </w:rPr>
        <w:t>duration</w:t>
      </w:r>
      <w:r>
        <w:rPr>
          <w:rFonts w:hint="default" w:ascii="Times New Roman" w:hAnsi="Times New Roman" w:cs="Times New Roman"/>
          <w:color w:val="000000" w:themeColor="text1"/>
          <w:sz w:val="20"/>
          <w:szCs w:val="20"/>
          <w:lang w:val="en-US"/>
          <w14:textFill>
            <w14:solidFill>
              <w14:schemeClr w14:val="tx1"/>
            </w14:solidFill>
          </w14:textFill>
        </w:rPr>
        <w:t xml:space="preserve"> was 0.5 s. Fig</w:t>
      </w:r>
      <w:r>
        <w:rPr>
          <w:rFonts w:hint="eastAsia" w:ascii="Times New Roman" w:hAnsi="Times New Roman" w:cs="Times New Roman"/>
          <w:color w:val="000000" w:themeColor="text1"/>
          <w:sz w:val="20"/>
          <w:szCs w:val="20"/>
          <w:lang w:val="en-US" w:eastAsia="zh-CN"/>
          <w14:textFill>
            <w14:solidFill>
              <w14:schemeClr w14:val="tx1"/>
            </w14:solidFill>
          </w14:textFill>
        </w:rPr>
        <w:t>.</w:t>
      </w:r>
      <w:r>
        <w:rPr>
          <w:rFonts w:hint="default" w:ascii="Times New Roman" w:hAnsi="Times New Roman" w:cs="Times New Roman"/>
          <w:color w:val="000000" w:themeColor="text1"/>
          <w:sz w:val="20"/>
          <w:szCs w:val="20"/>
          <w:lang w:val="en-US"/>
          <w14:textFill>
            <w14:solidFill>
              <w14:schemeClr w14:val="tx1"/>
            </w14:solidFill>
          </w14:textFill>
        </w:rPr>
        <w:t xml:space="preserve"> </w:t>
      </w:r>
      <w:r>
        <w:rPr>
          <w:rFonts w:hint="eastAsia" w:cs="Times New Roman"/>
          <w:color w:val="000000" w:themeColor="text1"/>
          <w:sz w:val="20"/>
          <w:szCs w:val="20"/>
          <w:lang w:val="en-US" w:eastAsia="zh-CN"/>
          <w14:textFill>
            <w14:solidFill>
              <w14:schemeClr w14:val="tx1"/>
            </w14:solidFill>
          </w14:textFill>
        </w:rPr>
        <w:t>9</w:t>
      </w:r>
      <w:r>
        <w:rPr>
          <w:rFonts w:hint="default" w:ascii="Times New Roman" w:hAnsi="Times New Roman" w:cs="Times New Roman"/>
          <w:color w:val="000000" w:themeColor="text1"/>
          <w:sz w:val="20"/>
          <w:szCs w:val="20"/>
          <w:lang w:val="en-US"/>
          <w14:textFill>
            <w14:solidFill>
              <w14:schemeClr w14:val="tx1"/>
            </w14:solidFill>
          </w14:textFill>
        </w:rPr>
        <w:t xml:space="preserve"> presents the waveforms and FFT spectra of the grid currents </w:t>
      </w:r>
      <w:r>
        <w:rPr>
          <w:rFonts w:hint="eastAsia" w:ascii="Times New Roman" w:hAnsi="Times New Roman" w:cs="Times New Roman"/>
          <w:i/>
          <w:iCs/>
          <w:color w:val="000000" w:themeColor="text1"/>
          <w:sz w:val="20"/>
          <w:szCs w:val="20"/>
          <w:lang w:val="en-US" w:eastAsia="zh-CN"/>
          <w14:textFill>
            <w14:solidFill>
              <w14:schemeClr w14:val="tx1"/>
            </w14:solidFill>
          </w14:textFill>
        </w:rPr>
        <w:t>i</w:t>
      </w:r>
      <w:r>
        <w:rPr>
          <w:rFonts w:hint="eastAsia" w:ascii="Times New Roman" w:hAnsi="Times New Roman" w:cs="Times New Roman"/>
          <w:color w:val="000000" w:themeColor="text1"/>
          <w:sz w:val="20"/>
          <w:szCs w:val="20"/>
          <w:vertAlign w:val="subscript"/>
          <w:lang w:val="en-US" w:eastAsia="zh-CN"/>
          <w14:textFill>
            <w14:solidFill>
              <w14:schemeClr w14:val="tx1"/>
            </w14:solidFill>
          </w14:textFill>
        </w:rPr>
        <w:t>g1</w:t>
      </w:r>
      <w:r>
        <w:rPr>
          <w:rFonts w:hint="default" w:ascii="Times New Roman" w:hAnsi="Times New Roman" w:cs="Times New Roman"/>
          <w:color w:val="000000" w:themeColor="text1"/>
          <w:sz w:val="20"/>
          <w:szCs w:val="20"/>
          <w:lang w:val="en-US"/>
          <w14:textFill>
            <w14:solidFill>
              <w14:schemeClr w14:val="tx1"/>
            </w14:solidFill>
          </w14:textFill>
        </w:rPr>
        <w:t xml:space="preserve"> </w:t>
      </w:r>
      <w:r>
        <w:rPr>
          <w:rFonts w:hint="eastAsia" w:ascii="Times New Roman" w:hAnsi="Times New Roman" w:cs="Times New Roman"/>
          <w:color w:val="000000" w:themeColor="text1"/>
          <w:sz w:val="20"/>
          <w:szCs w:val="20"/>
          <w:lang w:val="en-US" w:eastAsia="zh-CN"/>
          <w14:textFill>
            <w14:solidFill>
              <w14:schemeClr w14:val="tx1"/>
            </w14:solidFill>
          </w14:textFill>
        </w:rPr>
        <w:t>of</w:t>
      </w:r>
      <w:r>
        <w:rPr>
          <w:rFonts w:hint="default" w:ascii="Times New Roman" w:hAnsi="Times New Roman" w:cs="Times New Roman"/>
          <w:color w:val="000000" w:themeColor="text1"/>
          <w:sz w:val="20"/>
          <w:szCs w:val="20"/>
          <w:lang w:val="en-US"/>
          <w14:textFill>
            <w14:solidFill>
              <w14:schemeClr w14:val="tx1"/>
            </w14:solidFill>
          </w14:textFill>
        </w:rPr>
        <w:t xml:space="preserve"> inverter 1, </w:t>
      </w:r>
      <w:r>
        <w:rPr>
          <w:rFonts w:hint="eastAsia" w:ascii="Times New Roman" w:hAnsi="Times New Roman" w:cs="Times New Roman"/>
          <w:i/>
          <w:iCs/>
          <w:color w:val="000000" w:themeColor="text1"/>
          <w:sz w:val="20"/>
          <w:szCs w:val="20"/>
          <w:lang w:val="en-US" w:eastAsia="zh-CN"/>
          <w14:textFill>
            <w14:solidFill>
              <w14:schemeClr w14:val="tx1"/>
            </w14:solidFill>
          </w14:textFill>
        </w:rPr>
        <w:t>i</w:t>
      </w:r>
      <w:r>
        <w:rPr>
          <w:rFonts w:hint="eastAsia" w:ascii="Times New Roman" w:hAnsi="Times New Roman" w:cs="Times New Roman"/>
          <w:color w:val="000000" w:themeColor="text1"/>
          <w:sz w:val="20"/>
          <w:szCs w:val="20"/>
          <w:vertAlign w:val="subscript"/>
          <w:lang w:val="en-US" w:eastAsia="zh-CN"/>
          <w14:textFill>
            <w14:solidFill>
              <w14:schemeClr w14:val="tx1"/>
            </w14:solidFill>
          </w14:textFill>
        </w:rPr>
        <w:t>g2</w:t>
      </w:r>
      <w:r>
        <w:rPr>
          <w:rFonts w:hint="default" w:ascii="Times New Roman" w:hAnsi="Times New Roman" w:cs="Times New Roman"/>
          <w:color w:val="000000" w:themeColor="text1"/>
          <w:sz w:val="20"/>
          <w:szCs w:val="20"/>
          <w:lang w:val="en-US"/>
          <w14:textFill>
            <w14:solidFill>
              <w14:schemeClr w14:val="tx1"/>
            </w14:solidFill>
          </w14:textFill>
        </w:rPr>
        <w:t xml:space="preserve"> </w:t>
      </w:r>
      <w:r>
        <w:rPr>
          <w:rFonts w:hint="eastAsia" w:ascii="Times New Roman" w:hAnsi="Times New Roman" w:cs="Times New Roman"/>
          <w:color w:val="000000" w:themeColor="text1"/>
          <w:sz w:val="20"/>
          <w:szCs w:val="20"/>
          <w:lang w:val="en-US" w:eastAsia="zh-CN"/>
          <w14:textFill>
            <w14:solidFill>
              <w14:schemeClr w14:val="tx1"/>
            </w14:solidFill>
          </w14:textFill>
        </w:rPr>
        <w:t>of</w:t>
      </w:r>
      <w:r>
        <w:rPr>
          <w:rFonts w:hint="default" w:ascii="Times New Roman" w:hAnsi="Times New Roman" w:cs="Times New Roman"/>
          <w:color w:val="000000" w:themeColor="text1"/>
          <w:sz w:val="20"/>
          <w:szCs w:val="20"/>
          <w:lang w:val="en-US"/>
          <w14:textFill>
            <w14:solidFill>
              <w14:schemeClr w14:val="tx1"/>
            </w14:solidFill>
          </w14:textFill>
        </w:rPr>
        <w:t xml:space="preserve"> inverter 2, and the total grid current </w:t>
      </w:r>
      <w:r>
        <w:rPr>
          <w:rFonts w:hint="eastAsia" w:ascii="Times New Roman" w:hAnsi="Times New Roman" w:cs="Times New Roman"/>
          <w:i/>
          <w:iCs/>
          <w:color w:val="000000" w:themeColor="text1"/>
          <w:sz w:val="20"/>
          <w:szCs w:val="20"/>
          <w:lang w:val="en-US" w:eastAsia="zh-CN"/>
          <w14:textFill>
            <w14:solidFill>
              <w14:schemeClr w14:val="tx1"/>
            </w14:solidFill>
          </w14:textFill>
        </w:rPr>
        <w:t>i</w:t>
      </w:r>
      <w:r>
        <w:rPr>
          <w:rFonts w:hint="eastAsia" w:ascii="Times New Roman" w:hAnsi="Times New Roman" w:cs="Times New Roman"/>
          <w:color w:val="000000" w:themeColor="text1"/>
          <w:sz w:val="20"/>
          <w:szCs w:val="20"/>
          <w:vertAlign w:val="subscript"/>
          <w:lang w:val="en-US" w:eastAsia="zh-CN"/>
          <w14:textFill>
            <w14:solidFill>
              <w14:schemeClr w14:val="tx1"/>
            </w14:solidFill>
          </w14:textFill>
        </w:rPr>
        <w:t>g</w:t>
      </w:r>
      <w:r>
        <w:rPr>
          <w:rFonts w:hint="default" w:ascii="Times New Roman" w:hAnsi="Times New Roman" w:cs="Times New Roman"/>
          <w:color w:val="000000" w:themeColor="text1"/>
          <w:sz w:val="20"/>
          <w:szCs w:val="20"/>
          <w:lang w:val="en-US"/>
          <w14:textFill>
            <w14:solidFill>
              <w14:schemeClr w14:val="tx1"/>
            </w14:solidFill>
          </w14:textFill>
        </w:rPr>
        <w:t>.</w:t>
      </w:r>
    </w:p>
    <w:p>
      <w:pPr>
        <w:jc w:val="center"/>
        <w:rPr>
          <w:spacing w:val="6"/>
          <w:kern w:val="20"/>
          <w:sz w:val="20"/>
          <w:lang w:val="en-US"/>
        </w:rPr>
      </w:pPr>
      <w:r>
        <w:rPr>
          <w:spacing w:val="6"/>
          <w:kern w:val="20"/>
          <w:sz w:val="20"/>
          <w:lang w:val="en-US"/>
        </w:rPr>
        <w:object>
          <v:shape id="_x0000_i1042" o:spt="75" type="#_x0000_t75" style="height:187.15pt;width:232.8pt;" o:ole="t" filled="f" o:preferrelative="t" stroked="f" coordsize="21600,21600">
            <v:path/>
            <v:fill on="f" focussize="0,0"/>
            <v:stroke on="f"/>
            <v:imagedata r:id="rId51" o:title=""/>
            <o:lock v:ext="edit" aspectratio="f"/>
            <w10:wrap type="none"/>
            <w10:anchorlock/>
          </v:shape>
          <o:OLEObject Type="Embed" ProgID="Visio.Drawing.15" ShapeID="_x0000_i1042" DrawAspect="Content" ObjectID="_1468075742" r:id="rId50">
            <o:LockedField>false</o:LockedField>
          </o:OLEObject>
        </w:object>
      </w:r>
    </w:p>
    <w:p>
      <w:pPr>
        <w:jc w:val="center"/>
        <w:rPr>
          <w:i/>
          <w:iCs/>
          <w:color w:val="000000" w:themeColor="text1"/>
          <w:sz w:val="20"/>
          <w:szCs w:val="20"/>
          <w:lang w:val="en-US"/>
          <w14:textFill>
            <w14:solidFill>
              <w14:schemeClr w14:val="tx1"/>
            </w14:solidFill>
          </w14:textFill>
        </w:rPr>
      </w:pPr>
      <w:bookmarkStart w:id="7" w:name="_Hlk209086678"/>
      <w:r>
        <w:rPr>
          <w:rFonts w:hint="eastAsia"/>
          <w:b/>
          <w:bCs/>
          <w:i/>
          <w:iCs/>
          <w:color w:val="000000" w:themeColor="text1"/>
          <w:sz w:val="20"/>
          <w:szCs w:val="20"/>
          <w:lang w:val="en-US"/>
          <w14:textFill>
            <w14:solidFill>
              <w14:schemeClr w14:val="tx1"/>
            </w14:solidFill>
          </w14:textFill>
        </w:rPr>
        <w:t>F</w:t>
      </w:r>
      <w:r>
        <w:rPr>
          <w:b/>
          <w:bCs/>
          <w:i/>
          <w:iCs/>
          <w:color w:val="000000" w:themeColor="text1"/>
          <w:sz w:val="20"/>
          <w:szCs w:val="20"/>
          <w:lang w:val="en-US"/>
          <w14:textFill>
            <w14:solidFill>
              <w14:schemeClr w14:val="tx1"/>
            </w14:solidFill>
          </w14:textFill>
        </w:rPr>
        <w:t xml:space="preserve">ig. </w:t>
      </w:r>
      <w:bookmarkEnd w:id="7"/>
      <w:r>
        <w:rPr>
          <w:rFonts w:hint="eastAsia"/>
          <w:b/>
          <w:bCs/>
          <w:i/>
          <w:iCs/>
          <w:color w:val="000000" w:themeColor="text1"/>
          <w:sz w:val="20"/>
          <w:szCs w:val="20"/>
          <w:lang w:val="en-US" w:eastAsia="zh-CN"/>
          <w14:textFill>
            <w14:solidFill>
              <w14:schemeClr w14:val="tx1"/>
            </w14:solidFill>
          </w14:textFill>
        </w:rPr>
        <w:t>9</w:t>
      </w:r>
      <w:r>
        <w:rPr>
          <w:i/>
          <w:iCs/>
          <w:color w:val="000000" w:themeColor="text1"/>
          <w:sz w:val="20"/>
          <w:szCs w:val="20"/>
          <w:lang w:val="en-US"/>
          <w14:textFill>
            <w14:solidFill>
              <w14:schemeClr w14:val="tx1"/>
            </w14:solidFill>
          </w14:textFill>
        </w:rPr>
        <w:t xml:space="preserve"> </w:t>
      </w:r>
      <w:r>
        <w:rPr>
          <w:rFonts w:hint="eastAsia"/>
          <w:i/>
          <w:iCs/>
          <w:spacing w:val="6"/>
          <w:kern w:val="20"/>
          <w:sz w:val="20"/>
          <w:lang w:val="en-US"/>
        </w:rPr>
        <w:t>Branch current waveforms and FFT spectra under harmonic voltage disturbance</w:t>
      </w:r>
    </w:p>
    <w:p>
      <w:pPr>
        <w:ind w:firstLine="400"/>
        <w:jc w:val="both"/>
        <w:rPr>
          <w:rFonts w:hint="eastAsia"/>
          <w:color w:val="000000" w:themeColor="text1"/>
          <w:sz w:val="20"/>
          <w:szCs w:val="20"/>
          <w14:textFill>
            <w14:solidFill>
              <w14:schemeClr w14:val="tx1"/>
            </w14:solidFill>
          </w14:textFill>
        </w:rPr>
      </w:pPr>
      <w:r>
        <w:rPr>
          <w:rFonts w:hint="default" w:ascii="Times New Roman" w:hAnsi="Times New Roman" w:cs="Times New Roman"/>
          <w:color w:val="000000" w:themeColor="text1"/>
          <w:sz w:val="20"/>
          <w:szCs w:val="20"/>
          <w14:textFill>
            <w14:solidFill>
              <w14:schemeClr w14:val="tx1"/>
            </w14:solidFill>
          </w14:textFill>
        </w:rPr>
        <w:t>As shown in Fig</w:t>
      </w:r>
      <w:r>
        <w:rPr>
          <w:rFonts w:hint="default" w:ascii="Times New Roman" w:hAnsi="Times New Roman" w:cs="Times New Roman"/>
          <w:color w:val="000000" w:themeColor="text1"/>
          <w:sz w:val="20"/>
          <w:szCs w:val="20"/>
          <w:lang w:val="en-US" w:eastAsia="zh-CN"/>
          <w14:textFill>
            <w14:solidFill>
              <w14:schemeClr w14:val="tx1"/>
            </w14:solidFill>
          </w14:textFill>
        </w:rPr>
        <w:t>.</w:t>
      </w:r>
      <w:r>
        <w:rPr>
          <w:rFonts w:hint="default" w:ascii="Times New Roman" w:hAnsi="Times New Roman" w:cs="Times New Roman"/>
          <w:color w:val="000000" w:themeColor="text1"/>
          <w:sz w:val="20"/>
          <w:szCs w:val="20"/>
          <w14:textFill>
            <w14:solidFill>
              <w14:schemeClr w14:val="tx1"/>
            </w14:solidFill>
          </w14:textFill>
        </w:rPr>
        <w:t xml:space="preserve"> </w:t>
      </w:r>
      <w:r>
        <w:rPr>
          <w:rFonts w:hint="eastAsia" w:cs="Times New Roman"/>
          <w:color w:val="000000" w:themeColor="text1"/>
          <w:sz w:val="20"/>
          <w:szCs w:val="20"/>
          <w:lang w:val="en-US" w:eastAsia="zh-CN"/>
          <w14:textFill>
            <w14:solidFill>
              <w14:schemeClr w14:val="tx1"/>
            </w14:solidFill>
          </w14:textFill>
        </w:rPr>
        <w:t>9</w:t>
      </w:r>
      <w:r>
        <w:rPr>
          <w:rFonts w:hint="default" w:ascii="Times New Roman" w:hAnsi="Times New Roman" w:cs="Times New Roman"/>
          <w:color w:val="000000" w:themeColor="text1"/>
          <w:sz w:val="20"/>
          <w:szCs w:val="20"/>
          <w14:textFill>
            <w14:solidFill>
              <w14:schemeClr w14:val="tx1"/>
            </w14:solidFill>
          </w14:textFill>
        </w:rPr>
        <w:t>, when background harmonic voltages are present in the grid and their frequencies coincide with the system’s series resonance points, the current waveforms in each branch exhibit noticeable distortion. In particular, the 23</w:t>
      </w:r>
      <w:r>
        <w:rPr>
          <w:rFonts w:hint="default" w:ascii="Times New Roman" w:hAnsi="Times New Roman" w:cs="Times New Roman"/>
          <w:color w:val="000000" w:themeColor="text1"/>
          <w:sz w:val="20"/>
          <w:szCs w:val="20"/>
          <w:vertAlign w:val="superscript"/>
          <w14:textFill>
            <w14:solidFill>
              <w14:schemeClr w14:val="tx1"/>
            </w14:solidFill>
          </w14:textFill>
        </w:rPr>
        <w:t>rd</w:t>
      </w:r>
      <w:r>
        <w:rPr>
          <w:rFonts w:hint="default" w:ascii="Times New Roman" w:hAnsi="Times New Roman" w:cs="Times New Roman"/>
          <w:color w:val="000000" w:themeColor="text1"/>
          <w:sz w:val="20"/>
          <w:szCs w:val="20"/>
          <w14:textFill>
            <w14:solidFill>
              <w14:schemeClr w14:val="tx1"/>
            </w14:solidFill>
          </w14:textFill>
        </w:rPr>
        <w:t xml:space="preserve"> harmonic in </w:t>
      </w:r>
      <w:r>
        <w:rPr>
          <w:rFonts w:hint="eastAsia" w:ascii="Times New Roman" w:hAnsi="Times New Roman" w:cs="Times New Roman"/>
          <w:i/>
          <w:iCs/>
          <w:color w:val="000000" w:themeColor="text1"/>
          <w:sz w:val="20"/>
          <w:szCs w:val="20"/>
          <w:lang w:val="en-US" w:eastAsia="zh-CN"/>
          <w14:textFill>
            <w14:solidFill>
              <w14:schemeClr w14:val="tx1"/>
            </w14:solidFill>
          </w14:textFill>
        </w:rPr>
        <w:t>i</w:t>
      </w:r>
      <w:r>
        <w:rPr>
          <w:rFonts w:hint="eastAsia"/>
          <w:color w:val="000000" w:themeColor="text1"/>
          <w:sz w:val="20"/>
          <w:szCs w:val="20"/>
          <w:vertAlign w:val="subscript"/>
          <w:lang w:val="en-US" w:eastAsia="zh-CN"/>
          <w14:textFill>
            <w14:solidFill>
              <w14:schemeClr w14:val="tx1"/>
            </w14:solidFill>
          </w14:textFill>
        </w:rPr>
        <w:t>g1</w:t>
      </w:r>
      <w:r>
        <w:rPr>
          <w:rFonts w:hint="eastAsia"/>
          <w:color w:val="000000" w:themeColor="text1"/>
          <w:sz w:val="20"/>
          <w:szCs w:val="20"/>
          <w14:textFill>
            <w14:solidFill>
              <w14:schemeClr w14:val="tx1"/>
            </w14:solidFill>
          </w14:textFill>
        </w:rPr>
        <w:t xml:space="preserve"> and the 80</w:t>
      </w:r>
      <w:r>
        <w:rPr>
          <w:rFonts w:hint="eastAsia"/>
          <w:color w:val="000000" w:themeColor="text1"/>
          <w:sz w:val="20"/>
          <w:szCs w:val="20"/>
          <w:vertAlign w:val="superscript"/>
          <w14:textFill>
            <w14:solidFill>
              <w14:schemeClr w14:val="tx1"/>
            </w14:solidFill>
          </w14:textFill>
        </w:rPr>
        <w:t>th</w:t>
      </w:r>
      <w:r>
        <w:rPr>
          <w:rFonts w:hint="eastAsia"/>
          <w:color w:val="000000" w:themeColor="text1"/>
          <w:sz w:val="20"/>
          <w:szCs w:val="20"/>
          <w14:textFill>
            <w14:solidFill>
              <w14:schemeClr w14:val="tx1"/>
            </w14:solidFill>
          </w14:textFill>
        </w:rPr>
        <w:t xml:space="preserve"> harmonic in </w:t>
      </w:r>
      <w:r>
        <w:rPr>
          <w:rFonts w:hint="eastAsia"/>
          <w:i/>
          <w:iCs/>
          <w:color w:val="000000" w:themeColor="text1"/>
          <w:sz w:val="20"/>
          <w:szCs w:val="20"/>
          <w:lang w:val="en-US" w:eastAsia="zh-CN"/>
          <w14:textFill>
            <w14:solidFill>
              <w14:schemeClr w14:val="tx1"/>
            </w14:solidFill>
          </w14:textFill>
        </w:rPr>
        <w:t>i</w:t>
      </w:r>
      <w:r>
        <w:rPr>
          <w:rFonts w:hint="eastAsia"/>
          <w:color w:val="000000" w:themeColor="text1"/>
          <w:sz w:val="20"/>
          <w:szCs w:val="20"/>
          <w:vertAlign w:val="subscript"/>
          <w:lang w:val="en-US" w:eastAsia="zh-CN"/>
          <w14:textFill>
            <w14:solidFill>
              <w14:schemeClr w14:val="tx1"/>
            </w14:solidFill>
          </w14:textFill>
        </w:rPr>
        <w:t>g2</w:t>
      </w:r>
      <w:r>
        <w:rPr>
          <w:rFonts w:hint="eastAsia"/>
          <w:color w:val="000000" w:themeColor="text1"/>
          <w:sz w:val="20"/>
          <w:szCs w:val="20"/>
          <w14:textFill>
            <w14:solidFill>
              <w14:schemeClr w14:val="tx1"/>
            </w14:solidFill>
          </w14:textFill>
        </w:rPr>
        <w:t xml:space="preserve"> are significantly amplified, while both harmonics are also amplified in the total grid current </w:t>
      </w:r>
      <w:r>
        <w:rPr>
          <w:rFonts w:hint="eastAsia"/>
          <w:i/>
          <w:iCs/>
          <w:color w:val="000000" w:themeColor="text1"/>
          <w:sz w:val="20"/>
          <w:szCs w:val="20"/>
          <w:lang w:val="en-US" w:eastAsia="zh-CN"/>
          <w14:textFill>
            <w14:solidFill>
              <w14:schemeClr w14:val="tx1"/>
            </w14:solidFill>
          </w14:textFill>
        </w:rPr>
        <w:t>i</w:t>
      </w:r>
      <w:r>
        <w:rPr>
          <w:rFonts w:hint="eastAsia"/>
          <w:color w:val="000000" w:themeColor="text1"/>
          <w:sz w:val="20"/>
          <w:szCs w:val="20"/>
          <w:vertAlign w:val="subscript"/>
          <w:lang w:val="en-US" w:eastAsia="zh-CN"/>
          <w14:textFill>
            <w14:solidFill>
              <w14:schemeClr w14:val="tx1"/>
            </w14:solidFill>
          </w14:textFill>
        </w:rPr>
        <w:t>g</w:t>
      </w:r>
      <w:r>
        <w:rPr>
          <w:rFonts w:hint="eastAsia"/>
          <w:color w:val="000000" w:themeColor="text1"/>
          <w:sz w:val="20"/>
          <w:szCs w:val="20"/>
          <w14:textFill>
            <w14:solidFill>
              <w14:schemeClr w14:val="tx1"/>
            </w14:solidFill>
          </w14:textFill>
        </w:rPr>
        <w:t xml:space="preserve">. Consequently, the branch currents become severely distorted, exceeding the harmonic limits required for </w:t>
      </w:r>
      <w:r>
        <w:rPr>
          <w:rFonts w:hint="eastAsia"/>
          <w:color w:val="000000" w:themeColor="text1"/>
          <w:sz w:val="20"/>
          <w:szCs w:val="20"/>
          <w:lang w:val="en-US" w:eastAsia="zh-CN"/>
          <w14:textFill>
            <w14:solidFill>
              <w14:schemeClr w14:val="tx1"/>
            </w14:solidFill>
          </w14:textFill>
        </w:rPr>
        <w:t>GCI</w:t>
      </w:r>
      <w:r>
        <w:rPr>
          <w:rFonts w:hint="eastAsia"/>
          <w:color w:val="000000" w:themeColor="text1"/>
          <w:sz w:val="20"/>
          <w:szCs w:val="20"/>
          <w14:textFill>
            <w14:solidFill>
              <w14:schemeClr w14:val="tx1"/>
            </w14:solidFill>
          </w14:textFill>
        </w:rPr>
        <w:t xml:space="preserve"> systems.</w:t>
      </w:r>
    </w:p>
    <w:p>
      <w:pPr>
        <w:ind w:firstLine="400"/>
        <w:jc w:val="both"/>
        <w:rPr>
          <w:color w:val="000000" w:themeColor="text1"/>
          <w:sz w:val="20"/>
          <w:szCs w:val="20"/>
          <w14:textFill>
            <w14:solidFill>
              <w14:schemeClr w14:val="tx1"/>
            </w14:solidFill>
          </w14:textFill>
        </w:rPr>
      </w:pPr>
      <w:r>
        <w:rPr>
          <w:rFonts w:hint="default" w:ascii="Times New Roman" w:hAnsi="Times New Roman" w:cs="Times New Roman"/>
          <w:color w:val="000000" w:themeColor="text1"/>
          <w:sz w:val="20"/>
          <w:szCs w:val="20"/>
          <w14:textFill>
            <w14:solidFill>
              <w14:schemeClr w14:val="tx1"/>
            </w14:solidFill>
          </w14:textFill>
        </w:rPr>
        <w:t>The simulation results in Fig</w:t>
      </w:r>
      <w:r>
        <w:rPr>
          <w:rFonts w:hint="default" w:ascii="Times New Roman" w:hAnsi="Times New Roman" w:cs="Times New Roman"/>
          <w:color w:val="000000" w:themeColor="text1"/>
          <w:sz w:val="20"/>
          <w:szCs w:val="20"/>
          <w:lang w:val="en-US" w:eastAsia="zh-CN"/>
          <w14:textFill>
            <w14:solidFill>
              <w14:schemeClr w14:val="tx1"/>
            </w14:solidFill>
          </w14:textFill>
        </w:rPr>
        <w:t>.</w:t>
      </w:r>
      <w:r>
        <w:rPr>
          <w:rFonts w:hint="default" w:ascii="Times New Roman" w:hAnsi="Times New Roman" w:cs="Times New Roman"/>
          <w:color w:val="000000" w:themeColor="text1"/>
          <w:sz w:val="20"/>
          <w:szCs w:val="20"/>
          <w14:textFill>
            <w14:solidFill>
              <w14:schemeClr w14:val="tx1"/>
            </w14:solidFill>
          </w14:textFill>
        </w:rPr>
        <w:t xml:space="preserve"> </w:t>
      </w:r>
      <w:r>
        <w:rPr>
          <w:rFonts w:hint="eastAsia" w:cs="Times New Roman"/>
          <w:color w:val="000000" w:themeColor="text1"/>
          <w:sz w:val="20"/>
          <w:szCs w:val="20"/>
          <w:lang w:val="en-US" w:eastAsia="zh-CN"/>
          <w14:textFill>
            <w14:solidFill>
              <w14:schemeClr w14:val="tx1"/>
            </w14:solidFill>
          </w14:textFill>
        </w:rPr>
        <w:t>8</w:t>
      </w:r>
      <w:r>
        <w:rPr>
          <w:rFonts w:hint="default" w:ascii="Times New Roman" w:hAnsi="Times New Roman" w:cs="Times New Roman"/>
          <w:color w:val="000000" w:themeColor="text1"/>
          <w:sz w:val="20"/>
          <w:szCs w:val="20"/>
          <w14:textFill>
            <w14:solidFill>
              <w14:schemeClr w14:val="tx1"/>
            </w14:solidFill>
          </w14:textFill>
        </w:rPr>
        <w:t xml:space="preserve"> and </w:t>
      </w:r>
      <w:r>
        <w:rPr>
          <w:rFonts w:hint="eastAsia" w:cs="Times New Roman"/>
          <w:color w:val="000000" w:themeColor="text1"/>
          <w:sz w:val="20"/>
          <w:szCs w:val="20"/>
          <w:lang w:val="en-US" w:eastAsia="zh-CN"/>
          <w14:textFill>
            <w14:solidFill>
              <w14:schemeClr w14:val="tx1"/>
            </w14:solidFill>
          </w14:textFill>
        </w:rPr>
        <w:t>9</w:t>
      </w:r>
      <w:r>
        <w:rPr>
          <w:rFonts w:hint="default" w:ascii="Times New Roman" w:hAnsi="Times New Roman" w:cs="Times New Roman"/>
          <w:color w:val="000000" w:themeColor="text1"/>
          <w:sz w:val="20"/>
          <w:szCs w:val="20"/>
          <w14:textFill>
            <w14:solidFill>
              <w14:schemeClr w14:val="tx1"/>
            </w14:solidFill>
          </w14:textFill>
        </w:rPr>
        <w:t xml:space="preserve"> confirm that </w:t>
      </w:r>
      <w:r>
        <w:rPr>
          <w:rFonts w:hint="eastAsia" w:ascii="Times New Roman" w:hAnsi="Times New Roman" w:cs="Times New Roman"/>
          <w:color w:val="000000" w:themeColor="text1"/>
          <w:sz w:val="20"/>
          <w:szCs w:val="20"/>
          <w:lang w:val="en-US" w:eastAsia="zh-CN"/>
          <w14:textFill>
            <w14:solidFill>
              <w14:schemeClr w14:val="tx1"/>
            </w14:solidFill>
          </w14:textFill>
        </w:rPr>
        <w:t>the</w:t>
      </w:r>
      <w:r>
        <w:rPr>
          <w:rFonts w:hint="default" w:ascii="Times New Roman" w:hAnsi="Times New Roman" w:cs="Times New Roman"/>
          <w:color w:val="000000" w:themeColor="text1"/>
          <w:sz w:val="20"/>
          <w:szCs w:val="20"/>
          <w14:textFill>
            <w14:solidFill>
              <w14:schemeClr w14:val="tx1"/>
            </w14:solidFill>
          </w14:textFill>
        </w:rPr>
        <w:t xml:space="preserve"> distribution networks </w:t>
      </w:r>
      <w:r>
        <w:rPr>
          <w:color w:val="000000" w:themeColor="text1"/>
          <w:sz w:val="20"/>
          <w:szCs w:val="20"/>
          <w14:textFill>
            <w14:solidFill>
              <w14:schemeClr w14:val="tx1"/>
            </w14:solidFill>
          </w14:textFill>
        </w:rPr>
        <w:t>with insufficient damping</w:t>
      </w:r>
      <w:r>
        <w:rPr>
          <w:rFonts w:hint="eastAsia"/>
          <w:color w:val="000000" w:themeColor="text1"/>
          <w:sz w:val="20"/>
          <w:szCs w:val="20"/>
          <w:lang w:val="en-US" w:eastAsia="zh-CN"/>
          <w14:textFill>
            <w14:solidFill>
              <w14:schemeClr w14:val="tx1"/>
            </w14:solidFill>
          </w14:textFill>
        </w:rPr>
        <w:t xml:space="preserve"> </w:t>
      </w:r>
      <w:r>
        <w:rPr>
          <w:rFonts w:hint="default" w:ascii="Times New Roman" w:hAnsi="Times New Roman" w:cs="Times New Roman"/>
          <w:color w:val="000000" w:themeColor="text1"/>
          <w:sz w:val="20"/>
          <w:szCs w:val="20"/>
          <w14:textFill>
            <w14:solidFill>
              <w14:schemeClr w14:val="tx1"/>
            </w14:solidFill>
          </w14:textFill>
        </w:rPr>
        <w:t xml:space="preserve">are highly susceptible </w:t>
      </w:r>
      <w:r>
        <w:rPr>
          <w:color w:val="000000" w:themeColor="text1"/>
          <w:sz w:val="20"/>
          <w:szCs w:val="20"/>
          <w14:textFill>
            <w14:solidFill>
              <w14:schemeClr w14:val="tx1"/>
            </w14:solidFill>
          </w14:textFill>
        </w:rPr>
        <w:t>to severe broadband harmonic oscillations induced by small disturbances, resulting in low system stability.</w:t>
      </w:r>
    </w:p>
    <w:p>
      <w:pPr>
        <w:pStyle w:val="44"/>
        <w:numPr>
          <w:ilvl w:val="0"/>
          <w:numId w:val="0"/>
        </w:numPr>
        <w:ind w:left="360"/>
        <w:rPr>
          <w:color w:val="000000" w:themeColor="text1"/>
          <w:lang w:val="en-US"/>
          <w14:textFill>
            <w14:solidFill>
              <w14:schemeClr w14:val="tx1"/>
            </w14:solidFill>
          </w14:textFill>
        </w:rPr>
      </w:pPr>
      <w:r>
        <w:rPr>
          <w:rFonts w:hint="eastAsia"/>
          <w:color w:val="000000" w:themeColor="text1"/>
          <w:lang w:val="en-US"/>
          <w14:textFill>
            <w14:solidFill>
              <w14:schemeClr w14:val="tx1"/>
            </w14:solidFill>
          </w14:textFill>
        </w:rPr>
        <w:t xml:space="preserve">5.1.2 </w:t>
      </w:r>
      <w:r>
        <w:rPr>
          <w:color w:val="000000" w:themeColor="text1"/>
          <w14:textFill>
            <w14:solidFill>
              <w14:schemeClr w14:val="tx1"/>
            </w14:solidFill>
          </w14:textFill>
        </w:rPr>
        <w:t xml:space="preserve">Operating Characteristics of the System After Connecting the </w:t>
      </w:r>
      <w:r>
        <w:rPr>
          <w:rFonts w:hint="eastAsia"/>
          <w:color w:val="000000" w:themeColor="text1"/>
          <w:lang w:val="en-US" w:eastAsia="zh-CN"/>
          <w14:textFill>
            <w14:solidFill>
              <w14:schemeClr w14:val="tx1"/>
            </w14:solidFill>
          </w14:textFill>
        </w:rPr>
        <w:t>D</w:t>
      </w:r>
      <w:r>
        <w:rPr>
          <w:rFonts w:hint="eastAsia"/>
          <w:color w:val="000000" w:themeColor="text1"/>
          <w14:textFill>
            <w14:solidFill>
              <w14:schemeClr w14:val="tx1"/>
            </w14:solidFill>
          </w14:textFill>
        </w:rPr>
        <w:t>irect-</w:t>
      </w:r>
      <w:r>
        <w:rPr>
          <w:rFonts w:hint="eastAsia"/>
          <w:color w:val="000000" w:themeColor="text1"/>
          <w:lang w:val="en-US" w:eastAsia="zh-CN"/>
          <w14:textFill>
            <w14:solidFill>
              <w14:schemeClr w14:val="tx1"/>
            </w14:solidFill>
          </w14:textFill>
        </w:rPr>
        <w:t>M</w:t>
      </w:r>
      <w:r>
        <w:rPr>
          <w:rFonts w:hint="eastAsia"/>
          <w:color w:val="000000" w:themeColor="text1"/>
          <w14:textFill>
            <w14:solidFill>
              <w14:schemeClr w14:val="tx1"/>
            </w14:solidFill>
          </w14:textFill>
        </w:rPr>
        <w:t xml:space="preserve">ounted </w:t>
      </w:r>
      <w:r>
        <w:rPr>
          <w:rFonts w:hint="eastAsia"/>
          <w:color w:val="000000" w:themeColor="text1"/>
          <w:lang w:val="en-US" w:eastAsia="zh-CN"/>
          <w14:textFill>
            <w14:solidFill>
              <w14:schemeClr w14:val="tx1"/>
            </w14:solidFill>
          </w14:textFill>
        </w:rPr>
        <w:t>D</w:t>
      </w:r>
      <w:r>
        <w:rPr>
          <w:rFonts w:hint="eastAsia"/>
          <w:color w:val="000000" w:themeColor="text1"/>
          <w14:textFill>
            <w14:solidFill>
              <w14:schemeClr w14:val="tx1"/>
            </w14:solidFill>
          </w14:textFill>
        </w:rPr>
        <w:t xml:space="preserve">amping </w:t>
      </w:r>
      <w:r>
        <w:rPr>
          <w:rFonts w:hint="eastAsia"/>
          <w:color w:val="000000" w:themeColor="text1"/>
          <w:lang w:val="en-US" w:eastAsia="zh-CN"/>
          <w14:textFill>
            <w14:solidFill>
              <w14:schemeClr w14:val="tx1"/>
            </w14:solidFill>
          </w14:textFill>
        </w:rPr>
        <w:t>D</w:t>
      </w:r>
      <w:r>
        <w:rPr>
          <w:rFonts w:hint="eastAsia"/>
          <w:color w:val="000000" w:themeColor="text1"/>
          <w14:textFill>
            <w14:solidFill>
              <w14:schemeClr w14:val="tx1"/>
            </w14:solidFill>
          </w14:textFill>
        </w:rPr>
        <w:t>evice</w:t>
      </w:r>
      <w:r>
        <w:rPr>
          <w:rFonts w:hint="eastAsia"/>
          <w:color w:val="000000" w:themeColor="text1"/>
          <w:lang w:val="en-US" w:eastAsia="zh-CN"/>
          <w14:textFill>
            <w14:solidFill>
              <w14:schemeClr w14:val="tx1"/>
            </w14:solidFill>
          </w14:textFill>
        </w:rPr>
        <w:t xml:space="preserve"> in </w:t>
      </w:r>
      <w:r>
        <w:rPr>
          <w:color w:val="000000" w:themeColor="text1"/>
          <w14:textFill>
            <w14:solidFill>
              <w14:schemeClr w14:val="tx1"/>
            </w14:solidFill>
          </w14:textFill>
        </w:rPr>
        <w:t>Parallel</w:t>
      </w:r>
    </w:p>
    <w:p>
      <w:pPr>
        <w:ind w:firstLine="400"/>
        <w:jc w:val="both"/>
        <w:rPr>
          <w:rFonts w:hint="default" w:ascii="Times New Roman" w:hAnsi="Times New Roman" w:cs="Times New Roman"/>
          <w:color w:val="000000" w:themeColor="text1"/>
          <w:sz w:val="20"/>
          <w:szCs w:val="20"/>
          <w:lang w:val="en-US" w:eastAsia="zh-CN"/>
          <w14:textFill>
            <w14:solidFill>
              <w14:schemeClr w14:val="tx1"/>
            </w14:solidFill>
          </w14:textFill>
        </w:rPr>
      </w:pPr>
      <w:r>
        <w:rPr>
          <w:rFonts w:hint="default" w:ascii="Times New Roman" w:hAnsi="Times New Roman" w:cs="Times New Roman"/>
          <w:color w:val="000000" w:themeColor="text1"/>
          <w:sz w:val="20"/>
          <w:szCs w:val="20"/>
          <w14:textFill>
            <w14:solidFill>
              <w14:schemeClr w14:val="tx1"/>
            </w14:solidFill>
          </w14:textFill>
        </w:rPr>
        <w:t xml:space="preserve">A direct-mounted </w:t>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damping device </w:t>
      </w:r>
      <w:r>
        <w:rPr>
          <w:rFonts w:hint="default" w:ascii="Times New Roman" w:hAnsi="Times New Roman" w:cs="Times New Roman"/>
          <w:color w:val="000000" w:themeColor="text1"/>
          <w:sz w:val="20"/>
          <w:szCs w:val="20"/>
          <w14:textFill>
            <w14:solidFill>
              <w14:schemeClr w14:val="tx1"/>
            </w14:solidFill>
          </w14:textFill>
        </w:rPr>
        <w:t>was connected in parallel at node 3 of the system shown in Fig</w:t>
      </w:r>
      <w:r>
        <w:rPr>
          <w:rFonts w:hint="default" w:ascii="Times New Roman" w:hAnsi="Times New Roman" w:cs="Times New Roman"/>
          <w:color w:val="000000" w:themeColor="text1"/>
          <w:sz w:val="20"/>
          <w:szCs w:val="20"/>
          <w:lang w:val="en-US" w:eastAsia="zh-CN"/>
          <w14:textFill>
            <w14:solidFill>
              <w14:schemeClr w14:val="tx1"/>
            </w14:solidFill>
          </w14:textFill>
        </w:rPr>
        <w:t>.</w:t>
      </w:r>
      <w:r>
        <w:rPr>
          <w:rFonts w:hint="default" w:ascii="Times New Roman" w:hAnsi="Times New Roman" w:cs="Times New Roman"/>
          <w:color w:val="000000" w:themeColor="text1"/>
          <w:sz w:val="20"/>
          <w:szCs w:val="20"/>
          <w14:textFill>
            <w14:solidFill>
              <w14:schemeClr w14:val="tx1"/>
            </w14:solidFill>
          </w14:textFill>
        </w:rPr>
        <w:t xml:space="preserve"> 2. </w:t>
      </w:r>
      <w:r>
        <w:rPr>
          <w:rFonts w:hint="default" w:ascii="Times New Roman" w:hAnsi="Times New Roman" w:cs="Times New Roman"/>
          <w:color w:val="000000" w:themeColor="text1"/>
          <w:sz w:val="20"/>
          <w:szCs w:val="20"/>
          <w:lang w:val="en-US" w:eastAsia="zh-CN"/>
          <w14:textFill>
            <w14:solidFill>
              <w14:schemeClr w14:val="tx1"/>
            </w14:solidFill>
          </w14:textFill>
        </w:rPr>
        <w:t>T</w:t>
      </w:r>
      <w:r>
        <w:rPr>
          <w:rFonts w:hint="default" w:ascii="Times New Roman" w:hAnsi="Times New Roman" w:cs="Times New Roman"/>
          <w:color w:val="000000" w:themeColor="text1"/>
          <w:sz w:val="20"/>
          <w:szCs w:val="20"/>
          <w14:textFill>
            <w14:solidFill>
              <w14:schemeClr w14:val="tx1"/>
            </w14:solidFill>
          </w14:textFill>
        </w:rPr>
        <w:t>opology of the device is presented in Fig</w:t>
      </w:r>
      <w:r>
        <w:rPr>
          <w:rFonts w:hint="default" w:ascii="Times New Roman" w:hAnsi="Times New Roman" w:cs="Times New Roman"/>
          <w:color w:val="000000" w:themeColor="text1"/>
          <w:sz w:val="20"/>
          <w:szCs w:val="20"/>
          <w:lang w:val="en-US" w:eastAsia="zh-CN"/>
          <w14:textFill>
            <w14:solidFill>
              <w14:schemeClr w14:val="tx1"/>
            </w14:solidFill>
          </w14:textFill>
        </w:rPr>
        <w:t>.</w:t>
      </w:r>
      <w:r>
        <w:rPr>
          <w:rFonts w:hint="default" w:ascii="Times New Roman" w:hAnsi="Times New Roman" w:cs="Times New Roman"/>
          <w:color w:val="000000" w:themeColor="text1"/>
          <w:sz w:val="20"/>
          <w:szCs w:val="20"/>
          <w14:textFill>
            <w14:solidFill>
              <w14:schemeClr w14:val="tx1"/>
            </w14:solidFill>
          </w14:textFill>
        </w:rPr>
        <w:t xml:space="preserve"> </w:t>
      </w:r>
      <w:r>
        <w:rPr>
          <w:rFonts w:hint="eastAsia" w:cs="Times New Roman"/>
          <w:color w:val="000000" w:themeColor="text1"/>
          <w:sz w:val="20"/>
          <w:szCs w:val="20"/>
          <w:lang w:val="en-US" w:eastAsia="zh-CN"/>
          <w14:textFill>
            <w14:solidFill>
              <w14:schemeClr w14:val="tx1"/>
            </w14:solidFill>
          </w14:textFill>
        </w:rPr>
        <w:t>5a)</w:t>
      </w:r>
      <w:r>
        <w:rPr>
          <w:rFonts w:hint="default" w:ascii="Times New Roman" w:hAnsi="Times New Roman" w:cs="Times New Roman"/>
          <w:color w:val="000000" w:themeColor="text1"/>
          <w:sz w:val="20"/>
          <w:szCs w:val="20"/>
          <w14:textFill>
            <w14:solidFill>
              <w14:schemeClr w14:val="tx1"/>
            </w14:solidFill>
          </w14:textFill>
        </w:rPr>
        <w:t xml:space="preserve">, and its parameters are provided in Table 6. As indicated in Table </w:t>
      </w:r>
      <w:r>
        <w:rPr>
          <w:rFonts w:hint="eastAsia" w:cs="Times New Roman"/>
          <w:color w:val="000000" w:themeColor="text1"/>
          <w:sz w:val="20"/>
          <w:szCs w:val="20"/>
          <w:lang w:val="en-US" w:eastAsia="zh-CN"/>
          <w14:textFill>
            <w14:solidFill>
              <w14:schemeClr w14:val="tx1"/>
            </w14:solidFill>
          </w14:textFill>
        </w:rPr>
        <w:t>7</w:t>
      </w:r>
      <w:r>
        <w:rPr>
          <w:rFonts w:hint="default" w:ascii="Times New Roman" w:hAnsi="Times New Roman" w:cs="Times New Roman"/>
          <w:color w:val="000000" w:themeColor="text1"/>
          <w:sz w:val="20"/>
          <w:szCs w:val="20"/>
          <w14:textFill>
            <w14:solidFill>
              <w14:schemeClr w14:val="tx1"/>
            </w14:solidFill>
          </w14:textFill>
        </w:rPr>
        <w:t>, after the d</w:t>
      </w:r>
      <w:r>
        <w:rPr>
          <w:rFonts w:hint="default" w:ascii="Times New Roman" w:hAnsi="Times New Roman" w:cs="Times New Roman"/>
          <w:color w:val="000000" w:themeColor="text1"/>
          <w:sz w:val="20"/>
          <w:szCs w:val="20"/>
          <w:lang w:val="en-US" w:eastAsia="zh-CN"/>
          <w14:textFill>
            <w14:solidFill>
              <w14:schemeClr w14:val="tx1"/>
            </w14:solidFill>
          </w14:textFill>
        </w:rPr>
        <w:t>evice</w:t>
      </w:r>
      <w:r>
        <w:rPr>
          <w:rFonts w:hint="default" w:ascii="Times New Roman" w:hAnsi="Times New Roman" w:cs="Times New Roman"/>
          <w:color w:val="000000" w:themeColor="text1"/>
          <w:sz w:val="20"/>
          <w:szCs w:val="20"/>
          <w14:textFill>
            <w14:solidFill>
              <w14:schemeClr w14:val="tx1"/>
            </w14:solidFill>
          </w14:textFill>
        </w:rPr>
        <w:t xml:space="preserve"> is connected in parallel, the system’s parallel resonant frequencies shift to 799 Hz and 3402 Hz, while the series resonant frequencies shift to 1196 Hz and 4000 Hz. These results are verified in the following section.</w:t>
      </w:r>
    </w:p>
    <w:p>
      <w:pPr>
        <w:ind w:firstLine="400"/>
        <w:jc w:val="both"/>
        <w:rPr>
          <w:rFonts w:hint="eastAsia"/>
        </w:rPr>
      </w:pPr>
      <w:r>
        <w:rPr>
          <w:rFonts w:hint="default" w:ascii="Times New Roman" w:hAnsi="Times New Roman" w:cs="Times New Roman"/>
          <w:color w:val="000000" w:themeColor="text1"/>
          <w:sz w:val="20"/>
          <w:szCs w:val="20"/>
          <w14:textFill>
            <w14:solidFill>
              <w14:schemeClr w14:val="tx1"/>
            </w14:solidFill>
          </w14:textFill>
        </w:rPr>
        <w:t>A harmonic current source was injected at node 3 of the system in Fig</w:t>
      </w:r>
      <w:r>
        <w:rPr>
          <w:rFonts w:hint="eastAsia" w:ascii="Times New Roman" w:hAnsi="Times New Roman" w:cs="Times New Roman"/>
          <w:color w:val="000000" w:themeColor="text1"/>
          <w:sz w:val="20"/>
          <w:szCs w:val="20"/>
          <w:lang w:val="en-US" w:eastAsia="zh-CN"/>
          <w14:textFill>
            <w14:solidFill>
              <w14:schemeClr w14:val="tx1"/>
            </w14:solidFill>
          </w14:textFill>
        </w:rPr>
        <w:t>.</w:t>
      </w:r>
      <w:r>
        <w:rPr>
          <w:rFonts w:hint="default" w:ascii="Times New Roman" w:hAnsi="Times New Roman" w:cs="Times New Roman"/>
          <w:color w:val="000000" w:themeColor="text1"/>
          <w:sz w:val="20"/>
          <w:szCs w:val="20"/>
          <w14:textFill>
            <w14:solidFill>
              <w14:schemeClr w14:val="tx1"/>
            </w14:solidFill>
          </w14:textFill>
        </w:rPr>
        <w:t xml:space="preserve"> 2. The current amplitude was set to 2% of the rated grid current, with harmonic frequencies of 799 Hz and 3402 Hz. The simulation </w:t>
      </w:r>
      <w:r>
        <w:rPr>
          <w:rFonts w:hint="eastAsia"/>
          <w:color w:val="000000" w:themeColor="text1"/>
          <w:sz w:val="20"/>
          <w:szCs w:val="20"/>
          <w14:textFill>
            <w14:solidFill>
              <w14:schemeClr w14:val="tx1"/>
            </w14:solidFill>
          </w14:textFill>
        </w:rPr>
        <w:t>duration</w:t>
      </w:r>
      <w:r>
        <w:rPr>
          <w:rFonts w:hint="default" w:ascii="Times New Roman" w:hAnsi="Times New Roman" w:cs="Times New Roman"/>
          <w:color w:val="000000" w:themeColor="text1"/>
          <w:sz w:val="20"/>
          <w:szCs w:val="20"/>
          <w14:textFill>
            <w14:solidFill>
              <w14:schemeClr w14:val="tx1"/>
            </w14:solidFill>
          </w14:textFill>
        </w:rPr>
        <w:t xml:space="preserve"> was 0.5 s. Fig</w:t>
      </w:r>
      <w:r>
        <w:rPr>
          <w:rFonts w:hint="eastAsia" w:ascii="Times New Roman" w:hAnsi="Times New Roman" w:cs="Times New Roman"/>
          <w:color w:val="000000" w:themeColor="text1"/>
          <w:sz w:val="20"/>
          <w:szCs w:val="20"/>
          <w:lang w:val="en-US" w:eastAsia="zh-CN"/>
          <w14:textFill>
            <w14:solidFill>
              <w14:schemeClr w14:val="tx1"/>
            </w14:solidFill>
          </w14:textFill>
        </w:rPr>
        <w:t>.</w:t>
      </w:r>
      <w:r>
        <w:rPr>
          <w:rFonts w:hint="default" w:ascii="Times New Roman" w:hAnsi="Times New Roman" w:cs="Times New Roman"/>
          <w:color w:val="000000" w:themeColor="text1"/>
          <w:sz w:val="20"/>
          <w:szCs w:val="20"/>
          <w14:textFill>
            <w14:solidFill>
              <w14:schemeClr w14:val="tx1"/>
            </w14:solidFill>
          </w14:textFill>
        </w:rPr>
        <w:t xml:space="preserve"> 1</w:t>
      </w:r>
      <w:r>
        <w:rPr>
          <w:rFonts w:hint="eastAsia" w:cs="Times New Roman"/>
          <w:color w:val="000000" w:themeColor="text1"/>
          <w:sz w:val="20"/>
          <w:szCs w:val="20"/>
          <w:lang w:val="en-US" w:eastAsia="zh-CN"/>
          <w14:textFill>
            <w14:solidFill>
              <w14:schemeClr w14:val="tx1"/>
            </w14:solidFill>
          </w14:textFill>
        </w:rPr>
        <w:t>0</w:t>
      </w:r>
      <w:r>
        <w:rPr>
          <w:rFonts w:hint="default" w:ascii="Times New Roman" w:hAnsi="Times New Roman" w:cs="Times New Roman"/>
          <w:color w:val="000000" w:themeColor="text1"/>
          <w:sz w:val="20"/>
          <w:szCs w:val="20"/>
          <w14:textFill>
            <w14:solidFill>
              <w14:schemeClr w14:val="tx1"/>
            </w14:solidFill>
          </w14:textFill>
        </w:rPr>
        <w:t xml:space="preserve"> presents the waveforms and FFT spectra of</w:t>
      </w:r>
      <w:r>
        <w:rPr>
          <w:rFonts w:hint="eastAsia" w:ascii="Times New Roman" w:hAnsi="Times New Roman" w:cs="Times New Roman"/>
          <w:color w:val="000000" w:themeColor="text1"/>
          <w:sz w:val="20"/>
          <w:szCs w:val="20"/>
          <w:lang w:val="en-US" w:eastAsia="zh-CN"/>
          <w14:textFill>
            <w14:solidFill>
              <w14:schemeClr w14:val="tx1"/>
            </w14:solidFill>
          </w14:textFill>
        </w:rPr>
        <w:t xml:space="preserve"> </w:t>
      </w:r>
      <w:r>
        <w:rPr>
          <w:rFonts w:hint="eastAsia" w:ascii="Times New Roman" w:hAnsi="Times New Roman" w:cs="Times New Roman"/>
          <w:i/>
          <w:iCs/>
          <w:color w:val="000000" w:themeColor="text1"/>
          <w:sz w:val="20"/>
          <w:szCs w:val="20"/>
          <w:lang w:val="en-US" w:eastAsia="zh-CN"/>
          <w14:textFill>
            <w14:solidFill>
              <w14:schemeClr w14:val="tx1"/>
            </w14:solidFill>
          </w14:textFill>
        </w:rPr>
        <w:t>u</w:t>
      </w:r>
      <w:r>
        <w:rPr>
          <w:rFonts w:hint="default" w:ascii="Times New Roman" w:hAnsi="Times New Roman" w:cs="Times New Roman"/>
          <w:color w:val="000000" w:themeColor="text1"/>
          <w:sz w:val="20"/>
          <w:szCs w:val="20"/>
          <w:vertAlign w:val="subscript"/>
          <w14:textFill>
            <w14:solidFill>
              <w14:schemeClr w14:val="tx1"/>
            </w14:solidFill>
          </w14:textFill>
        </w:rPr>
        <w:t>PCC</w:t>
      </w:r>
      <w:r>
        <w:rPr>
          <w:rFonts w:hint="eastAsia" w:ascii="Times New Roman" w:hAnsi="Times New Roman" w:cs="Times New Roman"/>
          <w:color w:val="000000" w:themeColor="text1"/>
          <w:sz w:val="20"/>
          <w:szCs w:val="20"/>
          <w:lang w:val="en-US" w:eastAsia="zh-CN"/>
          <w14:textFill>
            <w14:solidFill>
              <w14:schemeClr w14:val="tx1"/>
            </w14:solidFill>
          </w14:textFill>
        </w:rPr>
        <w:t xml:space="preserve">, </w:t>
      </w:r>
      <w:r>
        <w:rPr>
          <w:rFonts w:hint="eastAsia" w:ascii="Times New Roman" w:hAnsi="Times New Roman" w:cs="Times New Roman"/>
          <w:i/>
          <w:iCs/>
          <w:color w:val="000000" w:themeColor="text1"/>
          <w:sz w:val="20"/>
          <w:szCs w:val="20"/>
          <w:lang w:val="en-US" w:eastAsia="zh-CN"/>
          <w14:textFill>
            <w14:solidFill>
              <w14:schemeClr w14:val="tx1"/>
            </w14:solidFill>
          </w14:textFill>
        </w:rPr>
        <w:t>i</w:t>
      </w:r>
      <w:r>
        <w:rPr>
          <w:rFonts w:hint="eastAsia" w:ascii="Times New Roman" w:hAnsi="Times New Roman" w:cs="Times New Roman"/>
          <w:color w:val="000000" w:themeColor="text1"/>
          <w:sz w:val="20"/>
          <w:szCs w:val="20"/>
          <w:vertAlign w:val="subscript"/>
          <w:lang w:val="en-US" w:eastAsia="zh-CN"/>
          <w14:textFill>
            <w14:solidFill>
              <w14:schemeClr w14:val="tx1"/>
            </w14:solidFill>
          </w14:textFill>
        </w:rPr>
        <w:t>g</w:t>
      </w:r>
      <w:r>
        <w:rPr>
          <w:rFonts w:hint="default" w:ascii="Times New Roman" w:hAnsi="Times New Roman" w:cs="Times New Roman"/>
          <w:color w:val="000000" w:themeColor="text1"/>
          <w:sz w:val="20"/>
          <w:szCs w:val="20"/>
          <w14:textFill>
            <w14:solidFill>
              <w14:schemeClr w14:val="tx1"/>
            </w14:solidFill>
          </w14:textFill>
        </w:rPr>
        <w:t xml:space="preserve">, and the branch current </w:t>
      </w:r>
      <w:r>
        <w:rPr>
          <w:rFonts w:hint="eastAsia" w:ascii="Times New Roman" w:hAnsi="Times New Roman" w:cs="Times New Roman"/>
          <w:i/>
          <w:iCs/>
          <w:color w:val="000000" w:themeColor="text1"/>
          <w:sz w:val="20"/>
          <w:szCs w:val="20"/>
          <w:lang w:val="en-US" w:eastAsia="zh-CN"/>
          <w14:textFill>
            <w14:solidFill>
              <w14:schemeClr w14:val="tx1"/>
            </w14:solidFill>
          </w14:textFill>
        </w:rPr>
        <w:t>i</w:t>
      </w:r>
      <w:r>
        <w:rPr>
          <w:rFonts w:hint="eastAsia" w:ascii="Times New Roman" w:hAnsi="Times New Roman" w:cs="Times New Roman"/>
          <w:color w:val="000000" w:themeColor="text1"/>
          <w:sz w:val="20"/>
          <w:szCs w:val="20"/>
          <w:vertAlign w:val="subscript"/>
          <w:lang w:val="en-US" w:eastAsia="zh-CN"/>
          <w14:textFill>
            <w14:solidFill>
              <w14:schemeClr w14:val="tx1"/>
            </w14:solidFill>
          </w14:textFill>
        </w:rPr>
        <w:t>d</w:t>
      </w:r>
      <w:r>
        <w:rPr>
          <w:rFonts w:hint="default" w:ascii="Times New Roman" w:hAnsi="Times New Roman" w:cs="Times New Roman"/>
          <w:color w:val="000000" w:themeColor="text1"/>
          <w:sz w:val="20"/>
          <w:szCs w:val="20"/>
          <w14:textFill>
            <w14:solidFill>
              <w14:schemeClr w14:val="tx1"/>
            </w14:solidFill>
          </w14:textFill>
        </w:rPr>
        <w:t xml:space="preserve"> of the d</w:t>
      </w:r>
      <w:r>
        <w:rPr>
          <w:rFonts w:hint="eastAsia" w:ascii="Times New Roman" w:hAnsi="Times New Roman" w:cs="Times New Roman"/>
          <w:color w:val="000000" w:themeColor="text1"/>
          <w:sz w:val="20"/>
          <w:szCs w:val="20"/>
          <w:lang w:val="en-US" w:eastAsia="zh-CN"/>
          <w14:textFill>
            <w14:solidFill>
              <w14:schemeClr w14:val="tx1"/>
            </w14:solidFill>
          </w14:textFill>
        </w:rPr>
        <w:t>amping device</w:t>
      </w:r>
      <w:r>
        <w:rPr>
          <w:rFonts w:hint="default" w:ascii="Times New Roman" w:hAnsi="Times New Roman" w:cs="Times New Roman"/>
          <w:color w:val="000000" w:themeColor="text1"/>
          <w:sz w:val="20"/>
          <w:szCs w:val="20"/>
          <w14:textFill>
            <w14:solidFill>
              <w14:schemeClr w14:val="tx1"/>
            </w14:solidFill>
          </w14:textFill>
        </w:rPr>
        <w:t>.</w:t>
      </w:r>
    </w:p>
    <w:p>
      <w:pPr>
        <w:keepNext w:val="0"/>
        <w:keepLines w:val="0"/>
        <w:pageBreakBefore w:val="0"/>
        <w:widowControl/>
        <w:kinsoku/>
        <w:wordWrap/>
        <w:overflowPunct/>
        <w:topLinePunct w:val="0"/>
        <w:autoSpaceDE/>
        <w:autoSpaceDN/>
        <w:bidi w:val="0"/>
        <w:adjustRightInd/>
        <w:snapToGrid/>
        <w:ind w:firstLine="0"/>
        <w:jc w:val="center"/>
        <w:textAlignment w:val="auto"/>
        <w:rPr>
          <w:rFonts w:hint="eastAsia"/>
        </w:rPr>
      </w:pPr>
      <w:r>
        <w:rPr>
          <w:rFonts w:hint="eastAsia"/>
        </w:rPr>
        <w:object>
          <v:shape id="_x0000_i1043" o:spt="75" type="#_x0000_t75" style="height:187.15pt;width:232.8pt;" o:ole="t" filled="f" o:preferrelative="t" stroked="f" coordsize="21600,21600">
            <v:path/>
            <v:fill on="f" focussize="0,0"/>
            <v:stroke on="f"/>
            <v:imagedata r:id="rId53" o:title=""/>
            <o:lock v:ext="edit" aspectratio="f"/>
            <w10:wrap type="none"/>
            <w10:anchorlock/>
          </v:shape>
          <o:OLEObject Type="Embed" ProgID="Visio.Drawing.15" ShapeID="_x0000_i1043" DrawAspect="Content" ObjectID="_1468075743" r:id="rId52">
            <o:LockedField>false</o:LockedField>
          </o:OLEObject>
        </w:object>
      </w:r>
    </w:p>
    <w:p>
      <w:pPr>
        <w:jc w:val="center"/>
        <w:rPr>
          <w:rFonts w:hint="default" w:eastAsia="宋体"/>
          <w:spacing w:val="6"/>
          <w:kern w:val="20"/>
          <w:sz w:val="20"/>
          <w:lang w:val="en-US" w:eastAsia="zh-CN"/>
        </w:rPr>
      </w:pPr>
      <w:r>
        <w:rPr>
          <w:rFonts w:hint="eastAsia"/>
          <w:b/>
          <w:bCs/>
          <w:i/>
          <w:iCs/>
          <w:color w:val="000000" w:themeColor="text1"/>
          <w:sz w:val="20"/>
          <w:szCs w:val="20"/>
          <w:lang w:val="en-US"/>
          <w14:textFill>
            <w14:solidFill>
              <w14:schemeClr w14:val="tx1"/>
            </w14:solidFill>
          </w14:textFill>
        </w:rPr>
        <w:t>F</w:t>
      </w:r>
      <w:r>
        <w:rPr>
          <w:b/>
          <w:bCs/>
          <w:i/>
          <w:iCs/>
          <w:color w:val="000000" w:themeColor="text1"/>
          <w:sz w:val="20"/>
          <w:szCs w:val="20"/>
          <w:lang w:val="en-US"/>
          <w14:textFill>
            <w14:solidFill>
              <w14:schemeClr w14:val="tx1"/>
            </w14:solidFill>
          </w14:textFill>
        </w:rPr>
        <w:t xml:space="preserve">ig. </w:t>
      </w:r>
      <w:r>
        <w:rPr>
          <w:rFonts w:hint="eastAsia"/>
          <w:b/>
          <w:bCs/>
          <w:i/>
          <w:iCs/>
          <w:color w:val="000000" w:themeColor="text1"/>
          <w:sz w:val="20"/>
          <w:szCs w:val="20"/>
          <w:lang w:val="en-US" w:eastAsia="zh-CN"/>
          <w14:textFill>
            <w14:solidFill>
              <w14:schemeClr w14:val="tx1"/>
            </w14:solidFill>
          </w14:textFill>
        </w:rPr>
        <w:t>10</w:t>
      </w:r>
      <w:r>
        <w:rPr>
          <w:rFonts w:hint="eastAsia"/>
          <w:b/>
          <w:bCs/>
          <w:i/>
          <w:iCs/>
          <w:color w:val="000000" w:themeColor="text1"/>
          <w:sz w:val="20"/>
          <w:szCs w:val="20"/>
          <w:lang w:val="en-US"/>
          <w14:textFill>
            <w14:solidFill>
              <w14:schemeClr w14:val="tx1"/>
            </w14:solidFill>
          </w14:textFill>
        </w:rPr>
        <w:t xml:space="preserve"> </w:t>
      </w:r>
      <w:r>
        <w:rPr>
          <w:rFonts w:hint="eastAsia"/>
          <w:i/>
          <w:iCs/>
          <w:spacing w:val="6"/>
          <w:kern w:val="20"/>
          <w:sz w:val="20"/>
          <w:lang w:val="en-US" w:eastAsia="zh-CN"/>
        </w:rPr>
        <w:t xml:space="preserve">Waveforms and FFT spectra with parallel damping device under harmonic current disturbance </w:t>
      </w:r>
    </w:p>
    <w:p>
      <w:pPr>
        <w:ind w:firstLine="400"/>
        <w:jc w:val="both"/>
        <w:rPr>
          <w:rFonts w:hint="default" w:ascii="Times New Roman" w:hAnsi="Times New Roman" w:cs="Times New Roman"/>
          <w:color w:val="000000" w:themeColor="text1"/>
          <w:sz w:val="20"/>
          <w:szCs w:val="20"/>
          <w:lang w:val="en-US"/>
          <w14:textFill>
            <w14:solidFill>
              <w14:schemeClr w14:val="tx1"/>
            </w14:solidFill>
          </w14:textFill>
        </w:rPr>
      </w:pPr>
      <w:r>
        <w:rPr>
          <w:rFonts w:hint="default" w:ascii="Times New Roman" w:hAnsi="Times New Roman" w:cs="Times New Roman"/>
          <w:color w:val="000000" w:themeColor="text1"/>
          <w:sz w:val="20"/>
          <w:szCs w:val="20"/>
          <w:lang w:val="en-US"/>
          <w14:textFill>
            <w14:solidFill>
              <w14:schemeClr w14:val="tx1"/>
            </w14:solidFill>
          </w14:textFill>
        </w:rPr>
        <w:t>As illustrated in Fig. 1</w:t>
      </w:r>
      <w:r>
        <w:rPr>
          <w:rFonts w:hint="eastAsia" w:cs="Times New Roman"/>
          <w:color w:val="000000" w:themeColor="text1"/>
          <w:sz w:val="20"/>
          <w:szCs w:val="20"/>
          <w:lang w:val="en-US" w:eastAsia="zh-CN"/>
          <w14:textFill>
            <w14:solidFill>
              <w14:schemeClr w14:val="tx1"/>
            </w14:solidFill>
          </w14:textFill>
        </w:rPr>
        <w:t>0</w:t>
      </w:r>
      <w:r>
        <w:rPr>
          <w:rFonts w:hint="default" w:ascii="Times New Roman" w:hAnsi="Times New Roman" w:cs="Times New Roman"/>
          <w:color w:val="000000" w:themeColor="text1"/>
          <w:sz w:val="20"/>
          <w:szCs w:val="20"/>
          <w:lang w:val="en-US"/>
          <w14:textFill>
            <w14:solidFill>
              <w14:schemeClr w14:val="tx1"/>
            </w14:solidFill>
          </w14:textFill>
        </w:rPr>
        <w:t xml:space="preserve">, after the damping device is connected in parallel, when background harmonic currents are present in the grid and their frequencies coincide with the system’s parallel resonance points, neither </w:t>
      </w:r>
      <w:r>
        <w:rPr>
          <w:rFonts w:hint="default" w:ascii="Times New Roman" w:hAnsi="Times New Roman" w:cs="Times New Roman"/>
          <w:i/>
          <w:iCs/>
          <w:color w:val="000000" w:themeColor="text1"/>
          <w:sz w:val="20"/>
          <w:szCs w:val="20"/>
          <w:lang w:val="en-US"/>
          <w14:textFill>
            <w14:solidFill>
              <w14:schemeClr w14:val="tx1"/>
            </w14:solidFill>
          </w14:textFill>
        </w:rPr>
        <w:t>u</w:t>
      </w:r>
      <w:r>
        <w:rPr>
          <w:rFonts w:hint="default" w:ascii="Times New Roman" w:hAnsi="Times New Roman" w:cs="Times New Roman"/>
          <w:color w:val="000000" w:themeColor="text1"/>
          <w:sz w:val="20"/>
          <w:szCs w:val="20"/>
          <w:vertAlign w:val="subscript"/>
          <w:lang w:val="en-US"/>
          <w14:textFill>
            <w14:solidFill>
              <w14:schemeClr w14:val="tx1"/>
            </w14:solidFill>
          </w14:textFill>
        </w:rPr>
        <w:t>PCC</w:t>
      </w:r>
      <w:r>
        <w:rPr>
          <w:rFonts w:hint="default" w:ascii="Times New Roman" w:hAnsi="Times New Roman" w:cs="Times New Roman"/>
          <w:color w:val="000000" w:themeColor="text1"/>
          <w:sz w:val="20"/>
          <w:szCs w:val="20"/>
          <w:lang w:val="en-US"/>
          <w14:textFill>
            <w14:solidFill>
              <w14:schemeClr w14:val="tx1"/>
            </w14:solidFill>
          </w14:textFill>
        </w:rPr>
        <w:t xml:space="preserve"> nor </w:t>
      </w:r>
      <w:r>
        <w:rPr>
          <w:rFonts w:hint="default" w:ascii="Times New Roman" w:hAnsi="Times New Roman" w:cs="Times New Roman"/>
          <w:i/>
          <w:iCs/>
          <w:color w:val="000000" w:themeColor="text1"/>
          <w:sz w:val="20"/>
          <w:szCs w:val="20"/>
          <w:lang w:val="en-US"/>
          <w14:textFill>
            <w14:solidFill>
              <w14:schemeClr w14:val="tx1"/>
            </w14:solidFill>
          </w14:textFill>
        </w:rPr>
        <w:t>i</w:t>
      </w:r>
      <w:r>
        <w:rPr>
          <w:rFonts w:hint="default" w:ascii="Times New Roman" w:hAnsi="Times New Roman" w:cs="Times New Roman"/>
          <w:color w:val="000000" w:themeColor="text1"/>
          <w:sz w:val="20"/>
          <w:szCs w:val="20"/>
          <w:vertAlign w:val="subscript"/>
          <w:lang w:val="en-US"/>
          <w14:textFill>
            <w14:solidFill>
              <w14:schemeClr w14:val="tx1"/>
            </w14:solidFill>
          </w14:textFill>
        </w:rPr>
        <w:t>g</w:t>
      </w:r>
      <w:r>
        <w:rPr>
          <w:rFonts w:hint="default" w:ascii="Times New Roman" w:hAnsi="Times New Roman" w:cs="Times New Roman"/>
          <w:color w:val="000000" w:themeColor="text1"/>
          <w:sz w:val="20"/>
          <w:szCs w:val="20"/>
          <w:lang w:val="en-US"/>
          <w14:textFill>
            <w14:solidFill>
              <w14:schemeClr w14:val="tx1"/>
            </w14:solidFill>
          </w14:textFill>
        </w:rPr>
        <w:t xml:space="preserve"> exhibits harmonic oscillations, and waveform distortion remains minimal. The FFT spectra show that the total harmonic distortion (THD) of </w:t>
      </w:r>
      <w:r>
        <w:rPr>
          <w:rFonts w:hint="default" w:ascii="Times New Roman" w:hAnsi="Times New Roman" w:cs="Times New Roman"/>
          <w:i/>
          <w:iCs/>
          <w:color w:val="000000" w:themeColor="text1"/>
          <w:sz w:val="20"/>
          <w:szCs w:val="20"/>
          <w:lang w:val="en-US"/>
          <w14:textFill>
            <w14:solidFill>
              <w14:schemeClr w14:val="tx1"/>
            </w14:solidFill>
          </w14:textFill>
        </w:rPr>
        <w:t>u</w:t>
      </w:r>
      <w:r>
        <w:rPr>
          <w:rFonts w:hint="default" w:ascii="Times New Roman" w:hAnsi="Times New Roman" w:cs="Times New Roman"/>
          <w:color w:val="000000" w:themeColor="text1"/>
          <w:sz w:val="20"/>
          <w:szCs w:val="20"/>
          <w:vertAlign w:val="subscript"/>
          <w:lang w:val="en-US"/>
          <w14:textFill>
            <w14:solidFill>
              <w14:schemeClr w14:val="tx1"/>
            </w14:solidFill>
          </w14:textFill>
        </w:rPr>
        <w:t>PCC</w:t>
      </w:r>
      <w:r>
        <w:rPr>
          <w:rFonts w:hint="default" w:ascii="Times New Roman" w:hAnsi="Times New Roman" w:cs="Times New Roman"/>
          <w:color w:val="000000" w:themeColor="text1"/>
          <w:sz w:val="20"/>
          <w:szCs w:val="20"/>
          <w:lang w:val="en-US"/>
          <w14:textFill>
            <w14:solidFill>
              <w14:schemeClr w14:val="tx1"/>
            </w14:solidFill>
          </w14:textFill>
        </w:rPr>
        <w:t xml:space="preserve"> is 1.10%, and that of </w:t>
      </w:r>
      <w:r>
        <w:rPr>
          <w:rFonts w:hint="default" w:ascii="Times New Roman" w:hAnsi="Times New Roman" w:cs="Times New Roman"/>
          <w:i/>
          <w:iCs/>
          <w:color w:val="000000" w:themeColor="text1"/>
          <w:sz w:val="20"/>
          <w:szCs w:val="20"/>
          <w:lang w:val="en-US"/>
          <w14:textFill>
            <w14:solidFill>
              <w14:schemeClr w14:val="tx1"/>
            </w14:solidFill>
          </w14:textFill>
        </w:rPr>
        <w:t>i</w:t>
      </w:r>
      <w:r>
        <w:rPr>
          <w:rFonts w:hint="default" w:ascii="Times New Roman" w:hAnsi="Times New Roman" w:cs="Times New Roman"/>
          <w:color w:val="000000" w:themeColor="text1"/>
          <w:sz w:val="20"/>
          <w:szCs w:val="20"/>
          <w:vertAlign w:val="subscript"/>
          <w:lang w:val="en-US"/>
          <w14:textFill>
            <w14:solidFill>
              <w14:schemeClr w14:val="tx1"/>
            </w14:solidFill>
          </w14:textFill>
        </w:rPr>
        <w:t>g</w:t>
      </w:r>
      <w:r>
        <w:rPr>
          <w:rFonts w:hint="default" w:ascii="Times New Roman" w:hAnsi="Times New Roman" w:cs="Times New Roman"/>
          <w:color w:val="000000" w:themeColor="text1"/>
          <w:sz w:val="20"/>
          <w:szCs w:val="20"/>
          <w:lang w:val="en-US"/>
          <w14:textFill>
            <w14:solidFill>
              <w14:schemeClr w14:val="tx1"/>
            </w14:solidFill>
          </w14:textFill>
        </w:rPr>
        <w:t xml:space="preserve"> is 1.69%, both satisfying the harmonic limits for </w:t>
      </w:r>
      <w:r>
        <w:rPr>
          <w:rFonts w:hint="eastAsia" w:ascii="Times New Roman" w:hAnsi="Times New Roman" w:cs="Times New Roman"/>
          <w:color w:val="000000" w:themeColor="text1"/>
          <w:sz w:val="20"/>
          <w:szCs w:val="20"/>
          <w:lang w:val="en-US" w:eastAsia="zh-CN"/>
          <w14:textFill>
            <w14:solidFill>
              <w14:schemeClr w14:val="tx1"/>
            </w14:solidFill>
          </w14:textFill>
        </w:rPr>
        <w:t>GCI system</w:t>
      </w:r>
      <w:r>
        <w:rPr>
          <w:rFonts w:hint="default" w:ascii="Times New Roman" w:hAnsi="Times New Roman" w:cs="Times New Roman"/>
          <w:color w:val="000000" w:themeColor="text1"/>
          <w:sz w:val="20"/>
          <w:szCs w:val="20"/>
          <w:lang w:val="en-US"/>
          <w14:textFill>
            <w14:solidFill>
              <w14:schemeClr w14:val="tx1"/>
            </w14:solidFill>
          </w14:textFill>
        </w:rPr>
        <w:t xml:space="preserve">. In contrast, the </w:t>
      </w:r>
      <w:r>
        <w:rPr>
          <w:rFonts w:hint="default" w:ascii="Times New Roman" w:hAnsi="Times New Roman" w:cs="Times New Roman"/>
          <w:i/>
          <w:iCs/>
          <w:color w:val="000000" w:themeColor="text1"/>
          <w:sz w:val="20"/>
          <w:szCs w:val="20"/>
          <w:lang w:val="en-US"/>
          <w14:textFill>
            <w14:solidFill>
              <w14:schemeClr w14:val="tx1"/>
            </w14:solidFill>
          </w14:textFill>
        </w:rPr>
        <w:t>i</w:t>
      </w:r>
      <w:r>
        <w:rPr>
          <w:rFonts w:hint="default" w:ascii="Times New Roman" w:hAnsi="Times New Roman" w:cs="Times New Roman"/>
          <w:color w:val="000000" w:themeColor="text1"/>
          <w:sz w:val="20"/>
          <w:szCs w:val="20"/>
          <w:vertAlign w:val="subscript"/>
          <w:lang w:val="en-US"/>
          <w14:textFill>
            <w14:solidFill>
              <w14:schemeClr w14:val="tx1"/>
            </w14:solidFill>
          </w14:textFill>
        </w:rPr>
        <w:t>d</w:t>
      </w:r>
      <w:r>
        <w:rPr>
          <w:rFonts w:hint="default" w:ascii="Times New Roman" w:hAnsi="Times New Roman" w:cs="Times New Roman"/>
          <w:color w:val="000000" w:themeColor="text1"/>
          <w:sz w:val="20"/>
          <w:szCs w:val="20"/>
          <w:lang w:val="en-US"/>
          <w14:textFill>
            <w14:solidFill>
              <w14:schemeClr w14:val="tx1"/>
            </w14:solidFill>
          </w14:textFill>
        </w:rPr>
        <w:t xml:space="preserve"> waveform contains abundant harmonics and exhibits significant distortion. Its FFT results indicate a fundamental current amplitude of 6.10 A and a THD of 15.91%, demonstrating that most harmonic currents in the grid are absorbed by the damper branch. Moreover, the small capacitance of </w:t>
      </w:r>
      <w:r>
        <w:rPr>
          <w:rFonts w:hint="default" w:ascii="Times New Roman" w:hAnsi="Times New Roman" w:cs="Times New Roman"/>
          <w:i/>
          <w:iCs/>
          <w:color w:val="000000" w:themeColor="text1"/>
          <w:sz w:val="20"/>
          <w:szCs w:val="20"/>
          <w:lang w:val="en-US"/>
          <w14:textFill>
            <w14:solidFill>
              <w14:schemeClr w14:val="tx1"/>
            </w14:solidFill>
          </w14:textFill>
        </w:rPr>
        <w:t>C</w:t>
      </w:r>
      <w:r>
        <w:rPr>
          <w:rFonts w:hint="default" w:ascii="Times New Roman" w:hAnsi="Times New Roman" w:cs="Times New Roman"/>
          <w:color w:val="000000" w:themeColor="text1"/>
          <w:sz w:val="20"/>
          <w:szCs w:val="20"/>
          <w:vertAlign w:val="subscript"/>
          <w:lang w:val="en-US"/>
          <w14:textFill>
            <w14:solidFill>
              <w14:schemeClr w14:val="tx1"/>
            </w14:solidFill>
          </w14:textFill>
        </w:rPr>
        <w:t>1d</w:t>
      </w:r>
      <w:r>
        <w:rPr>
          <w:rFonts w:hint="default" w:ascii="Times New Roman" w:hAnsi="Times New Roman" w:cs="Times New Roman"/>
          <w:color w:val="000000" w:themeColor="text1"/>
          <w:sz w:val="20"/>
          <w:szCs w:val="20"/>
          <w:lang w:val="en-US"/>
          <w14:textFill>
            <w14:solidFill>
              <w14:schemeClr w14:val="tx1"/>
            </w14:solidFill>
          </w14:textFill>
        </w:rPr>
        <w:t xml:space="preserve"> isolates the majority of the fundamental-frequency current, thereby minimizing the fundamental-frequency losses introduced by the parallel damp</w:t>
      </w:r>
      <w:r>
        <w:rPr>
          <w:rFonts w:hint="eastAsia" w:ascii="Times New Roman" w:hAnsi="Times New Roman" w:cs="Times New Roman"/>
          <w:color w:val="000000" w:themeColor="text1"/>
          <w:sz w:val="20"/>
          <w:szCs w:val="20"/>
          <w:lang w:val="en-US" w:eastAsia="zh-CN"/>
          <w14:textFill>
            <w14:solidFill>
              <w14:schemeClr w14:val="tx1"/>
            </w14:solidFill>
          </w14:textFill>
        </w:rPr>
        <w:t>ing device</w:t>
      </w:r>
      <w:r>
        <w:rPr>
          <w:rFonts w:hint="default" w:ascii="Times New Roman" w:hAnsi="Times New Roman" w:cs="Times New Roman"/>
          <w:color w:val="000000" w:themeColor="text1"/>
          <w:sz w:val="20"/>
          <w:szCs w:val="20"/>
          <w:lang w:val="en-US"/>
          <w14:textFill>
            <w14:solidFill>
              <w14:schemeClr w14:val="tx1"/>
            </w14:solidFill>
          </w14:textFill>
        </w:rPr>
        <w:t>.</w:t>
      </w:r>
    </w:p>
    <w:p>
      <w:pPr>
        <w:ind w:firstLine="400"/>
        <w:jc w:val="both"/>
        <w:rPr>
          <w:rFonts w:hint="eastAsia"/>
          <w:lang w:val="en-US"/>
        </w:rPr>
      </w:pPr>
      <w:r>
        <w:rPr>
          <w:rFonts w:hint="default" w:ascii="Times New Roman" w:hAnsi="Times New Roman" w:cs="Times New Roman"/>
          <w:color w:val="000000" w:themeColor="text1"/>
          <w:sz w:val="20"/>
          <w:szCs w:val="20"/>
          <w:lang w:val="en-US"/>
          <w14:textFill>
            <w14:solidFill>
              <w14:schemeClr w14:val="tx1"/>
            </w14:solidFill>
          </w14:textFill>
        </w:rPr>
        <w:t xml:space="preserve">A series harmonic voltage source was applied to the grid, with an amplitude equal to 2% of the rated grid voltage. The harmonic frequencies were 1196 Hz and 4000 Hz, and the simulation </w:t>
      </w:r>
      <w:r>
        <w:rPr>
          <w:rFonts w:hint="eastAsia"/>
          <w:color w:val="000000" w:themeColor="text1"/>
          <w:sz w:val="20"/>
          <w:szCs w:val="20"/>
          <w14:textFill>
            <w14:solidFill>
              <w14:schemeClr w14:val="tx1"/>
            </w14:solidFill>
          </w14:textFill>
        </w:rPr>
        <w:t>duration</w:t>
      </w:r>
      <w:r>
        <w:rPr>
          <w:rFonts w:hint="default" w:ascii="Times New Roman" w:hAnsi="Times New Roman" w:cs="Times New Roman"/>
          <w:color w:val="000000" w:themeColor="text1"/>
          <w:sz w:val="20"/>
          <w:szCs w:val="20"/>
          <w:lang w:val="en-US"/>
          <w14:textFill>
            <w14:solidFill>
              <w14:schemeClr w14:val="tx1"/>
            </w14:solidFill>
          </w14:textFill>
        </w:rPr>
        <w:t xml:space="preserve"> was 0.5 s. Fig. 1</w:t>
      </w:r>
      <w:r>
        <w:rPr>
          <w:rFonts w:hint="eastAsia" w:cs="Times New Roman"/>
          <w:color w:val="000000" w:themeColor="text1"/>
          <w:sz w:val="20"/>
          <w:szCs w:val="20"/>
          <w:lang w:val="en-US" w:eastAsia="zh-CN"/>
          <w14:textFill>
            <w14:solidFill>
              <w14:schemeClr w14:val="tx1"/>
            </w14:solidFill>
          </w14:textFill>
        </w:rPr>
        <w:t>1</w:t>
      </w:r>
      <w:r>
        <w:rPr>
          <w:rFonts w:hint="default" w:ascii="Times New Roman" w:hAnsi="Times New Roman" w:cs="Times New Roman"/>
          <w:color w:val="000000" w:themeColor="text1"/>
          <w:sz w:val="20"/>
          <w:szCs w:val="20"/>
          <w:lang w:val="en-US"/>
          <w14:textFill>
            <w14:solidFill>
              <w14:schemeClr w14:val="tx1"/>
            </w14:solidFill>
          </w14:textFill>
        </w:rPr>
        <w:t xml:space="preserve"> presents the waveforms and FFT spectra of </w:t>
      </w:r>
      <w:r>
        <w:rPr>
          <w:rFonts w:hint="default" w:ascii="Times New Roman" w:hAnsi="Times New Roman" w:cs="Times New Roman"/>
          <w:i/>
          <w:iCs/>
          <w:color w:val="000000" w:themeColor="text1"/>
          <w:sz w:val="20"/>
          <w:szCs w:val="20"/>
          <w:lang w:val="en-US"/>
          <w14:textFill>
            <w14:solidFill>
              <w14:schemeClr w14:val="tx1"/>
            </w14:solidFill>
          </w14:textFill>
        </w:rPr>
        <w:t>u</w:t>
      </w:r>
      <w:r>
        <w:rPr>
          <w:rFonts w:hint="default" w:ascii="Times New Roman" w:hAnsi="Times New Roman" w:cs="Times New Roman"/>
          <w:color w:val="000000" w:themeColor="text1"/>
          <w:sz w:val="20"/>
          <w:szCs w:val="20"/>
          <w:vertAlign w:val="subscript"/>
          <w:lang w:val="en-US"/>
          <w14:textFill>
            <w14:solidFill>
              <w14:schemeClr w14:val="tx1"/>
            </w14:solidFill>
          </w14:textFill>
        </w:rPr>
        <w:t>PCC</w:t>
      </w:r>
      <w:r>
        <w:rPr>
          <w:rFonts w:hint="default" w:ascii="Times New Roman" w:hAnsi="Times New Roman" w:cs="Times New Roman"/>
          <w:color w:val="000000" w:themeColor="text1"/>
          <w:sz w:val="20"/>
          <w:szCs w:val="20"/>
          <w:lang w:val="en-US"/>
          <w14:textFill>
            <w14:solidFill>
              <w14:schemeClr w14:val="tx1"/>
            </w14:solidFill>
          </w14:textFill>
        </w:rPr>
        <w:t xml:space="preserve">, </w:t>
      </w:r>
      <w:r>
        <w:rPr>
          <w:rFonts w:hint="default" w:ascii="Times New Roman" w:hAnsi="Times New Roman" w:cs="Times New Roman"/>
          <w:i/>
          <w:iCs/>
          <w:color w:val="000000" w:themeColor="text1"/>
          <w:sz w:val="20"/>
          <w:szCs w:val="20"/>
          <w:lang w:val="en-US"/>
          <w14:textFill>
            <w14:solidFill>
              <w14:schemeClr w14:val="tx1"/>
            </w14:solidFill>
          </w14:textFill>
        </w:rPr>
        <w:t>i</w:t>
      </w:r>
      <w:r>
        <w:rPr>
          <w:rFonts w:hint="default" w:ascii="Times New Roman" w:hAnsi="Times New Roman" w:cs="Times New Roman"/>
          <w:color w:val="000000" w:themeColor="text1"/>
          <w:sz w:val="20"/>
          <w:szCs w:val="20"/>
          <w:vertAlign w:val="subscript"/>
          <w:lang w:val="en-US"/>
          <w14:textFill>
            <w14:solidFill>
              <w14:schemeClr w14:val="tx1"/>
            </w14:solidFill>
          </w14:textFill>
        </w:rPr>
        <w:t>g</w:t>
      </w:r>
      <w:r>
        <w:rPr>
          <w:rFonts w:hint="default" w:ascii="Times New Roman" w:hAnsi="Times New Roman" w:cs="Times New Roman"/>
          <w:color w:val="000000" w:themeColor="text1"/>
          <w:sz w:val="20"/>
          <w:szCs w:val="20"/>
          <w:lang w:val="en-US"/>
          <w14:textFill>
            <w14:solidFill>
              <w14:schemeClr w14:val="tx1"/>
            </w14:solidFill>
          </w14:textFill>
        </w:rPr>
        <w:t xml:space="preserve">, and </w:t>
      </w:r>
      <w:r>
        <w:rPr>
          <w:rFonts w:hint="default" w:ascii="Times New Roman" w:hAnsi="Times New Roman" w:cs="Times New Roman"/>
          <w:i/>
          <w:iCs/>
          <w:color w:val="000000" w:themeColor="text1"/>
          <w:sz w:val="20"/>
          <w:szCs w:val="20"/>
          <w:lang w:val="en-US"/>
          <w14:textFill>
            <w14:solidFill>
              <w14:schemeClr w14:val="tx1"/>
            </w14:solidFill>
          </w14:textFill>
        </w:rPr>
        <w:t>i</w:t>
      </w:r>
      <w:r>
        <w:rPr>
          <w:rFonts w:hint="default" w:ascii="Times New Roman" w:hAnsi="Times New Roman" w:cs="Times New Roman"/>
          <w:color w:val="000000" w:themeColor="text1"/>
          <w:sz w:val="20"/>
          <w:szCs w:val="20"/>
          <w:vertAlign w:val="subscript"/>
          <w:lang w:val="en-US"/>
          <w14:textFill>
            <w14:solidFill>
              <w14:schemeClr w14:val="tx1"/>
            </w14:solidFill>
          </w14:textFill>
        </w:rPr>
        <w:t>d</w:t>
      </w:r>
      <w:r>
        <w:rPr>
          <w:rFonts w:hint="default" w:ascii="Times New Roman" w:hAnsi="Times New Roman" w:cs="Times New Roman"/>
          <w:color w:val="000000" w:themeColor="text1"/>
          <w:sz w:val="20"/>
          <w:szCs w:val="20"/>
          <w:lang w:val="en-US"/>
          <w14:textFill>
            <w14:solidFill>
              <w14:schemeClr w14:val="tx1"/>
            </w14:solidFill>
          </w14:textFill>
        </w:rPr>
        <w:t xml:space="preserve"> under harmonic voltage disturbance.</w:t>
      </w:r>
    </w:p>
    <w:p>
      <w:pPr>
        <w:widowControl w:val="0"/>
        <w:topLinePunct/>
        <w:jc w:val="center"/>
        <w:rPr>
          <w:rFonts w:hint="eastAsia"/>
          <w:lang w:val="en-US"/>
        </w:rPr>
      </w:pPr>
      <w:r>
        <w:rPr>
          <w:rFonts w:hint="eastAsia"/>
          <w:lang w:val="en-US"/>
        </w:rPr>
        <w:object>
          <v:shape id="_x0000_i1044" o:spt="75" type="#_x0000_t75" style="height:187.15pt;width:232.8pt;" o:ole="t" filled="f" o:preferrelative="t" stroked="f" coordsize="21600,21600">
            <v:path/>
            <v:fill on="f" focussize="0,0"/>
            <v:stroke on="f"/>
            <v:imagedata r:id="rId55" o:title=""/>
            <o:lock v:ext="edit" aspectratio="f"/>
            <w10:wrap type="none"/>
            <w10:anchorlock/>
          </v:shape>
          <o:OLEObject Type="Embed" ProgID="Visio.Drawing.15" ShapeID="_x0000_i1044" DrawAspect="Content" ObjectID="_1468075744" r:id="rId54">
            <o:LockedField>false</o:LockedField>
          </o:OLEObject>
        </w:object>
      </w:r>
    </w:p>
    <w:p>
      <w:pPr>
        <w:widowControl w:val="0"/>
        <w:topLinePunct/>
        <w:ind w:firstLine="402" w:firstLineChars="200"/>
        <w:jc w:val="center"/>
        <w:rPr>
          <w:rFonts w:hint="default"/>
          <w:spacing w:val="6"/>
          <w:kern w:val="20"/>
          <w:sz w:val="20"/>
          <w:lang w:val="en-US"/>
        </w:rPr>
      </w:pPr>
      <w:r>
        <w:rPr>
          <w:b/>
          <w:bCs/>
          <w:i/>
          <w:iCs/>
          <w:color w:val="000000" w:themeColor="text1"/>
          <w:sz w:val="20"/>
          <w:szCs w:val="20"/>
          <w:lang w:val="en-US"/>
          <w14:textFill>
            <w14:solidFill>
              <w14:schemeClr w14:val="tx1"/>
            </w14:solidFill>
          </w14:textFill>
        </w:rPr>
        <w:t>Fig.1</w:t>
      </w:r>
      <w:r>
        <w:rPr>
          <w:rFonts w:hint="eastAsia"/>
          <w:b/>
          <w:bCs/>
          <w:i/>
          <w:iCs/>
          <w:color w:val="000000" w:themeColor="text1"/>
          <w:sz w:val="20"/>
          <w:szCs w:val="20"/>
          <w:lang w:val="en-US" w:eastAsia="zh-CN"/>
          <w14:textFill>
            <w14:solidFill>
              <w14:schemeClr w14:val="tx1"/>
            </w14:solidFill>
          </w14:textFill>
        </w:rPr>
        <w:t>1</w:t>
      </w:r>
      <w:r>
        <w:rPr>
          <w:spacing w:val="6"/>
          <w:kern w:val="20"/>
          <w:sz w:val="20"/>
          <w:lang w:val="en-US"/>
        </w:rPr>
        <w:t xml:space="preserve"> </w:t>
      </w:r>
      <w:r>
        <w:rPr>
          <w:rFonts w:hint="eastAsia"/>
          <w:i/>
          <w:iCs/>
          <w:spacing w:val="6"/>
          <w:kern w:val="20"/>
          <w:sz w:val="20"/>
          <w:lang w:val="en-US" w:eastAsia="zh-CN"/>
        </w:rPr>
        <w:t>Waveforms and FFT spectra with parallel damping device under harmonic voltage disturbance</w:t>
      </w:r>
    </w:p>
    <w:p>
      <w:pPr>
        <w:ind w:firstLine="400"/>
        <w:jc w:val="both"/>
        <w:rPr>
          <w:rFonts w:hint="default" w:ascii="Times New Roman" w:hAnsi="Times New Roman" w:cs="Times New Roman"/>
          <w:color w:val="000000" w:themeColor="text1"/>
          <w:sz w:val="20"/>
          <w:szCs w:val="20"/>
          <w:lang w:val="en-US"/>
          <w14:textFill>
            <w14:solidFill>
              <w14:schemeClr w14:val="tx1"/>
            </w14:solidFill>
          </w14:textFill>
        </w:rPr>
      </w:pPr>
      <w:r>
        <w:rPr>
          <w:rFonts w:hint="default" w:ascii="Times New Roman" w:hAnsi="Times New Roman" w:cs="Times New Roman"/>
          <w:color w:val="000000" w:themeColor="text1"/>
          <w:sz w:val="20"/>
          <w:szCs w:val="20"/>
          <w14:textFill>
            <w14:solidFill>
              <w14:schemeClr w14:val="tx1"/>
            </w14:solidFill>
          </w14:textFill>
        </w:rPr>
        <w:t>As illustrated in Fig</w:t>
      </w:r>
      <w:r>
        <w:rPr>
          <w:rFonts w:hint="default" w:ascii="Times New Roman" w:hAnsi="Times New Roman" w:cs="Times New Roman"/>
          <w:color w:val="000000" w:themeColor="text1"/>
          <w:sz w:val="20"/>
          <w:szCs w:val="20"/>
          <w:lang w:val="en-US" w:eastAsia="zh-CN"/>
          <w14:textFill>
            <w14:solidFill>
              <w14:schemeClr w14:val="tx1"/>
            </w14:solidFill>
          </w14:textFill>
        </w:rPr>
        <w:t>.</w:t>
      </w:r>
      <w:r>
        <w:rPr>
          <w:rFonts w:hint="default" w:ascii="Times New Roman" w:hAnsi="Times New Roman" w:cs="Times New Roman"/>
          <w:color w:val="000000" w:themeColor="text1"/>
          <w:sz w:val="20"/>
          <w:szCs w:val="20"/>
          <w14:textFill>
            <w14:solidFill>
              <w14:schemeClr w14:val="tx1"/>
            </w14:solidFill>
          </w14:textFill>
        </w:rPr>
        <w:t xml:space="preserve"> 1</w:t>
      </w:r>
      <w:r>
        <w:rPr>
          <w:rFonts w:hint="eastAsia" w:cs="Times New Roman"/>
          <w:color w:val="000000" w:themeColor="text1"/>
          <w:sz w:val="20"/>
          <w:szCs w:val="20"/>
          <w:lang w:val="en-US" w:eastAsia="zh-CN"/>
          <w14:textFill>
            <w14:solidFill>
              <w14:schemeClr w14:val="tx1"/>
            </w14:solidFill>
          </w14:textFill>
        </w:rPr>
        <w:t>1</w:t>
      </w:r>
      <w:r>
        <w:rPr>
          <w:rFonts w:hint="default" w:ascii="Times New Roman" w:hAnsi="Times New Roman" w:cs="Times New Roman"/>
          <w:color w:val="000000" w:themeColor="text1"/>
          <w:sz w:val="20"/>
          <w:szCs w:val="20"/>
          <w14:textFill>
            <w14:solidFill>
              <w14:schemeClr w14:val="tx1"/>
            </w14:solidFill>
          </w14:textFill>
        </w:rPr>
        <w:t xml:space="preserve">, after the direct-mounted damping device is connected in parallel, when background harmonic voltages are present in the grid and their frequencies coincide with the system’s series resonance points, neither </w:t>
      </w:r>
      <w:r>
        <w:rPr>
          <w:rFonts w:hint="default" w:ascii="Times New Roman" w:hAnsi="Times New Roman" w:cs="Times New Roman"/>
          <w:i/>
          <w:iCs/>
          <w:color w:val="000000" w:themeColor="text1"/>
          <w:sz w:val="20"/>
          <w:szCs w:val="20"/>
          <w:lang w:val="en-US"/>
          <w14:textFill>
            <w14:solidFill>
              <w14:schemeClr w14:val="tx1"/>
            </w14:solidFill>
          </w14:textFill>
        </w:rPr>
        <w:t>u</w:t>
      </w:r>
      <w:r>
        <w:rPr>
          <w:rFonts w:hint="default" w:ascii="Times New Roman" w:hAnsi="Times New Roman" w:cs="Times New Roman"/>
          <w:color w:val="000000" w:themeColor="text1"/>
          <w:sz w:val="20"/>
          <w:szCs w:val="20"/>
          <w:vertAlign w:val="subscript"/>
          <w:lang w:val="en-US"/>
          <w14:textFill>
            <w14:solidFill>
              <w14:schemeClr w14:val="tx1"/>
            </w14:solidFill>
          </w14:textFill>
        </w:rPr>
        <w:t>PCC</w:t>
      </w:r>
      <w:r>
        <w:rPr>
          <w:rFonts w:hint="default" w:ascii="Times New Roman" w:hAnsi="Times New Roman" w:cs="Times New Roman"/>
          <w:color w:val="000000" w:themeColor="text1"/>
          <w:sz w:val="20"/>
          <w:szCs w:val="20"/>
          <w:lang w:val="en-US"/>
          <w14:textFill>
            <w14:solidFill>
              <w14:schemeClr w14:val="tx1"/>
            </w14:solidFill>
          </w14:textFill>
        </w:rPr>
        <w:t xml:space="preserve"> nor </w:t>
      </w:r>
      <w:r>
        <w:rPr>
          <w:rFonts w:hint="default" w:ascii="Times New Roman" w:hAnsi="Times New Roman" w:cs="Times New Roman"/>
          <w:i/>
          <w:iCs/>
          <w:color w:val="000000" w:themeColor="text1"/>
          <w:sz w:val="20"/>
          <w:szCs w:val="20"/>
          <w:lang w:val="en-US"/>
          <w14:textFill>
            <w14:solidFill>
              <w14:schemeClr w14:val="tx1"/>
            </w14:solidFill>
          </w14:textFill>
        </w:rPr>
        <w:t>i</w:t>
      </w:r>
      <w:r>
        <w:rPr>
          <w:rFonts w:hint="default" w:ascii="Times New Roman" w:hAnsi="Times New Roman" w:cs="Times New Roman"/>
          <w:color w:val="000000" w:themeColor="text1"/>
          <w:sz w:val="20"/>
          <w:szCs w:val="20"/>
          <w:vertAlign w:val="subscript"/>
          <w:lang w:val="en-US"/>
          <w14:textFill>
            <w14:solidFill>
              <w14:schemeClr w14:val="tx1"/>
            </w14:solidFill>
          </w14:textFill>
        </w:rPr>
        <w:t>g</w:t>
      </w:r>
      <w:r>
        <w:rPr>
          <w:rFonts w:hint="default" w:ascii="Times New Roman" w:hAnsi="Times New Roman" w:cs="Times New Roman"/>
          <w:color w:val="000000" w:themeColor="text1"/>
          <w:sz w:val="20"/>
          <w:szCs w:val="20"/>
          <w:lang w:val="en-US"/>
          <w14:textFill>
            <w14:solidFill>
              <w14:schemeClr w14:val="tx1"/>
            </w14:solidFill>
          </w14:textFill>
        </w:rPr>
        <w:t xml:space="preserve"> exhibits</w:t>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 </w:t>
      </w:r>
      <w:r>
        <w:rPr>
          <w:rFonts w:hint="default" w:ascii="Times New Roman" w:hAnsi="Times New Roman" w:cs="Times New Roman"/>
          <w:color w:val="000000" w:themeColor="text1"/>
          <w:sz w:val="20"/>
          <w:szCs w:val="20"/>
          <w14:textFill>
            <w14:solidFill>
              <w14:schemeClr w14:val="tx1"/>
            </w14:solidFill>
          </w14:textFill>
        </w:rPr>
        <w:t xml:space="preserve">harmonic oscillations, and waveform distortion remains minimal. The FFT spectra show that the total harmonic distortion (THD) of </w:t>
      </w:r>
      <w:r>
        <w:rPr>
          <w:rFonts w:hint="default" w:ascii="Times New Roman" w:hAnsi="Times New Roman" w:cs="Times New Roman"/>
          <w:i/>
          <w:iCs/>
          <w:color w:val="000000" w:themeColor="text1"/>
          <w:sz w:val="20"/>
          <w:szCs w:val="20"/>
          <w:lang w:val="en-US"/>
          <w14:textFill>
            <w14:solidFill>
              <w14:schemeClr w14:val="tx1"/>
            </w14:solidFill>
          </w14:textFill>
        </w:rPr>
        <w:t>u</w:t>
      </w:r>
      <w:r>
        <w:rPr>
          <w:rFonts w:hint="default" w:ascii="Times New Roman" w:hAnsi="Times New Roman" w:cs="Times New Roman"/>
          <w:color w:val="000000" w:themeColor="text1"/>
          <w:sz w:val="20"/>
          <w:szCs w:val="20"/>
          <w:vertAlign w:val="subscript"/>
          <w:lang w:val="en-US"/>
          <w14:textFill>
            <w14:solidFill>
              <w14:schemeClr w14:val="tx1"/>
            </w14:solidFill>
          </w14:textFill>
        </w:rPr>
        <w:t>PCC</w:t>
      </w:r>
      <w:r>
        <w:rPr>
          <w:rFonts w:hint="default" w:ascii="Times New Roman" w:hAnsi="Times New Roman" w:cs="Times New Roman"/>
          <w:color w:val="000000" w:themeColor="text1"/>
          <w:sz w:val="20"/>
          <w:szCs w:val="20"/>
          <w14:textFill>
            <w14:solidFill>
              <w14:schemeClr w14:val="tx1"/>
            </w14:solidFill>
          </w14:textFill>
        </w:rPr>
        <w:t xml:space="preserve"> is 1.75%, and that of </w:t>
      </w:r>
      <w:r>
        <w:rPr>
          <w:rFonts w:hint="default" w:ascii="Times New Roman" w:hAnsi="Times New Roman" w:cs="Times New Roman"/>
          <w:i/>
          <w:iCs/>
          <w:color w:val="000000" w:themeColor="text1"/>
          <w:sz w:val="20"/>
          <w:szCs w:val="20"/>
          <w:lang w:val="en-US"/>
          <w14:textFill>
            <w14:solidFill>
              <w14:schemeClr w14:val="tx1"/>
            </w14:solidFill>
          </w14:textFill>
        </w:rPr>
        <w:t>i</w:t>
      </w:r>
      <w:r>
        <w:rPr>
          <w:rFonts w:hint="default" w:ascii="Times New Roman" w:hAnsi="Times New Roman" w:cs="Times New Roman"/>
          <w:color w:val="000000" w:themeColor="text1"/>
          <w:sz w:val="20"/>
          <w:szCs w:val="20"/>
          <w:vertAlign w:val="subscript"/>
          <w:lang w:val="en-US"/>
          <w14:textFill>
            <w14:solidFill>
              <w14:schemeClr w14:val="tx1"/>
            </w14:solidFill>
          </w14:textFill>
        </w:rPr>
        <w:t>g</w:t>
      </w:r>
      <w:r>
        <w:rPr>
          <w:rFonts w:hint="default" w:ascii="Times New Roman" w:hAnsi="Times New Roman" w:cs="Times New Roman"/>
          <w:color w:val="000000" w:themeColor="text1"/>
          <w:sz w:val="20"/>
          <w:szCs w:val="20"/>
          <w14:textFill>
            <w14:solidFill>
              <w14:schemeClr w14:val="tx1"/>
            </w14:solidFill>
          </w14:textFill>
        </w:rPr>
        <w:t xml:space="preserve"> is 1.74%, both satisfying the harmonic limits for GCI system. In contrast, the </w:t>
      </w:r>
      <w:r>
        <w:rPr>
          <w:rFonts w:hint="default" w:ascii="Times New Roman" w:hAnsi="Times New Roman" w:cs="Times New Roman"/>
          <w:i/>
          <w:iCs/>
          <w:color w:val="000000" w:themeColor="text1"/>
          <w:sz w:val="20"/>
          <w:szCs w:val="20"/>
          <w:lang w:val="en-US"/>
          <w14:textFill>
            <w14:solidFill>
              <w14:schemeClr w14:val="tx1"/>
            </w14:solidFill>
          </w14:textFill>
        </w:rPr>
        <w:t>i</w:t>
      </w:r>
      <w:r>
        <w:rPr>
          <w:rFonts w:hint="default" w:ascii="Times New Roman" w:hAnsi="Times New Roman" w:cs="Times New Roman"/>
          <w:color w:val="000000" w:themeColor="text1"/>
          <w:sz w:val="20"/>
          <w:szCs w:val="20"/>
          <w:vertAlign w:val="subscript"/>
          <w:lang w:val="en-US"/>
          <w14:textFill>
            <w14:solidFill>
              <w14:schemeClr w14:val="tx1"/>
            </w14:solidFill>
          </w14:textFill>
        </w:rPr>
        <w:t>d</w:t>
      </w:r>
      <w:r>
        <w:rPr>
          <w:rFonts w:hint="default" w:ascii="Times New Roman" w:hAnsi="Times New Roman" w:cs="Times New Roman"/>
          <w:color w:val="000000" w:themeColor="text1"/>
          <w:sz w:val="20"/>
          <w:szCs w:val="20"/>
          <w14:textFill>
            <w14:solidFill>
              <w14:schemeClr w14:val="tx1"/>
            </w14:solidFill>
          </w14:textFill>
        </w:rPr>
        <w:tab/>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 </w:t>
      </w:r>
      <w:r>
        <w:rPr>
          <w:rFonts w:hint="default" w:ascii="Times New Roman" w:hAnsi="Times New Roman" w:cs="Times New Roman"/>
          <w:color w:val="000000" w:themeColor="text1"/>
          <w:sz w:val="20"/>
          <w:szCs w:val="20"/>
          <w14:textFill>
            <w14:solidFill>
              <w14:schemeClr w14:val="tx1"/>
            </w14:solidFill>
          </w14:textFill>
        </w:rPr>
        <w:t xml:space="preserve">waveform contains abundant high-frequency harmonics and exhibits pronounced distortion. Its FFT analysis indicates a fundamental amplitude of 6.10 A and a THD of 12.40%, confirming that the high-frequency path provided by the damping device absorbs most grid harmonics. These results verify the effectiveness of the direct-mounted damping device in suppressing broadband harmonic oscillations in </w:t>
      </w:r>
      <w:r>
        <w:rPr>
          <w:rFonts w:hint="eastAsia" w:cs="Times New Roman"/>
          <w:color w:val="000000" w:themeColor="text1"/>
          <w:sz w:val="20"/>
          <w:szCs w:val="20"/>
          <w:lang w:val="en-US" w:eastAsia="zh-CN"/>
          <w14:textFill>
            <w14:solidFill>
              <w14:schemeClr w14:val="tx1"/>
            </w14:solidFill>
          </w14:textFill>
        </w:rPr>
        <w:t xml:space="preserve">high DG penetration </w:t>
      </w:r>
      <w:r>
        <w:rPr>
          <w:rFonts w:hint="default" w:ascii="Times New Roman" w:hAnsi="Times New Roman" w:cs="Times New Roman"/>
          <w:color w:val="000000" w:themeColor="text1"/>
          <w:sz w:val="20"/>
          <w:szCs w:val="20"/>
          <w14:textFill>
            <w14:solidFill>
              <w14:schemeClr w14:val="tx1"/>
            </w14:solidFill>
          </w14:textFill>
        </w:rPr>
        <w:t>distribution networks.</w:t>
      </w:r>
    </w:p>
    <w:p>
      <w:pPr>
        <w:pStyle w:val="44"/>
        <w:numPr>
          <w:ilvl w:val="1"/>
          <w:numId w:val="4"/>
        </w:numPr>
        <w:rPr>
          <w:rFonts w:hint="eastAsia"/>
          <w:color w:val="000000" w:themeColor="text1"/>
          <w:lang w:val="en-US"/>
          <w14:textFill>
            <w14:solidFill>
              <w14:schemeClr w14:val="tx1"/>
            </w14:solidFill>
          </w14:textFill>
        </w:rPr>
      </w:pPr>
      <w:r>
        <w:rPr>
          <w:color w:val="000000" w:themeColor="text1"/>
          <w:lang w:val="en-US"/>
          <w14:textFill>
            <w14:solidFill>
              <w14:schemeClr w14:val="tx1"/>
            </w14:solidFill>
          </w14:textFill>
        </w:rPr>
        <w:t>Experimental verification</w:t>
      </w:r>
    </w:p>
    <w:p>
      <w:pPr>
        <w:ind w:firstLine="400"/>
        <w:jc w:val="both"/>
        <w:rPr>
          <w:color w:val="000000" w:themeColor="text1"/>
          <w:sz w:val="20"/>
          <w:szCs w:val="20"/>
          <w:lang w:val="en-US"/>
          <w14:textFill>
            <w14:solidFill>
              <w14:schemeClr w14:val="tx1"/>
            </w14:solidFill>
          </w14:textFill>
        </w:rPr>
      </w:pPr>
      <w:r>
        <w:rPr>
          <w:rFonts w:hint="eastAsia"/>
          <w:color w:val="000000" w:themeColor="text1"/>
          <w:sz w:val="20"/>
          <w:szCs w:val="20"/>
          <w14:textFill>
            <w14:solidFill>
              <w14:schemeClr w14:val="tx1"/>
            </w14:solidFill>
          </w14:textFill>
        </w:rPr>
        <w:t>To further verify the general effectiveness of the direct-mounted damping device in suppressing broadband oscillations, an additional inverter was connected in parallel with the system shown in Fig</w:t>
      </w:r>
      <w:r>
        <w:rPr>
          <w:rFonts w:hint="eastAsia"/>
          <w:color w:val="000000" w:themeColor="text1"/>
          <w:sz w:val="20"/>
          <w:szCs w:val="20"/>
          <w:lang w:val="en-US" w:eastAsia="zh-CN"/>
          <w14:textFill>
            <w14:solidFill>
              <w14:schemeClr w14:val="tx1"/>
            </w14:solidFill>
          </w14:textFill>
        </w:rPr>
        <w:t>.</w:t>
      </w:r>
      <w:r>
        <w:rPr>
          <w:rFonts w:hint="eastAsia"/>
          <w:color w:val="000000" w:themeColor="text1"/>
          <w:sz w:val="20"/>
          <w:szCs w:val="20"/>
          <w14:textFill>
            <w14:solidFill>
              <w14:schemeClr w14:val="tx1"/>
            </w14:solidFill>
          </w14:textFill>
        </w:rPr>
        <w:t xml:space="preserve"> 2. Its control structure was identical to that of Inverter 2. The inverter control block diagram and detailed grid-connected parameters are provided in Appendix.</w:t>
      </w:r>
      <w:r>
        <w:rPr>
          <w:rFonts w:hint="eastAsia"/>
          <w:color w:val="000000" w:themeColor="text1"/>
          <w:sz w:val="20"/>
          <w:szCs w:val="20"/>
          <w:lang w:val="en-US" w:eastAsia="zh-CN"/>
          <w14:textFill>
            <w14:solidFill>
              <w14:schemeClr w14:val="tx1"/>
            </w14:solidFill>
          </w14:textFill>
        </w:rPr>
        <w:t xml:space="preserve"> </w:t>
      </w:r>
      <w:r>
        <w:rPr>
          <w:rFonts w:hint="eastAsia"/>
          <w:color w:val="000000" w:themeColor="text1"/>
          <w:sz w:val="20"/>
          <w:szCs w:val="20"/>
          <w14:textFill>
            <w14:solidFill>
              <w14:schemeClr w14:val="tx1"/>
            </w14:solidFill>
          </w14:textFill>
        </w:rPr>
        <w:t>The damping device parameters are listed in Table 6. The frequency-response curves of the system before and after the parallel connection of the direct-mounted damping device are plotted, as illustrated in Fig</w:t>
      </w:r>
      <w:r>
        <w:rPr>
          <w:rFonts w:hint="eastAsia"/>
          <w:color w:val="000000" w:themeColor="text1"/>
          <w:sz w:val="20"/>
          <w:szCs w:val="20"/>
          <w:lang w:val="en-US" w:eastAsia="zh-CN"/>
          <w14:textFill>
            <w14:solidFill>
              <w14:schemeClr w14:val="tx1"/>
            </w14:solidFill>
          </w14:textFill>
        </w:rPr>
        <w:t>.</w:t>
      </w:r>
      <w:r>
        <w:rPr>
          <w:rFonts w:hint="eastAsia"/>
          <w:color w:val="000000" w:themeColor="text1"/>
          <w:sz w:val="20"/>
          <w:szCs w:val="20"/>
          <w14:textFill>
            <w14:solidFill>
              <w14:schemeClr w14:val="tx1"/>
            </w14:solidFill>
          </w14:textFill>
        </w:rPr>
        <w:t xml:space="preserve"> 1</w:t>
      </w:r>
      <w:r>
        <w:rPr>
          <w:rFonts w:hint="eastAsia"/>
          <w:color w:val="000000" w:themeColor="text1"/>
          <w:sz w:val="20"/>
          <w:szCs w:val="20"/>
          <w:lang w:val="en-US" w:eastAsia="zh-CN"/>
          <w14:textFill>
            <w14:solidFill>
              <w14:schemeClr w14:val="tx1"/>
            </w14:solidFill>
          </w14:textFill>
        </w:rPr>
        <w:t>2</w:t>
      </w:r>
      <w:r>
        <w:rPr>
          <w:rFonts w:hint="eastAsia"/>
          <w:color w:val="000000" w:themeColor="text1"/>
          <w:sz w:val="20"/>
          <w:szCs w:val="20"/>
          <w14:textFill>
            <w14:solidFill>
              <w14:schemeClr w14:val="tx1"/>
            </w14:solidFill>
          </w14:textFill>
        </w:rPr>
        <w:t>.</w:t>
      </w:r>
    </w:p>
    <w:p>
      <w:pPr>
        <w:jc w:val="center"/>
      </w:pPr>
      <w:r>
        <w:rPr>
          <w:rFonts w:hint="eastAsia"/>
        </w:rPr>
        <w:object>
          <v:shape id="_x0000_i1045" o:spt="75" type="#_x0000_t75" style="height:153.5pt;width:184.5pt;" o:ole="t" filled="f" o:preferrelative="t" stroked="f" coordsize="21600,21600">
            <v:path/>
            <v:fill on="f" focussize="0,0"/>
            <v:stroke on="f"/>
            <v:imagedata r:id="rId57" o:title=""/>
            <o:lock v:ext="edit" aspectratio="f"/>
            <w10:wrap type="none"/>
            <w10:anchorlock/>
          </v:shape>
          <o:OLEObject Type="Embed" ProgID="Visio.Drawing.15" ShapeID="_x0000_i1045" DrawAspect="Content" ObjectID="_1468075745" r:id="rId56">
            <o:LockedField>false</o:LockedField>
          </o:OLEObject>
        </w:object>
      </w:r>
    </w:p>
    <w:p>
      <w:pPr>
        <w:jc w:val="center"/>
        <w:rPr>
          <w:i/>
          <w:iCs/>
          <w:color w:val="000000" w:themeColor="text1"/>
          <w:sz w:val="20"/>
          <w:szCs w:val="20"/>
          <w:lang w:val="en-US"/>
          <w14:textFill>
            <w14:solidFill>
              <w14:schemeClr w14:val="tx1"/>
            </w14:solidFill>
          </w14:textFill>
        </w:rPr>
      </w:pPr>
      <w:r>
        <w:rPr>
          <w:b/>
          <w:bCs/>
          <w:i/>
          <w:iCs/>
          <w:color w:val="000000" w:themeColor="text1"/>
          <w:sz w:val="20"/>
          <w:szCs w:val="20"/>
          <w:lang w:val="en-US"/>
          <w14:textFill>
            <w14:solidFill>
              <w14:schemeClr w14:val="tx1"/>
            </w14:solidFill>
          </w14:textFill>
        </w:rPr>
        <w:t xml:space="preserve">Fig. </w:t>
      </w:r>
      <w:r>
        <w:rPr>
          <w:rFonts w:hint="eastAsia"/>
          <w:b/>
          <w:bCs/>
          <w:i/>
          <w:iCs/>
          <w:color w:val="000000" w:themeColor="text1"/>
          <w:sz w:val="20"/>
          <w:szCs w:val="20"/>
          <w:lang w:val="en-US"/>
          <w14:textFill>
            <w14:solidFill>
              <w14:schemeClr w14:val="tx1"/>
            </w14:solidFill>
          </w14:textFill>
        </w:rPr>
        <w:t>1</w:t>
      </w:r>
      <w:r>
        <w:rPr>
          <w:rFonts w:hint="eastAsia"/>
          <w:b/>
          <w:bCs/>
          <w:i/>
          <w:iCs/>
          <w:color w:val="000000" w:themeColor="text1"/>
          <w:sz w:val="20"/>
          <w:szCs w:val="20"/>
          <w:lang w:val="en-US" w:eastAsia="zh-CN"/>
          <w14:textFill>
            <w14:solidFill>
              <w14:schemeClr w14:val="tx1"/>
            </w14:solidFill>
          </w14:textFill>
        </w:rPr>
        <w:t>2</w:t>
      </w:r>
      <w:r>
        <w:rPr>
          <w:i/>
          <w:iCs/>
          <w:color w:val="000000" w:themeColor="text1"/>
          <w:sz w:val="20"/>
          <w:szCs w:val="20"/>
          <w:lang w:val="en-US"/>
          <w14:textFill>
            <w14:solidFill>
              <w14:schemeClr w14:val="tx1"/>
            </w14:solidFill>
          </w14:textFill>
        </w:rPr>
        <w:t xml:space="preserve"> </w:t>
      </w:r>
      <w:r>
        <w:rPr>
          <w:rFonts w:hint="eastAsia"/>
          <w:i/>
          <w:iCs/>
          <w:color w:val="000000" w:themeColor="text1"/>
          <w:sz w:val="20"/>
          <w:szCs w:val="20"/>
          <w:lang w:val="en-US" w:eastAsia="zh-CN"/>
          <w14:textFill>
            <w14:solidFill>
              <w14:schemeClr w14:val="tx1"/>
            </w14:solidFill>
          </w14:textFill>
        </w:rPr>
        <w:t>Frequency responses of the system with and without the damping device</w:t>
      </w:r>
    </w:p>
    <w:p>
      <w:pPr>
        <w:ind w:firstLine="400"/>
        <w:jc w:val="both"/>
        <w:rPr>
          <w:rFonts w:hint="eastAsia" w:ascii="Times New Roman" w:hAnsi="Times New Roman" w:cs="Times New Roman"/>
          <w:color w:val="000000" w:themeColor="text1"/>
          <w:sz w:val="20"/>
          <w:szCs w:val="20"/>
          <w:lang w:val="en-US" w:eastAsia="zh-CN"/>
          <w14:textFill>
            <w14:solidFill>
              <w14:schemeClr w14:val="tx1"/>
            </w14:solidFill>
          </w14:textFill>
        </w:rPr>
      </w:pPr>
      <w:r>
        <w:rPr>
          <w:rFonts w:hint="default" w:ascii="Times New Roman" w:hAnsi="Times New Roman" w:cs="Times New Roman"/>
          <w:color w:val="000000" w:themeColor="text1"/>
          <w:sz w:val="20"/>
          <w:szCs w:val="20"/>
          <w14:textFill>
            <w14:solidFill>
              <w14:schemeClr w14:val="tx1"/>
            </w14:solidFill>
          </w14:textFill>
        </w:rPr>
        <w:t>As shown in Fig</w:t>
      </w:r>
      <w:r>
        <w:rPr>
          <w:rFonts w:hint="eastAsia" w:ascii="Times New Roman" w:hAnsi="Times New Roman" w:cs="Times New Roman"/>
          <w:color w:val="000000" w:themeColor="text1"/>
          <w:sz w:val="20"/>
          <w:szCs w:val="20"/>
          <w:lang w:val="en-US" w:eastAsia="zh-CN"/>
          <w14:textFill>
            <w14:solidFill>
              <w14:schemeClr w14:val="tx1"/>
            </w14:solidFill>
          </w14:textFill>
        </w:rPr>
        <w:t>.</w:t>
      </w:r>
      <w:r>
        <w:rPr>
          <w:rFonts w:hint="default" w:ascii="Times New Roman" w:hAnsi="Times New Roman" w:cs="Times New Roman"/>
          <w:color w:val="000000" w:themeColor="text1"/>
          <w:sz w:val="20"/>
          <w:szCs w:val="20"/>
          <w14:textFill>
            <w14:solidFill>
              <w14:schemeClr w14:val="tx1"/>
            </w14:solidFill>
          </w14:textFill>
        </w:rPr>
        <w:t xml:space="preserve"> 1</w:t>
      </w:r>
      <w:r>
        <w:rPr>
          <w:rFonts w:hint="eastAsia" w:cs="Times New Roman"/>
          <w:color w:val="000000" w:themeColor="text1"/>
          <w:sz w:val="20"/>
          <w:szCs w:val="20"/>
          <w:lang w:val="en-US" w:eastAsia="zh-CN"/>
          <w14:textFill>
            <w14:solidFill>
              <w14:schemeClr w14:val="tx1"/>
            </w14:solidFill>
          </w14:textFill>
        </w:rPr>
        <w:t>2</w:t>
      </w:r>
      <w:r>
        <w:rPr>
          <w:rFonts w:hint="default" w:ascii="Times New Roman" w:hAnsi="Times New Roman" w:cs="Times New Roman"/>
          <w:color w:val="000000" w:themeColor="text1"/>
          <w:sz w:val="20"/>
          <w:szCs w:val="20"/>
          <w14:textFill>
            <w14:solidFill>
              <w14:schemeClr w14:val="tx1"/>
            </w14:solidFill>
          </w14:textFill>
        </w:rPr>
        <w:t>, the multi-inverter grid-connected system exhibits three pairs of resonance peaks with a wide frequency span between them. After the direct-mounted damping device is connected in parallel, all three pairs of resonance peaks are significantly suppressed. The system’s characteristic roots, resonant frequencies, and damping ratios (</w:t>
      </w:r>
      <w:r>
        <w:rPr>
          <w:rFonts w:hint="default" w:ascii="Times New Roman" w:hAnsi="Times New Roman" w:cs="Times New Roman"/>
          <w:i/>
          <w:iCs/>
          <w:color w:val="000000" w:themeColor="text1"/>
          <w:sz w:val="20"/>
          <w:szCs w:val="20"/>
          <w14:textFill>
            <w14:solidFill>
              <w14:schemeClr w14:val="tx1"/>
            </w14:solidFill>
          </w14:textFill>
        </w:rPr>
        <w:t>ξ</w:t>
      </w:r>
      <w:r>
        <w:rPr>
          <w:rFonts w:hint="default" w:ascii="Times New Roman" w:hAnsi="Times New Roman" w:cs="Times New Roman"/>
          <w:color w:val="000000" w:themeColor="text1"/>
          <w:sz w:val="20"/>
          <w:szCs w:val="20"/>
          <w14:textFill>
            <w14:solidFill>
              <w14:schemeClr w14:val="tx1"/>
            </w14:solidFill>
          </w14:textFill>
        </w:rPr>
        <w:t xml:space="preserve">) before and after the connection of the direct-mounted damping device are calculated, and the results are presented in Table </w:t>
      </w:r>
      <w:r>
        <w:rPr>
          <w:rFonts w:hint="eastAsia" w:cs="Times New Roman"/>
          <w:color w:val="000000" w:themeColor="text1"/>
          <w:sz w:val="20"/>
          <w:szCs w:val="20"/>
          <w:lang w:val="en-US" w:eastAsia="zh-CN"/>
          <w14:textFill>
            <w14:solidFill>
              <w14:schemeClr w14:val="tx1"/>
            </w14:solidFill>
          </w14:textFill>
        </w:rPr>
        <w:t>8</w:t>
      </w:r>
      <w:r>
        <w:rPr>
          <w:rFonts w:hint="eastAsia" w:ascii="Times New Roman" w:hAnsi="Times New Roman" w:cs="Times New Roman"/>
          <w:color w:val="000000" w:themeColor="text1"/>
          <w:sz w:val="20"/>
          <w:szCs w:val="20"/>
          <w:lang w:val="en-US" w:eastAsia="zh-CN"/>
          <w14:textFill>
            <w14:solidFill>
              <w14:schemeClr w14:val="tx1"/>
            </w14:solidFill>
          </w14:textFill>
        </w:rPr>
        <w:t>.</w:t>
      </w:r>
    </w:p>
    <w:p>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000000" w:themeColor="text1"/>
          <w:sz w:val="20"/>
          <w:szCs w:val="20"/>
          <w:lang w:val="en-US" w:eastAsia="zh-CN"/>
          <w14:textFill>
            <w14:solidFill>
              <w14:schemeClr w14:val="tx1"/>
            </w14:solidFill>
          </w14:textFill>
        </w:rPr>
      </w:pPr>
      <w:r>
        <w:rPr>
          <w:rFonts w:hint="eastAsia" w:eastAsia="黑体"/>
          <w:b/>
          <w:bCs/>
          <w:i/>
          <w:iCs/>
          <w:sz w:val="20"/>
          <w:szCs w:val="20"/>
        </w:rPr>
        <w:t>Tab.</w:t>
      </w:r>
      <w:r>
        <w:rPr>
          <w:rFonts w:hint="eastAsia" w:eastAsia="黑体"/>
          <w:b/>
          <w:bCs/>
          <w:i/>
          <w:iCs/>
          <w:sz w:val="20"/>
          <w:szCs w:val="20"/>
          <w:lang w:val="en-US" w:eastAsia="zh-CN"/>
        </w:rPr>
        <w:t>8</w:t>
      </w:r>
      <w:r>
        <w:rPr>
          <w:rFonts w:hint="eastAsia"/>
        </w:rPr>
        <w:t xml:space="preserve"> </w:t>
      </w:r>
      <w:r>
        <w:rPr>
          <w:i/>
          <w:iCs/>
          <w:color w:val="000000" w:themeColor="text1"/>
          <w:sz w:val="20"/>
          <w:szCs w:val="20"/>
          <w14:textFill>
            <w14:solidFill>
              <w14:schemeClr w14:val="tx1"/>
            </w14:solidFill>
          </w14:textFill>
        </w:rPr>
        <w:t xml:space="preserve">Eigenvalues, Resonance Frequencies, and Damping Coefficient ξ of </w:t>
      </w:r>
      <w:r>
        <w:rPr>
          <w:rFonts w:hint="eastAsia"/>
          <w:i/>
          <w:iCs/>
          <w:color w:val="000000" w:themeColor="text1"/>
          <w:sz w:val="20"/>
          <w:szCs w:val="20"/>
          <w14:textFill>
            <w14:solidFill>
              <w14:schemeClr w14:val="tx1"/>
            </w14:solidFill>
          </w14:textFill>
        </w:rPr>
        <w:t xml:space="preserve">the multi-inverter grid-connected system with </w:t>
      </w:r>
      <w:r>
        <w:rPr>
          <w:rFonts w:hint="eastAsia"/>
          <w:i/>
          <w:iCs/>
          <w:color w:val="000000" w:themeColor="text1"/>
          <w:sz w:val="20"/>
          <w:szCs w:val="20"/>
          <w:lang w:val="en-US" w:eastAsia="zh-CN"/>
          <w14:textFill>
            <w14:solidFill>
              <w14:schemeClr w14:val="tx1"/>
            </w14:solidFill>
          </w14:textFill>
        </w:rPr>
        <w:t xml:space="preserve">/ </w:t>
      </w:r>
      <w:r>
        <w:rPr>
          <w:rFonts w:hint="eastAsia"/>
          <w:i/>
          <w:iCs/>
          <w:color w:val="000000" w:themeColor="text1"/>
          <w:sz w:val="20"/>
          <w:szCs w:val="20"/>
          <w14:textFill>
            <w14:solidFill>
              <w14:schemeClr w14:val="tx1"/>
            </w14:solidFill>
          </w14:textFill>
        </w:rPr>
        <w:t>without the damping device</w:t>
      </w:r>
    </w:p>
    <w:tbl>
      <w:tblPr>
        <w:tblStyle w:val="16"/>
        <w:tblW w:w="5000" w:type="pct"/>
        <w:jc w:val="center"/>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144"/>
        <w:gridCol w:w="1819"/>
        <w:gridCol w:w="1180"/>
        <w:gridCol w:w="736"/>
      </w:tblGrid>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 w:hRule="atLeast"/>
          <w:jc w:val="center"/>
        </w:trPr>
        <w:tc>
          <w:tcPr>
            <w:tcW w:w="1172" w:type="pct"/>
            <w:tcBorders>
              <w:bottom w:val="single" w:color="auto" w:sz="4" w:space="0"/>
            </w:tcBorders>
            <w:vAlign w:val="center"/>
          </w:tcPr>
          <w:p>
            <w:pPr>
              <w:spacing w:line="252" w:lineRule="auto"/>
              <w:jc w:val="center"/>
              <w:rPr>
                <w:color w:val="000000"/>
                <w:sz w:val="16"/>
                <w:szCs w:val="16"/>
                <w:lang w:eastAsia="zh-CN"/>
              </w:rPr>
            </w:pPr>
          </w:p>
        </w:tc>
        <w:tc>
          <w:tcPr>
            <w:tcW w:w="1864" w:type="pct"/>
            <w:tcBorders>
              <w:bottom w:val="single" w:color="auto" w:sz="4" w:space="0"/>
            </w:tcBorders>
            <w:vAlign w:val="center"/>
          </w:tcPr>
          <w:p>
            <w:pPr>
              <w:spacing w:line="252" w:lineRule="auto"/>
              <w:jc w:val="center"/>
              <w:rPr>
                <w:color w:val="000000"/>
                <w:sz w:val="16"/>
                <w:szCs w:val="16"/>
                <w:lang w:eastAsia="zh-CN"/>
              </w:rPr>
            </w:pPr>
            <w:r>
              <w:rPr>
                <w:sz w:val="16"/>
                <w:szCs w:val="16"/>
                <w:lang w:eastAsia="en-GB"/>
              </w:rPr>
              <w:t>characteristic root</w:t>
            </w:r>
          </w:p>
        </w:tc>
        <w:tc>
          <w:tcPr>
            <w:tcW w:w="1208" w:type="pct"/>
            <w:tcBorders>
              <w:bottom w:val="single" w:color="auto" w:sz="4" w:space="0"/>
            </w:tcBorders>
            <w:vAlign w:val="center"/>
          </w:tcPr>
          <w:p>
            <w:pPr>
              <w:spacing w:line="252" w:lineRule="auto"/>
              <w:jc w:val="center"/>
              <w:rPr>
                <w:color w:val="000000"/>
                <w:sz w:val="16"/>
                <w:szCs w:val="16"/>
                <w:lang w:val="en-US" w:eastAsia="zh-CN"/>
              </w:rPr>
            </w:pPr>
            <w:r>
              <w:rPr>
                <w:sz w:val="16"/>
                <w:szCs w:val="16"/>
                <w:lang w:eastAsia="en-GB"/>
              </w:rPr>
              <w:t>Resonant frequency</w:t>
            </w:r>
            <w:r>
              <w:rPr>
                <w:rFonts w:hint="eastAsia"/>
                <w:sz w:val="16"/>
                <w:szCs w:val="16"/>
                <w:lang w:val="en-US" w:eastAsia="zh-CN"/>
              </w:rPr>
              <w:t xml:space="preserve"> </w:t>
            </w:r>
            <w:r>
              <w:rPr>
                <w:sz w:val="16"/>
                <w:szCs w:val="16"/>
                <w:lang w:eastAsia="en-GB"/>
              </w:rPr>
              <w:t>/</w:t>
            </w:r>
            <w:r>
              <w:rPr>
                <w:rFonts w:hint="eastAsia"/>
                <w:sz w:val="16"/>
                <w:szCs w:val="16"/>
                <w:lang w:val="en-US" w:eastAsia="zh-CN"/>
              </w:rPr>
              <w:t xml:space="preserve"> </w:t>
            </w:r>
            <w:r>
              <w:rPr>
                <w:sz w:val="16"/>
                <w:szCs w:val="16"/>
                <w:lang w:eastAsia="en-GB"/>
              </w:rPr>
              <w:t>Hz</w:t>
            </w:r>
          </w:p>
        </w:tc>
        <w:tc>
          <w:tcPr>
            <w:tcW w:w="754" w:type="pct"/>
            <w:tcBorders>
              <w:bottom w:val="single" w:color="auto" w:sz="4" w:space="0"/>
            </w:tcBorders>
            <w:vAlign w:val="center"/>
          </w:tcPr>
          <w:p>
            <w:pPr>
              <w:spacing w:line="252" w:lineRule="auto"/>
              <w:jc w:val="center"/>
              <w:rPr>
                <w:sz w:val="16"/>
                <w:szCs w:val="16"/>
                <w:lang w:eastAsia="en-GB"/>
              </w:rPr>
            </w:pPr>
            <w:r>
              <w:rPr>
                <w:i/>
                <w:iCs/>
                <w:sz w:val="16"/>
                <w:szCs w:val="16"/>
                <w:lang w:eastAsia="en-GB"/>
              </w:rPr>
              <w:t>ξ</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72" w:type="pct"/>
            <w:vMerge w:val="restart"/>
            <w:tcBorders>
              <w:top w:val="single" w:color="auto" w:sz="4" w:space="0"/>
            </w:tcBorders>
            <w:vAlign w:val="center"/>
          </w:tcPr>
          <w:p>
            <w:pPr>
              <w:jc w:val="center"/>
              <w:rPr>
                <w:bCs/>
                <w:sz w:val="16"/>
                <w:szCs w:val="16"/>
                <w:lang w:eastAsia="zh-CN"/>
              </w:rPr>
            </w:pPr>
            <w:r>
              <w:rPr>
                <w:sz w:val="16"/>
                <w:szCs w:val="16"/>
                <w:lang w:eastAsia="en-GB"/>
              </w:rPr>
              <w:t>Original system</w:t>
            </w:r>
          </w:p>
        </w:tc>
        <w:tc>
          <w:tcPr>
            <w:tcW w:w="1864" w:type="pct"/>
            <w:tcBorders>
              <w:top w:val="single" w:color="auto" w:sz="4" w:space="0"/>
            </w:tcBorders>
            <w:vAlign w:val="center"/>
          </w:tcPr>
          <w:p>
            <w:pPr>
              <w:jc w:val="both"/>
              <w:rPr>
                <w:rFonts w:ascii="Times New Roman" w:hAnsi="Times New Roman" w:eastAsia="宋体" w:cs="Times New Roman"/>
                <w:sz w:val="16"/>
                <w:szCs w:val="16"/>
                <w:lang w:val="en-AU" w:eastAsia="zh-CN" w:bidi="ar-SA"/>
              </w:rPr>
            </w:pPr>
            <w:r>
              <w:rPr>
                <w:i/>
                <w:iCs/>
                <w:sz w:val="16"/>
                <w:szCs w:val="16"/>
                <w:lang w:eastAsia="en-GB"/>
              </w:rPr>
              <w:t>λ</w:t>
            </w:r>
            <w:r>
              <w:rPr>
                <w:sz w:val="16"/>
                <w:szCs w:val="16"/>
                <w:vertAlign w:val="subscript"/>
                <w:lang w:eastAsia="en-GB"/>
              </w:rPr>
              <w:t xml:space="preserve">1,2 </w:t>
            </w:r>
            <w:r>
              <w:rPr>
                <w:sz w:val="16"/>
                <w:szCs w:val="16"/>
                <w:lang w:eastAsia="en-GB"/>
              </w:rPr>
              <w:t>= -</w:t>
            </w:r>
            <w:r>
              <w:rPr>
                <w:sz w:val="16"/>
                <w:szCs w:val="16"/>
                <w:lang w:eastAsia="zh-CN"/>
              </w:rPr>
              <w:t>4</w:t>
            </w:r>
            <w:r>
              <w:rPr>
                <w:sz w:val="16"/>
                <w:szCs w:val="16"/>
                <w:lang w:eastAsia="en-GB"/>
              </w:rPr>
              <w:t>.6</w:t>
            </w:r>
            <w:r>
              <w:rPr>
                <w:sz w:val="16"/>
                <w:szCs w:val="16"/>
                <w:lang w:eastAsia="zh-CN"/>
              </w:rPr>
              <w:t>8</w:t>
            </w:r>
            <w:r>
              <w:rPr>
                <w:sz w:val="16"/>
                <w:szCs w:val="16"/>
                <w:lang w:eastAsia="en-GB"/>
              </w:rPr>
              <w:t xml:space="preserve"> ± j</w:t>
            </w:r>
            <w:r>
              <w:rPr>
                <w:sz w:val="16"/>
                <w:szCs w:val="16"/>
                <w:lang w:eastAsia="zh-CN"/>
              </w:rPr>
              <w:t>74</w:t>
            </w:r>
            <w:r>
              <w:rPr>
                <w:sz w:val="16"/>
                <w:szCs w:val="16"/>
                <w:lang w:eastAsia="en-GB"/>
              </w:rPr>
              <w:t>.</w:t>
            </w:r>
            <w:r>
              <w:rPr>
                <w:sz w:val="16"/>
                <w:szCs w:val="16"/>
                <w:lang w:eastAsia="zh-CN"/>
              </w:rPr>
              <w:t>85</w:t>
            </w:r>
          </w:p>
        </w:tc>
        <w:tc>
          <w:tcPr>
            <w:tcW w:w="1208" w:type="pct"/>
            <w:tcBorders>
              <w:top w:val="single" w:color="auto" w:sz="4" w:space="0"/>
            </w:tcBorders>
            <w:vAlign w:val="center"/>
          </w:tcPr>
          <w:p>
            <w:pPr>
              <w:jc w:val="center"/>
              <w:rPr>
                <w:rFonts w:hint="eastAsia" w:ascii="Times New Roman" w:hAnsi="Times New Roman" w:eastAsia="宋体" w:cs="Times New Roman"/>
                <w:sz w:val="16"/>
                <w:szCs w:val="16"/>
                <w:lang w:val="en-AU" w:eastAsia="zh-CN" w:bidi="ar-SA"/>
              </w:rPr>
            </w:pPr>
            <w:r>
              <w:rPr>
                <w:sz w:val="16"/>
                <w:szCs w:val="16"/>
                <w:lang w:eastAsia="en-GB"/>
              </w:rPr>
              <w:t>1</w:t>
            </w:r>
            <w:r>
              <w:rPr>
                <w:sz w:val="16"/>
                <w:szCs w:val="16"/>
                <w:lang w:eastAsia="zh-CN"/>
              </w:rPr>
              <w:t>2</w:t>
            </w:r>
          </w:p>
        </w:tc>
        <w:tc>
          <w:tcPr>
            <w:tcW w:w="754" w:type="pct"/>
            <w:tcBorders>
              <w:top w:val="single" w:color="auto" w:sz="4" w:space="0"/>
            </w:tcBorders>
            <w:vAlign w:val="center"/>
          </w:tcPr>
          <w:p>
            <w:pPr>
              <w:jc w:val="center"/>
              <w:rPr>
                <w:rFonts w:hint="eastAsia" w:ascii="Times New Roman" w:hAnsi="Times New Roman" w:eastAsia="宋体" w:cs="Times New Roman"/>
                <w:sz w:val="16"/>
                <w:szCs w:val="16"/>
                <w:lang w:val="en-AU" w:eastAsia="zh-CN" w:bidi="ar-SA"/>
              </w:rPr>
            </w:pPr>
            <w:r>
              <w:rPr>
                <w:sz w:val="16"/>
                <w:szCs w:val="16"/>
                <w:lang w:eastAsia="en-GB"/>
              </w:rPr>
              <w:t>0.0</w:t>
            </w:r>
            <w:r>
              <w:rPr>
                <w:sz w:val="16"/>
                <w:szCs w:val="16"/>
                <w:lang w:eastAsia="zh-CN"/>
              </w:rPr>
              <w:t>6</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72" w:type="pct"/>
            <w:vMerge w:val="continue"/>
            <w:vAlign w:val="center"/>
          </w:tcPr>
          <w:p>
            <w:pPr>
              <w:jc w:val="center"/>
              <w:rPr>
                <w:bCs/>
                <w:sz w:val="16"/>
                <w:szCs w:val="16"/>
                <w:lang w:eastAsia="zh-CN"/>
              </w:rPr>
            </w:pPr>
          </w:p>
        </w:tc>
        <w:tc>
          <w:tcPr>
            <w:tcW w:w="1864" w:type="pct"/>
            <w:vAlign w:val="center"/>
          </w:tcPr>
          <w:p>
            <w:pPr>
              <w:jc w:val="both"/>
              <w:rPr>
                <w:rFonts w:ascii="Times New Roman" w:hAnsi="Times New Roman" w:eastAsia="宋体" w:cs="Times New Roman"/>
                <w:sz w:val="16"/>
                <w:szCs w:val="16"/>
                <w:lang w:val="en-AU" w:eastAsia="zh-CN" w:bidi="ar-SA"/>
              </w:rPr>
            </w:pPr>
            <w:r>
              <w:rPr>
                <w:i/>
                <w:iCs/>
                <w:sz w:val="16"/>
                <w:szCs w:val="16"/>
                <w:lang w:eastAsia="en-GB"/>
              </w:rPr>
              <w:t>λ</w:t>
            </w:r>
            <w:r>
              <w:rPr>
                <w:sz w:val="16"/>
                <w:szCs w:val="16"/>
                <w:vertAlign w:val="subscript"/>
                <w:lang w:eastAsia="en-GB"/>
              </w:rPr>
              <w:t xml:space="preserve">3,4 </w:t>
            </w:r>
            <w:r>
              <w:rPr>
                <w:sz w:val="16"/>
                <w:szCs w:val="16"/>
                <w:lang w:eastAsia="en-GB"/>
              </w:rPr>
              <w:t>= -</w:t>
            </w:r>
            <w:r>
              <w:rPr>
                <w:sz w:val="16"/>
                <w:szCs w:val="16"/>
                <w:lang w:eastAsia="zh-CN"/>
              </w:rPr>
              <w:t>92</w:t>
            </w:r>
            <w:r>
              <w:rPr>
                <w:sz w:val="16"/>
                <w:szCs w:val="16"/>
                <w:lang w:eastAsia="en-GB"/>
              </w:rPr>
              <w:t>.</w:t>
            </w:r>
            <w:r>
              <w:rPr>
                <w:sz w:val="16"/>
                <w:szCs w:val="16"/>
                <w:lang w:eastAsia="zh-CN"/>
              </w:rPr>
              <w:t>63</w:t>
            </w:r>
            <w:r>
              <w:rPr>
                <w:sz w:val="16"/>
                <w:szCs w:val="16"/>
                <w:lang w:eastAsia="en-GB"/>
              </w:rPr>
              <w:t xml:space="preserve"> ± j</w:t>
            </w:r>
            <w:r>
              <w:rPr>
                <w:sz w:val="16"/>
                <w:szCs w:val="16"/>
                <w:lang w:eastAsia="zh-CN"/>
              </w:rPr>
              <w:t>5529</w:t>
            </w:r>
            <w:r>
              <w:rPr>
                <w:sz w:val="16"/>
                <w:szCs w:val="16"/>
                <w:lang w:eastAsia="en-GB"/>
              </w:rPr>
              <w:t>.1</w:t>
            </w:r>
          </w:p>
        </w:tc>
        <w:tc>
          <w:tcPr>
            <w:tcW w:w="1208" w:type="pct"/>
            <w:vAlign w:val="center"/>
          </w:tcPr>
          <w:p>
            <w:pPr>
              <w:jc w:val="center"/>
              <w:rPr>
                <w:rFonts w:ascii="Times New Roman" w:hAnsi="Times New Roman" w:eastAsia="宋体" w:cs="Times New Roman"/>
                <w:sz w:val="16"/>
                <w:szCs w:val="16"/>
                <w:lang w:val="en-US" w:eastAsia="zh-CN" w:bidi="ar-SA"/>
              </w:rPr>
            </w:pPr>
            <w:r>
              <w:rPr>
                <w:sz w:val="16"/>
                <w:szCs w:val="16"/>
                <w:lang w:eastAsia="zh-CN"/>
              </w:rPr>
              <w:t>832</w:t>
            </w:r>
          </w:p>
        </w:tc>
        <w:tc>
          <w:tcPr>
            <w:tcW w:w="754" w:type="pct"/>
            <w:vAlign w:val="center"/>
          </w:tcPr>
          <w:p>
            <w:pPr>
              <w:jc w:val="center"/>
              <w:rPr>
                <w:rFonts w:ascii="Times New Roman" w:hAnsi="Times New Roman" w:eastAsia="宋体" w:cs="Times New Roman"/>
                <w:sz w:val="16"/>
                <w:szCs w:val="16"/>
                <w:lang w:val="en-US" w:eastAsia="zh-CN" w:bidi="ar-SA"/>
              </w:rPr>
            </w:pPr>
            <w:r>
              <w:rPr>
                <w:sz w:val="16"/>
                <w:szCs w:val="16"/>
                <w:lang w:eastAsia="en-GB"/>
              </w:rPr>
              <w:t>0.01</w:t>
            </w:r>
            <w:r>
              <w:rPr>
                <w:sz w:val="16"/>
                <w:szCs w:val="16"/>
                <w:lang w:eastAsia="zh-CN"/>
              </w:rPr>
              <w:t>8</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72" w:type="pct"/>
            <w:vMerge w:val="continue"/>
            <w:vAlign w:val="center"/>
          </w:tcPr>
          <w:p>
            <w:pPr>
              <w:jc w:val="center"/>
              <w:rPr>
                <w:bCs/>
                <w:sz w:val="16"/>
                <w:szCs w:val="16"/>
                <w:lang w:eastAsia="zh-CN"/>
              </w:rPr>
            </w:pPr>
          </w:p>
        </w:tc>
        <w:tc>
          <w:tcPr>
            <w:tcW w:w="1864" w:type="pct"/>
            <w:tcBorders>
              <w:bottom w:val="nil"/>
            </w:tcBorders>
            <w:vAlign w:val="center"/>
          </w:tcPr>
          <w:p>
            <w:pPr>
              <w:jc w:val="both"/>
              <w:rPr>
                <w:rFonts w:ascii="Times New Roman" w:hAnsi="Times New Roman" w:eastAsia="宋体" w:cs="Times New Roman"/>
                <w:sz w:val="16"/>
                <w:szCs w:val="16"/>
                <w:lang w:val="en-AU" w:eastAsia="zh-CN" w:bidi="ar-SA"/>
              </w:rPr>
            </w:pPr>
            <w:r>
              <w:rPr>
                <w:i/>
                <w:iCs/>
                <w:sz w:val="16"/>
                <w:szCs w:val="16"/>
                <w:lang w:eastAsia="en-GB"/>
              </w:rPr>
              <w:t>λ</w:t>
            </w:r>
            <w:r>
              <w:rPr>
                <w:sz w:val="16"/>
                <w:szCs w:val="16"/>
                <w:vertAlign w:val="subscript"/>
                <w:lang w:eastAsia="en-GB"/>
              </w:rPr>
              <w:t xml:space="preserve">5,6 </w:t>
            </w:r>
            <w:r>
              <w:rPr>
                <w:sz w:val="16"/>
                <w:szCs w:val="16"/>
                <w:lang w:eastAsia="en-GB"/>
              </w:rPr>
              <w:t xml:space="preserve">= </w:t>
            </w:r>
            <w:r>
              <w:rPr>
                <w:sz w:val="16"/>
                <w:szCs w:val="16"/>
                <w:lang w:eastAsia="zh-CN"/>
              </w:rPr>
              <w:t>-121.59</w:t>
            </w:r>
            <w:r>
              <w:rPr>
                <w:sz w:val="16"/>
                <w:szCs w:val="16"/>
                <w:lang w:eastAsia="en-GB"/>
              </w:rPr>
              <w:t>± j</w:t>
            </w:r>
            <w:r>
              <w:rPr>
                <w:sz w:val="16"/>
                <w:szCs w:val="16"/>
                <w:lang w:eastAsia="zh-CN"/>
              </w:rPr>
              <w:t>13282</w:t>
            </w:r>
          </w:p>
        </w:tc>
        <w:tc>
          <w:tcPr>
            <w:tcW w:w="1208" w:type="pct"/>
            <w:tcBorders>
              <w:bottom w:val="nil"/>
            </w:tcBorders>
            <w:vAlign w:val="center"/>
          </w:tcPr>
          <w:p>
            <w:pPr>
              <w:jc w:val="center"/>
              <w:rPr>
                <w:rFonts w:hint="eastAsia" w:ascii="Times New Roman" w:hAnsi="Times New Roman" w:eastAsia="宋体" w:cs="Times New Roman"/>
                <w:sz w:val="16"/>
                <w:szCs w:val="16"/>
                <w:lang w:val="en-AU" w:eastAsia="zh-CN" w:bidi="ar-SA"/>
              </w:rPr>
            </w:pPr>
            <w:r>
              <w:rPr>
                <w:sz w:val="16"/>
                <w:szCs w:val="16"/>
                <w:lang w:eastAsia="zh-CN"/>
              </w:rPr>
              <w:t>2114</w:t>
            </w:r>
          </w:p>
        </w:tc>
        <w:tc>
          <w:tcPr>
            <w:tcW w:w="754" w:type="pct"/>
            <w:tcBorders>
              <w:bottom w:val="nil"/>
            </w:tcBorders>
            <w:vAlign w:val="center"/>
          </w:tcPr>
          <w:p>
            <w:pPr>
              <w:jc w:val="center"/>
              <w:rPr>
                <w:rFonts w:hint="eastAsia" w:ascii="Times New Roman" w:hAnsi="Times New Roman" w:eastAsia="宋体" w:cs="Times New Roman"/>
                <w:sz w:val="16"/>
                <w:szCs w:val="16"/>
                <w:lang w:val="en-AU" w:eastAsia="zh-CN" w:bidi="ar-SA"/>
              </w:rPr>
            </w:pPr>
            <w:r>
              <w:rPr>
                <w:sz w:val="16"/>
                <w:szCs w:val="16"/>
                <w:lang w:eastAsia="en-GB"/>
              </w:rPr>
              <w:t>0.00</w:t>
            </w:r>
            <w:r>
              <w:rPr>
                <w:sz w:val="16"/>
                <w:szCs w:val="16"/>
                <w:lang w:eastAsia="zh-CN"/>
              </w:rPr>
              <w:t>9</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72" w:type="pct"/>
            <w:vMerge w:val="continue"/>
            <w:vAlign w:val="center"/>
          </w:tcPr>
          <w:p>
            <w:pPr>
              <w:jc w:val="center"/>
              <w:rPr>
                <w:bCs/>
                <w:i/>
                <w:iCs/>
                <w:sz w:val="16"/>
                <w:szCs w:val="16"/>
                <w:lang w:eastAsia="zh-CN"/>
              </w:rPr>
            </w:pPr>
          </w:p>
        </w:tc>
        <w:tc>
          <w:tcPr>
            <w:tcW w:w="1864" w:type="pct"/>
            <w:tcBorders>
              <w:top w:val="nil"/>
            </w:tcBorders>
            <w:vAlign w:val="center"/>
          </w:tcPr>
          <w:p>
            <w:pPr>
              <w:jc w:val="both"/>
              <w:rPr>
                <w:rFonts w:ascii="Times New Roman" w:hAnsi="Times New Roman" w:eastAsia="宋体" w:cs="Times New Roman"/>
                <w:i/>
                <w:iCs/>
                <w:sz w:val="16"/>
                <w:szCs w:val="16"/>
                <w:lang w:val="en-AU" w:eastAsia="zh-CN" w:bidi="ar-SA"/>
              </w:rPr>
            </w:pPr>
            <w:r>
              <w:rPr>
                <w:i/>
                <w:iCs/>
                <w:sz w:val="16"/>
                <w:szCs w:val="16"/>
                <w:lang w:eastAsia="en-GB"/>
              </w:rPr>
              <w:t>λ</w:t>
            </w:r>
            <w:r>
              <w:rPr>
                <w:sz w:val="16"/>
                <w:szCs w:val="16"/>
                <w:vertAlign w:val="subscript"/>
                <w:lang w:eastAsia="zh-CN"/>
              </w:rPr>
              <w:t>7</w:t>
            </w:r>
            <w:r>
              <w:rPr>
                <w:sz w:val="16"/>
                <w:szCs w:val="16"/>
                <w:vertAlign w:val="subscript"/>
                <w:lang w:eastAsia="en-GB"/>
              </w:rPr>
              <w:t>,</w:t>
            </w:r>
            <w:r>
              <w:rPr>
                <w:sz w:val="16"/>
                <w:szCs w:val="16"/>
                <w:vertAlign w:val="subscript"/>
                <w:lang w:eastAsia="zh-CN"/>
              </w:rPr>
              <w:t>8</w:t>
            </w:r>
            <w:r>
              <w:rPr>
                <w:sz w:val="16"/>
                <w:szCs w:val="16"/>
                <w:lang w:eastAsia="en-GB"/>
              </w:rPr>
              <w:t xml:space="preserve">= </w:t>
            </w:r>
            <w:r>
              <w:rPr>
                <w:sz w:val="16"/>
                <w:szCs w:val="16"/>
                <w:lang w:eastAsia="zh-CN"/>
              </w:rPr>
              <w:t>-121.59</w:t>
            </w:r>
            <w:r>
              <w:rPr>
                <w:sz w:val="16"/>
                <w:szCs w:val="16"/>
                <w:lang w:eastAsia="en-GB"/>
              </w:rPr>
              <w:t>± j</w:t>
            </w:r>
            <w:r>
              <w:rPr>
                <w:sz w:val="16"/>
                <w:szCs w:val="16"/>
                <w:lang w:eastAsia="zh-CN"/>
              </w:rPr>
              <w:t>13282</w:t>
            </w:r>
          </w:p>
        </w:tc>
        <w:tc>
          <w:tcPr>
            <w:tcW w:w="1208" w:type="pct"/>
            <w:tcBorders>
              <w:top w:val="nil"/>
            </w:tcBorders>
            <w:vAlign w:val="center"/>
          </w:tcPr>
          <w:p>
            <w:pPr>
              <w:jc w:val="center"/>
              <w:rPr>
                <w:rFonts w:hint="eastAsia" w:ascii="Times New Roman" w:hAnsi="Times New Roman" w:eastAsia="宋体" w:cs="Times New Roman"/>
                <w:sz w:val="16"/>
                <w:szCs w:val="16"/>
                <w:lang w:val="en-AU" w:eastAsia="zh-CN" w:bidi="ar-SA"/>
              </w:rPr>
            </w:pPr>
            <w:r>
              <w:rPr>
                <w:sz w:val="16"/>
                <w:szCs w:val="16"/>
                <w:lang w:eastAsia="zh-CN"/>
              </w:rPr>
              <w:t>3660</w:t>
            </w:r>
          </w:p>
        </w:tc>
        <w:tc>
          <w:tcPr>
            <w:tcW w:w="754" w:type="pct"/>
            <w:tcBorders>
              <w:top w:val="nil"/>
            </w:tcBorders>
            <w:vAlign w:val="center"/>
          </w:tcPr>
          <w:p>
            <w:pPr>
              <w:jc w:val="center"/>
              <w:rPr>
                <w:rFonts w:hint="eastAsia" w:ascii="Times New Roman" w:hAnsi="Times New Roman" w:eastAsia="宋体" w:cs="Times New Roman"/>
                <w:sz w:val="16"/>
                <w:szCs w:val="16"/>
                <w:lang w:val="en-AU" w:eastAsia="zh-CN" w:bidi="ar-SA"/>
              </w:rPr>
            </w:pPr>
            <w:r>
              <w:rPr>
                <w:sz w:val="16"/>
                <w:szCs w:val="16"/>
                <w:lang w:eastAsia="zh-CN"/>
              </w:rPr>
              <w:t>0.007</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72" w:type="pct"/>
            <w:vMerge w:val="continue"/>
            <w:tcBorders>
              <w:bottom w:val="single" w:color="auto" w:sz="4" w:space="0"/>
            </w:tcBorders>
            <w:vAlign w:val="center"/>
          </w:tcPr>
          <w:p>
            <w:pPr>
              <w:jc w:val="center"/>
              <w:rPr>
                <w:bCs/>
                <w:i/>
                <w:iCs/>
                <w:sz w:val="16"/>
                <w:szCs w:val="16"/>
                <w:lang w:eastAsia="zh-CN"/>
              </w:rPr>
            </w:pPr>
          </w:p>
        </w:tc>
        <w:tc>
          <w:tcPr>
            <w:tcW w:w="1864" w:type="pct"/>
            <w:tcBorders>
              <w:bottom w:val="single" w:color="auto" w:sz="4" w:space="0"/>
            </w:tcBorders>
            <w:vAlign w:val="center"/>
          </w:tcPr>
          <w:p>
            <w:pPr>
              <w:jc w:val="both"/>
              <w:rPr>
                <w:rFonts w:hint="eastAsia" w:ascii="Times New Roman" w:hAnsi="Times New Roman" w:eastAsia="宋体" w:cs="Times New Roman"/>
                <w:i/>
                <w:iCs/>
                <w:sz w:val="16"/>
                <w:szCs w:val="16"/>
                <w:lang w:val="en-AU" w:eastAsia="zh-CN" w:bidi="ar-SA"/>
              </w:rPr>
            </w:pPr>
            <w:r>
              <w:rPr>
                <w:i/>
                <w:iCs/>
                <w:sz w:val="16"/>
                <w:szCs w:val="16"/>
                <w:lang w:eastAsia="en-GB"/>
              </w:rPr>
              <w:t>λ</w:t>
            </w:r>
            <w:r>
              <w:rPr>
                <w:i/>
                <w:iCs/>
                <w:sz w:val="16"/>
                <w:szCs w:val="16"/>
                <w:vertAlign w:val="subscript"/>
                <w:lang w:eastAsia="zh-CN"/>
              </w:rPr>
              <w:t>9</w:t>
            </w:r>
            <w:r>
              <w:rPr>
                <w:sz w:val="16"/>
                <w:szCs w:val="16"/>
                <w:lang w:eastAsia="en-GB"/>
              </w:rPr>
              <w:t xml:space="preserve">= </w:t>
            </w:r>
            <w:r>
              <w:rPr>
                <w:sz w:val="16"/>
                <w:szCs w:val="16"/>
                <w:lang w:eastAsia="zh-CN"/>
              </w:rPr>
              <w:t>-</w:t>
            </w:r>
            <w:r>
              <w:rPr>
                <w:rFonts w:hint="eastAsia"/>
                <w:sz w:val="16"/>
                <w:szCs w:val="16"/>
                <w:lang w:eastAsia="zh-CN"/>
              </w:rPr>
              <w:t>265350</w:t>
            </w:r>
          </w:p>
        </w:tc>
        <w:tc>
          <w:tcPr>
            <w:tcW w:w="1208" w:type="pct"/>
            <w:tcBorders>
              <w:bottom w:val="single" w:color="auto" w:sz="4" w:space="0"/>
            </w:tcBorders>
            <w:vAlign w:val="center"/>
          </w:tcPr>
          <w:p>
            <w:pPr>
              <w:jc w:val="center"/>
              <w:rPr>
                <w:rFonts w:hint="eastAsia" w:ascii="Times New Roman" w:hAnsi="Times New Roman" w:eastAsia="宋体" w:cs="Times New Roman"/>
                <w:sz w:val="16"/>
                <w:szCs w:val="16"/>
                <w:lang w:val="en-AU" w:eastAsia="zh-CN" w:bidi="ar-SA"/>
              </w:rPr>
            </w:pPr>
            <w:r>
              <w:rPr>
                <w:sz w:val="16"/>
                <w:szCs w:val="16"/>
                <w:lang w:eastAsia="en-GB"/>
              </w:rPr>
              <w:t>/</w:t>
            </w:r>
          </w:p>
        </w:tc>
        <w:tc>
          <w:tcPr>
            <w:tcW w:w="754" w:type="pct"/>
            <w:tcBorders>
              <w:bottom w:val="single" w:color="auto" w:sz="4" w:space="0"/>
            </w:tcBorders>
            <w:vAlign w:val="center"/>
          </w:tcPr>
          <w:p>
            <w:pPr>
              <w:jc w:val="center"/>
              <w:rPr>
                <w:rFonts w:hint="eastAsia" w:ascii="Times New Roman" w:hAnsi="Times New Roman" w:eastAsia="宋体" w:cs="Times New Roman"/>
                <w:sz w:val="16"/>
                <w:szCs w:val="16"/>
                <w:lang w:val="en-AU" w:eastAsia="zh-CN" w:bidi="ar-SA"/>
              </w:rPr>
            </w:pPr>
            <w:r>
              <w:rPr>
                <w:sz w:val="16"/>
                <w:szCs w:val="16"/>
                <w:lang w:eastAsia="en-GB"/>
              </w:rPr>
              <w:t>/</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72" w:type="pct"/>
            <w:vMerge w:val="restart"/>
            <w:tcBorders>
              <w:top w:val="single" w:color="auto" w:sz="4" w:space="0"/>
            </w:tcBorders>
            <w:vAlign w:val="center"/>
          </w:tcPr>
          <w:p>
            <w:pPr>
              <w:jc w:val="center"/>
              <w:rPr>
                <w:bCs/>
                <w:i/>
                <w:iCs/>
                <w:sz w:val="16"/>
                <w:szCs w:val="16"/>
                <w:lang w:eastAsia="zh-CN"/>
              </w:rPr>
            </w:pPr>
            <w:r>
              <w:rPr>
                <w:rFonts w:hint="eastAsia"/>
                <w:sz w:val="16"/>
                <w:szCs w:val="16"/>
                <w:lang w:val="en-US" w:eastAsia="zh-CN"/>
              </w:rPr>
              <w:t xml:space="preserve">After connecting Direct-mounted Damping Device in </w:t>
            </w:r>
            <w:r>
              <w:rPr>
                <w:sz w:val="16"/>
                <w:szCs w:val="16"/>
                <w:lang w:eastAsia="en-GB"/>
              </w:rPr>
              <w:t>Parallel</w:t>
            </w:r>
          </w:p>
        </w:tc>
        <w:tc>
          <w:tcPr>
            <w:tcW w:w="1864" w:type="pct"/>
            <w:tcBorders>
              <w:top w:val="single" w:color="auto" w:sz="4" w:space="0"/>
            </w:tcBorders>
            <w:vAlign w:val="center"/>
          </w:tcPr>
          <w:p>
            <w:pPr>
              <w:jc w:val="both"/>
              <w:rPr>
                <w:rFonts w:ascii="Times New Roman" w:hAnsi="Times New Roman" w:eastAsia="宋体" w:cs="Times New Roman"/>
                <w:i/>
                <w:iCs/>
                <w:sz w:val="16"/>
                <w:szCs w:val="16"/>
                <w:lang w:val="en-AU" w:eastAsia="zh-CN" w:bidi="ar-SA"/>
              </w:rPr>
            </w:pPr>
            <w:r>
              <w:rPr>
                <w:i/>
                <w:iCs/>
                <w:sz w:val="16"/>
                <w:szCs w:val="16"/>
                <w:lang w:eastAsia="en-GB"/>
              </w:rPr>
              <w:t>λ</w:t>
            </w:r>
            <w:r>
              <w:rPr>
                <w:sz w:val="16"/>
                <w:szCs w:val="16"/>
                <w:vertAlign w:val="subscript"/>
                <w:lang w:eastAsia="en-GB"/>
              </w:rPr>
              <w:t xml:space="preserve">1 </w:t>
            </w:r>
            <w:r>
              <w:rPr>
                <w:sz w:val="16"/>
                <w:szCs w:val="16"/>
                <w:lang w:eastAsia="en-GB"/>
              </w:rPr>
              <w:t>= -1.00</w:t>
            </w:r>
          </w:p>
        </w:tc>
        <w:tc>
          <w:tcPr>
            <w:tcW w:w="1208" w:type="pct"/>
            <w:tcBorders>
              <w:top w:val="single" w:color="auto" w:sz="4" w:space="0"/>
            </w:tcBorders>
            <w:vAlign w:val="center"/>
          </w:tcPr>
          <w:p>
            <w:pPr>
              <w:jc w:val="center"/>
              <w:rPr>
                <w:rFonts w:hint="eastAsia" w:ascii="Times New Roman" w:hAnsi="Times New Roman" w:eastAsia="宋体" w:cs="Times New Roman"/>
                <w:sz w:val="16"/>
                <w:szCs w:val="16"/>
                <w:lang w:val="en-AU" w:eastAsia="zh-CN" w:bidi="ar-SA"/>
              </w:rPr>
            </w:pPr>
            <w:r>
              <w:rPr>
                <w:sz w:val="16"/>
                <w:szCs w:val="16"/>
                <w:lang w:eastAsia="en-GB"/>
              </w:rPr>
              <w:t>/</w:t>
            </w:r>
          </w:p>
        </w:tc>
        <w:tc>
          <w:tcPr>
            <w:tcW w:w="754" w:type="pct"/>
            <w:tcBorders>
              <w:top w:val="single" w:color="auto" w:sz="4" w:space="0"/>
            </w:tcBorders>
            <w:vAlign w:val="center"/>
          </w:tcPr>
          <w:p>
            <w:pPr>
              <w:jc w:val="center"/>
              <w:rPr>
                <w:rFonts w:hint="eastAsia" w:ascii="Times New Roman" w:hAnsi="Times New Roman" w:eastAsia="宋体" w:cs="Times New Roman"/>
                <w:sz w:val="16"/>
                <w:szCs w:val="16"/>
                <w:lang w:val="en-AU" w:eastAsia="zh-CN" w:bidi="ar-SA"/>
              </w:rPr>
            </w:pPr>
            <w:r>
              <w:rPr>
                <w:sz w:val="16"/>
                <w:szCs w:val="16"/>
                <w:lang w:eastAsia="en-GB"/>
              </w:rPr>
              <w:t>/</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72" w:type="pct"/>
            <w:vMerge w:val="continue"/>
            <w:vAlign w:val="center"/>
          </w:tcPr>
          <w:p>
            <w:pPr>
              <w:jc w:val="center"/>
              <w:rPr>
                <w:bCs/>
                <w:i/>
                <w:iCs/>
                <w:sz w:val="16"/>
                <w:szCs w:val="16"/>
                <w:lang w:eastAsia="zh-CN"/>
              </w:rPr>
            </w:pPr>
          </w:p>
        </w:tc>
        <w:tc>
          <w:tcPr>
            <w:tcW w:w="1864" w:type="pct"/>
            <w:vAlign w:val="center"/>
          </w:tcPr>
          <w:p>
            <w:pPr>
              <w:jc w:val="both"/>
              <w:rPr>
                <w:rFonts w:ascii="Times New Roman" w:hAnsi="Times New Roman" w:eastAsia="宋体" w:cs="Times New Roman"/>
                <w:i/>
                <w:iCs/>
                <w:sz w:val="16"/>
                <w:szCs w:val="16"/>
                <w:lang w:val="en-AU" w:eastAsia="zh-CN" w:bidi="ar-SA"/>
              </w:rPr>
            </w:pPr>
            <w:r>
              <w:rPr>
                <w:i/>
                <w:iCs/>
                <w:sz w:val="16"/>
                <w:szCs w:val="16"/>
                <w:lang w:eastAsia="en-GB"/>
              </w:rPr>
              <w:t>λ</w:t>
            </w:r>
            <w:r>
              <w:rPr>
                <w:sz w:val="16"/>
                <w:szCs w:val="16"/>
                <w:vertAlign w:val="subscript"/>
                <w:lang w:eastAsia="en-GB"/>
              </w:rPr>
              <w:t xml:space="preserve">2 </w:t>
            </w:r>
            <w:r>
              <w:rPr>
                <w:sz w:val="16"/>
                <w:szCs w:val="16"/>
                <w:lang w:eastAsia="en-GB"/>
              </w:rPr>
              <w:t>= -4</w:t>
            </w:r>
            <w:r>
              <w:rPr>
                <w:sz w:val="16"/>
                <w:szCs w:val="16"/>
                <w:lang w:eastAsia="zh-CN"/>
              </w:rPr>
              <w:t>81</w:t>
            </w:r>
            <w:r>
              <w:rPr>
                <w:sz w:val="16"/>
                <w:szCs w:val="16"/>
                <w:lang w:eastAsia="en-GB"/>
              </w:rPr>
              <w:t>.</w:t>
            </w:r>
            <w:r>
              <w:rPr>
                <w:sz w:val="16"/>
                <w:szCs w:val="16"/>
                <w:lang w:eastAsia="zh-CN"/>
              </w:rPr>
              <w:t>95</w:t>
            </w:r>
          </w:p>
        </w:tc>
        <w:tc>
          <w:tcPr>
            <w:tcW w:w="1208" w:type="pct"/>
            <w:vAlign w:val="center"/>
          </w:tcPr>
          <w:p>
            <w:pPr>
              <w:jc w:val="center"/>
              <w:rPr>
                <w:rFonts w:hint="eastAsia" w:ascii="Times New Roman" w:hAnsi="Times New Roman" w:eastAsia="宋体" w:cs="Times New Roman"/>
                <w:sz w:val="16"/>
                <w:szCs w:val="16"/>
                <w:lang w:val="en-AU" w:eastAsia="zh-CN" w:bidi="ar-SA"/>
              </w:rPr>
            </w:pPr>
            <w:r>
              <w:rPr>
                <w:sz w:val="16"/>
                <w:szCs w:val="16"/>
                <w:lang w:eastAsia="en-GB"/>
              </w:rPr>
              <w:t>/</w:t>
            </w:r>
          </w:p>
        </w:tc>
        <w:tc>
          <w:tcPr>
            <w:tcW w:w="754" w:type="pct"/>
            <w:vAlign w:val="center"/>
          </w:tcPr>
          <w:p>
            <w:pPr>
              <w:jc w:val="center"/>
              <w:rPr>
                <w:rFonts w:hint="eastAsia" w:ascii="Times New Roman" w:hAnsi="Times New Roman" w:eastAsia="宋体" w:cs="Times New Roman"/>
                <w:sz w:val="16"/>
                <w:szCs w:val="16"/>
                <w:lang w:val="en-AU" w:eastAsia="zh-CN" w:bidi="ar-SA"/>
              </w:rPr>
            </w:pPr>
            <w:r>
              <w:rPr>
                <w:sz w:val="16"/>
                <w:szCs w:val="16"/>
                <w:lang w:eastAsia="en-GB"/>
              </w:rPr>
              <w:t>/</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72" w:type="pct"/>
            <w:vMerge w:val="continue"/>
            <w:vAlign w:val="center"/>
          </w:tcPr>
          <w:p>
            <w:pPr>
              <w:jc w:val="center"/>
              <w:rPr>
                <w:bCs/>
                <w:i/>
                <w:iCs/>
                <w:sz w:val="16"/>
                <w:szCs w:val="16"/>
                <w:lang w:eastAsia="zh-CN"/>
              </w:rPr>
            </w:pPr>
          </w:p>
        </w:tc>
        <w:tc>
          <w:tcPr>
            <w:tcW w:w="1864" w:type="pct"/>
            <w:vAlign w:val="center"/>
          </w:tcPr>
          <w:p>
            <w:pPr>
              <w:jc w:val="both"/>
              <w:rPr>
                <w:rFonts w:ascii="Times New Roman" w:hAnsi="Times New Roman" w:eastAsia="宋体" w:cs="Times New Roman"/>
                <w:i/>
                <w:iCs/>
                <w:sz w:val="16"/>
                <w:szCs w:val="16"/>
                <w:lang w:val="en-AU" w:eastAsia="zh-CN" w:bidi="ar-SA"/>
              </w:rPr>
            </w:pPr>
            <w:r>
              <w:rPr>
                <w:i/>
                <w:iCs/>
                <w:sz w:val="16"/>
                <w:szCs w:val="16"/>
                <w:lang w:eastAsia="en-GB"/>
              </w:rPr>
              <w:t>λ</w:t>
            </w:r>
            <w:r>
              <w:rPr>
                <w:sz w:val="16"/>
                <w:szCs w:val="16"/>
                <w:vertAlign w:val="subscript"/>
                <w:lang w:eastAsia="zh-CN"/>
              </w:rPr>
              <w:t>3</w:t>
            </w:r>
            <w:r>
              <w:rPr>
                <w:sz w:val="16"/>
                <w:szCs w:val="16"/>
                <w:vertAlign w:val="subscript"/>
                <w:lang w:eastAsia="en-GB"/>
              </w:rPr>
              <w:t>,</w:t>
            </w:r>
            <w:r>
              <w:rPr>
                <w:sz w:val="16"/>
                <w:szCs w:val="16"/>
                <w:vertAlign w:val="subscript"/>
                <w:lang w:eastAsia="zh-CN"/>
              </w:rPr>
              <w:t>4</w:t>
            </w:r>
            <w:r>
              <w:rPr>
                <w:sz w:val="16"/>
                <w:szCs w:val="16"/>
                <w:vertAlign w:val="subscript"/>
                <w:lang w:eastAsia="en-GB"/>
              </w:rPr>
              <w:t xml:space="preserve"> </w:t>
            </w:r>
            <w:r>
              <w:rPr>
                <w:sz w:val="16"/>
                <w:szCs w:val="16"/>
                <w:lang w:eastAsia="en-GB"/>
              </w:rPr>
              <w:t>= -</w:t>
            </w:r>
            <w:r>
              <w:rPr>
                <w:sz w:val="16"/>
                <w:szCs w:val="16"/>
                <w:lang w:eastAsia="zh-CN"/>
              </w:rPr>
              <w:t>4</w:t>
            </w:r>
            <w:r>
              <w:rPr>
                <w:sz w:val="16"/>
                <w:szCs w:val="16"/>
                <w:lang w:eastAsia="en-GB"/>
              </w:rPr>
              <w:t>.6</w:t>
            </w:r>
            <w:r>
              <w:rPr>
                <w:sz w:val="16"/>
                <w:szCs w:val="16"/>
                <w:lang w:eastAsia="zh-CN"/>
              </w:rPr>
              <w:t>8</w:t>
            </w:r>
            <w:r>
              <w:rPr>
                <w:sz w:val="16"/>
                <w:szCs w:val="16"/>
                <w:lang w:eastAsia="en-GB"/>
              </w:rPr>
              <w:t xml:space="preserve"> ± j</w:t>
            </w:r>
            <w:r>
              <w:rPr>
                <w:sz w:val="16"/>
                <w:szCs w:val="16"/>
                <w:lang w:eastAsia="zh-CN"/>
              </w:rPr>
              <w:t>74</w:t>
            </w:r>
            <w:r>
              <w:rPr>
                <w:sz w:val="16"/>
                <w:szCs w:val="16"/>
                <w:lang w:eastAsia="en-GB"/>
              </w:rPr>
              <w:t>.</w:t>
            </w:r>
            <w:r>
              <w:rPr>
                <w:sz w:val="16"/>
                <w:szCs w:val="16"/>
                <w:lang w:eastAsia="zh-CN"/>
              </w:rPr>
              <w:t>85</w:t>
            </w:r>
          </w:p>
        </w:tc>
        <w:tc>
          <w:tcPr>
            <w:tcW w:w="1208" w:type="pct"/>
            <w:vAlign w:val="center"/>
          </w:tcPr>
          <w:p>
            <w:pPr>
              <w:jc w:val="center"/>
              <w:rPr>
                <w:rFonts w:hint="eastAsia" w:ascii="Times New Roman" w:hAnsi="Times New Roman" w:eastAsia="宋体" w:cs="Times New Roman"/>
                <w:sz w:val="16"/>
                <w:szCs w:val="16"/>
                <w:lang w:val="en-AU" w:eastAsia="zh-CN" w:bidi="ar-SA"/>
              </w:rPr>
            </w:pPr>
            <w:r>
              <w:rPr>
                <w:sz w:val="16"/>
                <w:szCs w:val="16"/>
                <w:lang w:eastAsia="zh-CN"/>
              </w:rPr>
              <w:t>12</w:t>
            </w:r>
          </w:p>
        </w:tc>
        <w:tc>
          <w:tcPr>
            <w:tcW w:w="754" w:type="pct"/>
            <w:vAlign w:val="center"/>
          </w:tcPr>
          <w:p>
            <w:pPr>
              <w:jc w:val="center"/>
              <w:rPr>
                <w:rFonts w:hint="eastAsia" w:ascii="Times New Roman" w:hAnsi="Times New Roman" w:eastAsia="宋体" w:cs="Times New Roman"/>
                <w:sz w:val="16"/>
                <w:szCs w:val="16"/>
                <w:lang w:val="en-AU" w:eastAsia="zh-CN" w:bidi="ar-SA"/>
              </w:rPr>
            </w:pPr>
            <w:r>
              <w:rPr>
                <w:sz w:val="16"/>
                <w:szCs w:val="16"/>
                <w:lang w:eastAsia="zh-CN"/>
              </w:rPr>
              <w:t>0.06</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172" w:type="pct"/>
            <w:vMerge w:val="continue"/>
            <w:vAlign w:val="center"/>
          </w:tcPr>
          <w:p>
            <w:pPr>
              <w:jc w:val="center"/>
              <w:rPr>
                <w:bCs/>
                <w:i/>
                <w:iCs/>
                <w:sz w:val="16"/>
                <w:szCs w:val="16"/>
                <w:lang w:eastAsia="zh-CN"/>
              </w:rPr>
            </w:pPr>
          </w:p>
        </w:tc>
        <w:tc>
          <w:tcPr>
            <w:tcW w:w="1864" w:type="pct"/>
            <w:vAlign w:val="center"/>
          </w:tcPr>
          <w:p>
            <w:pPr>
              <w:jc w:val="both"/>
              <w:rPr>
                <w:rFonts w:ascii="Times New Roman" w:hAnsi="Times New Roman" w:eastAsia="宋体" w:cs="Times New Roman"/>
                <w:i/>
                <w:iCs/>
                <w:sz w:val="16"/>
                <w:szCs w:val="16"/>
                <w:lang w:val="en-AU" w:eastAsia="zh-CN" w:bidi="ar-SA"/>
              </w:rPr>
            </w:pPr>
            <w:r>
              <w:rPr>
                <w:i/>
                <w:iCs/>
                <w:sz w:val="16"/>
                <w:szCs w:val="16"/>
                <w:lang w:eastAsia="en-GB"/>
              </w:rPr>
              <w:t>λ</w:t>
            </w:r>
            <w:r>
              <w:rPr>
                <w:sz w:val="16"/>
                <w:szCs w:val="16"/>
                <w:vertAlign w:val="subscript"/>
                <w:lang w:eastAsia="zh-CN"/>
              </w:rPr>
              <w:t>5</w:t>
            </w:r>
            <w:r>
              <w:rPr>
                <w:sz w:val="16"/>
                <w:szCs w:val="16"/>
                <w:vertAlign w:val="subscript"/>
                <w:lang w:eastAsia="en-GB"/>
              </w:rPr>
              <w:t>,</w:t>
            </w:r>
            <w:r>
              <w:rPr>
                <w:sz w:val="16"/>
                <w:szCs w:val="16"/>
                <w:vertAlign w:val="subscript"/>
                <w:lang w:eastAsia="zh-CN"/>
              </w:rPr>
              <w:t>6</w:t>
            </w:r>
            <w:r>
              <w:rPr>
                <w:sz w:val="16"/>
                <w:szCs w:val="16"/>
                <w:vertAlign w:val="subscript"/>
                <w:lang w:eastAsia="en-GB"/>
              </w:rPr>
              <w:t xml:space="preserve"> </w:t>
            </w:r>
            <w:r>
              <w:rPr>
                <w:sz w:val="16"/>
                <w:szCs w:val="16"/>
                <w:lang w:eastAsia="en-GB"/>
              </w:rPr>
              <w:t>= -7</w:t>
            </w:r>
            <w:r>
              <w:rPr>
                <w:sz w:val="16"/>
                <w:szCs w:val="16"/>
                <w:lang w:eastAsia="zh-CN"/>
              </w:rPr>
              <w:t>58.30</w:t>
            </w:r>
            <w:r>
              <w:rPr>
                <w:sz w:val="16"/>
                <w:szCs w:val="16"/>
                <w:lang w:eastAsia="en-GB"/>
              </w:rPr>
              <w:t xml:space="preserve"> ± j</w:t>
            </w:r>
            <w:r>
              <w:rPr>
                <w:sz w:val="16"/>
                <w:szCs w:val="16"/>
                <w:lang w:eastAsia="zh-CN"/>
              </w:rPr>
              <w:t>5159.9</w:t>
            </w:r>
          </w:p>
        </w:tc>
        <w:tc>
          <w:tcPr>
            <w:tcW w:w="1208" w:type="pct"/>
            <w:vAlign w:val="center"/>
          </w:tcPr>
          <w:p>
            <w:pPr>
              <w:jc w:val="center"/>
              <w:rPr>
                <w:rFonts w:hint="eastAsia" w:ascii="Times New Roman" w:hAnsi="Times New Roman" w:eastAsia="宋体" w:cs="Times New Roman"/>
                <w:sz w:val="16"/>
                <w:szCs w:val="16"/>
                <w:lang w:val="en-AU" w:eastAsia="zh-CN" w:bidi="ar-SA"/>
              </w:rPr>
            </w:pPr>
            <w:r>
              <w:rPr>
                <w:sz w:val="16"/>
                <w:szCs w:val="16"/>
                <w:lang w:eastAsia="zh-CN"/>
              </w:rPr>
              <w:t>821</w:t>
            </w:r>
          </w:p>
        </w:tc>
        <w:tc>
          <w:tcPr>
            <w:tcW w:w="754" w:type="pct"/>
            <w:vAlign w:val="center"/>
          </w:tcPr>
          <w:p>
            <w:pPr>
              <w:jc w:val="center"/>
              <w:rPr>
                <w:rFonts w:hint="eastAsia" w:ascii="Times New Roman" w:hAnsi="Times New Roman" w:eastAsia="宋体" w:cs="Times New Roman"/>
                <w:sz w:val="16"/>
                <w:szCs w:val="16"/>
                <w:lang w:val="en-AU" w:eastAsia="zh-CN" w:bidi="ar-SA"/>
              </w:rPr>
            </w:pPr>
            <w:r>
              <w:rPr>
                <w:sz w:val="16"/>
                <w:szCs w:val="16"/>
                <w:lang w:eastAsia="en-GB"/>
              </w:rPr>
              <w:t>0.</w:t>
            </w:r>
            <w:r>
              <w:rPr>
                <w:sz w:val="16"/>
                <w:szCs w:val="16"/>
                <w:lang w:eastAsia="zh-CN"/>
              </w:rPr>
              <w:t>15</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72" w:type="pct"/>
            <w:vMerge w:val="continue"/>
            <w:vAlign w:val="center"/>
          </w:tcPr>
          <w:p>
            <w:pPr>
              <w:jc w:val="center"/>
              <w:rPr>
                <w:bCs/>
                <w:i/>
                <w:iCs/>
                <w:sz w:val="16"/>
                <w:szCs w:val="16"/>
                <w:lang w:eastAsia="zh-CN"/>
              </w:rPr>
            </w:pPr>
          </w:p>
        </w:tc>
        <w:tc>
          <w:tcPr>
            <w:tcW w:w="1864" w:type="pct"/>
            <w:vAlign w:val="center"/>
          </w:tcPr>
          <w:p>
            <w:pPr>
              <w:jc w:val="both"/>
              <w:rPr>
                <w:rFonts w:ascii="Times New Roman" w:hAnsi="Times New Roman" w:eastAsia="宋体" w:cs="Times New Roman"/>
                <w:i/>
                <w:iCs/>
                <w:sz w:val="16"/>
                <w:szCs w:val="16"/>
                <w:lang w:val="en-AU" w:eastAsia="zh-CN" w:bidi="ar-SA"/>
              </w:rPr>
            </w:pPr>
            <w:r>
              <w:rPr>
                <w:i/>
                <w:iCs/>
                <w:sz w:val="16"/>
                <w:szCs w:val="16"/>
                <w:lang w:eastAsia="en-GB"/>
              </w:rPr>
              <w:t>λ</w:t>
            </w:r>
            <w:r>
              <w:rPr>
                <w:sz w:val="16"/>
                <w:szCs w:val="16"/>
                <w:vertAlign w:val="subscript"/>
                <w:lang w:eastAsia="zh-CN"/>
              </w:rPr>
              <w:t>7</w:t>
            </w:r>
            <w:r>
              <w:rPr>
                <w:sz w:val="16"/>
                <w:szCs w:val="16"/>
                <w:vertAlign w:val="subscript"/>
                <w:lang w:eastAsia="en-GB"/>
              </w:rPr>
              <w:t>,</w:t>
            </w:r>
            <w:r>
              <w:rPr>
                <w:sz w:val="16"/>
                <w:szCs w:val="16"/>
                <w:vertAlign w:val="subscript"/>
                <w:lang w:eastAsia="zh-CN"/>
              </w:rPr>
              <w:t>8</w:t>
            </w:r>
            <w:r>
              <w:rPr>
                <w:sz w:val="16"/>
                <w:szCs w:val="16"/>
                <w:vertAlign w:val="subscript"/>
                <w:lang w:eastAsia="en-GB"/>
              </w:rPr>
              <w:t xml:space="preserve"> </w:t>
            </w:r>
            <w:r>
              <w:rPr>
                <w:sz w:val="16"/>
                <w:szCs w:val="16"/>
                <w:lang w:eastAsia="en-GB"/>
              </w:rPr>
              <w:t>= -</w:t>
            </w:r>
            <w:r>
              <w:rPr>
                <w:sz w:val="16"/>
                <w:szCs w:val="16"/>
                <w:lang w:eastAsia="zh-CN"/>
              </w:rPr>
              <w:t>1328.2</w:t>
            </w:r>
            <w:r>
              <w:rPr>
                <w:sz w:val="16"/>
                <w:szCs w:val="16"/>
                <w:lang w:eastAsia="en-GB"/>
              </w:rPr>
              <w:t xml:space="preserve"> ± j</w:t>
            </w:r>
            <w:r>
              <w:rPr>
                <w:sz w:val="16"/>
                <w:szCs w:val="16"/>
                <w:lang w:eastAsia="zh-CN"/>
              </w:rPr>
              <w:t>13204</w:t>
            </w:r>
          </w:p>
        </w:tc>
        <w:tc>
          <w:tcPr>
            <w:tcW w:w="1208" w:type="pct"/>
            <w:vAlign w:val="center"/>
          </w:tcPr>
          <w:p>
            <w:pPr>
              <w:jc w:val="center"/>
              <w:rPr>
                <w:rFonts w:hint="eastAsia" w:ascii="Times New Roman" w:hAnsi="Times New Roman" w:eastAsia="宋体" w:cs="Times New Roman"/>
                <w:sz w:val="16"/>
                <w:szCs w:val="16"/>
                <w:lang w:val="en-AU" w:eastAsia="zh-CN" w:bidi="ar-SA"/>
              </w:rPr>
            </w:pPr>
            <w:r>
              <w:rPr>
                <w:sz w:val="16"/>
                <w:szCs w:val="16"/>
                <w:lang w:eastAsia="zh-CN"/>
              </w:rPr>
              <w:t>2101</w:t>
            </w:r>
          </w:p>
        </w:tc>
        <w:tc>
          <w:tcPr>
            <w:tcW w:w="754" w:type="pct"/>
            <w:vAlign w:val="center"/>
          </w:tcPr>
          <w:p>
            <w:pPr>
              <w:jc w:val="center"/>
              <w:rPr>
                <w:rFonts w:hint="eastAsia" w:ascii="Times New Roman" w:hAnsi="Times New Roman" w:eastAsia="宋体" w:cs="Times New Roman"/>
                <w:sz w:val="16"/>
                <w:szCs w:val="16"/>
                <w:lang w:val="en-AU" w:eastAsia="zh-CN" w:bidi="ar-SA"/>
              </w:rPr>
            </w:pPr>
            <w:r>
              <w:rPr>
                <w:sz w:val="16"/>
                <w:szCs w:val="16"/>
                <w:lang w:eastAsia="en-GB"/>
              </w:rPr>
              <w:t>0.10</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72" w:type="pct"/>
            <w:vMerge w:val="continue"/>
            <w:vAlign w:val="center"/>
          </w:tcPr>
          <w:p>
            <w:pPr>
              <w:jc w:val="center"/>
              <w:rPr>
                <w:bCs/>
                <w:i/>
                <w:iCs/>
                <w:sz w:val="16"/>
                <w:szCs w:val="16"/>
                <w:lang w:eastAsia="zh-CN"/>
              </w:rPr>
            </w:pPr>
          </w:p>
        </w:tc>
        <w:tc>
          <w:tcPr>
            <w:tcW w:w="0" w:type="auto"/>
            <w:vAlign w:val="center"/>
          </w:tcPr>
          <w:p>
            <w:pPr>
              <w:jc w:val="both"/>
              <w:rPr>
                <w:rFonts w:ascii="Times New Roman" w:hAnsi="Times New Roman" w:eastAsia="宋体" w:cs="Times New Roman"/>
                <w:i/>
                <w:iCs/>
                <w:sz w:val="16"/>
                <w:szCs w:val="16"/>
                <w:lang w:val="en-AU" w:eastAsia="zh-CN" w:bidi="ar-SA"/>
              </w:rPr>
            </w:pPr>
            <w:r>
              <w:rPr>
                <w:i/>
                <w:iCs/>
                <w:sz w:val="16"/>
                <w:szCs w:val="16"/>
                <w:lang w:eastAsia="en-GB"/>
              </w:rPr>
              <w:t>λ</w:t>
            </w:r>
            <w:r>
              <w:rPr>
                <w:sz w:val="16"/>
                <w:szCs w:val="16"/>
                <w:vertAlign w:val="subscript"/>
                <w:lang w:eastAsia="zh-CN"/>
              </w:rPr>
              <w:t>9</w:t>
            </w:r>
            <w:r>
              <w:rPr>
                <w:sz w:val="16"/>
                <w:szCs w:val="16"/>
                <w:vertAlign w:val="subscript"/>
                <w:lang w:eastAsia="en-GB"/>
              </w:rPr>
              <w:t>,</w:t>
            </w:r>
            <w:r>
              <w:rPr>
                <w:sz w:val="16"/>
                <w:szCs w:val="16"/>
                <w:vertAlign w:val="subscript"/>
                <w:lang w:eastAsia="zh-CN"/>
              </w:rPr>
              <w:t>10</w:t>
            </w:r>
            <w:r>
              <w:rPr>
                <w:sz w:val="16"/>
                <w:szCs w:val="16"/>
                <w:vertAlign w:val="subscript"/>
                <w:lang w:eastAsia="en-GB"/>
              </w:rPr>
              <w:t xml:space="preserve"> </w:t>
            </w:r>
            <w:r>
              <w:rPr>
                <w:sz w:val="16"/>
                <w:szCs w:val="16"/>
                <w:lang w:eastAsia="en-GB"/>
              </w:rPr>
              <w:t>= -1</w:t>
            </w:r>
            <w:r>
              <w:rPr>
                <w:sz w:val="16"/>
                <w:szCs w:val="16"/>
                <w:lang w:eastAsia="zh-CN"/>
              </w:rPr>
              <w:t>781.4</w:t>
            </w:r>
            <w:r>
              <w:rPr>
                <w:sz w:val="16"/>
                <w:szCs w:val="16"/>
                <w:lang w:eastAsia="en-GB"/>
              </w:rPr>
              <w:t xml:space="preserve"> ± j2</w:t>
            </w:r>
            <w:r>
              <w:rPr>
                <w:sz w:val="16"/>
                <w:szCs w:val="16"/>
                <w:lang w:eastAsia="zh-CN"/>
              </w:rPr>
              <w:t>2759</w:t>
            </w:r>
          </w:p>
        </w:tc>
        <w:tc>
          <w:tcPr>
            <w:tcW w:w="0" w:type="auto"/>
            <w:vAlign w:val="center"/>
          </w:tcPr>
          <w:p>
            <w:pPr>
              <w:jc w:val="center"/>
              <w:rPr>
                <w:rFonts w:hint="eastAsia" w:ascii="Times New Roman" w:hAnsi="Times New Roman" w:eastAsia="宋体" w:cs="Times New Roman"/>
                <w:sz w:val="16"/>
                <w:szCs w:val="16"/>
                <w:lang w:val="en-AU" w:eastAsia="zh-CN" w:bidi="ar-SA"/>
              </w:rPr>
            </w:pPr>
            <w:r>
              <w:rPr>
                <w:sz w:val="16"/>
                <w:szCs w:val="16"/>
                <w:lang w:eastAsia="en-GB"/>
              </w:rPr>
              <w:t>3</w:t>
            </w:r>
            <w:r>
              <w:rPr>
                <w:sz w:val="16"/>
                <w:szCs w:val="16"/>
                <w:lang w:eastAsia="zh-CN"/>
              </w:rPr>
              <w:t>6</w:t>
            </w:r>
            <w:r>
              <w:rPr>
                <w:sz w:val="16"/>
                <w:szCs w:val="16"/>
                <w:lang w:eastAsia="en-GB"/>
              </w:rPr>
              <w:t>22</w:t>
            </w:r>
          </w:p>
        </w:tc>
        <w:tc>
          <w:tcPr>
            <w:tcW w:w="0" w:type="auto"/>
            <w:vAlign w:val="center"/>
          </w:tcPr>
          <w:p>
            <w:pPr>
              <w:jc w:val="center"/>
              <w:rPr>
                <w:rFonts w:hint="eastAsia" w:ascii="Times New Roman" w:hAnsi="Times New Roman" w:eastAsia="宋体" w:cs="Times New Roman"/>
                <w:sz w:val="16"/>
                <w:szCs w:val="16"/>
                <w:lang w:val="en-AU" w:eastAsia="zh-CN" w:bidi="ar-SA"/>
              </w:rPr>
            </w:pPr>
            <w:r>
              <w:rPr>
                <w:sz w:val="16"/>
                <w:szCs w:val="16"/>
                <w:lang w:eastAsia="en-GB"/>
              </w:rPr>
              <w:t>0.0</w:t>
            </w:r>
            <w:r>
              <w:rPr>
                <w:sz w:val="16"/>
                <w:szCs w:val="16"/>
                <w:lang w:eastAsia="zh-CN"/>
              </w:rPr>
              <w:t>8</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72" w:type="pct"/>
            <w:vMerge w:val="continue"/>
            <w:vAlign w:val="center"/>
          </w:tcPr>
          <w:p>
            <w:pPr>
              <w:jc w:val="center"/>
              <w:rPr>
                <w:bCs/>
                <w:i/>
                <w:iCs/>
                <w:sz w:val="16"/>
                <w:szCs w:val="16"/>
                <w:lang w:eastAsia="zh-CN"/>
              </w:rPr>
            </w:pPr>
          </w:p>
        </w:tc>
        <w:tc>
          <w:tcPr>
            <w:tcW w:w="0" w:type="auto"/>
            <w:vAlign w:val="center"/>
          </w:tcPr>
          <w:p>
            <w:pPr>
              <w:jc w:val="both"/>
              <w:rPr>
                <w:rFonts w:ascii="Times New Roman" w:hAnsi="Times New Roman" w:eastAsia="宋体" w:cs="Times New Roman"/>
                <w:i/>
                <w:iCs/>
                <w:sz w:val="16"/>
                <w:szCs w:val="16"/>
                <w:lang w:val="en-AU" w:eastAsia="zh-CN" w:bidi="ar-SA"/>
              </w:rPr>
            </w:pPr>
            <w:r>
              <w:rPr>
                <w:i/>
                <w:iCs/>
                <w:sz w:val="16"/>
                <w:szCs w:val="16"/>
                <w:lang w:eastAsia="en-GB"/>
              </w:rPr>
              <w:t>λ</w:t>
            </w:r>
            <w:r>
              <w:rPr>
                <w:sz w:val="16"/>
                <w:szCs w:val="16"/>
                <w:vertAlign w:val="subscript"/>
                <w:lang w:eastAsia="en-GB"/>
              </w:rPr>
              <w:t>1</w:t>
            </w:r>
            <w:r>
              <w:rPr>
                <w:sz w:val="16"/>
                <w:szCs w:val="16"/>
                <w:vertAlign w:val="subscript"/>
                <w:lang w:eastAsia="zh-CN"/>
              </w:rPr>
              <w:t>1</w:t>
            </w:r>
            <w:r>
              <w:rPr>
                <w:sz w:val="16"/>
                <w:szCs w:val="16"/>
                <w:vertAlign w:val="subscript"/>
                <w:lang w:eastAsia="en-GB"/>
              </w:rPr>
              <w:t xml:space="preserve"> </w:t>
            </w:r>
            <w:r>
              <w:rPr>
                <w:sz w:val="16"/>
                <w:szCs w:val="16"/>
                <w:lang w:eastAsia="en-GB"/>
              </w:rPr>
              <w:t>= -</w:t>
            </w:r>
            <w:r>
              <w:rPr>
                <w:sz w:val="16"/>
                <w:szCs w:val="16"/>
                <w:lang w:eastAsia="zh-CN"/>
              </w:rPr>
              <w:t>267280</w:t>
            </w:r>
          </w:p>
        </w:tc>
        <w:tc>
          <w:tcPr>
            <w:tcW w:w="0" w:type="auto"/>
            <w:vAlign w:val="center"/>
          </w:tcPr>
          <w:p>
            <w:pPr>
              <w:jc w:val="center"/>
              <w:rPr>
                <w:rFonts w:hint="eastAsia" w:ascii="Times New Roman" w:hAnsi="Times New Roman" w:eastAsia="宋体" w:cs="Times New Roman"/>
                <w:sz w:val="16"/>
                <w:szCs w:val="16"/>
                <w:lang w:val="en-AU" w:eastAsia="zh-CN" w:bidi="ar-SA"/>
              </w:rPr>
            </w:pPr>
            <w:r>
              <w:rPr>
                <w:sz w:val="16"/>
                <w:szCs w:val="16"/>
                <w:lang w:eastAsia="en-GB"/>
              </w:rPr>
              <w:t>/</w:t>
            </w:r>
          </w:p>
        </w:tc>
        <w:tc>
          <w:tcPr>
            <w:tcW w:w="0" w:type="auto"/>
            <w:vAlign w:val="center"/>
          </w:tcPr>
          <w:p>
            <w:pPr>
              <w:jc w:val="center"/>
              <w:rPr>
                <w:rFonts w:hint="eastAsia" w:ascii="Times New Roman" w:hAnsi="Times New Roman" w:eastAsia="宋体" w:cs="Times New Roman"/>
                <w:sz w:val="16"/>
                <w:szCs w:val="16"/>
                <w:lang w:val="en-AU" w:eastAsia="zh-CN" w:bidi="ar-SA"/>
              </w:rPr>
            </w:pPr>
            <w:r>
              <w:rPr>
                <w:sz w:val="16"/>
                <w:szCs w:val="16"/>
                <w:lang w:eastAsia="en-GB"/>
              </w:rPr>
              <w:t>/</w:t>
            </w:r>
          </w:p>
        </w:tc>
      </w:tr>
    </w:tbl>
    <w:p>
      <w:pPr>
        <w:ind w:firstLine="400"/>
        <w:jc w:val="both"/>
        <w:rPr>
          <w:rFonts w:hint="default" w:ascii="Times New Roman" w:hAnsi="Times New Roman" w:cs="Times New Roman"/>
          <w:color w:val="000000" w:themeColor="text1"/>
          <w:sz w:val="20"/>
          <w:szCs w:val="20"/>
          <w:lang w:val="en-US" w:eastAsia="zh-CN"/>
          <w14:textFill>
            <w14:solidFill>
              <w14:schemeClr w14:val="tx1"/>
            </w14:solidFill>
          </w14:textFill>
        </w:rPr>
      </w:pPr>
      <w:r>
        <w:rPr>
          <w:rFonts w:hint="default" w:ascii="Times New Roman" w:hAnsi="Times New Roman" w:cs="Times New Roman"/>
          <w:color w:val="000000" w:themeColor="text1"/>
          <w:sz w:val="20"/>
          <w:szCs w:val="20"/>
          <w:lang w:val="en-US" w:eastAsia="zh-CN"/>
          <w14:textFill>
            <w14:solidFill>
              <w14:schemeClr w14:val="tx1"/>
            </w14:solidFill>
          </w14:textFill>
        </w:rPr>
        <w:t xml:space="preserve">As shown in Table </w:t>
      </w:r>
      <w:r>
        <w:rPr>
          <w:rFonts w:hint="eastAsia" w:cs="Times New Roman"/>
          <w:color w:val="000000" w:themeColor="text1"/>
          <w:sz w:val="20"/>
          <w:szCs w:val="20"/>
          <w:lang w:val="en-US" w:eastAsia="zh-CN"/>
          <w14:textFill>
            <w14:solidFill>
              <w14:schemeClr w14:val="tx1"/>
            </w14:solidFill>
          </w14:textFill>
        </w:rPr>
        <w:t>8</w:t>
      </w:r>
      <w:r>
        <w:rPr>
          <w:rFonts w:hint="default" w:ascii="Times New Roman" w:hAnsi="Times New Roman" w:cs="Times New Roman"/>
          <w:color w:val="000000" w:themeColor="text1"/>
          <w:sz w:val="20"/>
          <w:szCs w:val="20"/>
          <w:lang w:val="en-US" w:eastAsia="zh-CN"/>
          <w14:textFill>
            <w14:solidFill>
              <w14:schemeClr w14:val="tx1"/>
            </w14:solidFill>
          </w14:textFill>
        </w:rPr>
        <w:t>, the multi-inverter grid-connected system exhibits three pairs of series–parallel resonance points, with relatively small damping ratios (</w:t>
      </w:r>
      <w:r>
        <w:rPr>
          <w:rFonts w:hint="default" w:ascii="Times New Roman" w:hAnsi="Times New Roman" w:cs="Times New Roman"/>
          <w:i/>
          <w:iCs/>
          <w:color w:val="000000" w:themeColor="text1"/>
          <w:sz w:val="20"/>
          <w:szCs w:val="20"/>
          <w:lang w:val="en-US" w:eastAsia="zh-CN"/>
          <w14:textFill>
            <w14:solidFill>
              <w14:schemeClr w14:val="tx1"/>
            </w14:solidFill>
          </w14:textFill>
        </w:rPr>
        <w:t>ξ</w:t>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 corresponding to the characteristic roots. After the direct-mounted damping device is connected in parallel, the </w:t>
      </w:r>
      <w:r>
        <w:rPr>
          <w:rFonts w:hint="default" w:ascii="Times New Roman" w:hAnsi="Times New Roman" w:cs="Times New Roman"/>
          <w:i/>
          <w:iCs/>
          <w:color w:val="000000" w:themeColor="text1"/>
          <w:sz w:val="20"/>
          <w:szCs w:val="20"/>
          <w:lang w:val="en-US" w:eastAsia="zh-CN"/>
          <w14:textFill>
            <w14:solidFill>
              <w14:schemeClr w14:val="tx1"/>
            </w14:solidFill>
          </w14:textFill>
        </w:rPr>
        <w:t>ξ</w:t>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 values of the characteristic roots increase significantly compared with those of the original system. These results are consistent with Fig</w:t>
      </w:r>
      <w:r>
        <w:rPr>
          <w:rFonts w:hint="eastAsia" w:ascii="Times New Roman" w:hAnsi="Times New Roman" w:cs="Times New Roman"/>
          <w:color w:val="000000" w:themeColor="text1"/>
          <w:sz w:val="20"/>
          <w:szCs w:val="20"/>
          <w:lang w:val="en-US" w:eastAsia="zh-CN"/>
          <w14:textFill>
            <w14:solidFill>
              <w14:schemeClr w14:val="tx1"/>
            </w14:solidFill>
          </w14:textFill>
        </w:rPr>
        <w:t>.</w:t>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 1</w:t>
      </w:r>
      <w:r>
        <w:rPr>
          <w:rFonts w:hint="eastAsia" w:cs="Times New Roman"/>
          <w:color w:val="000000" w:themeColor="text1"/>
          <w:sz w:val="20"/>
          <w:szCs w:val="20"/>
          <w:lang w:val="en-US" w:eastAsia="zh-CN"/>
          <w14:textFill>
            <w14:solidFill>
              <w14:schemeClr w14:val="tx1"/>
            </w14:solidFill>
          </w14:textFill>
        </w:rPr>
        <w:t>2</w:t>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 confirming the effectiveness and general applicability of the proposed method in suppressing multimodal resonance peaks in </w:t>
      </w:r>
      <w:r>
        <w:rPr>
          <w:rFonts w:hint="eastAsia" w:cs="Times New Roman"/>
          <w:color w:val="000000" w:themeColor="text1"/>
          <w:sz w:val="20"/>
          <w:szCs w:val="20"/>
          <w:lang w:val="en-US" w:eastAsia="zh-CN"/>
          <w14:textFill>
            <w14:solidFill>
              <w14:schemeClr w14:val="tx1"/>
            </w14:solidFill>
          </w14:textFill>
        </w:rPr>
        <w:t xml:space="preserve">high DG penetration </w:t>
      </w:r>
      <w:r>
        <w:rPr>
          <w:rFonts w:hint="default" w:ascii="Times New Roman" w:hAnsi="Times New Roman" w:cs="Times New Roman"/>
          <w:color w:val="000000" w:themeColor="text1"/>
          <w:sz w:val="20"/>
          <w:szCs w:val="20"/>
          <w:lang w:val="en-US" w:eastAsia="zh-CN"/>
          <w14:textFill>
            <w14:solidFill>
              <w14:schemeClr w14:val="tx1"/>
            </w14:solidFill>
          </w14:textFill>
        </w:rPr>
        <w:t>distribution networks.</w:t>
      </w:r>
    </w:p>
    <w:p>
      <w:pPr>
        <w:ind w:firstLine="400"/>
        <w:jc w:val="both"/>
        <w:rPr>
          <w:spacing w:val="6"/>
          <w:kern w:val="20"/>
          <w:sz w:val="18"/>
          <w:szCs w:val="18"/>
          <w:lang w:val="en-US"/>
        </w:rPr>
      </w:pPr>
      <w:r>
        <w:rPr>
          <w:rFonts w:hint="default" w:ascii="Times New Roman" w:hAnsi="Times New Roman" w:cs="Times New Roman"/>
          <w:color w:val="000000" w:themeColor="text1"/>
          <w:sz w:val="20"/>
          <w:szCs w:val="20"/>
          <w:lang w:val="en-US" w:eastAsia="zh-CN"/>
          <w14:textFill>
            <w14:solidFill>
              <w14:schemeClr w14:val="tx1"/>
            </w14:solidFill>
          </w14:textFill>
        </w:rPr>
        <w:t>A model of the multi-inverter grid-connected system was developed on the RT-Lab hardware-in-the-loop (HIL) experimental platform</w:t>
      </w:r>
      <w:r>
        <w:rPr>
          <w:rFonts w:hint="eastAsia" w:cs="Times New Roman"/>
          <w:color w:val="000000" w:themeColor="text1"/>
          <w:sz w:val="20"/>
          <w:szCs w:val="20"/>
          <w:lang w:val="en-US" w:eastAsia="zh-CN"/>
          <w14:textFill>
            <w14:solidFill>
              <w14:schemeClr w14:val="tx1"/>
            </w14:solidFill>
          </w14:textFill>
        </w:rPr>
        <w:t>,</w:t>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 </w:t>
      </w:r>
      <w:r>
        <w:rPr>
          <w:rFonts w:hint="eastAsia" w:cs="Times New Roman"/>
          <w:color w:val="000000" w:themeColor="text1"/>
          <w:sz w:val="20"/>
          <w:szCs w:val="20"/>
          <w:lang w:val="en-US" w:eastAsia="zh-CN"/>
          <w14:textFill>
            <w14:solidFill>
              <w14:schemeClr w14:val="tx1"/>
            </w14:solidFill>
          </w14:textFill>
        </w:rPr>
        <w:t>as</w:t>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 illustrated in Fig</w:t>
      </w:r>
      <w:r>
        <w:rPr>
          <w:rFonts w:hint="eastAsia" w:ascii="Times New Roman" w:hAnsi="Times New Roman" w:cs="Times New Roman"/>
          <w:color w:val="000000" w:themeColor="text1"/>
          <w:sz w:val="20"/>
          <w:szCs w:val="20"/>
          <w:lang w:val="en-US" w:eastAsia="zh-CN"/>
          <w14:textFill>
            <w14:solidFill>
              <w14:schemeClr w14:val="tx1"/>
            </w14:solidFill>
          </w14:textFill>
        </w:rPr>
        <w:t>.</w:t>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 1</w:t>
      </w:r>
      <w:r>
        <w:rPr>
          <w:rFonts w:hint="eastAsia" w:cs="Times New Roman"/>
          <w:color w:val="000000" w:themeColor="text1"/>
          <w:sz w:val="20"/>
          <w:szCs w:val="20"/>
          <w:lang w:val="en-US" w:eastAsia="zh-CN"/>
          <w14:textFill>
            <w14:solidFill>
              <w14:schemeClr w14:val="tx1"/>
            </w14:solidFill>
          </w14:textFill>
        </w:rPr>
        <w:t>3</w:t>
      </w:r>
      <w:r>
        <w:rPr>
          <w:rFonts w:hint="default" w:ascii="Times New Roman" w:hAnsi="Times New Roman" w:cs="Times New Roman"/>
          <w:color w:val="000000" w:themeColor="text1"/>
          <w:sz w:val="20"/>
          <w:szCs w:val="20"/>
          <w:lang w:val="en-US" w:eastAsia="zh-CN"/>
          <w14:textFill>
            <w14:solidFill>
              <w14:schemeClr w14:val="tx1"/>
            </w14:solidFill>
          </w14:textFill>
        </w:rPr>
        <w:t>.</w:t>
      </w:r>
      <w:bookmarkStart w:id="11" w:name="_GoBack"/>
      <w:bookmarkEnd w:id="11"/>
    </w:p>
    <w:p>
      <w:pPr>
        <w:ind w:firstLine="400"/>
        <w:jc w:val="center"/>
        <w:rPr>
          <w:spacing w:val="6"/>
          <w:kern w:val="20"/>
          <w:sz w:val="18"/>
          <w:szCs w:val="18"/>
          <w:lang w:val="en-US"/>
        </w:rPr>
      </w:pPr>
      <w:r>
        <w:rPr>
          <w:spacing w:val="6"/>
          <w:kern w:val="20"/>
          <w:sz w:val="18"/>
          <w:szCs w:val="18"/>
          <w:lang w:val="en-US"/>
        </w:rPr>
        <w:object>
          <v:shape id="_x0000_i1055" o:spt="75" type="#_x0000_t75" style="height:107.5pt;width:142pt;" o:ole="t" filled="f" o:preferrelative="t" stroked="f" coordsize="21600,21600">
            <v:path/>
            <v:fill on="f" focussize="0,0"/>
            <v:stroke on="f"/>
            <v:imagedata r:id="rId59" o:title=""/>
            <o:lock v:ext="edit" aspectratio="f"/>
            <w10:wrap type="none"/>
            <w10:anchorlock/>
          </v:shape>
          <o:OLEObject Type="Embed" ProgID="Visio.Drawing.15" ShapeID="_x0000_i1055" DrawAspect="Content" ObjectID="_1468075746" r:id="rId58">
            <o:LockedField>false</o:LockedField>
          </o:OLEObject>
        </w:object>
      </w:r>
    </w:p>
    <w:p>
      <w:pPr>
        <w:widowControl w:val="0"/>
        <w:topLinePunct/>
        <w:jc w:val="center"/>
        <w:rPr>
          <w:spacing w:val="6"/>
          <w:kern w:val="20"/>
          <w:sz w:val="18"/>
          <w:szCs w:val="18"/>
          <w:lang w:val="en-US"/>
        </w:rPr>
      </w:pPr>
      <w:r>
        <w:rPr>
          <w:b/>
          <w:bCs/>
          <w:i/>
          <w:iCs/>
          <w:color w:val="000000" w:themeColor="text1"/>
          <w:sz w:val="20"/>
          <w:szCs w:val="20"/>
          <w:lang w:val="en-US"/>
          <w14:textFill>
            <w14:solidFill>
              <w14:schemeClr w14:val="tx1"/>
            </w14:solidFill>
          </w14:textFill>
        </w:rPr>
        <w:t>Fig.</w:t>
      </w:r>
      <w:r>
        <w:rPr>
          <w:rFonts w:hint="eastAsia"/>
          <w:b/>
          <w:bCs/>
          <w:i/>
          <w:iCs/>
          <w:color w:val="000000" w:themeColor="text1"/>
          <w:sz w:val="20"/>
          <w:szCs w:val="20"/>
          <w:lang w:val="en-US"/>
          <w14:textFill>
            <w14:solidFill>
              <w14:schemeClr w14:val="tx1"/>
            </w14:solidFill>
          </w14:textFill>
        </w:rPr>
        <w:t>1</w:t>
      </w:r>
      <w:r>
        <w:rPr>
          <w:rFonts w:hint="eastAsia"/>
          <w:b/>
          <w:bCs/>
          <w:i/>
          <w:iCs/>
          <w:color w:val="000000" w:themeColor="text1"/>
          <w:sz w:val="20"/>
          <w:szCs w:val="20"/>
          <w:lang w:val="en-US" w:eastAsia="zh-CN"/>
          <w14:textFill>
            <w14:solidFill>
              <w14:schemeClr w14:val="tx1"/>
            </w14:solidFill>
          </w14:textFill>
        </w:rPr>
        <w:t>3</w:t>
      </w:r>
      <w:r>
        <w:rPr>
          <w:rFonts w:hint="eastAsia"/>
          <w:spacing w:val="6"/>
          <w:kern w:val="20"/>
          <w:sz w:val="18"/>
          <w:szCs w:val="18"/>
          <w:lang w:val="en-US"/>
        </w:rPr>
        <w:t xml:space="preserve">  </w:t>
      </w:r>
      <w:r>
        <w:rPr>
          <w:rFonts w:hint="eastAsia"/>
          <w:i/>
          <w:iCs/>
          <w:color w:val="000000" w:themeColor="text1"/>
          <w:sz w:val="20"/>
          <w:szCs w:val="20"/>
          <w:lang w:val="en-US"/>
          <w14:textFill>
            <w14:solidFill>
              <w14:schemeClr w14:val="tx1"/>
            </w14:solidFill>
          </w14:textFill>
        </w:rPr>
        <w:t>RT_Lab Hardware-in-the-Loop Real-Time Simulation Platform.</w:t>
      </w:r>
    </w:p>
    <w:p>
      <w:pPr>
        <w:ind w:firstLine="400"/>
        <w:jc w:val="both"/>
        <w:rPr>
          <w:rFonts w:hint="eastAsia"/>
        </w:rPr>
      </w:pPr>
      <w:r>
        <w:rPr>
          <w:rFonts w:hint="eastAsia"/>
          <w:color w:val="000000" w:themeColor="text1"/>
          <w:sz w:val="20"/>
          <w:szCs w:val="20"/>
          <w14:textFill>
            <w14:solidFill>
              <w14:schemeClr w14:val="tx1"/>
            </w14:solidFill>
          </w14:textFill>
        </w:rPr>
        <w:t xml:space="preserve">As indicated in Table </w:t>
      </w:r>
      <w:r>
        <w:rPr>
          <w:rFonts w:hint="eastAsia"/>
          <w:color w:val="000000" w:themeColor="text1"/>
          <w:sz w:val="20"/>
          <w:szCs w:val="20"/>
          <w:lang w:val="en-US" w:eastAsia="zh-CN"/>
          <w14:textFill>
            <w14:solidFill>
              <w14:schemeClr w14:val="tx1"/>
            </w14:solidFill>
          </w14:textFill>
        </w:rPr>
        <w:t>8</w:t>
      </w:r>
      <w:r>
        <w:rPr>
          <w:rFonts w:hint="eastAsia"/>
          <w:color w:val="000000" w:themeColor="text1"/>
          <w:sz w:val="20"/>
          <w:szCs w:val="20"/>
          <w14:textFill>
            <w14:solidFill>
              <w14:schemeClr w14:val="tx1"/>
            </w14:solidFill>
          </w14:textFill>
        </w:rPr>
        <w:t>, the multi-inverter grid-connected system exhibits three parallel resonance points at 832 Hz, 2114 Hz, and 3660 Hz. After the direct-mounted damping device is connected in parallel, these resonance frequencies shift to 821 Hz, 2101 Hz, and 3622 Hz. A harmonic current source was injected at node 3 of the system shown in Fig</w:t>
      </w:r>
      <w:r>
        <w:rPr>
          <w:rFonts w:hint="eastAsia"/>
          <w:color w:val="000000" w:themeColor="text1"/>
          <w:sz w:val="20"/>
          <w:szCs w:val="20"/>
          <w:lang w:val="en-US" w:eastAsia="zh-CN"/>
          <w14:textFill>
            <w14:solidFill>
              <w14:schemeClr w14:val="tx1"/>
            </w14:solidFill>
          </w14:textFill>
        </w:rPr>
        <w:t>.</w:t>
      </w:r>
      <w:r>
        <w:rPr>
          <w:rFonts w:hint="eastAsia"/>
          <w:color w:val="000000" w:themeColor="text1"/>
          <w:sz w:val="20"/>
          <w:szCs w:val="20"/>
          <w14:textFill>
            <w14:solidFill>
              <w14:schemeClr w14:val="tx1"/>
            </w14:solidFill>
          </w14:textFill>
        </w:rPr>
        <w:t xml:space="preserve"> 2, with its amplitude set to 1.5% of the rated grid current. Fig. 1</w:t>
      </w:r>
      <w:r>
        <w:rPr>
          <w:rFonts w:hint="eastAsia"/>
          <w:color w:val="000000" w:themeColor="text1"/>
          <w:sz w:val="20"/>
          <w:szCs w:val="20"/>
          <w:lang w:val="en-US" w:eastAsia="zh-CN"/>
          <w14:textFill>
            <w14:solidFill>
              <w14:schemeClr w14:val="tx1"/>
            </w14:solidFill>
          </w14:textFill>
        </w:rPr>
        <w:t>4</w:t>
      </w:r>
      <w:r>
        <w:rPr>
          <w:rFonts w:hint="eastAsia"/>
          <w:color w:val="000000" w:themeColor="text1"/>
          <w:sz w:val="20"/>
          <w:szCs w:val="20"/>
          <w14:textFill>
            <w14:solidFill>
              <w14:schemeClr w14:val="tx1"/>
            </w14:solidFill>
          </w14:textFill>
        </w:rPr>
        <w:t>, 1</w:t>
      </w:r>
      <w:r>
        <w:rPr>
          <w:rFonts w:hint="eastAsia"/>
          <w:color w:val="000000" w:themeColor="text1"/>
          <w:sz w:val="20"/>
          <w:szCs w:val="20"/>
          <w:lang w:val="en-US" w:eastAsia="zh-CN"/>
          <w14:textFill>
            <w14:solidFill>
              <w14:schemeClr w14:val="tx1"/>
            </w14:solidFill>
          </w14:textFill>
        </w:rPr>
        <w:t>5</w:t>
      </w:r>
      <w:r>
        <w:rPr>
          <w:rFonts w:hint="eastAsia"/>
          <w:color w:val="000000" w:themeColor="text1"/>
          <w:sz w:val="20"/>
          <w:szCs w:val="20"/>
          <w14:textFill>
            <w14:solidFill>
              <w14:schemeClr w14:val="tx1"/>
            </w14:solidFill>
          </w14:textFill>
        </w:rPr>
        <w:t>, and 1</w:t>
      </w:r>
      <w:r>
        <w:rPr>
          <w:rFonts w:hint="eastAsia"/>
          <w:color w:val="000000" w:themeColor="text1"/>
          <w:sz w:val="20"/>
          <w:szCs w:val="20"/>
          <w:lang w:val="en-US" w:eastAsia="zh-CN"/>
          <w14:textFill>
            <w14:solidFill>
              <w14:schemeClr w14:val="tx1"/>
            </w14:solidFill>
          </w14:textFill>
        </w:rPr>
        <w:t>6</w:t>
      </w:r>
      <w:r>
        <w:rPr>
          <w:rFonts w:hint="eastAsia"/>
          <w:color w:val="000000" w:themeColor="text1"/>
          <w:sz w:val="20"/>
          <w:szCs w:val="20"/>
          <w14:textFill>
            <w14:solidFill>
              <w14:schemeClr w14:val="tx1"/>
            </w14:solidFill>
          </w14:textFill>
        </w:rPr>
        <w:t xml:space="preserve"> respectively present the waveforms of </w:t>
      </w:r>
      <w:r>
        <w:rPr>
          <w:rFonts w:hint="eastAsia"/>
          <w:i/>
          <w:iCs/>
          <w:color w:val="000000" w:themeColor="text1"/>
          <w:sz w:val="20"/>
          <w:szCs w:val="20"/>
          <w14:textFill>
            <w14:solidFill>
              <w14:schemeClr w14:val="tx1"/>
            </w14:solidFill>
          </w14:textFill>
        </w:rPr>
        <w:t>u</w:t>
      </w:r>
      <w:r>
        <w:rPr>
          <w:rFonts w:hint="eastAsia"/>
          <w:color w:val="000000" w:themeColor="text1"/>
          <w:sz w:val="20"/>
          <w:szCs w:val="20"/>
          <w:vertAlign w:val="subscript"/>
          <w14:textFill>
            <w14:solidFill>
              <w14:schemeClr w14:val="tx1"/>
            </w14:solidFill>
          </w14:textFill>
        </w:rPr>
        <w:t>PCC</w:t>
      </w:r>
      <w:r>
        <w:rPr>
          <w:rFonts w:hint="eastAsia"/>
          <w:color w:val="000000" w:themeColor="text1"/>
          <w:sz w:val="20"/>
          <w:szCs w:val="20"/>
          <w14:textFill>
            <w14:solidFill>
              <w14:schemeClr w14:val="tx1"/>
            </w14:solidFill>
          </w14:textFill>
        </w:rPr>
        <w:t xml:space="preserve"> and </w:t>
      </w:r>
      <w:r>
        <w:rPr>
          <w:rFonts w:hint="eastAsia"/>
          <w:i/>
          <w:iCs/>
          <w:color w:val="000000" w:themeColor="text1"/>
          <w:sz w:val="20"/>
          <w:szCs w:val="20"/>
          <w14:textFill>
            <w14:solidFill>
              <w14:schemeClr w14:val="tx1"/>
            </w14:solidFill>
          </w14:textFill>
        </w:rPr>
        <w:t>i</w:t>
      </w:r>
      <w:r>
        <w:rPr>
          <w:rFonts w:hint="eastAsia"/>
          <w:color w:val="000000" w:themeColor="text1"/>
          <w:sz w:val="20"/>
          <w:szCs w:val="20"/>
          <w:vertAlign w:val="subscript"/>
          <w14:textFill>
            <w14:solidFill>
              <w14:schemeClr w14:val="tx1"/>
            </w14:solidFill>
          </w14:textFill>
        </w:rPr>
        <w:t>g</w:t>
      </w:r>
      <w:r>
        <w:rPr>
          <w:rFonts w:hint="eastAsia"/>
          <w:color w:val="000000" w:themeColor="text1"/>
          <w:sz w:val="20"/>
          <w:szCs w:val="20"/>
          <w14:textFill>
            <w14:solidFill>
              <w14:schemeClr w14:val="tx1"/>
            </w14:solidFill>
          </w14:textFill>
        </w:rPr>
        <w:t xml:space="preserve"> for the original system with and without harmonic disturbances, as well as for the system equipped with the direct-mounted damping device connected in parallel under harmonic current disturbances.</w:t>
      </w:r>
    </w:p>
    <w:p>
      <w:pPr>
        <w:jc w:val="center"/>
        <w:rPr>
          <w:rFonts w:hint="eastAsia"/>
        </w:rPr>
      </w:pPr>
      <w:r>
        <w:rPr>
          <w:rFonts w:hint="eastAsia"/>
        </w:rPr>
        <w:object>
          <v:shape id="_x0000_i1047" o:spt="75" type="#_x0000_t75" style="height:91pt;width:207.5pt;" o:ole="t" filled="f" o:preferrelative="t" stroked="f" coordsize="21600,21600">
            <v:path/>
            <v:fill on="f" focussize="0,0"/>
            <v:stroke on="f"/>
            <v:imagedata r:id="rId61" o:title=""/>
            <o:lock v:ext="edit" aspectratio="f"/>
            <w10:wrap type="none"/>
            <w10:anchorlock/>
          </v:shape>
          <o:OLEObject Type="Embed" ProgID="Visio.Drawing.15" ShapeID="_x0000_i1047" DrawAspect="Content" ObjectID="_1468075747" r:id="rId60">
            <o:LockedField>false</o:LockedField>
          </o:OLEObject>
        </w:object>
      </w:r>
    </w:p>
    <w:p>
      <w:pPr>
        <w:jc w:val="center"/>
        <w:rPr>
          <w:rFonts w:hint="eastAsia"/>
        </w:rPr>
      </w:pPr>
      <w:r>
        <w:rPr>
          <w:rFonts w:hint="eastAsia"/>
          <w:b/>
          <w:bCs/>
          <w:i/>
          <w:iCs/>
          <w:color w:val="000000" w:themeColor="text1"/>
          <w:sz w:val="20"/>
          <w:szCs w:val="20"/>
          <w:lang w:val="en-US"/>
          <w14:textFill>
            <w14:solidFill>
              <w14:schemeClr w14:val="tx1"/>
            </w14:solidFill>
          </w14:textFill>
        </w:rPr>
        <w:t>F</w:t>
      </w:r>
      <w:r>
        <w:rPr>
          <w:b/>
          <w:bCs/>
          <w:i/>
          <w:iCs/>
          <w:color w:val="000000" w:themeColor="text1"/>
          <w:sz w:val="20"/>
          <w:szCs w:val="20"/>
          <w:lang w:val="en-US"/>
          <w14:textFill>
            <w14:solidFill>
              <w14:schemeClr w14:val="tx1"/>
            </w14:solidFill>
          </w14:textFill>
        </w:rPr>
        <w:t xml:space="preserve">ig. </w:t>
      </w:r>
      <w:bookmarkStart w:id="8" w:name="_Hlk92188549"/>
      <w:r>
        <w:rPr>
          <w:rFonts w:hint="eastAsia"/>
          <w:b/>
          <w:bCs/>
          <w:i/>
          <w:iCs/>
          <w:color w:val="000000" w:themeColor="text1"/>
          <w:sz w:val="20"/>
          <w:szCs w:val="20"/>
          <w:lang w:val="en-US"/>
          <w14:textFill>
            <w14:solidFill>
              <w14:schemeClr w14:val="tx1"/>
            </w14:solidFill>
          </w14:textFill>
        </w:rPr>
        <w:t>1</w:t>
      </w:r>
      <w:r>
        <w:rPr>
          <w:rFonts w:hint="eastAsia"/>
          <w:b/>
          <w:bCs/>
          <w:i/>
          <w:iCs/>
          <w:color w:val="000000" w:themeColor="text1"/>
          <w:sz w:val="20"/>
          <w:szCs w:val="20"/>
          <w:lang w:val="en-US" w:eastAsia="zh-CN"/>
          <w14:textFill>
            <w14:solidFill>
              <w14:schemeClr w14:val="tx1"/>
            </w14:solidFill>
          </w14:textFill>
        </w:rPr>
        <w:t>4</w:t>
      </w:r>
      <w:r>
        <w:rPr>
          <w:rFonts w:hint="eastAsia"/>
          <w:b/>
          <w:bCs/>
          <w:i/>
          <w:iCs/>
          <w:color w:val="000000" w:themeColor="text1"/>
          <w:sz w:val="20"/>
          <w:szCs w:val="20"/>
          <w:lang w:val="en-US"/>
          <w14:textFill>
            <w14:solidFill>
              <w14:schemeClr w14:val="tx1"/>
            </w14:solidFill>
          </w14:textFill>
        </w:rPr>
        <w:t xml:space="preserve"> </w:t>
      </w:r>
      <w:bookmarkEnd w:id="8"/>
      <w:r>
        <w:rPr>
          <w:rFonts w:hint="eastAsia"/>
          <w:i/>
          <w:iCs/>
          <w:color w:val="000000" w:themeColor="text1"/>
          <w:sz w:val="20"/>
          <w:szCs w:val="20"/>
          <w14:textFill>
            <w14:solidFill>
              <w14:schemeClr w14:val="tx1"/>
            </w14:solidFill>
          </w14:textFill>
        </w:rPr>
        <w:t>u</w:t>
      </w:r>
      <w:r>
        <w:rPr>
          <w:rFonts w:hint="eastAsia"/>
          <w:i w:val="0"/>
          <w:iCs w:val="0"/>
          <w:color w:val="000000" w:themeColor="text1"/>
          <w:sz w:val="20"/>
          <w:szCs w:val="20"/>
          <w:vertAlign w:val="subscript"/>
          <w14:textFill>
            <w14:solidFill>
              <w14:schemeClr w14:val="tx1"/>
            </w14:solidFill>
          </w14:textFill>
        </w:rPr>
        <w:t>PCC</w:t>
      </w:r>
      <w:r>
        <w:rPr>
          <w:rFonts w:hint="eastAsia"/>
          <w:i/>
          <w:iCs/>
          <w:color w:val="000000" w:themeColor="text1"/>
          <w:sz w:val="20"/>
          <w:szCs w:val="20"/>
          <w14:textFill>
            <w14:solidFill>
              <w14:schemeClr w14:val="tx1"/>
            </w14:solidFill>
          </w14:textFill>
        </w:rPr>
        <w:t xml:space="preserve"> and i</w:t>
      </w:r>
      <w:r>
        <w:rPr>
          <w:rFonts w:hint="eastAsia"/>
          <w:i w:val="0"/>
          <w:iCs w:val="0"/>
          <w:color w:val="000000" w:themeColor="text1"/>
          <w:sz w:val="20"/>
          <w:szCs w:val="20"/>
          <w:vertAlign w:val="subscript"/>
          <w14:textFill>
            <w14:solidFill>
              <w14:schemeClr w14:val="tx1"/>
            </w14:solidFill>
          </w14:textFill>
        </w:rPr>
        <w:t>g</w:t>
      </w:r>
      <w:r>
        <w:rPr>
          <w:rFonts w:hint="eastAsia"/>
          <w:i/>
          <w:iCs/>
          <w:color w:val="000000" w:themeColor="text1"/>
          <w:sz w:val="20"/>
          <w:szCs w:val="20"/>
          <w14:textFill>
            <w14:solidFill>
              <w14:schemeClr w14:val="tx1"/>
            </w14:solidFill>
          </w14:textFill>
        </w:rPr>
        <w:t xml:space="preserve"> waveforms of the original system</w:t>
      </w:r>
    </w:p>
    <w:p>
      <w:pPr>
        <w:jc w:val="center"/>
        <w:rPr>
          <w:rFonts w:hint="eastAsia"/>
        </w:rPr>
      </w:pPr>
      <w:r>
        <w:rPr>
          <w:rFonts w:hint="eastAsia"/>
        </w:rPr>
        <w:object>
          <v:shape id="_x0000_i1048" o:spt="75" type="#_x0000_t75" style="height:91pt;width:207.5pt;" o:ole="t" filled="f" o:preferrelative="t" stroked="f" coordsize="21600,21600">
            <v:path/>
            <v:fill on="f" focussize="0,0"/>
            <v:stroke on="f"/>
            <v:imagedata r:id="rId63" o:title=""/>
            <o:lock v:ext="edit" aspectratio="f"/>
            <w10:wrap type="none"/>
            <w10:anchorlock/>
          </v:shape>
          <o:OLEObject Type="Embed" ProgID="Visio.Drawing.15" ShapeID="_x0000_i1048" DrawAspect="Content" ObjectID="_1468075748" r:id="rId62">
            <o:LockedField>false</o:LockedField>
          </o:OLEObject>
        </w:object>
      </w:r>
    </w:p>
    <w:p>
      <w:pPr>
        <w:jc w:val="center"/>
        <w:rPr>
          <w:rFonts w:hint="eastAsia"/>
        </w:rPr>
      </w:pPr>
      <w:bookmarkStart w:id="9" w:name="_Hlk209109723"/>
      <w:r>
        <w:rPr>
          <w:rFonts w:hint="eastAsia"/>
          <w:b/>
          <w:bCs/>
          <w:i/>
          <w:iCs/>
          <w:color w:val="000000" w:themeColor="text1"/>
          <w:sz w:val="20"/>
          <w:szCs w:val="20"/>
          <w:lang w:val="en-US"/>
          <w14:textFill>
            <w14:solidFill>
              <w14:schemeClr w14:val="tx1"/>
            </w14:solidFill>
          </w14:textFill>
        </w:rPr>
        <w:t>F</w:t>
      </w:r>
      <w:r>
        <w:rPr>
          <w:b/>
          <w:bCs/>
          <w:i/>
          <w:iCs/>
          <w:color w:val="000000" w:themeColor="text1"/>
          <w:sz w:val="20"/>
          <w:szCs w:val="20"/>
          <w:lang w:val="en-US"/>
          <w14:textFill>
            <w14:solidFill>
              <w14:schemeClr w14:val="tx1"/>
            </w14:solidFill>
          </w14:textFill>
        </w:rPr>
        <w:t xml:space="preserve">ig. </w:t>
      </w:r>
      <w:r>
        <w:rPr>
          <w:rFonts w:hint="eastAsia"/>
          <w:b/>
          <w:bCs/>
          <w:i/>
          <w:iCs/>
          <w:color w:val="000000" w:themeColor="text1"/>
          <w:sz w:val="20"/>
          <w:szCs w:val="20"/>
          <w:lang w:val="en-US"/>
          <w14:textFill>
            <w14:solidFill>
              <w14:schemeClr w14:val="tx1"/>
            </w14:solidFill>
          </w14:textFill>
        </w:rPr>
        <w:t>1</w:t>
      </w:r>
      <w:r>
        <w:rPr>
          <w:rFonts w:hint="eastAsia"/>
          <w:b/>
          <w:bCs/>
          <w:i/>
          <w:iCs/>
          <w:color w:val="000000" w:themeColor="text1"/>
          <w:sz w:val="20"/>
          <w:szCs w:val="20"/>
          <w:lang w:val="en-US" w:eastAsia="zh-CN"/>
          <w14:textFill>
            <w14:solidFill>
              <w14:schemeClr w14:val="tx1"/>
            </w14:solidFill>
          </w14:textFill>
        </w:rPr>
        <w:t>5</w:t>
      </w:r>
      <w:r>
        <w:rPr>
          <w:i/>
          <w:iCs/>
          <w:color w:val="000000" w:themeColor="text1"/>
          <w:sz w:val="20"/>
          <w:szCs w:val="20"/>
          <w:lang w:val="en-US"/>
          <w14:textFill>
            <w14:solidFill>
              <w14:schemeClr w14:val="tx1"/>
            </w14:solidFill>
          </w14:textFill>
        </w:rPr>
        <w:t xml:space="preserve"> </w:t>
      </w:r>
      <w:bookmarkEnd w:id="9"/>
      <w:r>
        <w:rPr>
          <w:rFonts w:hint="eastAsia"/>
          <w:i/>
          <w:iCs/>
          <w:color w:val="000000" w:themeColor="text1"/>
          <w:sz w:val="20"/>
          <w:szCs w:val="20"/>
          <w14:textFill>
            <w14:solidFill>
              <w14:schemeClr w14:val="tx1"/>
            </w14:solidFill>
          </w14:textFill>
        </w:rPr>
        <w:t>u</w:t>
      </w:r>
      <w:r>
        <w:rPr>
          <w:rFonts w:hint="eastAsia"/>
          <w:i w:val="0"/>
          <w:iCs w:val="0"/>
          <w:color w:val="000000" w:themeColor="text1"/>
          <w:sz w:val="20"/>
          <w:szCs w:val="20"/>
          <w:vertAlign w:val="subscript"/>
          <w14:textFill>
            <w14:solidFill>
              <w14:schemeClr w14:val="tx1"/>
            </w14:solidFill>
          </w14:textFill>
        </w:rPr>
        <w:t>PCC</w:t>
      </w:r>
      <w:r>
        <w:rPr>
          <w:rFonts w:hint="eastAsia"/>
          <w:i/>
          <w:iCs/>
          <w:color w:val="000000" w:themeColor="text1"/>
          <w:sz w:val="20"/>
          <w:szCs w:val="20"/>
          <w14:textFill>
            <w14:solidFill>
              <w14:schemeClr w14:val="tx1"/>
            </w14:solidFill>
          </w14:textFill>
        </w:rPr>
        <w:t xml:space="preserve"> and i</w:t>
      </w:r>
      <w:r>
        <w:rPr>
          <w:rFonts w:hint="eastAsia"/>
          <w:i w:val="0"/>
          <w:iCs w:val="0"/>
          <w:color w:val="000000" w:themeColor="text1"/>
          <w:sz w:val="20"/>
          <w:szCs w:val="20"/>
          <w:vertAlign w:val="subscript"/>
          <w14:textFill>
            <w14:solidFill>
              <w14:schemeClr w14:val="tx1"/>
            </w14:solidFill>
          </w14:textFill>
        </w:rPr>
        <w:t>g</w:t>
      </w:r>
      <w:r>
        <w:rPr>
          <w:rFonts w:hint="eastAsia"/>
          <w:i/>
          <w:iCs/>
          <w:color w:val="000000" w:themeColor="text1"/>
          <w:sz w:val="20"/>
          <w:szCs w:val="20"/>
          <w14:textFill>
            <w14:solidFill>
              <w14:schemeClr w14:val="tx1"/>
            </w14:solidFill>
          </w14:textFill>
        </w:rPr>
        <w:t xml:space="preserve"> waveforms under harmonic disturbances in the original system</w:t>
      </w:r>
    </w:p>
    <w:p>
      <w:pPr>
        <w:keepNext w:val="0"/>
        <w:keepLines w:val="0"/>
        <w:pageBreakBefore w:val="0"/>
        <w:widowControl/>
        <w:kinsoku/>
        <w:wordWrap/>
        <w:overflowPunct/>
        <w:topLinePunct w:val="0"/>
        <w:autoSpaceDE/>
        <w:autoSpaceDN/>
        <w:bidi w:val="0"/>
        <w:adjustRightInd/>
        <w:snapToGrid/>
        <w:ind w:firstLine="0"/>
        <w:jc w:val="center"/>
        <w:textAlignment w:val="auto"/>
        <w:rPr>
          <w:rFonts w:hint="eastAsia"/>
        </w:rPr>
      </w:pPr>
      <w:r>
        <w:rPr>
          <w:rFonts w:hint="eastAsia"/>
        </w:rPr>
        <w:object>
          <v:shape id="_x0000_i1049" o:spt="75" type="#_x0000_t75" style="height:91pt;width:207.5pt;" o:ole="t" filled="f" o:preferrelative="t" stroked="f" coordsize="21600,21600">
            <v:path/>
            <v:fill on="f" focussize="0,0"/>
            <v:stroke on="f"/>
            <v:imagedata r:id="rId65" o:title=""/>
            <o:lock v:ext="edit" aspectratio="f"/>
            <w10:wrap type="none"/>
            <w10:anchorlock/>
          </v:shape>
          <o:OLEObject Type="Embed" ProgID="Visio.Drawing.15" ShapeID="_x0000_i1049" DrawAspect="Content" ObjectID="_1468075749" r:id="rId64">
            <o:LockedField>false</o:LockedField>
          </o:OLEObject>
        </w:object>
      </w:r>
    </w:p>
    <w:p>
      <w:pPr>
        <w:jc w:val="center"/>
        <w:rPr>
          <w:rFonts w:hint="eastAsia" w:eastAsia="宋体"/>
          <w:i/>
          <w:iCs/>
          <w:color w:val="000000" w:themeColor="text1"/>
          <w:sz w:val="20"/>
          <w:szCs w:val="20"/>
          <w:lang w:val="en-US" w:eastAsia="zh-CN"/>
          <w14:textFill>
            <w14:solidFill>
              <w14:schemeClr w14:val="tx1"/>
            </w14:solidFill>
          </w14:textFill>
        </w:rPr>
      </w:pPr>
      <w:r>
        <w:rPr>
          <w:rFonts w:hint="eastAsia"/>
          <w:b/>
          <w:bCs/>
          <w:i/>
          <w:iCs/>
          <w:color w:val="000000" w:themeColor="text1"/>
          <w:sz w:val="20"/>
          <w:szCs w:val="20"/>
          <w:lang w:val="en-US"/>
          <w14:textFill>
            <w14:solidFill>
              <w14:schemeClr w14:val="tx1"/>
            </w14:solidFill>
          </w14:textFill>
        </w:rPr>
        <w:t>F</w:t>
      </w:r>
      <w:r>
        <w:rPr>
          <w:b/>
          <w:bCs/>
          <w:i/>
          <w:iCs/>
          <w:color w:val="000000" w:themeColor="text1"/>
          <w:sz w:val="20"/>
          <w:szCs w:val="20"/>
          <w:lang w:val="en-US"/>
          <w14:textFill>
            <w14:solidFill>
              <w14:schemeClr w14:val="tx1"/>
            </w14:solidFill>
          </w14:textFill>
        </w:rPr>
        <w:t xml:space="preserve">ig. </w:t>
      </w:r>
      <w:r>
        <w:rPr>
          <w:rFonts w:hint="eastAsia"/>
          <w:b/>
          <w:bCs/>
          <w:i/>
          <w:iCs/>
          <w:color w:val="000000" w:themeColor="text1"/>
          <w:sz w:val="20"/>
          <w:szCs w:val="20"/>
          <w:lang w:val="en-US"/>
          <w14:textFill>
            <w14:solidFill>
              <w14:schemeClr w14:val="tx1"/>
            </w14:solidFill>
          </w14:textFill>
        </w:rPr>
        <w:t>1</w:t>
      </w:r>
      <w:r>
        <w:rPr>
          <w:rFonts w:hint="eastAsia"/>
          <w:b/>
          <w:bCs/>
          <w:i/>
          <w:iCs/>
          <w:color w:val="000000" w:themeColor="text1"/>
          <w:sz w:val="20"/>
          <w:szCs w:val="20"/>
          <w:lang w:val="en-US" w:eastAsia="zh-CN"/>
          <w14:textFill>
            <w14:solidFill>
              <w14:schemeClr w14:val="tx1"/>
            </w14:solidFill>
          </w14:textFill>
        </w:rPr>
        <w:t>6</w:t>
      </w:r>
      <w:r>
        <w:rPr>
          <w:i/>
          <w:iCs/>
          <w:color w:val="000000" w:themeColor="text1"/>
          <w:sz w:val="20"/>
          <w:szCs w:val="20"/>
          <w:lang w:val="en-US"/>
          <w14:textFill>
            <w14:solidFill>
              <w14:schemeClr w14:val="tx1"/>
            </w14:solidFill>
          </w14:textFill>
        </w:rPr>
        <w:t xml:space="preserve"> </w:t>
      </w:r>
      <w:r>
        <w:rPr>
          <w:rFonts w:hint="eastAsia"/>
          <w:i/>
          <w:iCs/>
          <w:color w:val="000000" w:themeColor="text1"/>
          <w:sz w:val="20"/>
          <w:szCs w:val="20"/>
          <w:lang w:val="en-US" w:eastAsia="zh-CN"/>
          <w14:textFill>
            <w14:solidFill>
              <w14:schemeClr w14:val="tx1"/>
            </w14:solidFill>
          </w14:textFill>
        </w:rPr>
        <w:t>u</w:t>
      </w:r>
      <w:r>
        <w:rPr>
          <w:rFonts w:hint="eastAsia"/>
          <w:i w:val="0"/>
          <w:iCs w:val="0"/>
          <w:color w:val="000000" w:themeColor="text1"/>
          <w:sz w:val="20"/>
          <w:szCs w:val="20"/>
          <w:vertAlign w:val="subscript"/>
          <w:lang w:val="en-US" w:eastAsia="zh-CN"/>
          <w14:textFill>
            <w14:solidFill>
              <w14:schemeClr w14:val="tx1"/>
            </w14:solidFill>
          </w14:textFill>
        </w:rPr>
        <w:t>PCC</w:t>
      </w:r>
      <w:r>
        <w:rPr>
          <w:rFonts w:hint="eastAsia"/>
          <w:i/>
          <w:iCs/>
          <w:color w:val="000000" w:themeColor="text1"/>
          <w:sz w:val="20"/>
          <w:szCs w:val="20"/>
          <w:lang w:val="en-US" w:eastAsia="zh-CN"/>
          <w14:textFill>
            <w14:solidFill>
              <w14:schemeClr w14:val="tx1"/>
            </w14:solidFill>
          </w14:textFill>
        </w:rPr>
        <w:t xml:space="preserve"> and i</w:t>
      </w:r>
      <w:r>
        <w:rPr>
          <w:rFonts w:hint="eastAsia"/>
          <w:i w:val="0"/>
          <w:iCs w:val="0"/>
          <w:color w:val="000000" w:themeColor="text1"/>
          <w:sz w:val="20"/>
          <w:szCs w:val="20"/>
          <w:vertAlign w:val="subscript"/>
          <w:lang w:val="en-US" w:eastAsia="zh-CN"/>
          <w14:textFill>
            <w14:solidFill>
              <w14:schemeClr w14:val="tx1"/>
            </w14:solidFill>
          </w14:textFill>
        </w:rPr>
        <w:t>g</w:t>
      </w:r>
      <w:r>
        <w:rPr>
          <w:rFonts w:hint="eastAsia"/>
          <w:i/>
          <w:iCs/>
          <w:color w:val="000000" w:themeColor="text1"/>
          <w:sz w:val="20"/>
          <w:szCs w:val="20"/>
          <w:lang w:val="en-US" w:eastAsia="zh-CN"/>
          <w14:textFill>
            <w14:solidFill>
              <w14:schemeClr w14:val="tx1"/>
            </w14:solidFill>
          </w14:textFill>
        </w:rPr>
        <w:t xml:space="preserve"> waveforms with parallel damping under harmonic disturbances</w:t>
      </w:r>
    </w:p>
    <w:p>
      <w:pPr>
        <w:ind w:firstLine="400"/>
        <w:jc w:val="both"/>
        <w:rPr>
          <w:rFonts w:hint="eastAsia"/>
          <w:color w:val="000000" w:themeColor="text1"/>
          <w:sz w:val="20"/>
          <w:szCs w:val="20"/>
          <w:lang w:val="en-US"/>
          <w14:textFill>
            <w14:solidFill>
              <w14:schemeClr w14:val="tx1"/>
            </w14:solidFill>
          </w14:textFill>
        </w:rPr>
      </w:pPr>
      <w:r>
        <w:rPr>
          <w:rFonts w:hint="eastAsia"/>
          <w:color w:val="000000" w:themeColor="text1"/>
          <w:sz w:val="20"/>
          <w:szCs w:val="20"/>
          <w:lang w:val="en-US"/>
          <w14:textFill>
            <w14:solidFill>
              <w14:schemeClr w14:val="tx1"/>
            </w14:solidFill>
          </w14:textFill>
        </w:rPr>
        <w:t>As shown in Fig</w:t>
      </w:r>
      <w:r>
        <w:rPr>
          <w:rFonts w:hint="eastAsia"/>
          <w:color w:val="000000" w:themeColor="text1"/>
          <w:sz w:val="20"/>
          <w:szCs w:val="20"/>
          <w:lang w:val="en-US" w:eastAsia="zh-CN"/>
          <w14:textFill>
            <w14:solidFill>
              <w14:schemeClr w14:val="tx1"/>
            </w14:solidFill>
          </w14:textFill>
        </w:rPr>
        <w:t>.</w:t>
      </w:r>
      <w:r>
        <w:rPr>
          <w:rFonts w:hint="eastAsia"/>
          <w:color w:val="000000" w:themeColor="text1"/>
          <w:sz w:val="20"/>
          <w:szCs w:val="20"/>
          <w:lang w:val="en-US"/>
          <w14:textFill>
            <w14:solidFill>
              <w14:schemeClr w14:val="tx1"/>
            </w14:solidFill>
          </w14:textFill>
        </w:rPr>
        <w:t xml:space="preserve"> 1</w:t>
      </w:r>
      <w:r>
        <w:rPr>
          <w:rFonts w:hint="eastAsia"/>
          <w:color w:val="000000" w:themeColor="text1"/>
          <w:sz w:val="20"/>
          <w:szCs w:val="20"/>
          <w:lang w:val="en-US" w:eastAsia="zh-CN"/>
          <w14:textFill>
            <w14:solidFill>
              <w14:schemeClr w14:val="tx1"/>
            </w14:solidFill>
          </w14:textFill>
        </w:rPr>
        <w:t>4</w:t>
      </w:r>
      <w:r>
        <w:rPr>
          <w:rFonts w:hint="eastAsia"/>
          <w:color w:val="000000" w:themeColor="text1"/>
          <w:sz w:val="20"/>
          <w:szCs w:val="20"/>
          <w:lang w:val="en-US"/>
          <w14:textFill>
            <w14:solidFill>
              <w14:schemeClr w14:val="tx1"/>
            </w14:solidFill>
          </w14:textFill>
        </w:rPr>
        <w:t>, 1</w:t>
      </w:r>
      <w:r>
        <w:rPr>
          <w:rFonts w:hint="eastAsia"/>
          <w:color w:val="000000" w:themeColor="text1"/>
          <w:sz w:val="20"/>
          <w:szCs w:val="20"/>
          <w:lang w:val="en-US" w:eastAsia="zh-CN"/>
          <w14:textFill>
            <w14:solidFill>
              <w14:schemeClr w14:val="tx1"/>
            </w14:solidFill>
          </w14:textFill>
        </w:rPr>
        <w:t>5</w:t>
      </w:r>
      <w:r>
        <w:rPr>
          <w:rFonts w:hint="eastAsia"/>
          <w:color w:val="000000" w:themeColor="text1"/>
          <w:sz w:val="20"/>
          <w:szCs w:val="20"/>
          <w:lang w:val="en-US"/>
          <w14:textFill>
            <w14:solidFill>
              <w14:schemeClr w14:val="tx1"/>
            </w14:solidFill>
          </w14:textFill>
        </w:rPr>
        <w:t>, and 1</w:t>
      </w:r>
      <w:r>
        <w:rPr>
          <w:rFonts w:hint="eastAsia"/>
          <w:color w:val="000000" w:themeColor="text1"/>
          <w:sz w:val="20"/>
          <w:szCs w:val="20"/>
          <w:lang w:val="en-US" w:eastAsia="zh-CN"/>
          <w14:textFill>
            <w14:solidFill>
              <w14:schemeClr w14:val="tx1"/>
            </w14:solidFill>
          </w14:textFill>
        </w:rPr>
        <w:t>6</w:t>
      </w:r>
      <w:r>
        <w:rPr>
          <w:rFonts w:hint="eastAsia"/>
          <w:color w:val="000000" w:themeColor="text1"/>
          <w:sz w:val="20"/>
          <w:szCs w:val="20"/>
          <w:lang w:val="en-US"/>
          <w14:textFill>
            <w14:solidFill>
              <w14:schemeClr w14:val="tx1"/>
            </w14:solidFill>
          </w14:textFill>
        </w:rPr>
        <w:t xml:space="preserve">, when the original system operates under normal conditions, the </w:t>
      </w:r>
      <w:r>
        <w:rPr>
          <w:rFonts w:hint="eastAsia"/>
          <w:i/>
          <w:iCs/>
          <w:color w:val="000000" w:themeColor="text1"/>
          <w:sz w:val="20"/>
          <w:szCs w:val="20"/>
          <w:lang w:val="en-US" w:eastAsia="zh-CN"/>
          <w14:textFill>
            <w14:solidFill>
              <w14:schemeClr w14:val="tx1"/>
            </w14:solidFill>
          </w14:textFill>
        </w:rPr>
        <w:t>u</w:t>
      </w:r>
      <w:r>
        <w:rPr>
          <w:rFonts w:hint="eastAsia"/>
          <w:color w:val="000000" w:themeColor="text1"/>
          <w:sz w:val="20"/>
          <w:szCs w:val="20"/>
          <w:vertAlign w:val="subscript"/>
          <w:lang w:val="en-US" w:eastAsia="zh-CN"/>
          <w14:textFill>
            <w14:solidFill>
              <w14:schemeClr w14:val="tx1"/>
            </w14:solidFill>
          </w14:textFill>
        </w:rPr>
        <w:t>PCC</w:t>
      </w:r>
      <w:r>
        <w:rPr>
          <w:rFonts w:hint="eastAsia"/>
          <w:color w:val="000000" w:themeColor="text1"/>
          <w:sz w:val="20"/>
          <w:szCs w:val="20"/>
          <w:lang w:val="en-US" w:eastAsia="zh-CN"/>
          <w14:textFill>
            <w14:solidFill>
              <w14:schemeClr w14:val="tx1"/>
            </w14:solidFill>
          </w14:textFill>
        </w:rPr>
        <w:t xml:space="preserve"> and </w:t>
      </w:r>
      <w:r>
        <w:rPr>
          <w:rFonts w:hint="eastAsia"/>
          <w:i/>
          <w:iCs/>
          <w:color w:val="000000" w:themeColor="text1"/>
          <w:sz w:val="20"/>
          <w:szCs w:val="20"/>
          <w:lang w:val="en-US" w:eastAsia="zh-CN"/>
          <w14:textFill>
            <w14:solidFill>
              <w14:schemeClr w14:val="tx1"/>
            </w14:solidFill>
          </w14:textFill>
        </w:rPr>
        <w:t>i</w:t>
      </w:r>
      <w:r>
        <w:rPr>
          <w:rFonts w:hint="eastAsia"/>
          <w:color w:val="000000" w:themeColor="text1"/>
          <w:sz w:val="20"/>
          <w:szCs w:val="20"/>
          <w:vertAlign w:val="subscript"/>
          <w:lang w:val="en-US" w:eastAsia="zh-CN"/>
          <w14:textFill>
            <w14:solidFill>
              <w14:schemeClr w14:val="tx1"/>
            </w14:solidFill>
          </w14:textFill>
        </w:rPr>
        <w:t>g</w:t>
      </w:r>
      <w:r>
        <w:rPr>
          <w:rFonts w:hint="eastAsia"/>
          <w:color w:val="000000" w:themeColor="text1"/>
          <w:sz w:val="20"/>
          <w:szCs w:val="20"/>
          <w:lang w:val="en-US"/>
          <w14:textFill>
            <w14:solidFill>
              <w14:schemeClr w14:val="tx1"/>
            </w14:solidFill>
          </w14:textFill>
        </w:rPr>
        <w:t xml:space="preserve"> waveforms remain smooth with minimal harmonic content. However, once the system is subjected to harmonic disturbances, </w:t>
      </w:r>
      <w:r>
        <w:rPr>
          <w:rFonts w:hint="eastAsia"/>
          <w:i/>
          <w:iCs/>
          <w:color w:val="000000" w:themeColor="text1"/>
          <w:sz w:val="20"/>
          <w:szCs w:val="20"/>
          <w:lang w:val="en-US" w:eastAsia="zh-CN"/>
          <w14:textFill>
            <w14:solidFill>
              <w14:schemeClr w14:val="tx1"/>
            </w14:solidFill>
          </w14:textFill>
        </w:rPr>
        <w:t>u</w:t>
      </w:r>
      <w:r>
        <w:rPr>
          <w:rFonts w:hint="eastAsia"/>
          <w:color w:val="000000" w:themeColor="text1"/>
          <w:sz w:val="20"/>
          <w:szCs w:val="20"/>
          <w:vertAlign w:val="subscript"/>
          <w:lang w:val="en-US" w:eastAsia="zh-CN"/>
          <w14:textFill>
            <w14:solidFill>
              <w14:schemeClr w14:val="tx1"/>
            </w14:solidFill>
          </w14:textFill>
        </w:rPr>
        <w:t>PCC</w:t>
      </w:r>
      <w:r>
        <w:rPr>
          <w:rFonts w:hint="eastAsia"/>
          <w:color w:val="000000" w:themeColor="text1"/>
          <w:sz w:val="20"/>
          <w:szCs w:val="20"/>
          <w:lang w:val="en-US"/>
          <w14:textFill>
            <w14:solidFill>
              <w14:schemeClr w14:val="tx1"/>
            </w14:solidFill>
          </w14:textFill>
        </w:rPr>
        <w:t xml:space="preserve"> becomes severely distorted, and its harmonic components are significantly amplified, failing to meet the harmonic limits for </w:t>
      </w:r>
      <w:r>
        <w:rPr>
          <w:rFonts w:hint="eastAsia"/>
          <w:color w:val="000000" w:themeColor="text1"/>
          <w:sz w:val="20"/>
          <w:szCs w:val="20"/>
          <w:lang w:val="en-US" w:eastAsia="zh-CN"/>
          <w14:textFill>
            <w14:solidFill>
              <w14:schemeClr w14:val="tx1"/>
            </w14:solidFill>
          </w14:textFill>
        </w:rPr>
        <w:t>GCI system</w:t>
      </w:r>
      <w:r>
        <w:rPr>
          <w:rFonts w:hint="eastAsia"/>
          <w:color w:val="000000" w:themeColor="text1"/>
          <w:sz w:val="20"/>
          <w:szCs w:val="20"/>
          <w:lang w:val="en-US"/>
          <w14:textFill>
            <w14:solidFill>
              <w14:schemeClr w14:val="tx1"/>
            </w14:solidFill>
          </w14:textFill>
        </w:rPr>
        <w:t xml:space="preserve">. The </w:t>
      </w:r>
      <w:r>
        <w:rPr>
          <w:rFonts w:hint="eastAsia"/>
          <w:i/>
          <w:iCs/>
          <w:color w:val="000000" w:themeColor="text1"/>
          <w:sz w:val="20"/>
          <w:szCs w:val="20"/>
          <w:lang w:val="en-US" w:eastAsia="zh-CN"/>
          <w14:textFill>
            <w14:solidFill>
              <w14:schemeClr w14:val="tx1"/>
            </w14:solidFill>
          </w14:textFill>
        </w:rPr>
        <w:t>i</w:t>
      </w:r>
      <w:r>
        <w:rPr>
          <w:rFonts w:hint="eastAsia"/>
          <w:color w:val="000000" w:themeColor="text1"/>
          <w:sz w:val="20"/>
          <w:szCs w:val="20"/>
          <w:vertAlign w:val="subscript"/>
          <w:lang w:val="en-US" w:eastAsia="zh-CN"/>
          <w14:textFill>
            <w14:solidFill>
              <w14:schemeClr w14:val="tx1"/>
            </w14:solidFill>
          </w14:textFill>
        </w:rPr>
        <w:t xml:space="preserve">g </w:t>
      </w:r>
      <w:r>
        <w:rPr>
          <w:rFonts w:hint="eastAsia"/>
          <w:color w:val="000000" w:themeColor="text1"/>
          <w:sz w:val="20"/>
          <w:szCs w:val="20"/>
          <w:lang w:val="en-US"/>
          <w14:textFill>
            <w14:solidFill>
              <w14:schemeClr w14:val="tx1"/>
            </w14:solidFill>
          </w14:textFill>
        </w:rPr>
        <w:t xml:space="preserve">waveform exhibits relatively moderate distortion but contains more harmonic components due to the coupling effect of </w:t>
      </w:r>
      <w:r>
        <w:rPr>
          <w:rFonts w:hint="eastAsia"/>
          <w:i/>
          <w:iCs/>
          <w:color w:val="000000" w:themeColor="text1"/>
          <w:sz w:val="20"/>
          <w:szCs w:val="20"/>
          <w:lang w:val="en-US" w:eastAsia="zh-CN"/>
          <w14:textFill>
            <w14:solidFill>
              <w14:schemeClr w14:val="tx1"/>
            </w14:solidFill>
          </w14:textFill>
        </w:rPr>
        <w:t>u</w:t>
      </w:r>
      <w:r>
        <w:rPr>
          <w:rFonts w:hint="eastAsia"/>
          <w:color w:val="000000" w:themeColor="text1"/>
          <w:sz w:val="20"/>
          <w:szCs w:val="20"/>
          <w:vertAlign w:val="subscript"/>
          <w:lang w:val="en-US" w:eastAsia="zh-CN"/>
          <w14:textFill>
            <w14:solidFill>
              <w14:schemeClr w14:val="tx1"/>
            </w14:solidFill>
          </w14:textFill>
        </w:rPr>
        <w:t>PCC</w:t>
      </w:r>
      <w:r>
        <w:rPr>
          <w:rFonts w:hint="eastAsia"/>
          <w:color w:val="000000" w:themeColor="text1"/>
          <w:sz w:val="20"/>
          <w:szCs w:val="20"/>
          <w:lang w:val="en-US"/>
          <w14:textFill>
            <w14:solidFill>
              <w14:schemeClr w14:val="tx1"/>
            </w14:solidFill>
          </w14:textFill>
        </w:rPr>
        <w:t>. After the direct-mounted damp</w:t>
      </w:r>
      <w:r>
        <w:rPr>
          <w:rFonts w:hint="eastAsia"/>
          <w:color w:val="000000" w:themeColor="text1"/>
          <w:sz w:val="20"/>
          <w:szCs w:val="20"/>
          <w:lang w:val="en-US" w:eastAsia="zh-CN"/>
          <w14:textFill>
            <w14:solidFill>
              <w14:schemeClr w14:val="tx1"/>
            </w14:solidFill>
          </w14:textFill>
        </w:rPr>
        <w:t>ing device</w:t>
      </w:r>
      <w:r>
        <w:rPr>
          <w:rFonts w:hint="eastAsia"/>
          <w:color w:val="000000" w:themeColor="text1"/>
          <w:sz w:val="20"/>
          <w:szCs w:val="20"/>
          <w:lang w:val="en-US"/>
          <w14:textFill>
            <w14:solidFill>
              <w14:schemeClr w14:val="tx1"/>
            </w14:solidFill>
          </w14:textFill>
        </w:rPr>
        <w:t xml:space="preserve"> is connected in parallel, neither </w:t>
      </w:r>
      <w:r>
        <w:rPr>
          <w:rFonts w:hint="eastAsia"/>
          <w:i/>
          <w:iCs/>
          <w:color w:val="000000" w:themeColor="text1"/>
          <w:sz w:val="20"/>
          <w:szCs w:val="20"/>
          <w:lang w:val="en-US" w:eastAsia="zh-CN"/>
          <w14:textFill>
            <w14:solidFill>
              <w14:schemeClr w14:val="tx1"/>
            </w14:solidFill>
          </w14:textFill>
        </w:rPr>
        <w:t>u</w:t>
      </w:r>
      <w:r>
        <w:rPr>
          <w:rFonts w:hint="eastAsia"/>
          <w:color w:val="000000" w:themeColor="text1"/>
          <w:sz w:val="20"/>
          <w:szCs w:val="20"/>
          <w:vertAlign w:val="subscript"/>
          <w:lang w:val="en-US" w:eastAsia="zh-CN"/>
          <w14:textFill>
            <w14:solidFill>
              <w14:schemeClr w14:val="tx1"/>
            </w14:solidFill>
          </w14:textFill>
        </w:rPr>
        <w:t>PCC</w:t>
      </w:r>
      <w:r>
        <w:rPr>
          <w:rFonts w:hint="eastAsia"/>
          <w:color w:val="000000" w:themeColor="text1"/>
          <w:sz w:val="20"/>
          <w:szCs w:val="20"/>
          <w:lang w:val="en-US"/>
          <w14:textFill>
            <w14:solidFill>
              <w14:schemeClr w14:val="tx1"/>
            </w14:solidFill>
          </w14:textFill>
        </w:rPr>
        <w:t xml:space="preserve"> nor </w:t>
      </w:r>
      <w:r>
        <w:rPr>
          <w:rFonts w:hint="eastAsia"/>
          <w:i/>
          <w:iCs/>
          <w:color w:val="000000" w:themeColor="text1"/>
          <w:sz w:val="20"/>
          <w:szCs w:val="20"/>
          <w:lang w:val="en-US" w:eastAsia="zh-CN"/>
          <w14:textFill>
            <w14:solidFill>
              <w14:schemeClr w14:val="tx1"/>
            </w14:solidFill>
          </w14:textFill>
        </w:rPr>
        <w:t>i</w:t>
      </w:r>
      <w:r>
        <w:rPr>
          <w:rFonts w:hint="eastAsia"/>
          <w:color w:val="000000" w:themeColor="text1"/>
          <w:sz w:val="20"/>
          <w:szCs w:val="20"/>
          <w:vertAlign w:val="subscript"/>
          <w:lang w:val="en-US" w:eastAsia="zh-CN"/>
          <w14:textFill>
            <w14:solidFill>
              <w14:schemeClr w14:val="tx1"/>
            </w14:solidFill>
          </w14:textFill>
        </w:rPr>
        <w:t xml:space="preserve">g </w:t>
      </w:r>
      <w:r>
        <w:rPr>
          <w:rFonts w:hint="eastAsia"/>
          <w:color w:val="000000" w:themeColor="text1"/>
          <w:sz w:val="20"/>
          <w:szCs w:val="20"/>
          <w:lang w:val="en-US"/>
          <w14:textFill>
            <w14:solidFill>
              <w14:schemeClr w14:val="tx1"/>
            </w14:solidFill>
          </w14:textFill>
        </w:rPr>
        <w:t>shows harmonic oscillations under harmonic disturbances, and both waveforms exhibit only slight distortion. These results confirm the effectiveness of the direct-mounted damp</w:t>
      </w:r>
      <w:r>
        <w:rPr>
          <w:rFonts w:hint="eastAsia"/>
          <w:color w:val="000000" w:themeColor="text1"/>
          <w:sz w:val="20"/>
          <w:szCs w:val="20"/>
          <w:lang w:val="en-US" w:eastAsia="zh-CN"/>
          <w14:textFill>
            <w14:solidFill>
              <w14:schemeClr w14:val="tx1"/>
            </w14:solidFill>
          </w14:textFill>
        </w:rPr>
        <w:t>ing device</w:t>
      </w:r>
      <w:r>
        <w:rPr>
          <w:rFonts w:hint="eastAsia"/>
          <w:color w:val="000000" w:themeColor="text1"/>
          <w:sz w:val="20"/>
          <w:szCs w:val="20"/>
          <w:lang w:val="en-US"/>
          <w14:textFill>
            <w14:solidFill>
              <w14:schemeClr w14:val="tx1"/>
            </w14:solidFill>
          </w14:textFill>
        </w:rPr>
        <w:t xml:space="preserve"> in suppressing multi-modal resonance p</w:t>
      </w:r>
      <w:r>
        <w:rPr>
          <w:rFonts w:hint="eastAsia"/>
          <w:color w:val="000000" w:themeColor="text1"/>
          <w:sz w:val="20"/>
          <w:szCs w:val="20"/>
          <w:lang w:val="en-US" w:eastAsia="zh-CN"/>
          <w14:textFill>
            <w14:solidFill>
              <w14:schemeClr w14:val="tx1"/>
            </w14:solidFill>
          </w14:textFill>
        </w:rPr>
        <w:t>eak</w:t>
      </w:r>
      <w:r>
        <w:rPr>
          <w:rFonts w:hint="eastAsia"/>
          <w:color w:val="000000" w:themeColor="text1"/>
          <w:sz w:val="20"/>
          <w:szCs w:val="20"/>
          <w:lang w:val="en-US"/>
          <w14:textFill>
            <w14:solidFill>
              <w14:schemeClr w14:val="tx1"/>
            </w14:solidFill>
          </w14:textFill>
        </w:rPr>
        <w:t>s in the system,</w:t>
      </w:r>
      <w:r>
        <w:rPr>
          <w:rFonts w:hint="eastAsia"/>
          <w:color w:val="000000" w:themeColor="text1"/>
          <w:sz w:val="20"/>
          <w:szCs w:val="20"/>
          <w:lang w:val="en-US" w:eastAsia="zh-CN"/>
          <w14:textFill>
            <w14:solidFill>
              <w14:schemeClr w14:val="tx1"/>
            </w14:solidFill>
          </w14:textFill>
        </w:rPr>
        <w:t xml:space="preserve"> </w:t>
      </w:r>
      <w:r>
        <w:rPr>
          <w:color w:val="000000" w:themeColor="text1"/>
          <w:sz w:val="20"/>
          <w:szCs w:val="20"/>
          <w:lang w:val="en-US"/>
          <w14:textFill>
            <w14:solidFill>
              <w14:schemeClr w14:val="tx1"/>
            </w14:solidFill>
          </w14:textFill>
        </w:rPr>
        <w:t xml:space="preserve">and demonstrates the general applicability of the proposed method </w:t>
      </w:r>
      <w:r>
        <w:rPr>
          <w:rFonts w:hint="eastAsia"/>
          <w:color w:val="000000" w:themeColor="text1"/>
          <w:sz w:val="20"/>
          <w:szCs w:val="20"/>
          <w:lang w:val="en-US"/>
          <w14:textFill>
            <w14:solidFill>
              <w14:schemeClr w14:val="tx1"/>
            </w14:solidFill>
          </w14:textFill>
        </w:rPr>
        <w:t>for mitigating</w:t>
      </w:r>
      <w:r>
        <w:rPr>
          <w:rFonts w:hint="eastAsia"/>
          <w:color w:val="000000" w:themeColor="text1"/>
          <w:sz w:val="20"/>
          <w:szCs w:val="20"/>
          <w:lang w:val="en-US" w:eastAsia="zh-CN"/>
          <w14:textFill>
            <w14:solidFill>
              <w14:schemeClr w14:val="tx1"/>
            </w14:solidFill>
          </w14:textFill>
        </w:rPr>
        <w:t xml:space="preserve"> </w:t>
      </w:r>
      <w:r>
        <w:rPr>
          <w:color w:val="000000" w:themeColor="text1"/>
          <w:sz w:val="20"/>
          <w:szCs w:val="20"/>
          <w:lang w:val="en-US"/>
          <w14:textFill>
            <w14:solidFill>
              <w14:schemeClr w14:val="tx1"/>
            </w14:solidFill>
          </w14:textFill>
        </w:rPr>
        <w:t>broadband harmonic oscillations in distribution network.</w:t>
      </w:r>
      <w:r>
        <w:t xml:space="preserve"> </w:t>
      </w:r>
    </w:p>
    <w:p>
      <w:pPr>
        <w:pStyle w:val="40"/>
        <w:rPr>
          <w:color w:val="000000" w:themeColor="text1"/>
          <w14:textFill>
            <w14:solidFill>
              <w14:schemeClr w14:val="tx1"/>
            </w14:solidFill>
          </w14:textFill>
        </w:rPr>
      </w:pPr>
      <w:r>
        <w:rPr>
          <w:color w:val="000000" w:themeColor="text1"/>
          <w14:textFill>
            <w14:solidFill>
              <w14:schemeClr w14:val="tx1"/>
            </w14:solidFill>
          </w14:textFill>
        </w:rPr>
        <w:t>Conclusion</w:t>
      </w:r>
    </w:p>
    <w:p>
      <w:pPr>
        <w:ind w:firstLine="400"/>
        <w:jc w:val="both"/>
        <w:rPr>
          <w:rFonts w:hint="default" w:ascii="Times New Roman" w:hAnsi="Times New Roman" w:cs="Times New Roman"/>
          <w:color w:val="000000" w:themeColor="text1"/>
          <w:sz w:val="20"/>
          <w:szCs w:val="20"/>
          <w14:textFill>
            <w14:solidFill>
              <w14:schemeClr w14:val="tx1"/>
            </w14:solidFill>
          </w14:textFill>
        </w:rPr>
      </w:pPr>
      <w:r>
        <w:rPr>
          <w:rFonts w:hint="default" w:ascii="Times New Roman" w:hAnsi="Times New Roman" w:cs="Times New Roman"/>
          <w:color w:val="000000" w:themeColor="text1"/>
          <w:sz w:val="20"/>
          <w:szCs w:val="20"/>
          <w14:textFill>
            <w14:solidFill>
              <w14:schemeClr w14:val="tx1"/>
            </w14:solidFill>
          </w14:textFill>
        </w:rPr>
        <w:t>This paper proposes a method for suppressing multimodal broadband harmonic oscillations in</w:t>
      </w:r>
      <w:r>
        <w:rPr>
          <w:rFonts w:hint="eastAsia" w:cs="Times New Roman"/>
          <w:color w:val="000000" w:themeColor="text1"/>
          <w:sz w:val="20"/>
          <w:szCs w:val="20"/>
          <w:lang w:val="en-US" w:eastAsia="zh-CN"/>
          <w14:textFill>
            <w14:solidFill>
              <w14:schemeClr w14:val="tx1"/>
            </w14:solidFill>
          </w14:textFill>
        </w:rPr>
        <w:t xml:space="preserve"> high DG penetration</w:t>
      </w:r>
      <w:r>
        <w:rPr>
          <w:rFonts w:hint="default" w:ascii="Times New Roman" w:hAnsi="Times New Roman" w:cs="Times New Roman"/>
          <w:color w:val="000000" w:themeColor="text1"/>
          <w:sz w:val="20"/>
          <w:szCs w:val="20"/>
          <w14:textFill>
            <w14:solidFill>
              <w14:schemeClr w14:val="tx1"/>
            </w14:solidFill>
          </w14:textFill>
        </w:rPr>
        <w:t xml:space="preserve"> distribution networks by deploying direct-mounted damping devices at key system nodes. Based on the topology and operating principles of the damping device, and considering the IEC-specified electromagnetic compatibility (EMC) levels for low-voltage distribution networks, a general procedure for device parameter design is developed. Simulation results verify the feasibility of the proposed method in mitigating broadband harmonic oscillations, while experimental results on a multi-inverter grid-connected system further demonstrate its generality and effectiveness. The main conclusions are summarized as follows:</w:t>
      </w:r>
    </w:p>
    <w:p>
      <w:pPr>
        <w:widowControl w:val="0"/>
        <w:spacing w:line="252" w:lineRule="auto"/>
        <w:ind w:firstLine="204"/>
        <w:jc w:val="both"/>
        <w:rPr>
          <w:rFonts w:hint="default" w:ascii="Times New Roman" w:hAnsi="Times New Roman" w:eastAsia="宋体" w:cs="Times New Roman"/>
          <w:bCs/>
          <w:sz w:val="20"/>
          <w:szCs w:val="20"/>
          <w:lang w:val="en-US" w:eastAsia="zh-CN"/>
        </w:rPr>
      </w:pPr>
      <w:r>
        <w:rPr>
          <w:rFonts w:hint="default" w:ascii="Times New Roman" w:hAnsi="Times New Roman" w:eastAsia="Times New Roman" w:cs="Times New Roman"/>
          <w:bCs/>
          <w:sz w:val="20"/>
          <w:szCs w:val="20"/>
          <w:lang w:val="en-US"/>
        </w:rPr>
        <w:t xml:space="preserve">1) </w:t>
      </w:r>
      <w:r>
        <w:rPr>
          <w:rFonts w:hint="default" w:ascii="Times New Roman" w:hAnsi="Times New Roman" w:cs="Times New Roman"/>
          <w:bCs/>
          <w:sz w:val="20"/>
          <w:szCs w:val="20"/>
          <w:lang w:val="en-US" w:eastAsia="zh-CN"/>
        </w:rPr>
        <w:t xml:space="preserve">A unified quantitative indicator suitable for broadband oscillation analysis was established. The even-order harmonic content in low-voltage distribution networks is relatively small; therefore, when the system’s resonant frequency is close to even-order harmonics, a damping coefficient of </w:t>
      </w:r>
      <w:r>
        <w:rPr>
          <w:rFonts w:hint="default" w:ascii="Times New Roman" w:hAnsi="Times New Roman" w:cs="Times New Roman"/>
          <w:bCs/>
          <w:i/>
          <w:iCs/>
          <w:sz w:val="20"/>
          <w:szCs w:val="20"/>
          <w:lang w:val="en-US" w:eastAsia="zh-CN"/>
        </w:rPr>
        <w:t>ξ</w:t>
      </w:r>
      <w:r>
        <w:rPr>
          <w:rFonts w:hint="default" w:ascii="Times New Roman" w:hAnsi="Times New Roman" w:cs="Times New Roman"/>
          <w:bCs/>
          <w:sz w:val="20"/>
          <w:szCs w:val="20"/>
          <w:lang w:val="en-US" w:eastAsia="zh-CN"/>
        </w:rPr>
        <w:t xml:space="preserve"> ≥ 0.2 is sufficient to satisfy the harmonic limit requirements for </w:t>
      </w:r>
      <w:r>
        <w:rPr>
          <w:rFonts w:hint="eastAsia" w:ascii="Times New Roman" w:hAnsi="Times New Roman" w:cs="Times New Roman"/>
          <w:bCs/>
          <w:sz w:val="20"/>
          <w:szCs w:val="20"/>
          <w:lang w:val="en-US" w:eastAsia="zh-CN"/>
        </w:rPr>
        <w:t>GCI system</w:t>
      </w:r>
      <w:r>
        <w:rPr>
          <w:rFonts w:hint="default" w:ascii="Times New Roman" w:hAnsi="Times New Roman" w:cs="Times New Roman"/>
          <w:bCs/>
          <w:sz w:val="20"/>
          <w:szCs w:val="20"/>
          <w:lang w:val="en-US" w:eastAsia="zh-CN"/>
        </w:rPr>
        <w:t>.</w:t>
      </w:r>
    </w:p>
    <w:p>
      <w:pPr>
        <w:widowControl w:val="0"/>
        <w:spacing w:line="252" w:lineRule="auto"/>
        <w:ind w:firstLine="204"/>
        <w:jc w:val="both"/>
        <w:rPr>
          <w:rFonts w:hint="eastAsia" w:ascii="Times New Roman" w:hAnsi="Times New Roman" w:eastAsia="宋体" w:cs="Times New Roman"/>
          <w:bCs/>
          <w:sz w:val="20"/>
          <w:szCs w:val="20"/>
          <w:lang w:val="en-US" w:eastAsia="zh-CN"/>
        </w:rPr>
      </w:pPr>
      <w:r>
        <w:rPr>
          <w:rFonts w:hint="default" w:ascii="Times New Roman" w:hAnsi="Times New Roman" w:cs="Times New Roman" w:eastAsiaTheme="minorEastAsia"/>
          <w:bCs/>
          <w:sz w:val="20"/>
          <w:szCs w:val="20"/>
          <w:lang w:val="en-US"/>
        </w:rPr>
        <w:t>2</w:t>
      </w:r>
      <w:r>
        <w:rPr>
          <w:rFonts w:hint="default" w:ascii="Times New Roman" w:hAnsi="Times New Roman" w:eastAsia="Times New Roman" w:cs="Times New Roman"/>
          <w:bCs/>
          <w:sz w:val="20"/>
          <w:szCs w:val="20"/>
          <w:lang w:val="en-US"/>
        </w:rPr>
        <w:t xml:space="preserve">) </w:t>
      </w:r>
      <w:r>
        <w:rPr>
          <w:rFonts w:hint="default" w:ascii="Times New Roman" w:hAnsi="Times New Roman" w:eastAsia="Times New Roman" w:cs="Times New Roman"/>
          <w:bCs/>
          <w:sz w:val="20"/>
          <w:szCs w:val="20"/>
        </w:rPr>
        <w:t>The general procedure for designing the parameters of the direct-mounted damping device is developed using the modal analysis method and the PSO algorithm. The modal analysis method, as an analytical tool, enables fast and straightforward impedance modeling of the system, identification of resonance points, and evaluation of the excitability and observability of different nodes with respect to the resonant modes, thereby determining the optimal node for parallel damping device placement. The PSO algorithm, as an optimization technique, efficiently provides iterative parameter results of the damping device for a given objective function.</w:t>
      </w:r>
    </w:p>
    <w:p>
      <w:pPr>
        <w:widowControl w:val="0"/>
        <w:spacing w:line="252" w:lineRule="auto"/>
        <w:ind w:firstLine="204"/>
        <w:jc w:val="both"/>
        <w:rPr>
          <w:rFonts w:hint="default" w:ascii="Times New Roman" w:hAnsi="Times New Roman" w:eastAsia="宋体" w:cs="Times New Roman"/>
          <w:bCs/>
          <w:sz w:val="20"/>
          <w:szCs w:val="20"/>
          <w:lang w:val="en-US" w:eastAsia="zh-CN"/>
        </w:rPr>
      </w:pPr>
      <w:r>
        <w:rPr>
          <w:rFonts w:hint="default" w:ascii="Times New Roman" w:hAnsi="Times New Roman" w:cs="Times New Roman" w:eastAsiaTheme="minorEastAsia"/>
          <w:bCs/>
          <w:sz w:val="20"/>
          <w:szCs w:val="20"/>
          <w:lang w:val="en-US"/>
        </w:rPr>
        <w:t>3</w:t>
      </w:r>
      <w:r>
        <w:rPr>
          <w:rFonts w:hint="default" w:ascii="Times New Roman" w:hAnsi="Times New Roman" w:eastAsia="Times New Roman" w:cs="Times New Roman"/>
          <w:bCs/>
          <w:sz w:val="20"/>
          <w:szCs w:val="20"/>
          <w:lang w:val="en-US"/>
        </w:rPr>
        <w:t>)</w:t>
      </w:r>
      <w:r>
        <w:rPr>
          <w:rFonts w:hint="default" w:ascii="Times New Roman" w:hAnsi="Times New Roman" w:cs="Times New Roman"/>
          <w:sz w:val="20"/>
          <w:szCs w:val="20"/>
        </w:rPr>
        <w:t xml:space="preserve"> </w:t>
      </w:r>
      <w:r>
        <w:rPr>
          <w:rFonts w:hint="eastAsia" w:ascii="Times New Roman" w:hAnsi="Times New Roman" w:cs="Times New Roman"/>
          <w:bCs/>
          <w:sz w:val="20"/>
          <w:szCs w:val="20"/>
          <w:lang w:val="en-US" w:eastAsia="zh-CN"/>
        </w:rPr>
        <w:t xml:space="preserve">The effectiveness and general applicability of the direct-mounted damping </w:t>
      </w:r>
      <w:r>
        <w:rPr>
          <w:rFonts w:hint="default" w:ascii="Times New Roman" w:hAnsi="Times New Roman" w:cs="Times New Roman"/>
          <w:bCs/>
          <w:sz w:val="20"/>
          <w:szCs w:val="20"/>
          <w:lang w:val="en-US" w:eastAsia="zh-CN"/>
        </w:rPr>
        <w:t>devices in suppressing broadband harmonic oscillations in “dual-high” distribution networks have been verified. Designed to be connected in parallel at key nodes of the system, the devices significantly enhance the system’s damping coefficient, shift its resonant frequencies, and strengthen its capability to actively suppress harmonic oscillations without affecting its fundamental-frequency operating characteristics. Consequently, the proposed method effectively mitigates broadband oscillations induced by the integration of multiple inverters.</w:t>
      </w:r>
    </w:p>
    <w:p>
      <w:pPr>
        <w:pStyle w:val="40"/>
        <w:rPr>
          <w:rFonts w:eastAsia="黑体"/>
          <w:color w:val="000000" w:themeColor="text1"/>
          <w:lang w:val="en-GB"/>
          <w14:textFill>
            <w14:solidFill>
              <w14:schemeClr w14:val="tx1"/>
            </w14:solidFill>
          </w14:textFill>
        </w:rPr>
      </w:pPr>
      <w:bookmarkStart w:id="10" w:name="_Hlk209110913"/>
      <w:r>
        <w:rPr>
          <w:rFonts w:hint="eastAsia"/>
          <w:color w:val="000000" w:themeColor="text1"/>
          <w:lang w:val="en-GB"/>
          <w14:textFill>
            <w14:solidFill>
              <w14:schemeClr w14:val="tx1"/>
            </w14:solidFill>
          </w14:textFill>
        </w:rPr>
        <w:t>A</w:t>
      </w:r>
      <w:r>
        <w:rPr>
          <w:color w:val="000000" w:themeColor="text1"/>
          <w:lang w:val="en-GB"/>
          <w14:textFill>
            <w14:solidFill>
              <w14:schemeClr w14:val="tx1"/>
            </w14:solidFill>
          </w14:textFill>
        </w:rPr>
        <w:t>ppendix</w:t>
      </w:r>
    </w:p>
    <w:p>
      <w:pPr>
        <w:ind w:firstLine="400"/>
        <w:jc w:val="both"/>
        <w:rPr>
          <w:rFonts w:hint="eastAsia" w:ascii="Times New Roman" w:hAnsi="Times New Roman" w:eastAsia="宋体" w:cs="Times New Roman"/>
          <w:color w:val="000000" w:themeColor="text1"/>
          <w:sz w:val="20"/>
          <w:szCs w:val="20"/>
          <w:lang w:val="en-US" w:eastAsia="zh-CN"/>
          <w14:textFill>
            <w14:solidFill>
              <w14:schemeClr w14:val="tx1"/>
            </w14:solidFill>
          </w14:textFill>
        </w:rPr>
      </w:pPr>
      <w:r>
        <w:rPr>
          <w:rFonts w:hint="default" w:ascii="Times New Roman" w:hAnsi="Times New Roman" w:cs="Times New Roman"/>
          <w:color w:val="000000" w:themeColor="text1"/>
          <w:sz w:val="20"/>
          <w:szCs w:val="20"/>
          <w14:textFill>
            <w14:solidFill>
              <w14:schemeClr w14:val="tx1"/>
            </w14:solidFill>
          </w14:textFill>
        </w:rPr>
        <w:t>The detailed control block diagram of the inverter in Fig. 2 is given in App</w:t>
      </w:r>
      <w:r>
        <w:rPr>
          <w:rFonts w:hint="default" w:ascii="Times New Roman" w:hAnsi="Times New Roman" w:cs="Times New Roman"/>
          <w:color w:val="000000" w:themeColor="text1"/>
          <w:sz w:val="20"/>
          <w:szCs w:val="20"/>
          <w:lang w:val="en-US" w:eastAsia="zh-CN"/>
          <w14:textFill>
            <w14:solidFill>
              <w14:schemeClr w14:val="tx1"/>
            </w14:solidFill>
          </w14:textFill>
        </w:rPr>
        <w:t>.</w:t>
      </w:r>
      <w:r>
        <w:rPr>
          <w:rFonts w:hint="default" w:ascii="Times New Roman" w:hAnsi="Times New Roman" w:cs="Times New Roman"/>
          <w:color w:val="000000" w:themeColor="text1"/>
          <w:sz w:val="20"/>
          <w:szCs w:val="20"/>
          <w14:textFill>
            <w14:solidFill>
              <w14:schemeClr w14:val="tx1"/>
            </w14:solidFill>
          </w14:textFill>
        </w:rPr>
        <w:t>Fig. 1</w:t>
      </w:r>
      <w:r>
        <w:rPr>
          <w:rFonts w:hint="eastAsia" w:ascii="Times New Roman" w:hAnsi="Times New Roman" w:cs="Times New Roman"/>
          <w:color w:val="000000" w:themeColor="text1"/>
          <w:sz w:val="20"/>
          <w:szCs w:val="20"/>
          <w:lang w:val="en-US" w:eastAsia="zh-CN"/>
          <w14:textFill>
            <w14:solidFill>
              <w14:schemeClr w14:val="tx1"/>
            </w14:solidFill>
          </w14:textFill>
        </w:rPr>
        <w:t>.</w:t>
      </w:r>
    </w:p>
    <w:p>
      <w:pPr>
        <w:ind w:firstLine="400"/>
        <w:jc w:val="both"/>
        <w:rPr>
          <w:rFonts w:hint="default" w:ascii="Times New Roman" w:hAnsi="Times New Roman" w:cs="Times New Roman"/>
          <w:color w:val="000000" w:themeColor="text1"/>
          <w:sz w:val="20"/>
          <w:szCs w:val="20"/>
          <w14:textFill>
            <w14:solidFill>
              <w14:schemeClr w14:val="tx1"/>
            </w14:solidFill>
          </w14:textFill>
        </w:rPr>
      </w:pPr>
      <w:r>
        <w:rPr>
          <w:rFonts w:hint="default" w:ascii="Times New Roman" w:hAnsi="Times New Roman" w:cs="Times New Roman"/>
          <w:color w:val="000000" w:themeColor="text1"/>
          <w:sz w:val="20"/>
          <w:szCs w:val="20"/>
          <w14:textFill>
            <w14:solidFill>
              <w14:schemeClr w14:val="tx1"/>
            </w14:solidFill>
          </w14:textFill>
        </w:rPr>
        <w:t xml:space="preserve">In </w:t>
      </w:r>
      <w:r>
        <w:rPr>
          <w:rFonts w:hint="default" w:ascii="Times New Roman" w:hAnsi="Times New Roman" w:cs="Times New Roman"/>
          <w:color w:val="000000" w:themeColor="text1"/>
          <w:sz w:val="20"/>
          <w:szCs w:val="20"/>
          <w:lang w:val="en-US" w:eastAsia="zh-CN"/>
          <w14:textFill>
            <w14:solidFill>
              <w14:schemeClr w14:val="tx1"/>
            </w14:solidFill>
          </w14:textFill>
        </w:rPr>
        <w:t>App.</w:t>
      </w:r>
      <w:r>
        <w:rPr>
          <w:rFonts w:hint="default" w:ascii="Times New Roman" w:hAnsi="Times New Roman" w:cs="Times New Roman"/>
          <w:color w:val="000000" w:themeColor="text1"/>
          <w:sz w:val="20"/>
          <w:szCs w:val="20"/>
          <w14:textFill>
            <w14:solidFill>
              <w14:schemeClr w14:val="tx1"/>
            </w14:solidFill>
          </w14:textFill>
        </w:rPr>
        <w:t xml:space="preserve">Fig. 1, </w:t>
      </w:r>
      <w:r>
        <w:rPr>
          <w:rFonts w:hint="default" w:ascii="Times New Roman" w:hAnsi="Times New Roman" w:cs="Times New Roman"/>
          <w:i/>
          <w:iCs/>
          <w:color w:val="000000" w:themeColor="text1"/>
          <w:sz w:val="20"/>
          <w:szCs w:val="20"/>
          <w:lang w:val="en-US" w:eastAsia="zh-CN"/>
          <w14:textFill>
            <w14:solidFill>
              <w14:schemeClr w14:val="tx1"/>
            </w14:solidFill>
          </w14:textFill>
        </w:rPr>
        <w:t>i</w:t>
      </w:r>
      <w:r>
        <w:rPr>
          <w:rFonts w:hint="default" w:ascii="Times New Roman" w:hAnsi="Times New Roman" w:cs="Times New Roman"/>
          <w:color w:val="000000" w:themeColor="text1"/>
          <w:sz w:val="20"/>
          <w:szCs w:val="20"/>
          <w:vertAlign w:val="subscript"/>
          <w:lang w:val="en-US" w:eastAsia="zh-CN"/>
          <w14:textFill>
            <w14:solidFill>
              <w14:schemeClr w14:val="tx1"/>
            </w14:solidFill>
          </w14:textFill>
        </w:rPr>
        <w:t>1</w:t>
      </w:r>
      <w:r>
        <w:rPr>
          <w:rFonts w:hint="default" w:ascii="Times New Roman" w:hAnsi="Times New Roman" w:cs="Times New Roman"/>
          <w:color w:val="000000" w:themeColor="text1"/>
          <w:sz w:val="20"/>
          <w:szCs w:val="20"/>
          <w:vertAlign w:val="subscript"/>
          <w14:textFill>
            <w14:solidFill>
              <w14:schemeClr w14:val="tx1"/>
            </w14:solidFill>
          </w14:textFill>
        </w:rPr>
        <w:t>ref</w:t>
      </w:r>
      <w:r>
        <w:rPr>
          <w:rFonts w:hint="default" w:ascii="Times New Roman" w:hAnsi="Times New Roman" w:cs="Times New Roman"/>
          <w:color w:val="000000" w:themeColor="text1"/>
          <w:sz w:val="20"/>
          <w:szCs w:val="20"/>
          <w:lang w:val="en-US" w:eastAsia="zh-CN"/>
          <w14:textFill>
            <w14:solidFill>
              <w14:schemeClr w14:val="tx1"/>
            </w14:solidFill>
          </w14:textFill>
        </w:rPr>
        <w:t>(s)</w:t>
      </w:r>
      <w:r>
        <w:rPr>
          <w:rFonts w:hint="default" w:ascii="Times New Roman" w:hAnsi="Times New Roman" w:cs="Times New Roman"/>
          <w:color w:val="000000" w:themeColor="text1"/>
          <w:sz w:val="20"/>
          <w:szCs w:val="20"/>
          <w14:textFill>
            <w14:solidFill>
              <w14:schemeClr w14:val="tx1"/>
            </w14:solidFill>
          </w14:textFill>
        </w:rPr>
        <w:t xml:space="preserve"> and </w:t>
      </w:r>
      <w:r>
        <w:rPr>
          <w:rFonts w:hint="default" w:ascii="Times New Roman" w:hAnsi="Times New Roman" w:cs="Times New Roman"/>
          <w:i/>
          <w:iCs/>
          <w:color w:val="000000" w:themeColor="text1"/>
          <w:sz w:val="20"/>
          <w:szCs w:val="20"/>
          <w:lang w:val="en-US" w:eastAsia="zh-CN"/>
          <w14:textFill>
            <w14:solidFill>
              <w14:schemeClr w14:val="tx1"/>
            </w14:solidFill>
          </w14:textFill>
        </w:rPr>
        <w:t>i</w:t>
      </w:r>
      <w:r>
        <w:rPr>
          <w:rFonts w:hint="default" w:ascii="Times New Roman" w:hAnsi="Times New Roman" w:cs="Times New Roman"/>
          <w:color w:val="000000" w:themeColor="text1"/>
          <w:sz w:val="20"/>
          <w:szCs w:val="20"/>
          <w:vertAlign w:val="subscript"/>
          <w:lang w:val="en-US" w:eastAsia="zh-CN"/>
          <w14:textFill>
            <w14:solidFill>
              <w14:schemeClr w14:val="tx1"/>
            </w14:solidFill>
          </w14:textFill>
        </w:rPr>
        <w:t>2</w:t>
      </w:r>
      <w:r>
        <w:rPr>
          <w:rFonts w:hint="default" w:ascii="Times New Roman" w:hAnsi="Times New Roman" w:cs="Times New Roman"/>
          <w:color w:val="000000" w:themeColor="text1"/>
          <w:sz w:val="20"/>
          <w:szCs w:val="20"/>
          <w:vertAlign w:val="subscript"/>
          <w14:textFill>
            <w14:solidFill>
              <w14:schemeClr w14:val="tx1"/>
            </w14:solidFill>
          </w14:textFill>
        </w:rPr>
        <w:t>ref</w:t>
      </w:r>
      <w:r>
        <w:rPr>
          <w:rFonts w:hint="default" w:ascii="Times New Roman" w:hAnsi="Times New Roman" w:cs="Times New Roman"/>
          <w:color w:val="000000" w:themeColor="text1"/>
          <w:sz w:val="20"/>
          <w:szCs w:val="20"/>
          <w:lang w:val="en-US" w:eastAsia="zh-CN"/>
          <w14:textFill>
            <w14:solidFill>
              <w14:schemeClr w14:val="tx1"/>
            </w14:solidFill>
          </w14:textFill>
        </w:rPr>
        <w:t>(s)</w:t>
      </w:r>
      <w:r>
        <w:rPr>
          <w:rFonts w:hint="default" w:ascii="Times New Roman" w:hAnsi="Times New Roman" w:cs="Times New Roman"/>
          <w:color w:val="000000" w:themeColor="text1"/>
          <w:sz w:val="20"/>
          <w:szCs w:val="20"/>
          <w14:textFill>
            <w14:solidFill>
              <w14:schemeClr w14:val="tx1"/>
            </w14:solidFill>
          </w14:textFill>
        </w:rPr>
        <w:t xml:space="preserve"> denote the reference currents for the closed-loop control of the two inverters. </w:t>
      </w:r>
      <w:r>
        <w:rPr>
          <w:rFonts w:hint="default" w:ascii="Times New Roman" w:hAnsi="Times New Roman" w:cs="Times New Roman"/>
          <w:i/>
          <w:iCs/>
          <w:color w:val="000000" w:themeColor="text1"/>
          <w:sz w:val="20"/>
          <w:szCs w:val="20"/>
          <w14:textFill>
            <w14:solidFill>
              <w14:schemeClr w14:val="tx1"/>
            </w14:solidFill>
          </w14:textFill>
        </w:rPr>
        <w:t>k</w:t>
      </w:r>
      <w:r>
        <w:rPr>
          <w:rFonts w:hint="default" w:ascii="Times New Roman" w:hAnsi="Times New Roman" w:cs="Times New Roman"/>
          <w:color w:val="000000" w:themeColor="text1"/>
          <w:sz w:val="20"/>
          <w:szCs w:val="20"/>
          <w:vertAlign w:val="subscript"/>
          <w14:textFill>
            <w14:solidFill>
              <w14:schemeClr w14:val="tx1"/>
            </w14:solidFill>
          </w14:textFill>
        </w:rPr>
        <w:t>PWM</w:t>
      </w:r>
      <w:r>
        <w:rPr>
          <w:rFonts w:hint="default" w:ascii="Times New Roman" w:hAnsi="Times New Roman" w:cs="Times New Roman"/>
          <w:color w:val="000000" w:themeColor="text1"/>
          <w:sz w:val="20"/>
          <w:szCs w:val="20"/>
          <w14:textFill>
            <w14:solidFill>
              <w14:schemeClr w14:val="tx1"/>
            </w14:solidFill>
          </w14:textFill>
        </w:rPr>
        <w:t xml:space="preserve"> represents the bridge gain; </w:t>
      </w:r>
      <w:r>
        <w:rPr>
          <w:rFonts w:hint="default" w:ascii="Times New Roman" w:hAnsi="Times New Roman" w:cs="Times New Roman"/>
          <w:i/>
          <w:iCs/>
          <w:color w:val="000000" w:themeColor="text1"/>
          <w:sz w:val="20"/>
          <w:szCs w:val="20"/>
          <w:lang w:val="en-US" w:eastAsia="zh-CN"/>
          <w14:textFill>
            <w14:solidFill>
              <w14:schemeClr w14:val="tx1"/>
            </w14:solidFill>
          </w14:textFill>
        </w:rPr>
        <w:t>k</w:t>
      </w:r>
      <w:r>
        <w:rPr>
          <w:rFonts w:hint="default" w:ascii="Times New Roman" w:hAnsi="Times New Roman" w:cs="Times New Roman"/>
          <w:color w:val="000000" w:themeColor="text1"/>
          <w:sz w:val="20"/>
          <w:szCs w:val="20"/>
          <w:vertAlign w:val="subscript"/>
          <w:lang w:val="en-US" w:eastAsia="zh-CN"/>
          <w14:textFill>
            <w14:solidFill>
              <w14:schemeClr w14:val="tx1"/>
            </w14:solidFill>
          </w14:textFill>
        </w:rPr>
        <w:t>1</w:t>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 </w:t>
      </w:r>
      <w:r>
        <w:rPr>
          <w:rFonts w:hint="default" w:ascii="Times New Roman" w:hAnsi="Times New Roman" w:cs="Times New Roman"/>
          <w:color w:val="000000" w:themeColor="text1"/>
          <w:sz w:val="20"/>
          <w:szCs w:val="20"/>
          <w14:textFill>
            <w14:solidFill>
              <w14:schemeClr w14:val="tx1"/>
            </w14:solidFill>
          </w14:textFill>
        </w:rPr>
        <w:t xml:space="preserve">and </w:t>
      </w:r>
      <w:r>
        <w:rPr>
          <w:rFonts w:hint="default" w:ascii="Times New Roman" w:hAnsi="Times New Roman" w:cs="Times New Roman"/>
          <w:i/>
          <w:iCs/>
          <w:color w:val="000000" w:themeColor="text1"/>
          <w:sz w:val="20"/>
          <w:szCs w:val="20"/>
          <w:lang w:val="en-US" w:eastAsia="zh-CN"/>
          <w14:textFill>
            <w14:solidFill>
              <w14:schemeClr w14:val="tx1"/>
            </w14:solidFill>
          </w14:textFill>
        </w:rPr>
        <w:t>k</w:t>
      </w:r>
      <w:r>
        <w:rPr>
          <w:rFonts w:hint="default" w:ascii="Times New Roman" w:hAnsi="Times New Roman" w:cs="Times New Roman"/>
          <w:color w:val="000000" w:themeColor="text1"/>
          <w:sz w:val="20"/>
          <w:szCs w:val="20"/>
          <w:vertAlign w:val="subscript"/>
          <w:lang w:val="en-US" w:eastAsia="zh-CN"/>
          <w14:textFill>
            <w14:solidFill>
              <w14:schemeClr w14:val="tx1"/>
            </w14:solidFill>
          </w14:textFill>
        </w:rPr>
        <w:t xml:space="preserve">2 </w:t>
      </w:r>
      <w:r>
        <w:rPr>
          <w:rFonts w:hint="default" w:ascii="Times New Roman" w:hAnsi="Times New Roman" w:cs="Times New Roman"/>
          <w:color w:val="000000" w:themeColor="text1"/>
          <w:sz w:val="20"/>
          <w:szCs w:val="20"/>
          <w14:textFill>
            <w14:solidFill>
              <w14:schemeClr w14:val="tx1"/>
            </w14:solidFill>
          </w14:textFill>
        </w:rPr>
        <w:t xml:space="preserve">are the active damping elements; </w:t>
      </w:r>
      <w:r>
        <w:rPr>
          <w:rFonts w:hint="default" w:ascii="Times New Roman" w:hAnsi="Times New Roman" w:cs="Times New Roman"/>
          <w:i/>
          <w:iCs/>
          <w:color w:val="000000" w:themeColor="text1"/>
          <w:sz w:val="20"/>
          <w:szCs w:val="20"/>
          <w:lang w:val="en-US" w:eastAsia="zh-CN"/>
          <w14:textFill>
            <w14:solidFill>
              <w14:schemeClr w14:val="tx1"/>
            </w14:solidFill>
          </w14:textFill>
        </w:rPr>
        <w:t>G</w:t>
      </w:r>
      <w:r>
        <w:rPr>
          <w:rFonts w:hint="default" w:ascii="Times New Roman" w:hAnsi="Times New Roman" w:cs="Times New Roman"/>
          <w:color w:val="000000" w:themeColor="text1"/>
          <w:sz w:val="20"/>
          <w:szCs w:val="20"/>
          <w:lang w:val="en-US" w:eastAsia="zh-CN"/>
          <w14:textFill>
            <w14:solidFill>
              <w14:schemeClr w14:val="tx1"/>
            </w14:solidFill>
          </w14:textFill>
        </w:rPr>
        <w:t>(</w:t>
      </w:r>
      <w:r>
        <w:rPr>
          <w:rFonts w:hint="default" w:ascii="Times New Roman" w:hAnsi="Times New Roman" w:cs="Times New Roman"/>
          <w:i/>
          <w:iCs/>
          <w:color w:val="000000" w:themeColor="text1"/>
          <w:sz w:val="20"/>
          <w:szCs w:val="20"/>
          <w:lang w:val="en-US" w:eastAsia="zh-CN"/>
          <w14:textFill>
            <w14:solidFill>
              <w14:schemeClr w14:val="tx1"/>
            </w14:solidFill>
          </w14:textFill>
        </w:rPr>
        <w:t>s</w:t>
      </w:r>
      <w:r>
        <w:rPr>
          <w:rFonts w:hint="default" w:ascii="Times New Roman" w:hAnsi="Times New Roman" w:cs="Times New Roman"/>
          <w:color w:val="000000" w:themeColor="text1"/>
          <w:sz w:val="20"/>
          <w:szCs w:val="20"/>
          <w:lang w:val="en-US" w:eastAsia="zh-CN"/>
          <w14:textFill>
            <w14:solidFill>
              <w14:schemeClr w14:val="tx1"/>
            </w14:solidFill>
          </w14:textFill>
        </w:rPr>
        <w:t xml:space="preserve">) </w:t>
      </w:r>
      <w:r>
        <w:rPr>
          <w:rFonts w:hint="default" w:ascii="Times New Roman" w:hAnsi="Times New Roman" w:cs="Times New Roman"/>
          <w:color w:val="000000" w:themeColor="text1"/>
          <w:sz w:val="20"/>
          <w:szCs w:val="20"/>
          <w14:textFill>
            <w14:solidFill>
              <w14:schemeClr w14:val="tx1"/>
            </w14:solidFill>
          </w14:textFill>
        </w:rPr>
        <w:t xml:space="preserve">is the proportional–integral controller. </w:t>
      </w:r>
      <w:r>
        <w:rPr>
          <w:rFonts w:hint="eastAsia" w:ascii="Times New Roman" w:hAnsi="Times New Roman" w:cs="Times New Roman"/>
          <w:color w:val="000000" w:themeColor="text1"/>
          <w:sz w:val="20"/>
          <w:szCs w:val="20"/>
          <w:lang w:val="en-US" w:eastAsia="zh-CN"/>
          <w14:textFill>
            <w14:solidFill>
              <w14:schemeClr w14:val="tx1"/>
            </w14:solidFill>
          </w14:textFill>
        </w:rPr>
        <w:t>Its</w:t>
      </w:r>
      <w:r>
        <w:rPr>
          <w:rFonts w:hint="default" w:ascii="Times New Roman" w:hAnsi="Times New Roman" w:cs="Times New Roman"/>
          <w:color w:val="000000" w:themeColor="text1"/>
          <w:sz w:val="20"/>
          <w:szCs w:val="20"/>
          <w14:textFill>
            <w14:solidFill>
              <w14:schemeClr w14:val="tx1"/>
            </w14:solidFill>
          </w14:textFill>
        </w:rPr>
        <w:t xml:space="preserve"> expressions </w:t>
      </w:r>
      <w:r>
        <w:rPr>
          <w:rFonts w:hint="eastAsia" w:ascii="Times New Roman" w:hAnsi="Times New Roman" w:cs="Times New Roman"/>
          <w:color w:val="000000" w:themeColor="text1"/>
          <w:sz w:val="20"/>
          <w:szCs w:val="20"/>
          <w:lang w:val="en-US" w:eastAsia="zh-CN"/>
          <w14:textFill>
            <w14:solidFill>
              <w14:schemeClr w14:val="tx1"/>
            </w14:solidFill>
          </w14:textFill>
        </w:rPr>
        <w:t>is</w:t>
      </w:r>
      <w:r>
        <w:rPr>
          <w:rFonts w:hint="default" w:ascii="Times New Roman" w:hAnsi="Times New Roman" w:cs="Times New Roman"/>
          <w:color w:val="000000" w:themeColor="text1"/>
          <w:sz w:val="20"/>
          <w:szCs w:val="20"/>
          <w14:textFill>
            <w14:solidFill>
              <w14:schemeClr w14:val="tx1"/>
            </w14:solidFill>
          </w14:textFill>
        </w:rPr>
        <w:t xml:space="preserve"> </w:t>
      </w:r>
      <w:r>
        <w:rPr>
          <w:rFonts w:hint="default" w:ascii="Times New Roman" w:hAnsi="Times New Roman" w:cs="Times New Roman"/>
          <w:i/>
          <w:iCs/>
          <w:color w:val="000000" w:themeColor="text1"/>
          <w:sz w:val="20"/>
          <w:szCs w:val="20"/>
          <w:lang w:val="en-US" w:eastAsia="zh-CN"/>
          <w14:textFill>
            <w14:solidFill>
              <w14:schemeClr w14:val="tx1"/>
            </w14:solidFill>
          </w14:textFill>
        </w:rPr>
        <w:t>G</w:t>
      </w:r>
      <w:r>
        <w:rPr>
          <w:rFonts w:hint="default" w:ascii="Times New Roman" w:hAnsi="Times New Roman" w:cs="Times New Roman"/>
          <w:color w:val="000000" w:themeColor="text1"/>
          <w:sz w:val="20"/>
          <w:szCs w:val="20"/>
          <w:lang w:val="en-US" w:eastAsia="zh-CN"/>
          <w14:textFill>
            <w14:solidFill>
              <w14:schemeClr w14:val="tx1"/>
            </w14:solidFill>
          </w14:textFill>
        </w:rPr>
        <w:t>(</w:t>
      </w:r>
      <w:r>
        <w:rPr>
          <w:rFonts w:hint="default" w:ascii="Times New Roman" w:hAnsi="Times New Roman" w:cs="Times New Roman"/>
          <w:i/>
          <w:iCs/>
          <w:color w:val="000000" w:themeColor="text1"/>
          <w:sz w:val="20"/>
          <w:szCs w:val="20"/>
          <w:lang w:val="en-US" w:eastAsia="zh-CN"/>
          <w14:textFill>
            <w14:solidFill>
              <w14:schemeClr w14:val="tx1"/>
            </w14:solidFill>
          </w14:textFill>
        </w:rPr>
        <w:t>s</w:t>
      </w:r>
      <w:r>
        <w:rPr>
          <w:rFonts w:hint="default" w:ascii="Times New Roman" w:hAnsi="Times New Roman" w:cs="Times New Roman"/>
          <w:color w:val="000000" w:themeColor="text1"/>
          <w:sz w:val="20"/>
          <w:szCs w:val="20"/>
          <w:lang w:val="en-US" w:eastAsia="zh-CN"/>
          <w14:textFill>
            <w14:solidFill>
              <w14:schemeClr w14:val="tx1"/>
            </w14:solidFill>
          </w14:textFill>
        </w:rPr>
        <w:t>)</w:t>
      </w:r>
      <w:r>
        <w:rPr>
          <w:rFonts w:hint="default" w:ascii="Times New Roman" w:hAnsi="Times New Roman" w:cs="Times New Roman"/>
          <w:color w:val="000000" w:themeColor="text1"/>
          <w:sz w:val="20"/>
          <w:szCs w:val="20"/>
          <w14:textFill>
            <w14:solidFill>
              <w14:schemeClr w14:val="tx1"/>
            </w14:solidFill>
          </w14:textFill>
        </w:rPr>
        <w:t xml:space="preserve"> = </w:t>
      </w:r>
      <w:r>
        <w:rPr>
          <w:rFonts w:hint="default" w:ascii="Times New Roman" w:hAnsi="Times New Roman" w:cs="Times New Roman"/>
          <w:i/>
          <w:iCs/>
          <w:color w:val="000000" w:themeColor="text1"/>
          <w:sz w:val="20"/>
          <w:szCs w:val="20"/>
          <w14:textFill>
            <w14:solidFill>
              <w14:schemeClr w14:val="tx1"/>
            </w14:solidFill>
          </w14:textFill>
        </w:rPr>
        <w:t>k</w:t>
      </w:r>
      <w:r>
        <w:rPr>
          <w:rFonts w:hint="default" w:ascii="Times New Roman" w:hAnsi="Times New Roman" w:cs="Times New Roman"/>
          <w:color w:val="000000" w:themeColor="text1"/>
          <w:sz w:val="20"/>
          <w:szCs w:val="20"/>
          <w:vertAlign w:val="subscript"/>
          <w14:textFill>
            <w14:solidFill>
              <w14:schemeClr w14:val="tx1"/>
            </w14:solidFill>
          </w14:textFill>
        </w:rPr>
        <w:t>p</w:t>
      </w:r>
      <w:r>
        <w:rPr>
          <w:rFonts w:hint="default" w:ascii="Times New Roman" w:hAnsi="Times New Roman" w:cs="Times New Roman"/>
          <w:color w:val="000000" w:themeColor="text1"/>
          <w:sz w:val="20"/>
          <w:szCs w:val="20"/>
          <w14:textFill>
            <w14:solidFill>
              <w14:schemeClr w14:val="tx1"/>
            </w14:solidFill>
          </w14:textFill>
        </w:rPr>
        <w:t xml:space="preserve"> + </w:t>
      </w:r>
      <w:r>
        <w:rPr>
          <w:rFonts w:hint="default" w:ascii="Times New Roman" w:hAnsi="Times New Roman" w:cs="Times New Roman"/>
          <w:i/>
          <w:iCs/>
          <w:color w:val="000000" w:themeColor="text1"/>
          <w:sz w:val="20"/>
          <w:szCs w:val="20"/>
          <w14:textFill>
            <w14:solidFill>
              <w14:schemeClr w14:val="tx1"/>
            </w14:solidFill>
          </w14:textFill>
        </w:rPr>
        <w:t>k</w:t>
      </w:r>
      <w:r>
        <w:rPr>
          <w:rFonts w:hint="default" w:ascii="Times New Roman" w:hAnsi="Times New Roman" w:cs="Times New Roman"/>
          <w:color w:val="000000" w:themeColor="text1"/>
          <w:sz w:val="20"/>
          <w:szCs w:val="20"/>
          <w:vertAlign w:val="subscript"/>
          <w14:textFill>
            <w14:solidFill>
              <w14:schemeClr w14:val="tx1"/>
            </w14:solidFill>
          </w14:textFill>
        </w:rPr>
        <w:t>i</w:t>
      </w:r>
      <w:r>
        <w:rPr>
          <w:rFonts w:hint="eastAsia" w:ascii="Times New Roman" w:hAnsi="Times New Roman" w:cs="Times New Roman"/>
          <w:color w:val="000000" w:themeColor="text1"/>
          <w:sz w:val="20"/>
          <w:szCs w:val="20"/>
          <w:vertAlign w:val="subscript"/>
          <w:lang w:val="en-US" w:eastAsia="zh-CN"/>
          <w14:textFill>
            <w14:solidFill>
              <w14:schemeClr w14:val="tx1"/>
            </w14:solidFill>
          </w14:textFill>
        </w:rPr>
        <w:t xml:space="preserve"> </w:t>
      </w:r>
      <w:r>
        <w:rPr>
          <w:rFonts w:hint="default" w:ascii="Times New Roman" w:hAnsi="Times New Roman" w:cs="Times New Roman"/>
          <w:color w:val="000000" w:themeColor="text1"/>
          <w:sz w:val="20"/>
          <w:szCs w:val="20"/>
          <w14:textFill>
            <w14:solidFill>
              <w14:schemeClr w14:val="tx1"/>
            </w14:solidFill>
          </w14:textFill>
        </w:rPr>
        <w:t>/</w:t>
      </w:r>
      <w:r>
        <w:rPr>
          <w:rFonts w:hint="eastAsia" w:ascii="Times New Roman" w:hAnsi="Times New Roman" w:cs="Times New Roman"/>
          <w:color w:val="000000" w:themeColor="text1"/>
          <w:sz w:val="20"/>
          <w:szCs w:val="20"/>
          <w:lang w:val="en-US" w:eastAsia="zh-CN"/>
          <w14:textFill>
            <w14:solidFill>
              <w14:schemeClr w14:val="tx1"/>
            </w14:solidFill>
          </w14:textFill>
        </w:rPr>
        <w:t xml:space="preserve"> </w:t>
      </w:r>
      <w:r>
        <w:rPr>
          <w:rFonts w:hint="default" w:ascii="Times New Roman" w:hAnsi="Times New Roman" w:cs="Times New Roman"/>
          <w:i/>
          <w:iCs/>
          <w:color w:val="000000" w:themeColor="text1"/>
          <w:sz w:val="20"/>
          <w:szCs w:val="20"/>
          <w14:textFill>
            <w14:solidFill>
              <w14:schemeClr w14:val="tx1"/>
            </w14:solidFill>
          </w14:textFill>
        </w:rPr>
        <w:t>s</w:t>
      </w:r>
      <w:r>
        <w:rPr>
          <w:rFonts w:hint="eastAsia" w:ascii="Times New Roman" w:hAnsi="Times New Roman" w:cs="Times New Roman"/>
          <w:i w:val="0"/>
          <w:iCs w:val="0"/>
          <w:color w:val="000000" w:themeColor="text1"/>
          <w:sz w:val="20"/>
          <w:szCs w:val="20"/>
          <w:lang w:val="en-US" w:eastAsia="zh-CN"/>
          <w14:textFill>
            <w14:solidFill>
              <w14:schemeClr w14:val="tx1"/>
            </w14:solidFill>
          </w14:textFill>
        </w:rPr>
        <w:t>.</w:t>
      </w:r>
      <w:r>
        <w:rPr>
          <w:rFonts w:hint="default" w:ascii="Times New Roman" w:hAnsi="Times New Roman" w:cs="Times New Roman"/>
          <w:color w:val="000000" w:themeColor="text1"/>
          <w:sz w:val="20"/>
          <w:szCs w:val="20"/>
          <w14:textFill>
            <w14:solidFill>
              <w14:schemeClr w14:val="tx1"/>
            </w14:solidFill>
          </w14:textFill>
        </w:rPr>
        <w:t xml:space="preserve"> </w:t>
      </w:r>
      <w:r>
        <w:rPr>
          <w:rFonts w:hint="default" w:ascii="Times New Roman" w:hAnsi="Times New Roman" w:cs="Times New Roman"/>
          <w:i/>
          <w:iCs/>
          <w:color w:val="000000" w:themeColor="text1"/>
          <w:sz w:val="20"/>
          <w:szCs w:val="20"/>
          <w14:textFill>
            <w14:solidFill>
              <w14:schemeClr w14:val="tx1"/>
            </w14:solidFill>
          </w14:textFill>
        </w:rPr>
        <w:t>T</w:t>
      </w:r>
      <w:r>
        <w:rPr>
          <w:rFonts w:hint="default" w:ascii="Times New Roman" w:hAnsi="Times New Roman" w:cs="Times New Roman"/>
          <w:color w:val="000000" w:themeColor="text1"/>
          <w:sz w:val="20"/>
          <w:szCs w:val="20"/>
          <w:vertAlign w:val="subscript"/>
          <w14:textFill>
            <w14:solidFill>
              <w14:schemeClr w14:val="tx1"/>
            </w14:solidFill>
          </w14:textFill>
        </w:rPr>
        <w:t>s</w:t>
      </w:r>
      <w:r>
        <w:rPr>
          <w:rFonts w:hint="default" w:ascii="Times New Roman" w:hAnsi="Times New Roman" w:cs="Times New Roman"/>
          <w:color w:val="000000" w:themeColor="text1"/>
          <w:sz w:val="20"/>
          <w:szCs w:val="20"/>
          <w14:textFill>
            <w14:solidFill>
              <w14:schemeClr w14:val="tx1"/>
            </w14:solidFill>
          </w14:textFill>
        </w:rPr>
        <w:t xml:space="preserve"> is the sampling period. The detailed parameters of the multi-inverter grid-connected system are listed in </w:t>
      </w:r>
      <w:r>
        <w:rPr>
          <w:rFonts w:hint="eastAsia" w:ascii="Times New Roman" w:hAnsi="Times New Roman" w:cs="Times New Roman"/>
          <w:color w:val="000000" w:themeColor="text1"/>
          <w:sz w:val="20"/>
          <w:szCs w:val="20"/>
          <w:lang w:val="en-US" w:eastAsia="zh-CN"/>
          <w14:textFill>
            <w14:solidFill>
              <w14:schemeClr w14:val="tx1"/>
            </w14:solidFill>
          </w14:textFill>
        </w:rPr>
        <w:t>App.</w:t>
      </w:r>
      <w:r>
        <w:rPr>
          <w:rFonts w:hint="default" w:ascii="Times New Roman" w:hAnsi="Times New Roman" w:cs="Times New Roman"/>
          <w:color w:val="000000" w:themeColor="text1"/>
          <w:sz w:val="20"/>
          <w:szCs w:val="20"/>
          <w14:textFill>
            <w14:solidFill>
              <w14:schemeClr w14:val="tx1"/>
            </w14:solidFill>
          </w14:textFill>
        </w:rPr>
        <w:t>Ta</w:t>
      </w:r>
      <w:r>
        <w:rPr>
          <w:rFonts w:hint="eastAsia" w:ascii="Times New Roman" w:hAnsi="Times New Roman" w:cs="Times New Roman"/>
          <w:color w:val="000000" w:themeColor="text1"/>
          <w:sz w:val="20"/>
          <w:szCs w:val="20"/>
          <w:lang w:val="en-US" w:eastAsia="zh-CN"/>
          <w14:textFill>
            <w14:solidFill>
              <w14:schemeClr w14:val="tx1"/>
            </w14:solidFill>
          </w14:textFill>
        </w:rPr>
        <w:t>b.</w:t>
      </w:r>
      <w:r>
        <w:rPr>
          <w:rFonts w:hint="default" w:ascii="Times New Roman" w:hAnsi="Times New Roman" w:cs="Times New Roman"/>
          <w:color w:val="000000" w:themeColor="text1"/>
          <w:sz w:val="20"/>
          <w:szCs w:val="20"/>
          <w14:textFill>
            <w14:solidFill>
              <w14:schemeClr w14:val="tx1"/>
            </w14:solidFill>
          </w14:textFill>
        </w:rPr>
        <w:t xml:space="preserve"> 1.</w:t>
      </w:r>
    </w:p>
    <w:p>
      <w:pPr>
        <w:jc w:val="both"/>
        <w:rPr>
          <w:rFonts w:hint="eastAsia"/>
          <w:color w:val="000000" w:themeColor="text1"/>
          <w:sz w:val="20"/>
          <w:szCs w:val="20"/>
          <w14:textFill>
            <w14:solidFill>
              <w14:schemeClr w14:val="tx1"/>
            </w14:solidFill>
          </w14:textFill>
        </w:rPr>
      </w:pPr>
      <w:r>
        <w:rPr>
          <w:rFonts w:hint="eastAsia"/>
          <w:color w:val="000000" w:themeColor="text1"/>
          <w:sz w:val="20"/>
          <w:szCs w:val="20"/>
          <w14:textFill>
            <w14:solidFill>
              <w14:schemeClr w14:val="tx1"/>
            </w14:solidFill>
          </w14:textFill>
        </w:rPr>
        <w:object>
          <v:shape id="_x0000_i1050" o:spt="75" type="#_x0000_t75" style="height:228.1pt;width:232.9pt;" o:ole="t" filled="f" o:preferrelative="t" stroked="f" coordsize="21600,21600">
            <v:path/>
            <v:fill on="f" focussize="0,0"/>
            <v:stroke on="f"/>
            <v:imagedata r:id="rId67" o:title=""/>
            <o:lock v:ext="edit" aspectratio="f"/>
            <w10:wrap type="none"/>
            <w10:anchorlock/>
          </v:shape>
          <o:OLEObject Type="Embed" ProgID="Visio.Drawing.15" ShapeID="_x0000_i1050" DrawAspect="Content" ObjectID="_1468075750" r:id="rId66">
            <o:LockedField>false</o:LockedField>
          </o:OLEObject>
        </w:object>
      </w:r>
    </w:p>
    <w:p>
      <w:pPr>
        <w:jc w:val="center"/>
        <w:rPr>
          <w:rFonts w:hint="default" w:eastAsia="宋体"/>
          <w:i/>
          <w:iCs/>
          <w:color w:val="000000" w:themeColor="text1"/>
          <w:sz w:val="20"/>
          <w:szCs w:val="20"/>
          <w:lang w:val="en-US" w:eastAsia="zh-CN"/>
          <w14:textFill>
            <w14:solidFill>
              <w14:schemeClr w14:val="tx1"/>
            </w14:solidFill>
          </w14:textFill>
        </w:rPr>
      </w:pPr>
      <w:r>
        <w:rPr>
          <w:rFonts w:hint="eastAsia"/>
          <w:b/>
          <w:bCs/>
          <w:i/>
          <w:iCs/>
          <w:color w:val="000000" w:themeColor="text1"/>
          <w:sz w:val="20"/>
          <w:szCs w:val="20"/>
          <w:lang w:val="en-US" w:eastAsia="zh-CN"/>
          <w14:textFill>
            <w14:solidFill>
              <w14:schemeClr w14:val="tx1"/>
            </w14:solidFill>
          </w14:textFill>
        </w:rPr>
        <w:t>App.</w:t>
      </w:r>
      <w:r>
        <w:rPr>
          <w:rFonts w:hint="eastAsia"/>
          <w:b/>
          <w:bCs/>
          <w:i/>
          <w:iCs/>
          <w:color w:val="000000" w:themeColor="text1"/>
          <w:sz w:val="20"/>
          <w:szCs w:val="20"/>
          <w:lang w:val="en-US"/>
          <w14:textFill>
            <w14:solidFill>
              <w14:schemeClr w14:val="tx1"/>
            </w14:solidFill>
          </w14:textFill>
        </w:rPr>
        <w:t>F</w:t>
      </w:r>
      <w:r>
        <w:rPr>
          <w:b/>
          <w:bCs/>
          <w:i/>
          <w:iCs/>
          <w:color w:val="000000" w:themeColor="text1"/>
          <w:sz w:val="20"/>
          <w:szCs w:val="20"/>
          <w:lang w:val="en-US"/>
          <w14:textFill>
            <w14:solidFill>
              <w14:schemeClr w14:val="tx1"/>
            </w14:solidFill>
          </w14:textFill>
        </w:rPr>
        <w:t xml:space="preserve">ig. </w:t>
      </w:r>
      <w:r>
        <w:rPr>
          <w:rFonts w:hint="eastAsia"/>
          <w:b/>
          <w:bCs/>
          <w:i/>
          <w:iCs/>
          <w:color w:val="000000" w:themeColor="text1"/>
          <w:sz w:val="20"/>
          <w:szCs w:val="20"/>
          <w:lang w:val="en-US"/>
          <w14:textFill>
            <w14:solidFill>
              <w14:schemeClr w14:val="tx1"/>
            </w14:solidFill>
          </w14:textFill>
        </w:rPr>
        <w:t>1</w:t>
      </w:r>
      <w:r>
        <w:rPr>
          <w:i/>
          <w:iCs/>
          <w:color w:val="000000" w:themeColor="text1"/>
          <w:sz w:val="20"/>
          <w:szCs w:val="20"/>
          <w:lang w:val="en-US"/>
          <w14:textFill>
            <w14:solidFill>
              <w14:schemeClr w14:val="tx1"/>
            </w14:solidFill>
          </w14:textFill>
        </w:rPr>
        <w:t xml:space="preserve"> </w:t>
      </w:r>
      <w:r>
        <w:rPr>
          <w:rFonts w:hint="eastAsia"/>
          <w:i/>
          <w:iCs/>
          <w:color w:val="000000" w:themeColor="text1"/>
          <w:sz w:val="20"/>
          <w:szCs w:val="20"/>
          <w:lang w:val="en-US" w:eastAsia="zh-CN"/>
          <w14:textFill>
            <w14:solidFill>
              <w14:schemeClr w14:val="tx1"/>
            </w14:solidFill>
          </w14:textFill>
        </w:rPr>
        <w:t>Control block diagrams of the GCIs</w:t>
      </w:r>
    </w:p>
    <w:p>
      <w:pPr>
        <w:widowControl w:val="0"/>
        <w:topLinePunct/>
        <w:ind w:firstLine="402" w:firstLineChars="200"/>
        <w:jc w:val="center"/>
        <w:rPr>
          <w:rFonts w:hint="eastAsia"/>
          <w:i/>
          <w:iCs/>
          <w:color w:val="000000" w:themeColor="text1"/>
          <w:sz w:val="20"/>
          <w:szCs w:val="20"/>
          <w:lang w:val="en-US"/>
          <w14:textFill>
            <w14:solidFill>
              <w14:schemeClr w14:val="tx1"/>
            </w14:solidFill>
          </w14:textFill>
        </w:rPr>
      </w:pPr>
      <w:r>
        <w:rPr>
          <w:rFonts w:hint="eastAsia"/>
          <w:b/>
          <w:bCs/>
          <w:i/>
          <w:iCs/>
          <w:color w:val="000000" w:themeColor="text1"/>
          <w:sz w:val="20"/>
          <w:szCs w:val="20"/>
          <w:lang w:val="en-US"/>
          <w14:textFill>
            <w14:solidFill>
              <w14:schemeClr w14:val="tx1"/>
            </w14:solidFill>
          </w14:textFill>
        </w:rPr>
        <w:t>App.</w:t>
      </w:r>
      <w:r>
        <w:rPr>
          <w:b/>
          <w:bCs/>
          <w:i/>
          <w:iCs/>
          <w:color w:val="000000" w:themeColor="text1"/>
          <w:sz w:val="20"/>
          <w:szCs w:val="20"/>
          <w:lang w:val="en-US"/>
          <w14:textFill>
            <w14:solidFill>
              <w14:schemeClr w14:val="tx1"/>
            </w14:solidFill>
          </w14:textFill>
        </w:rPr>
        <w:t>Tab.</w:t>
      </w:r>
      <w:r>
        <w:rPr>
          <w:rFonts w:hint="eastAsia"/>
          <w:b/>
          <w:bCs/>
          <w:i/>
          <w:iCs/>
          <w:color w:val="000000" w:themeColor="text1"/>
          <w:sz w:val="20"/>
          <w:szCs w:val="20"/>
          <w:lang w:val="en-US"/>
          <w14:textFill>
            <w14:solidFill>
              <w14:schemeClr w14:val="tx1"/>
            </w14:solidFill>
          </w14:textFill>
        </w:rPr>
        <w:t>1</w:t>
      </w:r>
      <w:r>
        <w:rPr>
          <w:spacing w:val="6"/>
          <w:kern w:val="20"/>
          <w:sz w:val="20"/>
          <w:lang w:val="en-US"/>
        </w:rPr>
        <w:t xml:space="preserve"> </w:t>
      </w:r>
      <w:r>
        <w:rPr>
          <w:rFonts w:hint="eastAsia"/>
          <w:i/>
          <w:iCs/>
          <w:color w:val="000000" w:themeColor="text1"/>
          <w:sz w:val="20"/>
          <w:szCs w:val="20"/>
          <w:lang w:val="en-US"/>
          <w14:textFill>
            <w14:solidFill>
              <w14:schemeClr w14:val="tx1"/>
            </w14:solidFill>
          </w14:textFill>
        </w:rPr>
        <w:t>Parameters of the multi-inverter grid-connected system</w:t>
      </w:r>
    </w:p>
    <w:tbl>
      <w:tblPr>
        <w:tblStyle w:val="16"/>
        <w:tblW w:w="4997" w:type="pct"/>
        <w:jc w:val="center"/>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113"/>
        <w:gridCol w:w="1219"/>
        <w:gridCol w:w="1323"/>
        <w:gridCol w:w="1221"/>
      </w:tblGrid>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41" w:type="pct"/>
            <w:vMerge w:val="restart"/>
            <w:vAlign w:val="center"/>
          </w:tcPr>
          <w:p>
            <w:pPr>
              <w:widowControl w:val="0"/>
              <w:topLinePunct/>
              <w:jc w:val="center"/>
              <w:rPr>
                <w:spacing w:val="6"/>
                <w:kern w:val="20"/>
                <w:sz w:val="15"/>
                <w:szCs w:val="15"/>
                <w:lang w:val="en-US" w:eastAsia="en-GB"/>
              </w:rPr>
            </w:pPr>
            <w:r>
              <w:rPr>
                <w:spacing w:val="6"/>
                <w:kern w:val="20"/>
                <w:sz w:val="15"/>
                <w:szCs w:val="15"/>
                <w:lang w:val="en-US" w:eastAsia="en-GB"/>
              </w:rPr>
              <w:t>Parameter</w:t>
            </w:r>
          </w:p>
        </w:tc>
        <w:tc>
          <w:tcPr>
            <w:tcW w:w="3858" w:type="pct"/>
            <w:gridSpan w:val="3"/>
            <w:vAlign w:val="center"/>
          </w:tcPr>
          <w:p>
            <w:pPr>
              <w:widowControl w:val="0"/>
              <w:topLinePunct/>
              <w:jc w:val="center"/>
              <w:rPr>
                <w:rFonts w:hint="eastAsia"/>
                <w:spacing w:val="6"/>
                <w:kern w:val="20"/>
                <w:sz w:val="15"/>
                <w:szCs w:val="15"/>
                <w:lang w:val="en-US" w:eastAsia="zh-CN"/>
              </w:rPr>
            </w:pPr>
            <w:r>
              <w:rPr>
                <w:rFonts w:hint="eastAsia"/>
                <w:spacing w:val="6"/>
                <w:kern w:val="20"/>
                <w:sz w:val="15"/>
                <w:szCs w:val="15"/>
                <w:lang w:val="en-US" w:eastAsia="zh-CN"/>
              </w:rPr>
              <w:t>Values</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41" w:type="pct"/>
            <w:vMerge w:val="continue"/>
            <w:tcBorders>
              <w:bottom w:val="single" w:color="auto" w:sz="4" w:space="0"/>
            </w:tcBorders>
            <w:vAlign w:val="center"/>
          </w:tcPr>
          <w:p>
            <w:pPr>
              <w:widowControl w:val="0"/>
              <w:topLinePunct/>
              <w:ind w:firstLine="324"/>
              <w:jc w:val="center"/>
              <w:rPr>
                <w:spacing w:val="6"/>
                <w:kern w:val="20"/>
                <w:sz w:val="15"/>
                <w:szCs w:val="15"/>
                <w:lang w:val="en-US" w:eastAsia="en-GB"/>
              </w:rPr>
            </w:pPr>
          </w:p>
        </w:tc>
        <w:tc>
          <w:tcPr>
            <w:tcW w:w="1250" w:type="pct"/>
            <w:tcBorders>
              <w:bottom w:val="single" w:color="auto" w:sz="4" w:space="0"/>
            </w:tcBorders>
            <w:vAlign w:val="center"/>
          </w:tcPr>
          <w:p>
            <w:pPr>
              <w:widowControl w:val="0"/>
              <w:topLinePunct/>
              <w:jc w:val="center"/>
              <w:rPr>
                <w:spacing w:val="6"/>
                <w:kern w:val="20"/>
                <w:sz w:val="15"/>
                <w:szCs w:val="15"/>
                <w:lang w:val="en-US" w:eastAsia="en-GB"/>
              </w:rPr>
            </w:pPr>
            <w:r>
              <w:rPr>
                <w:spacing w:val="6"/>
                <w:kern w:val="20"/>
                <w:sz w:val="15"/>
                <w:szCs w:val="15"/>
                <w:lang w:val="en-US" w:eastAsia="zh-CN"/>
              </w:rPr>
              <w:t>I</w:t>
            </w:r>
            <w:r>
              <w:rPr>
                <w:rFonts w:hint="eastAsia"/>
                <w:spacing w:val="6"/>
                <w:kern w:val="20"/>
                <w:sz w:val="15"/>
                <w:szCs w:val="15"/>
                <w:lang w:val="en-US" w:eastAsia="zh-CN"/>
              </w:rPr>
              <w:t xml:space="preserve">nverter </w:t>
            </w:r>
            <w:r>
              <w:rPr>
                <w:spacing w:val="6"/>
                <w:kern w:val="20"/>
                <w:sz w:val="15"/>
                <w:szCs w:val="15"/>
                <w:lang w:val="en-US" w:eastAsia="en-GB"/>
              </w:rPr>
              <w:t>1</w:t>
            </w:r>
          </w:p>
        </w:tc>
        <w:tc>
          <w:tcPr>
            <w:tcW w:w="1356" w:type="pct"/>
            <w:tcBorders>
              <w:bottom w:val="single" w:color="auto" w:sz="4" w:space="0"/>
            </w:tcBorders>
            <w:vAlign w:val="center"/>
          </w:tcPr>
          <w:p>
            <w:pPr>
              <w:widowControl w:val="0"/>
              <w:topLinePunct/>
              <w:jc w:val="center"/>
              <w:rPr>
                <w:spacing w:val="6"/>
                <w:kern w:val="20"/>
                <w:sz w:val="15"/>
                <w:szCs w:val="15"/>
                <w:lang w:val="en-US" w:eastAsia="en-GB"/>
              </w:rPr>
            </w:pPr>
            <w:r>
              <w:rPr>
                <w:spacing w:val="6"/>
                <w:kern w:val="20"/>
                <w:sz w:val="15"/>
                <w:szCs w:val="15"/>
                <w:lang w:val="en-US" w:eastAsia="zh-CN"/>
              </w:rPr>
              <w:t>I</w:t>
            </w:r>
            <w:r>
              <w:rPr>
                <w:rFonts w:hint="eastAsia"/>
                <w:spacing w:val="6"/>
                <w:kern w:val="20"/>
                <w:sz w:val="15"/>
                <w:szCs w:val="15"/>
                <w:lang w:val="en-US" w:eastAsia="zh-CN"/>
              </w:rPr>
              <w:t xml:space="preserve">nverter </w:t>
            </w:r>
            <w:r>
              <w:rPr>
                <w:spacing w:val="6"/>
                <w:kern w:val="20"/>
                <w:sz w:val="15"/>
                <w:szCs w:val="15"/>
                <w:lang w:val="en-US" w:eastAsia="en-GB"/>
              </w:rPr>
              <w:t>2</w:t>
            </w:r>
          </w:p>
        </w:tc>
        <w:tc>
          <w:tcPr>
            <w:tcW w:w="1251" w:type="pct"/>
            <w:tcBorders>
              <w:bottom w:val="single" w:color="auto" w:sz="4" w:space="0"/>
            </w:tcBorders>
            <w:vAlign w:val="center"/>
          </w:tcPr>
          <w:p>
            <w:pPr>
              <w:widowControl w:val="0"/>
              <w:topLinePunct/>
              <w:jc w:val="center"/>
              <w:rPr>
                <w:spacing w:val="6"/>
                <w:kern w:val="20"/>
                <w:sz w:val="15"/>
                <w:szCs w:val="15"/>
                <w:lang w:val="en-US" w:eastAsia="en-GB"/>
              </w:rPr>
            </w:pPr>
            <w:r>
              <w:rPr>
                <w:spacing w:val="6"/>
                <w:kern w:val="20"/>
                <w:sz w:val="15"/>
                <w:szCs w:val="15"/>
                <w:lang w:val="en-US" w:eastAsia="zh-CN"/>
              </w:rPr>
              <w:t>I</w:t>
            </w:r>
            <w:r>
              <w:rPr>
                <w:rFonts w:hint="eastAsia"/>
                <w:spacing w:val="6"/>
                <w:kern w:val="20"/>
                <w:sz w:val="15"/>
                <w:szCs w:val="15"/>
                <w:lang w:val="en-US" w:eastAsia="zh-CN"/>
              </w:rPr>
              <w:t xml:space="preserve">nverter </w:t>
            </w:r>
            <w:r>
              <w:rPr>
                <w:spacing w:val="6"/>
                <w:kern w:val="20"/>
                <w:sz w:val="15"/>
                <w:szCs w:val="15"/>
                <w:lang w:val="en-US" w:eastAsia="en-GB"/>
              </w:rPr>
              <w:t>3</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41" w:type="pct"/>
            <w:tcBorders>
              <w:top w:val="single" w:color="auto" w:sz="4" w:space="0"/>
            </w:tcBorders>
            <w:vAlign w:val="center"/>
          </w:tcPr>
          <w:p>
            <w:pPr>
              <w:widowControl w:val="0"/>
              <w:spacing w:line="280" w:lineRule="exact"/>
              <w:jc w:val="center"/>
              <w:rPr>
                <w:bCs/>
                <w:spacing w:val="6"/>
                <w:kern w:val="20"/>
                <w:sz w:val="15"/>
                <w:szCs w:val="15"/>
                <w:lang w:val="en-US" w:eastAsia="en-GB"/>
              </w:rPr>
            </w:pPr>
            <w:r>
              <w:rPr>
                <w:bCs/>
                <w:i/>
                <w:iCs/>
                <w:spacing w:val="6"/>
                <w:kern w:val="20"/>
                <w:sz w:val="15"/>
                <w:szCs w:val="15"/>
                <w:lang w:val="en-US" w:eastAsia="en-GB"/>
              </w:rPr>
              <w:t>L</w:t>
            </w:r>
            <w:r>
              <w:rPr>
                <w:bCs/>
                <w:spacing w:val="6"/>
                <w:kern w:val="20"/>
                <w:sz w:val="15"/>
                <w:szCs w:val="15"/>
                <w:vertAlign w:val="subscript"/>
                <w:lang w:val="en-US" w:eastAsia="en-GB"/>
              </w:rPr>
              <w:t>1</w:t>
            </w:r>
            <w:r>
              <w:rPr>
                <w:bCs/>
                <w:spacing w:val="6"/>
                <w:kern w:val="20"/>
                <w:sz w:val="15"/>
                <w:szCs w:val="15"/>
                <w:lang w:val="en-US" w:eastAsia="en-GB"/>
              </w:rPr>
              <w:t xml:space="preserve"> / mH</w:t>
            </w:r>
          </w:p>
        </w:tc>
        <w:tc>
          <w:tcPr>
            <w:tcW w:w="1250" w:type="pct"/>
            <w:tcBorders>
              <w:top w:val="single" w:color="auto" w:sz="4" w:space="0"/>
            </w:tcBorders>
            <w:vAlign w:val="center"/>
          </w:tcPr>
          <w:p>
            <w:pPr>
              <w:widowControl w:val="0"/>
              <w:topLinePunct/>
              <w:jc w:val="center"/>
              <w:rPr>
                <w:spacing w:val="6"/>
                <w:kern w:val="20"/>
                <w:sz w:val="15"/>
                <w:szCs w:val="15"/>
                <w:lang w:val="en-US" w:eastAsia="en-GB"/>
              </w:rPr>
            </w:pPr>
            <w:r>
              <w:rPr>
                <w:spacing w:val="6"/>
                <w:kern w:val="20"/>
                <w:sz w:val="15"/>
                <w:szCs w:val="15"/>
                <w:lang w:val="en-US" w:eastAsia="en-GB"/>
              </w:rPr>
              <w:t>1.65</w:t>
            </w:r>
          </w:p>
        </w:tc>
        <w:tc>
          <w:tcPr>
            <w:tcW w:w="1356" w:type="pct"/>
            <w:tcBorders>
              <w:top w:val="single" w:color="auto" w:sz="4" w:space="0"/>
            </w:tcBorders>
            <w:vAlign w:val="center"/>
          </w:tcPr>
          <w:p>
            <w:pPr>
              <w:widowControl w:val="0"/>
              <w:topLinePunct/>
              <w:jc w:val="center"/>
              <w:rPr>
                <w:spacing w:val="6"/>
                <w:kern w:val="20"/>
                <w:sz w:val="15"/>
                <w:szCs w:val="15"/>
                <w:lang w:val="en-US" w:eastAsia="en-GB"/>
              </w:rPr>
            </w:pPr>
            <w:r>
              <w:rPr>
                <w:rFonts w:hint="eastAsia"/>
                <w:spacing w:val="6"/>
                <w:kern w:val="20"/>
                <w:sz w:val="15"/>
                <w:szCs w:val="15"/>
                <w:lang w:val="en-US" w:eastAsia="en-GB"/>
              </w:rPr>
              <w:t>0.6</w:t>
            </w:r>
          </w:p>
        </w:tc>
        <w:tc>
          <w:tcPr>
            <w:tcW w:w="1251" w:type="pct"/>
            <w:tcBorders>
              <w:top w:val="single" w:color="auto" w:sz="4" w:space="0"/>
            </w:tcBorders>
            <w:vAlign w:val="center"/>
          </w:tcPr>
          <w:p>
            <w:pPr>
              <w:widowControl w:val="0"/>
              <w:topLinePunct/>
              <w:jc w:val="center"/>
              <w:rPr>
                <w:spacing w:val="6"/>
                <w:kern w:val="20"/>
                <w:sz w:val="15"/>
                <w:szCs w:val="15"/>
                <w:lang w:val="en-US" w:eastAsia="en-GB"/>
              </w:rPr>
            </w:pPr>
            <w:r>
              <w:rPr>
                <w:rFonts w:hint="eastAsia"/>
                <w:spacing w:val="6"/>
                <w:kern w:val="20"/>
                <w:sz w:val="15"/>
                <w:szCs w:val="15"/>
                <w:lang w:val="en-US" w:eastAsia="en-GB"/>
              </w:rPr>
              <w:t>1</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41" w:type="pct"/>
            <w:vAlign w:val="center"/>
          </w:tcPr>
          <w:p>
            <w:pPr>
              <w:widowControl w:val="0"/>
              <w:spacing w:line="280" w:lineRule="exact"/>
              <w:jc w:val="center"/>
              <w:rPr>
                <w:bCs/>
                <w:spacing w:val="6"/>
                <w:kern w:val="20"/>
                <w:sz w:val="15"/>
                <w:szCs w:val="15"/>
                <w:lang w:val="en-US" w:eastAsia="en-GB"/>
              </w:rPr>
            </w:pPr>
            <w:r>
              <w:rPr>
                <w:bCs/>
                <w:i/>
                <w:iCs/>
                <w:spacing w:val="6"/>
                <w:kern w:val="20"/>
                <w:sz w:val="15"/>
                <w:szCs w:val="15"/>
                <w:lang w:val="en-US" w:eastAsia="en-GB"/>
              </w:rPr>
              <w:t>L</w:t>
            </w:r>
            <w:r>
              <w:rPr>
                <w:bCs/>
                <w:spacing w:val="6"/>
                <w:kern w:val="20"/>
                <w:sz w:val="15"/>
                <w:szCs w:val="15"/>
                <w:vertAlign w:val="subscript"/>
                <w:lang w:val="en-US" w:eastAsia="en-GB"/>
              </w:rPr>
              <w:t>2</w:t>
            </w:r>
            <w:r>
              <w:rPr>
                <w:bCs/>
                <w:spacing w:val="6"/>
                <w:kern w:val="20"/>
                <w:sz w:val="15"/>
                <w:szCs w:val="15"/>
                <w:lang w:val="en-US" w:eastAsia="en-GB"/>
              </w:rPr>
              <w:t xml:space="preserve"> / mH</w:t>
            </w:r>
          </w:p>
        </w:tc>
        <w:tc>
          <w:tcPr>
            <w:tcW w:w="1250" w:type="pct"/>
            <w:vAlign w:val="center"/>
          </w:tcPr>
          <w:p>
            <w:pPr>
              <w:widowControl w:val="0"/>
              <w:topLinePunct/>
              <w:jc w:val="center"/>
              <w:rPr>
                <w:spacing w:val="6"/>
                <w:kern w:val="20"/>
                <w:sz w:val="15"/>
                <w:szCs w:val="15"/>
                <w:lang w:val="en-US" w:eastAsia="en-GB"/>
              </w:rPr>
            </w:pPr>
            <w:r>
              <w:rPr>
                <w:spacing w:val="6"/>
                <w:kern w:val="20"/>
                <w:sz w:val="15"/>
                <w:szCs w:val="15"/>
                <w:lang w:val="en-US" w:eastAsia="en-GB"/>
              </w:rPr>
              <w:t>0.425</w:t>
            </w:r>
          </w:p>
        </w:tc>
        <w:tc>
          <w:tcPr>
            <w:tcW w:w="1356" w:type="pct"/>
            <w:vAlign w:val="center"/>
          </w:tcPr>
          <w:p>
            <w:pPr>
              <w:widowControl w:val="0"/>
              <w:topLinePunct/>
              <w:jc w:val="center"/>
              <w:rPr>
                <w:spacing w:val="6"/>
                <w:kern w:val="20"/>
                <w:sz w:val="15"/>
                <w:szCs w:val="15"/>
                <w:lang w:val="en-US" w:eastAsia="en-GB"/>
              </w:rPr>
            </w:pPr>
            <w:r>
              <w:rPr>
                <w:rFonts w:hint="eastAsia"/>
                <w:spacing w:val="6"/>
                <w:kern w:val="20"/>
                <w:sz w:val="15"/>
                <w:szCs w:val="15"/>
                <w:lang w:val="en-US" w:eastAsia="en-GB"/>
              </w:rPr>
              <w:t>0.36</w:t>
            </w:r>
          </w:p>
        </w:tc>
        <w:tc>
          <w:tcPr>
            <w:tcW w:w="1251" w:type="pct"/>
            <w:vAlign w:val="center"/>
          </w:tcPr>
          <w:p>
            <w:pPr>
              <w:widowControl w:val="0"/>
              <w:topLinePunct/>
              <w:jc w:val="center"/>
              <w:rPr>
                <w:spacing w:val="6"/>
                <w:kern w:val="20"/>
                <w:sz w:val="15"/>
                <w:szCs w:val="15"/>
                <w:lang w:val="en-US" w:eastAsia="en-GB"/>
              </w:rPr>
            </w:pPr>
            <w:r>
              <w:rPr>
                <w:rFonts w:hint="eastAsia"/>
                <w:spacing w:val="6"/>
                <w:kern w:val="20"/>
                <w:sz w:val="15"/>
                <w:szCs w:val="15"/>
                <w:lang w:val="en-US" w:eastAsia="en-GB"/>
              </w:rPr>
              <w:t>0.4</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41" w:type="pct"/>
            <w:vAlign w:val="center"/>
          </w:tcPr>
          <w:p>
            <w:pPr>
              <w:widowControl w:val="0"/>
              <w:spacing w:line="280" w:lineRule="exact"/>
              <w:jc w:val="center"/>
              <w:rPr>
                <w:bCs/>
                <w:spacing w:val="6"/>
                <w:kern w:val="2"/>
                <w:sz w:val="15"/>
                <w:szCs w:val="15"/>
                <w:lang w:val="en-US" w:eastAsia="en-GB"/>
              </w:rPr>
            </w:pPr>
            <w:r>
              <w:rPr>
                <w:bCs/>
                <w:i/>
                <w:iCs/>
                <w:spacing w:val="6"/>
                <w:kern w:val="20"/>
                <w:sz w:val="15"/>
                <w:szCs w:val="15"/>
                <w:lang w:val="en-US" w:eastAsia="en-GB"/>
              </w:rPr>
              <w:t xml:space="preserve">C </w:t>
            </w:r>
            <w:r>
              <w:rPr>
                <w:bCs/>
                <w:spacing w:val="6"/>
                <w:kern w:val="20"/>
                <w:sz w:val="15"/>
                <w:szCs w:val="15"/>
                <w:lang w:val="en-US" w:eastAsia="en-GB"/>
              </w:rPr>
              <w:t>/ μF</w:t>
            </w:r>
          </w:p>
        </w:tc>
        <w:tc>
          <w:tcPr>
            <w:tcW w:w="1250" w:type="pct"/>
            <w:vAlign w:val="center"/>
          </w:tcPr>
          <w:p>
            <w:pPr>
              <w:widowControl w:val="0"/>
              <w:topLinePunct/>
              <w:jc w:val="center"/>
              <w:rPr>
                <w:spacing w:val="6"/>
                <w:kern w:val="20"/>
                <w:sz w:val="15"/>
                <w:szCs w:val="15"/>
                <w:lang w:val="en-US" w:eastAsia="en-GB"/>
              </w:rPr>
            </w:pPr>
            <w:r>
              <w:rPr>
                <w:spacing w:val="6"/>
                <w:kern w:val="20"/>
                <w:sz w:val="15"/>
                <w:szCs w:val="15"/>
                <w:lang w:val="en-US" w:eastAsia="en-GB"/>
              </w:rPr>
              <w:t>56</w:t>
            </w:r>
          </w:p>
        </w:tc>
        <w:tc>
          <w:tcPr>
            <w:tcW w:w="1356" w:type="pct"/>
            <w:vAlign w:val="center"/>
          </w:tcPr>
          <w:p>
            <w:pPr>
              <w:widowControl w:val="0"/>
              <w:topLinePunct/>
              <w:jc w:val="center"/>
              <w:rPr>
                <w:spacing w:val="6"/>
                <w:kern w:val="20"/>
                <w:sz w:val="15"/>
                <w:szCs w:val="15"/>
                <w:lang w:val="en-US" w:eastAsia="en-GB"/>
              </w:rPr>
            </w:pPr>
            <w:r>
              <w:rPr>
                <w:rFonts w:hint="eastAsia"/>
                <w:spacing w:val="6"/>
                <w:kern w:val="20"/>
                <w:sz w:val="15"/>
                <w:szCs w:val="15"/>
                <w:lang w:val="en-US" w:eastAsia="en-GB"/>
              </w:rPr>
              <w:t>7</w:t>
            </w:r>
          </w:p>
        </w:tc>
        <w:tc>
          <w:tcPr>
            <w:tcW w:w="1251" w:type="pct"/>
            <w:vAlign w:val="center"/>
          </w:tcPr>
          <w:p>
            <w:pPr>
              <w:widowControl w:val="0"/>
              <w:topLinePunct/>
              <w:jc w:val="center"/>
              <w:rPr>
                <w:spacing w:val="6"/>
                <w:kern w:val="20"/>
                <w:sz w:val="15"/>
                <w:szCs w:val="15"/>
                <w:lang w:val="en-US" w:eastAsia="en-GB"/>
              </w:rPr>
            </w:pPr>
            <w:r>
              <w:rPr>
                <w:rFonts w:hint="eastAsia"/>
                <w:spacing w:val="6"/>
                <w:kern w:val="20"/>
                <w:sz w:val="15"/>
                <w:szCs w:val="15"/>
                <w:lang w:val="en-US" w:eastAsia="en-GB"/>
              </w:rPr>
              <w:t>15</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41" w:type="pct"/>
            <w:vAlign w:val="center"/>
          </w:tcPr>
          <w:p>
            <w:pPr>
              <w:widowControl w:val="0"/>
              <w:spacing w:line="280" w:lineRule="exact"/>
              <w:jc w:val="center"/>
              <w:rPr>
                <w:bCs/>
                <w:spacing w:val="6"/>
                <w:kern w:val="2"/>
                <w:sz w:val="15"/>
                <w:szCs w:val="15"/>
                <w:lang w:val="en-US" w:eastAsia="en-GB"/>
              </w:rPr>
            </w:pPr>
            <w:r>
              <w:rPr>
                <w:rFonts w:hint="eastAsia"/>
                <w:bCs/>
                <w:i/>
                <w:iCs/>
                <w:spacing w:val="6"/>
                <w:kern w:val="20"/>
                <w:sz w:val="15"/>
                <w:szCs w:val="15"/>
                <w:lang w:val="en-US" w:eastAsia="zh-CN"/>
              </w:rPr>
              <w:t>V</w:t>
            </w:r>
            <w:r>
              <w:rPr>
                <w:bCs/>
                <w:spacing w:val="6"/>
                <w:kern w:val="20"/>
                <w:sz w:val="15"/>
                <w:szCs w:val="15"/>
                <w:vertAlign w:val="subscript"/>
                <w:lang w:val="en-US" w:eastAsia="en-GB"/>
              </w:rPr>
              <w:t>dc</w:t>
            </w:r>
            <w:r>
              <w:rPr>
                <w:bCs/>
                <w:spacing w:val="6"/>
                <w:kern w:val="20"/>
                <w:sz w:val="15"/>
                <w:szCs w:val="15"/>
                <w:lang w:val="en-US" w:eastAsia="en-GB"/>
              </w:rPr>
              <w:t xml:space="preserve"> / V</w:t>
            </w:r>
          </w:p>
        </w:tc>
        <w:tc>
          <w:tcPr>
            <w:tcW w:w="1250" w:type="pct"/>
            <w:vAlign w:val="center"/>
          </w:tcPr>
          <w:p>
            <w:pPr>
              <w:widowControl w:val="0"/>
              <w:topLinePunct/>
              <w:jc w:val="center"/>
              <w:rPr>
                <w:spacing w:val="6"/>
                <w:kern w:val="20"/>
                <w:sz w:val="15"/>
                <w:szCs w:val="15"/>
                <w:lang w:val="en-US" w:eastAsia="en-GB"/>
              </w:rPr>
            </w:pPr>
            <w:r>
              <w:rPr>
                <w:rFonts w:hint="eastAsia"/>
                <w:spacing w:val="6"/>
                <w:kern w:val="20"/>
                <w:sz w:val="15"/>
                <w:szCs w:val="15"/>
                <w:lang w:val="en-US" w:eastAsia="en-GB"/>
              </w:rPr>
              <w:t>400</w:t>
            </w:r>
          </w:p>
        </w:tc>
        <w:tc>
          <w:tcPr>
            <w:tcW w:w="1356" w:type="pct"/>
            <w:vAlign w:val="center"/>
          </w:tcPr>
          <w:p>
            <w:pPr>
              <w:widowControl w:val="0"/>
              <w:topLinePunct/>
              <w:jc w:val="center"/>
              <w:rPr>
                <w:spacing w:val="6"/>
                <w:kern w:val="20"/>
                <w:sz w:val="15"/>
                <w:szCs w:val="15"/>
                <w:lang w:val="en-US" w:eastAsia="en-GB"/>
              </w:rPr>
            </w:pPr>
            <w:r>
              <w:rPr>
                <w:rFonts w:hint="eastAsia"/>
                <w:spacing w:val="6"/>
                <w:kern w:val="20"/>
                <w:sz w:val="15"/>
                <w:szCs w:val="15"/>
                <w:lang w:val="en-US" w:eastAsia="en-GB"/>
              </w:rPr>
              <w:t>400</w:t>
            </w:r>
          </w:p>
        </w:tc>
        <w:tc>
          <w:tcPr>
            <w:tcW w:w="1251" w:type="pct"/>
            <w:vAlign w:val="center"/>
          </w:tcPr>
          <w:p>
            <w:pPr>
              <w:widowControl w:val="0"/>
              <w:topLinePunct/>
              <w:jc w:val="center"/>
              <w:rPr>
                <w:spacing w:val="6"/>
                <w:kern w:val="20"/>
                <w:sz w:val="15"/>
                <w:szCs w:val="15"/>
                <w:lang w:val="en-US" w:eastAsia="en-GB"/>
              </w:rPr>
            </w:pPr>
            <w:r>
              <w:rPr>
                <w:rFonts w:hint="eastAsia"/>
                <w:spacing w:val="6"/>
                <w:kern w:val="20"/>
                <w:sz w:val="15"/>
                <w:szCs w:val="15"/>
                <w:lang w:val="en-US" w:eastAsia="en-GB"/>
              </w:rPr>
              <w:t>400</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41" w:type="pct"/>
            <w:vAlign w:val="center"/>
          </w:tcPr>
          <w:p>
            <w:pPr>
              <w:widowControl w:val="0"/>
              <w:spacing w:line="280" w:lineRule="exact"/>
              <w:jc w:val="center"/>
              <w:rPr>
                <w:bCs/>
                <w:spacing w:val="6"/>
                <w:kern w:val="2"/>
                <w:sz w:val="15"/>
                <w:szCs w:val="15"/>
                <w:lang w:val="en-US" w:eastAsia="en-GB"/>
              </w:rPr>
            </w:pPr>
            <w:r>
              <w:rPr>
                <w:bCs/>
                <w:i/>
                <w:iCs/>
                <w:spacing w:val="6"/>
                <w:kern w:val="2"/>
                <w:sz w:val="15"/>
                <w:szCs w:val="15"/>
                <w:lang w:val="en-US" w:eastAsia="en-GB"/>
              </w:rPr>
              <w:t>i</w:t>
            </w:r>
            <w:r>
              <w:rPr>
                <w:bCs/>
                <w:spacing w:val="6"/>
                <w:kern w:val="2"/>
                <w:sz w:val="15"/>
                <w:szCs w:val="15"/>
                <w:vertAlign w:val="subscript"/>
                <w:lang w:val="en-US" w:eastAsia="en-GB"/>
              </w:rPr>
              <w:t>ref</w:t>
            </w:r>
            <w:r>
              <w:rPr>
                <w:rFonts w:hint="eastAsia"/>
                <w:bCs/>
                <w:spacing w:val="6"/>
                <w:kern w:val="2"/>
                <w:sz w:val="15"/>
                <w:szCs w:val="15"/>
                <w:vertAlign w:val="subscript"/>
                <w:lang w:val="en-US" w:eastAsia="en-GB"/>
              </w:rPr>
              <w:t xml:space="preserve"> </w:t>
            </w:r>
            <w:r>
              <w:rPr>
                <w:bCs/>
                <w:spacing w:val="6"/>
                <w:kern w:val="20"/>
                <w:sz w:val="15"/>
                <w:szCs w:val="15"/>
                <w:lang w:val="en-US" w:eastAsia="en-GB"/>
              </w:rPr>
              <w:t xml:space="preserve">/ </w:t>
            </w:r>
            <w:r>
              <w:rPr>
                <w:rFonts w:hint="eastAsia"/>
                <w:bCs/>
                <w:spacing w:val="6"/>
                <w:kern w:val="20"/>
                <w:sz w:val="15"/>
                <w:szCs w:val="15"/>
                <w:lang w:val="en-US" w:eastAsia="en-GB"/>
              </w:rPr>
              <w:t>A</w:t>
            </w:r>
          </w:p>
        </w:tc>
        <w:tc>
          <w:tcPr>
            <w:tcW w:w="1250" w:type="pct"/>
            <w:vAlign w:val="center"/>
          </w:tcPr>
          <w:p>
            <w:pPr>
              <w:widowControl w:val="0"/>
              <w:topLinePunct/>
              <w:jc w:val="center"/>
              <w:rPr>
                <w:spacing w:val="6"/>
                <w:kern w:val="20"/>
                <w:sz w:val="15"/>
                <w:szCs w:val="15"/>
                <w:lang w:val="en-US" w:eastAsia="en-GB"/>
              </w:rPr>
            </w:pPr>
            <w:r>
              <w:rPr>
                <w:rFonts w:hint="eastAsia"/>
                <w:spacing w:val="6"/>
                <w:kern w:val="20"/>
                <w:sz w:val="15"/>
                <w:szCs w:val="15"/>
                <w:lang w:val="en-US" w:eastAsia="en-GB"/>
              </w:rPr>
              <w:t>25</w:t>
            </w:r>
          </w:p>
        </w:tc>
        <w:tc>
          <w:tcPr>
            <w:tcW w:w="1356" w:type="pct"/>
            <w:vAlign w:val="center"/>
          </w:tcPr>
          <w:p>
            <w:pPr>
              <w:widowControl w:val="0"/>
              <w:topLinePunct/>
              <w:jc w:val="center"/>
              <w:rPr>
                <w:spacing w:val="6"/>
                <w:kern w:val="20"/>
                <w:sz w:val="15"/>
                <w:szCs w:val="15"/>
                <w:lang w:val="en-US" w:eastAsia="en-GB"/>
              </w:rPr>
            </w:pPr>
            <w:r>
              <w:rPr>
                <w:rFonts w:hint="eastAsia"/>
                <w:spacing w:val="6"/>
                <w:kern w:val="20"/>
                <w:sz w:val="15"/>
                <w:szCs w:val="15"/>
                <w:lang w:val="en-US" w:eastAsia="en-GB"/>
              </w:rPr>
              <w:t>30</w:t>
            </w:r>
          </w:p>
        </w:tc>
        <w:tc>
          <w:tcPr>
            <w:tcW w:w="1251" w:type="pct"/>
            <w:vAlign w:val="center"/>
          </w:tcPr>
          <w:p>
            <w:pPr>
              <w:widowControl w:val="0"/>
              <w:topLinePunct/>
              <w:jc w:val="center"/>
              <w:rPr>
                <w:spacing w:val="6"/>
                <w:kern w:val="20"/>
                <w:sz w:val="15"/>
                <w:szCs w:val="15"/>
                <w:lang w:val="en-US" w:eastAsia="en-GB"/>
              </w:rPr>
            </w:pPr>
            <w:r>
              <w:rPr>
                <w:rFonts w:hint="eastAsia"/>
                <w:spacing w:val="6"/>
                <w:kern w:val="20"/>
                <w:sz w:val="15"/>
                <w:szCs w:val="15"/>
                <w:lang w:val="en-US" w:eastAsia="en-GB"/>
              </w:rPr>
              <w:t>30</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41" w:type="pct"/>
            <w:vAlign w:val="center"/>
          </w:tcPr>
          <w:p>
            <w:pPr>
              <w:widowControl w:val="0"/>
              <w:spacing w:line="280" w:lineRule="exact"/>
              <w:jc w:val="center"/>
              <w:rPr>
                <w:bCs/>
                <w:spacing w:val="6"/>
                <w:kern w:val="2"/>
                <w:sz w:val="15"/>
                <w:szCs w:val="15"/>
                <w:lang w:val="en-US" w:eastAsia="en-GB"/>
              </w:rPr>
            </w:pPr>
            <w:r>
              <w:rPr>
                <w:bCs/>
                <w:i/>
                <w:iCs/>
                <w:spacing w:val="6"/>
                <w:kern w:val="20"/>
                <w:sz w:val="15"/>
                <w:szCs w:val="15"/>
                <w:lang w:val="en-US" w:eastAsia="en-GB"/>
              </w:rPr>
              <w:t>k</w:t>
            </w:r>
            <w:r>
              <w:rPr>
                <w:bCs/>
                <w:spacing w:val="6"/>
                <w:kern w:val="20"/>
                <w:sz w:val="15"/>
                <w:szCs w:val="15"/>
                <w:vertAlign w:val="subscript"/>
                <w:lang w:val="en-US" w:eastAsia="en-GB"/>
              </w:rPr>
              <w:t>1</w:t>
            </w:r>
          </w:p>
        </w:tc>
        <w:tc>
          <w:tcPr>
            <w:tcW w:w="1250" w:type="pct"/>
            <w:vAlign w:val="center"/>
          </w:tcPr>
          <w:p>
            <w:pPr>
              <w:widowControl w:val="0"/>
              <w:topLinePunct/>
              <w:jc w:val="center"/>
              <w:rPr>
                <w:spacing w:val="6"/>
                <w:kern w:val="20"/>
                <w:sz w:val="15"/>
                <w:szCs w:val="15"/>
                <w:lang w:val="en-US" w:eastAsia="en-GB"/>
              </w:rPr>
            </w:pPr>
            <w:r>
              <w:rPr>
                <w:rFonts w:hint="eastAsia"/>
                <w:spacing w:val="6"/>
                <w:kern w:val="20"/>
                <w:sz w:val="15"/>
                <w:szCs w:val="15"/>
                <w:lang w:val="en-US" w:eastAsia="en-GB"/>
              </w:rPr>
              <w:t>1</w:t>
            </w:r>
          </w:p>
        </w:tc>
        <w:tc>
          <w:tcPr>
            <w:tcW w:w="1356" w:type="pct"/>
            <w:vAlign w:val="center"/>
          </w:tcPr>
          <w:p>
            <w:pPr>
              <w:widowControl w:val="0"/>
              <w:topLinePunct/>
              <w:jc w:val="center"/>
              <w:rPr>
                <w:spacing w:val="6"/>
                <w:kern w:val="20"/>
                <w:sz w:val="15"/>
                <w:szCs w:val="15"/>
                <w:lang w:val="en-US" w:eastAsia="en-GB"/>
              </w:rPr>
            </w:pPr>
            <w:r>
              <w:rPr>
                <w:rFonts w:hint="eastAsia"/>
                <w:spacing w:val="6"/>
                <w:kern w:val="20"/>
                <w:sz w:val="15"/>
                <w:szCs w:val="15"/>
                <w:lang w:val="en-US" w:eastAsia="en-GB"/>
              </w:rPr>
              <w:t>0.0265</w:t>
            </w:r>
          </w:p>
        </w:tc>
        <w:tc>
          <w:tcPr>
            <w:tcW w:w="1251" w:type="pct"/>
            <w:vAlign w:val="center"/>
          </w:tcPr>
          <w:p>
            <w:pPr>
              <w:widowControl w:val="0"/>
              <w:topLinePunct/>
              <w:jc w:val="center"/>
              <w:rPr>
                <w:spacing w:val="6"/>
                <w:kern w:val="20"/>
                <w:sz w:val="15"/>
                <w:szCs w:val="15"/>
                <w:lang w:val="en-US" w:eastAsia="en-GB"/>
              </w:rPr>
            </w:pPr>
            <w:r>
              <w:rPr>
                <w:rFonts w:hint="eastAsia"/>
                <w:spacing w:val="6"/>
                <w:kern w:val="20"/>
                <w:sz w:val="15"/>
                <w:szCs w:val="15"/>
                <w:lang w:val="en-US" w:eastAsia="en-GB"/>
              </w:rPr>
              <w:t>0.0285</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41" w:type="pct"/>
            <w:vAlign w:val="center"/>
          </w:tcPr>
          <w:p>
            <w:pPr>
              <w:widowControl w:val="0"/>
              <w:spacing w:line="280" w:lineRule="exact"/>
              <w:jc w:val="center"/>
              <w:rPr>
                <w:bCs/>
                <w:spacing w:val="6"/>
                <w:kern w:val="2"/>
                <w:sz w:val="15"/>
                <w:szCs w:val="15"/>
                <w:lang w:val="en-US" w:eastAsia="en-GB"/>
              </w:rPr>
            </w:pPr>
            <w:r>
              <w:rPr>
                <w:bCs/>
                <w:i/>
                <w:iCs/>
                <w:spacing w:val="6"/>
                <w:kern w:val="20"/>
                <w:sz w:val="15"/>
                <w:szCs w:val="15"/>
                <w:lang w:val="en-US" w:eastAsia="en-GB"/>
              </w:rPr>
              <w:t>k</w:t>
            </w:r>
            <w:r>
              <w:rPr>
                <w:bCs/>
                <w:spacing w:val="6"/>
                <w:kern w:val="20"/>
                <w:sz w:val="15"/>
                <w:szCs w:val="15"/>
                <w:vertAlign w:val="subscript"/>
                <w:lang w:val="en-US" w:eastAsia="en-GB"/>
              </w:rPr>
              <w:t>2</w:t>
            </w:r>
          </w:p>
        </w:tc>
        <w:tc>
          <w:tcPr>
            <w:tcW w:w="1250" w:type="pct"/>
            <w:vAlign w:val="center"/>
          </w:tcPr>
          <w:p>
            <w:pPr>
              <w:widowControl w:val="0"/>
              <w:topLinePunct/>
              <w:jc w:val="center"/>
              <w:rPr>
                <w:spacing w:val="6"/>
                <w:kern w:val="20"/>
                <w:sz w:val="15"/>
                <w:szCs w:val="15"/>
                <w:lang w:val="en-US" w:eastAsia="en-GB"/>
              </w:rPr>
            </w:pPr>
            <w:r>
              <w:rPr>
                <w:rFonts w:hint="eastAsia"/>
                <w:spacing w:val="6"/>
                <w:kern w:val="20"/>
                <w:sz w:val="15"/>
                <w:szCs w:val="15"/>
                <w:lang w:val="en-US" w:eastAsia="en-GB"/>
              </w:rPr>
              <w:t>1</w:t>
            </w:r>
          </w:p>
        </w:tc>
        <w:tc>
          <w:tcPr>
            <w:tcW w:w="1356" w:type="pct"/>
            <w:vAlign w:val="center"/>
          </w:tcPr>
          <w:p>
            <w:pPr>
              <w:widowControl w:val="0"/>
              <w:topLinePunct/>
              <w:jc w:val="center"/>
              <w:rPr>
                <w:spacing w:val="6"/>
                <w:kern w:val="20"/>
                <w:sz w:val="15"/>
                <w:szCs w:val="15"/>
                <w:lang w:val="en-US" w:eastAsia="en-GB"/>
              </w:rPr>
            </w:pPr>
            <w:r>
              <w:rPr>
                <w:rFonts w:hint="eastAsia"/>
                <w:spacing w:val="6"/>
                <w:kern w:val="20"/>
                <w:sz w:val="15"/>
                <w:szCs w:val="15"/>
                <w:lang w:val="en-US" w:eastAsia="en-GB"/>
              </w:rPr>
              <w:t>0.0025</w:t>
            </w:r>
          </w:p>
        </w:tc>
        <w:tc>
          <w:tcPr>
            <w:tcW w:w="1251" w:type="pct"/>
            <w:vAlign w:val="center"/>
          </w:tcPr>
          <w:p>
            <w:pPr>
              <w:widowControl w:val="0"/>
              <w:topLinePunct/>
              <w:jc w:val="center"/>
              <w:rPr>
                <w:spacing w:val="6"/>
                <w:kern w:val="20"/>
                <w:sz w:val="15"/>
                <w:szCs w:val="15"/>
                <w:lang w:val="en-US" w:eastAsia="en-GB"/>
              </w:rPr>
            </w:pPr>
            <w:r>
              <w:rPr>
                <w:rFonts w:hint="eastAsia"/>
                <w:spacing w:val="6"/>
                <w:kern w:val="20"/>
                <w:sz w:val="15"/>
                <w:szCs w:val="15"/>
                <w:lang w:val="en-US" w:eastAsia="en-GB"/>
              </w:rPr>
              <w:t>0045</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41" w:type="pct"/>
            <w:vAlign w:val="center"/>
          </w:tcPr>
          <w:p>
            <w:pPr>
              <w:widowControl w:val="0"/>
              <w:spacing w:line="280" w:lineRule="exact"/>
              <w:jc w:val="center"/>
              <w:rPr>
                <w:bCs/>
                <w:spacing w:val="6"/>
                <w:kern w:val="2"/>
                <w:sz w:val="15"/>
                <w:szCs w:val="15"/>
                <w:lang w:val="en-US" w:eastAsia="en-GB"/>
              </w:rPr>
            </w:pPr>
            <w:r>
              <w:rPr>
                <w:bCs/>
                <w:i/>
                <w:iCs/>
                <w:spacing w:val="6"/>
                <w:kern w:val="20"/>
                <w:sz w:val="15"/>
                <w:szCs w:val="15"/>
                <w:lang w:val="en-US" w:eastAsia="en-GB"/>
              </w:rPr>
              <w:t>k</w:t>
            </w:r>
            <w:r>
              <w:rPr>
                <w:rFonts w:hint="eastAsia"/>
                <w:bCs/>
                <w:spacing w:val="6"/>
                <w:kern w:val="20"/>
                <w:sz w:val="15"/>
                <w:szCs w:val="15"/>
                <w:vertAlign w:val="subscript"/>
                <w:lang w:val="en-US" w:eastAsia="en-GB"/>
              </w:rPr>
              <w:t>PWM</w:t>
            </w:r>
          </w:p>
        </w:tc>
        <w:tc>
          <w:tcPr>
            <w:tcW w:w="1250" w:type="pct"/>
            <w:vAlign w:val="center"/>
          </w:tcPr>
          <w:p>
            <w:pPr>
              <w:widowControl w:val="0"/>
              <w:topLinePunct/>
              <w:jc w:val="center"/>
              <w:rPr>
                <w:spacing w:val="6"/>
                <w:kern w:val="20"/>
                <w:sz w:val="15"/>
                <w:szCs w:val="15"/>
                <w:lang w:val="en-US" w:eastAsia="en-GB"/>
              </w:rPr>
            </w:pPr>
            <w:r>
              <w:rPr>
                <w:rFonts w:hint="eastAsia"/>
                <w:spacing w:val="6"/>
                <w:kern w:val="20"/>
                <w:sz w:val="15"/>
                <w:szCs w:val="15"/>
                <w:lang w:val="en-US" w:eastAsia="en-GB"/>
              </w:rPr>
              <w:t>1</w:t>
            </w:r>
          </w:p>
        </w:tc>
        <w:tc>
          <w:tcPr>
            <w:tcW w:w="1356" w:type="pct"/>
            <w:vAlign w:val="center"/>
          </w:tcPr>
          <w:p>
            <w:pPr>
              <w:widowControl w:val="0"/>
              <w:topLinePunct/>
              <w:jc w:val="center"/>
              <w:rPr>
                <w:spacing w:val="6"/>
                <w:kern w:val="20"/>
                <w:sz w:val="15"/>
                <w:szCs w:val="15"/>
                <w:lang w:val="en-US" w:eastAsia="en-GB"/>
              </w:rPr>
            </w:pPr>
            <w:r>
              <w:rPr>
                <w:rFonts w:hint="eastAsia"/>
                <w:spacing w:val="6"/>
                <w:kern w:val="20"/>
                <w:sz w:val="15"/>
                <w:szCs w:val="15"/>
                <w:lang w:val="en-US" w:eastAsia="en-GB"/>
              </w:rPr>
              <w:t>1</w:t>
            </w:r>
          </w:p>
        </w:tc>
        <w:tc>
          <w:tcPr>
            <w:tcW w:w="1251" w:type="pct"/>
            <w:vAlign w:val="center"/>
          </w:tcPr>
          <w:p>
            <w:pPr>
              <w:widowControl w:val="0"/>
              <w:topLinePunct/>
              <w:jc w:val="center"/>
              <w:rPr>
                <w:spacing w:val="6"/>
                <w:kern w:val="20"/>
                <w:sz w:val="15"/>
                <w:szCs w:val="15"/>
                <w:lang w:val="en-US" w:eastAsia="en-GB"/>
              </w:rPr>
            </w:pPr>
            <w:r>
              <w:rPr>
                <w:rFonts w:hint="eastAsia"/>
                <w:spacing w:val="6"/>
                <w:kern w:val="20"/>
                <w:sz w:val="15"/>
                <w:szCs w:val="15"/>
                <w:lang w:val="en-US" w:eastAsia="en-GB"/>
              </w:rPr>
              <w:t>1</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41" w:type="pct"/>
            <w:vAlign w:val="center"/>
          </w:tcPr>
          <w:p>
            <w:pPr>
              <w:widowControl w:val="0"/>
              <w:spacing w:line="280" w:lineRule="exact"/>
              <w:jc w:val="center"/>
              <w:rPr>
                <w:bCs/>
                <w:spacing w:val="6"/>
                <w:kern w:val="2"/>
                <w:sz w:val="15"/>
                <w:szCs w:val="15"/>
                <w:lang w:val="en-US" w:eastAsia="en-GB"/>
              </w:rPr>
            </w:pPr>
            <w:r>
              <w:rPr>
                <w:bCs/>
                <w:i/>
                <w:iCs/>
                <w:spacing w:val="6"/>
                <w:kern w:val="20"/>
                <w:sz w:val="15"/>
                <w:szCs w:val="15"/>
                <w:lang w:val="en-US" w:eastAsia="en-GB"/>
              </w:rPr>
              <w:t>G</w:t>
            </w:r>
            <w:r>
              <w:rPr>
                <w:bCs/>
                <w:spacing w:val="6"/>
                <w:kern w:val="20"/>
                <w:sz w:val="15"/>
                <w:szCs w:val="15"/>
                <w:vertAlign w:val="subscript"/>
                <w:lang w:val="en-US" w:eastAsia="en-GB"/>
              </w:rPr>
              <w:t>1</w:t>
            </w:r>
            <w:r>
              <w:rPr>
                <w:bCs/>
                <w:spacing w:val="6"/>
                <w:kern w:val="20"/>
                <w:sz w:val="15"/>
                <w:szCs w:val="15"/>
                <w:lang w:val="en-US" w:eastAsia="en-GB"/>
              </w:rPr>
              <w:t>(</w:t>
            </w:r>
            <w:r>
              <w:rPr>
                <w:bCs/>
                <w:i/>
                <w:iCs/>
                <w:spacing w:val="6"/>
                <w:kern w:val="20"/>
                <w:sz w:val="15"/>
                <w:szCs w:val="15"/>
                <w:lang w:val="en-US" w:eastAsia="en-GB"/>
              </w:rPr>
              <w:t>s</w:t>
            </w:r>
            <w:r>
              <w:rPr>
                <w:bCs/>
                <w:spacing w:val="6"/>
                <w:kern w:val="20"/>
                <w:sz w:val="15"/>
                <w:szCs w:val="15"/>
                <w:lang w:val="en-US" w:eastAsia="en-GB"/>
              </w:rPr>
              <w:t>)</w:t>
            </w:r>
          </w:p>
        </w:tc>
        <w:tc>
          <w:tcPr>
            <w:tcW w:w="1250" w:type="pct"/>
            <w:vAlign w:val="center"/>
          </w:tcPr>
          <w:p>
            <w:pPr>
              <w:widowControl w:val="0"/>
              <w:topLinePunct/>
              <w:jc w:val="center"/>
              <w:rPr>
                <w:spacing w:val="6"/>
                <w:kern w:val="20"/>
                <w:sz w:val="15"/>
                <w:szCs w:val="15"/>
                <w:lang w:val="en-US" w:eastAsia="en-GB"/>
              </w:rPr>
            </w:pPr>
            <w:r>
              <w:rPr>
                <w:rFonts w:hint="eastAsia"/>
                <w:spacing w:val="6"/>
                <w:kern w:val="20"/>
                <w:sz w:val="15"/>
                <w:szCs w:val="15"/>
                <w:lang w:val="en-US" w:eastAsia="en-GB"/>
              </w:rPr>
              <w:t xml:space="preserve">0.25 + 1 / </w:t>
            </w:r>
            <w:r>
              <w:rPr>
                <w:rFonts w:hint="eastAsia"/>
                <w:i/>
                <w:iCs/>
                <w:spacing w:val="6"/>
                <w:kern w:val="20"/>
                <w:sz w:val="15"/>
                <w:szCs w:val="15"/>
                <w:lang w:val="en-US" w:eastAsia="en-GB"/>
              </w:rPr>
              <w:t>s</w:t>
            </w:r>
          </w:p>
        </w:tc>
        <w:tc>
          <w:tcPr>
            <w:tcW w:w="1356" w:type="pct"/>
            <w:vAlign w:val="center"/>
          </w:tcPr>
          <w:p>
            <w:pPr>
              <w:widowControl w:val="0"/>
              <w:topLinePunct/>
              <w:jc w:val="center"/>
              <w:rPr>
                <w:spacing w:val="6"/>
                <w:kern w:val="20"/>
                <w:sz w:val="15"/>
                <w:szCs w:val="15"/>
                <w:lang w:val="en-US" w:eastAsia="en-GB"/>
              </w:rPr>
            </w:pPr>
            <w:r>
              <w:rPr>
                <w:rFonts w:hint="eastAsia"/>
                <w:spacing w:val="6"/>
                <w:kern w:val="20"/>
                <w:sz w:val="15"/>
                <w:szCs w:val="15"/>
                <w:lang w:val="en-US" w:eastAsia="en-GB"/>
              </w:rPr>
              <w:t xml:space="preserve">0.03 + 18 / </w:t>
            </w:r>
            <w:r>
              <w:rPr>
                <w:rFonts w:hint="eastAsia"/>
                <w:i/>
                <w:iCs/>
                <w:spacing w:val="6"/>
                <w:kern w:val="20"/>
                <w:sz w:val="15"/>
                <w:szCs w:val="15"/>
                <w:lang w:val="en-US" w:eastAsia="en-GB"/>
              </w:rPr>
              <w:t>s</w:t>
            </w:r>
          </w:p>
        </w:tc>
        <w:tc>
          <w:tcPr>
            <w:tcW w:w="1251" w:type="pct"/>
            <w:vAlign w:val="center"/>
          </w:tcPr>
          <w:p>
            <w:pPr>
              <w:widowControl w:val="0"/>
              <w:topLinePunct/>
              <w:jc w:val="center"/>
              <w:rPr>
                <w:spacing w:val="6"/>
                <w:kern w:val="20"/>
                <w:sz w:val="15"/>
                <w:szCs w:val="15"/>
                <w:lang w:val="en-US" w:eastAsia="en-GB"/>
              </w:rPr>
            </w:pPr>
            <w:r>
              <w:rPr>
                <w:rFonts w:hint="eastAsia"/>
                <w:spacing w:val="6"/>
                <w:kern w:val="20"/>
                <w:sz w:val="15"/>
                <w:szCs w:val="15"/>
                <w:lang w:val="en-US" w:eastAsia="en-GB"/>
              </w:rPr>
              <w:t xml:space="preserve">0.15 + 1 / </w:t>
            </w:r>
            <w:r>
              <w:rPr>
                <w:rFonts w:hint="eastAsia"/>
                <w:i/>
                <w:iCs/>
                <w:spacing w:val="6"/>
                <w:kern w:val="20"/>
                <w:sz w:val="15"/>
                <w:szCs w:val="15"/>
                <w:lang w:val="en-US" w:eastAsia="en-GB"/>
              </w:rPr>
              <w:t>s</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41" w:type="pct"/>
            <w:vAlign w:val="center"/>
          </w:tcPr>
          <w:p>
            <w:pPr>
              <w:widowControl w:val="0"/>
              <w:spacing w:line="280" w:lineRule="exact"/>
              <w:jc w:val="center"/>
              <w:rPr>
                <w:bCs/>
                <w:spacing w:val="6"/>
                <w:kern w:val="2"/>
                <w:sz w:val="15"/>
                <w:szCs w:val="15"/>
                <w:lang w:val="en-US" w:eastAsia="en-GB"/>
              </w:rPr>
            </w:pPr>
            <w:r>
              <w:rPr>
                <w:bCs/>
                <w:i/>
                <w:iCs/>
                <w:spacing w:val="6"/>
                <w:kern w:val="20"/>
                <w:sz w:val="15"/>
                <w:szCs w:val="15"/>
                <w:lang w:val="en-US" w:eastAsia="en-GB"/>
              </w:rPr>
              <w:t>L</w:t>
            </w:r>
            <w:r>
              <w:rPr>
                <w:bCs/>
                <w:spacing w:val="6"/>
                <w:kern w:val="20"/>
                <w:sz w:val="15"/>
                <w:szCs w:val="15"/>
                <w:vertAlign w:val="subscript"/>
                <w:lang w:val="en-US" w:eastAsia="en-GB"/>
              </w:rPr>
              <w:t>g</w:t>
            </w:r>
            <w:r>
              <w:rPr>
                <w:bCs/>
                <w:spacing w:val="6"/>
                <w:kern w:val="20"/>
                <w:sz w:val="15"/>
                <w:szCs w:val="15"/>
                <w:lang w:val="en-US" w:eastAsia="en-GB"/>
              </w:rPr>
              <w:t xml:space="preserve"> / mH</w:t>
            </w:r>
          </w:p>
        </w:tc>
        <w:tc>
          <w:tcPr>
            <w:tcW w:w="3858" w:type="pct"/>
            <w:gridSpan w:val="3"/>
            <w:vAlign w:val="center"/>
          </w:tcPr>
          <w:p>
            <w:pPr>
              <w:widowControl w:val="0"/>
              <w:topLinePunct/>
              <w:jc w:val="center"/>
              <w:rPr>
                <w:spacing w:val="6"/>
                <w:kern w:val="20"/>
                <w:sz w:val="15"/>
                <w:szCs w:val="15"/>
                <w:lang w:val="en-US" w:eastAsia="en-GB"/>
              </w:rPr>
            </w:pPr>
            <w:r>
              <w:rPr>
                <w:rFonts w:hint="eastAsia"/>
                <w:spacing w:val="6"/>
                <w:kern w:val="20"/>
                <w:sz w:val="15"/>
                <w:szCs w:val="15"/>
                <w:lang w:val="en-US" w:eastAsia="en-GB"/>
              </w:rPr>
              <w:t>1</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41" w:type="pct"/>
            <w:vAlign w:val="center"/>
          </w:tcPr>
          <w:p>
            <w:pPr>
              <w:widowControl w:val="0"/>
              <w:spacing w:line="280" w:lineRule="exact"/>
              <w:jc w:val="center"/>
              <w:rPr>
                <w:bCs/>
                <w:spacing w:val="6"/>
                <w:kern w:val="2"/>
                <w:sz w:val="15"/>
                <w:szCs w:val="15"/>
                <w:lang w:val="en-US" w:eastAsia="en-GB"/>
              </w:rPr>
            </w:pPr>
            <w:r>
              <w:rPr>
                <w:bCs/>
                <w:i/>
                <w:iCs/>
                <w:spacing w:val="6"/>
                <w:kern w:val="20"/>
                <w:sz w:val="15"/>
                <w:szCs w:val="15"/>
                <w:lang w:val="en-US" w:eastAsia="en-GB"/>
              </w:rPr>
              <w:t>u</w:t>
            </w:r>
            <w:r>
              <w:rPr>
                <w:bCs/>
                <w:spacing w:val="6"/>
                <w:kern w:val="20"/>
                <w:sz w:val="15"/>
                <w:szCs w:val="15"/>
                <w:vertAlign w:val="subscript"/>
                <w:lang w:val="en-US" w:eastAsia="en-GB"/>
              </w:rPr>
              <w:t>g</w:t>
            </w:r>
            <w:r>
              <w:rPr>
                <w:bCs/>
                <w:spacing w:val="6"/>
                <w:kern w:val="20"/>
                <w:sz w:val="15"/>
                <w:szCs w:val="15"/>
                <w:lang w:val="en-US" w:eastAsia="en-GB"/>
              </w:rPr>
              <w:t xml:space="preserve"> / V</w:t>
            </w:r>
          </w:p>
        </w:tc>
        <w:tc>
          <w:tcPr>
            <w:tcW w:w="3858" w:type="pct"/>
            <w:gridSpan w:val="3"/>
            <w:vAlign w:val="center"/>
          </w:tcPr>
          <w:p>
            <w:pPr>
              <w:widowControl w:val="0"/>
              <w:topLinePunct/>
              <w:jc w:val="center"/>
              <w:rPr>
                <w:spacing w:val="6"/>
                <w:kern w:val="20"/>
                <w:sz w:val="15"/>
                <w:szCs w:val="15"/>
                <w:lang w:val="en-US" w:eastAsia="en-GB"/>
              </w:rPr>
            </w:pPr>
            <w:r>
              <w:rPr>
                <w:rFonts w:hint="eastAsia"/>
                <w:spacing w:val="6"/>
                <w:kern w:val="20"/>
                <w:sz w:val="15"/>
                <w:szCs w:val="15"/>
                <w:lang w:val="en-US" w:eastAsia="en-GB"/>
              </w:rPr>
              <w:t>311</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41" w:type="pct"/>
            <w:vAlign w:val="center"/>
          </w:tcPr>
          <w:p>
            <w:pPr>
              <w:widowControl w:val="0"/>
              <w:spacing w:line="280" w:lineRule="exact"/>
              <w:jc w:val="center"/>
              <w:rPr>
                <w:bCs/>
                <w:spacing w:val="6"/>
                <w:kern w:val="2"/>
                <w:sz w:val="15"/>
                <w:szCs w:val="15"/>
                <w:lang w:val="en-US" w:eastAsia="en-GB"/>
              </w:rPr>
            </w:pPr>
            <w:r>
              <w:rPr>
                <w:bCs/>
                <w:i/>
                <w:iCs/>
                <w:spacing w:val="6"/>
                <w:kern w:val="20"/>
                <w:sz w:val="15"/>
                <w:szCs w:val="15"/>
                <w:lang w:val="en-US" w:eastAsia="en-GB"/>
              </w:rPr>
              <w:t>f</w:t>
            </w:r>
            <w:r>
              <w:rPr>
                <w:bCs/>
                <w:spacing w:val="6"/>
                <w:kern w:val="20"/>
                <w:sz w:val="15"/>
                <w:szCs w:val="15"/>
                <w:vertAlign w:val="subscript"/>
                <w:lang w:val="en-US" w:eastAsia="en-GB"/>
              </w:rPr>
              <w:t>0</w:t>
            </w:r>
            <w:r>
              <w:rPr>
                <w:bCs/>
                <w:spacing w:val="6"/>
                <w:kern w:val="20"/>
                <w:sz w:val="15"/>
                <w:szCs w:val="15"/>
                <w:lang w:val="en-US" w:eastAsia="en-GB"/>
              </w:rPr>
              <w:t xml:space="preserve"> / Hz</w:t>
            </w:r>
          </w:p>
        </w:tc>
        <w:tc>
          <w:tcPr>
            <w:tcW w:w="3858" w:type="pct"/>
            <w:gridSpan w:val="3"/>
            <w:vAlign w:val="center"/>
          </w:tcPr>
          <w:p>
            <w:pPr>
              <w:widowControl w:val="0"/>
              <w:topLinePunct/>
              <w:jc w:val="center"/>
              <w:rPr>
                <w:spacing w:val="6"/>
                <w:kern w:val="20"/>
                <w:sz w:val="15"/>
                <w:szCs w:val="15"/>
                <w:lang w:val="en-US" w:eastAsia="en-GB"/>
              </w:rPr>
            </w:pPr>
            <w:r>
              <w:rPr>
                <w:rFonts w:hint="eastAsia"/>
                <w:spacing w:val="6"/>
                <w:kern w:val="20"/>
                <w:sz w:val="15"/>
                <w:szCs w:val="15"/>
                <w:lang w:val="en-US" w:eastAsia="en-GB"/>
              </w:rPr>
              <w:t>50</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141" w:type="pct"/>
            <w:vAlign w:val="center"/>
          </w:tcPr>
          <w:p>
            <w:pPr>
              <w:widowControl w:val="0"/>
              <w:spacing w:line="280" w:lineRule="exact"/>
              <w:jc w:val="center"/>
              <w:rPr>
                <w:bCs/>
                <w:i/>
                <w:iCs/>
                <w:spacing w:val="6"/>
                <w:kern w:val="20"/>
                <w:sz w:val="15"/>
                <w:szCs w:val="15"/>
                <w:lang w:val="en-US" w:eastAsia="en-GB"/>
              </w:rPr>
            </w:pPr>
            <w:r>
              <w:rPr>
                <w:rFonts w:hint="eastAsia"/>
                <w:bCs/>
                <w:i/>
                <w:iCs/>
                <w:spacing w:val="6"/>
                <w:kern w:val="20"/>
                <w:sz w:val="15"/>
                <w:szCs w:val="15"/>
                <w:lang w:val="en-US" w:eastAsia="en-GB"/>
              </w:rPr>
              <w:t>T</w:t>
            </w:r>
            <w:r>
              <w:rPr>
                <w:rFonts w:hint="eastAsia"/>
                <w:bCs/>
                <w:spacing w:val="6"/>
                <w:kern w:val="20"/>
                <w:sz w:val="15"/>
                <w:szCs w:val="15"/>
                <w:vertAlign w:val="subscript"/>
                <w:lang w:val="en-US" w:eastAsia="en-GB"/>
              </w:rPr>
              <w:t>s</w:t>
            </w:r>
            <w:r>
              <w:rPr>
                <w:rFonts w:hint="eastAsia"/>
                <w:bCs/>
                <w:i/>
                <w:iCs/>
                <w:spacing w:val="6"/>
                <w:kern w:val="20"/>
                <w:sz w:val="15"/>
                <w:szCs w:val="15"/>
                <w:lang w:val="en-US" w:eastAsia="en-GB"/>
              </w:rPr>
              <w:t xml:space="preserve"> / s</w:t>
            </w:r>
          </w:p>
        </w:tc>
        <w:tc>
          <w:tcPr>
            <w:tcW w:w="3858" w:type="pct"/>
            <w:gridSpan w:val="3"/>
            <w:vAlign w:val="center"/>
          </w:tcPr>
          <w:p>
            <w:pPr>
              <w:widowControl w:val="0"/>
              <w:topLinePunct/>
              <w:jc w:val="center"/>
              <w:rPr>
                <w:spacing w:val="6"/>
                <w:kern w:val="20"/>
                <w:sz w:val="15"/>
                <w:szCs w:val="15"/>
                <w:lang w:val="en-US" w:eastAsia="en-GB"/>
              </w:rPr>
            </w:pPr>
            <w:r>
              <w:rPr>
                <w:rFonts w:hint="eastAsia"/>
                <w:spacing w:val="6"/>
                <w:kern w:val="20"/>
                <w:sz w:val="15"/>
                <w:szCs w:val="15"/>
                <w:lang w:val="en-US" w:eastAsia="en-GB"/>
              </w:rPr>
              <w:t>10</w:t>
            </w:r>
            <w:r>
              <w:rPr>
                <w:rFonts w:hint="eastAsia"/>
                <w:spacing w:val="6"/>
                <w:kern w:val="20"/>
                <w:sz w:val="15"/>
                <w:szCs w:val="15"/>
                <w:vertAlign w:val="superscript"/>
                <w:lang w:val="en-US" w:eastAsia="en-GB"/>
              </w:rPr>
              <w:t>-6</w:t>
            </w:r>
          </w:p>
        </w:tc>
      </w:tr>
      <w:bookmarkEnd w:id="10"/>
    </w:tbl>
    <w:p>
      <w:pPr>
        <w:ind w:firstLine="400"/>
        <w:jc w:val="both"/>
        <w:rPr>
          <w:rFonts w:hint="eastAsia" w:ascii="Times New Roman" w:hAnsi="Times New Roman" w:cs="Times New Roman"/>
          <w:color w:val="000000" w:themeColor="text1"/>
          <w:sz w:val="20"/>
          <w:szCs w:val="20"/>
          <w:lang w:val="en-US" w:eastAsia="zh-CN"/>
          <w14:textFill>
            <w14:solidFill>
              <w14:schemeClr w14:val="tx1"/>
            </w14:solidFill>
          </w14:textFill>
        </w:rPr>
      </w:pPr>
      <w:r>
        <w:rPr>
          <w:rFonts w:hint="eastAsia" w:ascii="Times New Roman" w:hAnsi="Times New Roman" w:cs="Times New Roman"/>
          <w:color w:val="000000" w:themeColor="text1"/>
          <w:sz w:val="20"/>
          <w:szCs w:val="20"/>
          <w:lang w:val="en-US" w:eastAsia="zh-CN"/>
          <w14:textFill>
            <w14:solidFill>
              <w14:schemeClr w14:val="tx1"/>
            </w14:solidFill>
          </w14:textFill>
        </w:rPr>
        <w:t xml:space="preserve">Section </w:t>
      </w:r>
      <w:r>
        <w:rPr>
          <w:rFonts w:hint="eastAsia" w:cs="Times New Roman"/>
          <w:color w:val="000000" w:themeColor="text1"/>
          <w:sz w:val="20"/>
          <w:szCs w:val="20"/>
          <w:lang w:val="en-US" w:eastAsia="zh-CN"/>
          <w14:textFill>
            <w14:solidFill>
              <w14:schemeClr w14:val="tx1"/>
            </w14:solidFill>
          </w14:textFill>
        </w:rPr>
        <w:t>3</w:t>
      </w:r>
      <w:r>
        <w:rPr>
          <w:rFonts w:hint="eastAsia" w:ascii="Times New Roman" w:hAnsi="Times New Roman" w:cs="Times New Roman"/>
          <w:color w:val="000000" w:themeColor="text1"/>
          <w:sz w:val="20"/>
          <w:szCs w:val="20"/>
          <w:lang w:val="en-US" w:eastAsia="zh-CN"/>
          <w14:textFill>
            <w14:solidFill>
              <w14:schemeClr w14:val="tx1"/>
            </w14:solidFill>
          </w14:textFill>
        </w:rPr>
        <w:t>.</w:t>
      </w:r>
      <w:r>
        <w:rPr>
          <w:rFonts w:hint="eastAsia" w:cs="Times New Roman"/>
          <w:color w:val="000000" w:themeColor="text1"/>
          <w:sz w:val="20"/>
          <w:szCs w:val="20"/>
          <w:lang w:val="en-US" w:eastAsia="zh-CN"/>
          <w14:textFill>
            <w14:solidFill>
              <w14:schemeClr w14:val="tx1"/>
            </w14:solidFill>
          </w14:textFill>
        </w:rPr>
        <w:t>1</w:t>
      </w:r>
      <w:r>
        <w:rPr>
          <w:rFonts w:hint="eastAsia" w:ascii="Times New Roman" w:hAnsi="Times New Roman" w:cs="Times New Roman"/>
          <w:color w:val="000000" w:themeColor="text1"/>
          <w:sz w:val="20"/>
          <w:szCs w:val="20"/>
          <w:lang w:val="en-US" w:eastAsia="zh-CN"/>
          <w14:textFill>
            <w14:solidFill>
              <w14:schemeClr w14:val="tx1"/>
            </w14:solidFill>
          </w14:textFill>
        </w:rPr>
        <w:t xml:space="preserve"> presented several passive device topologies for broadband oscillation suppression. Their corresponding admittance expressions are given below.</w:t>
      </w:r>
    </w:p>
    <w:p>
      <w:pPr>
        <w:ind w:firstLine="400"/>
        <w:jc w:val="both"/>
        <w:rPr>
          <w:rFonts w:hint="default" w:ascii="Times New Roman" w:hAnsi="Times New Roman" w:cs="Times New Roman"/>
          <w:color w:val="000000" w:themeColor="text1"/>
          <w:sz w:val="20"/>
          <w:szCs w:val="20"/>
          <w:lang w:val="en-US" w:eastAsia="zh-CN"/>
          <w14:textFill>
            <w14:solidFill>
              <w14:schemeClr w14:val="tx1"/>
            </w14:solidFill>
          </w14:textFill>
        </w:rPr>
      </w:pPr>
      <w:r>
        <w:rPr>
          <w:rFonts w:hint="eastAsia" w:cs="Times New Roman"/>
          <w:color w:val="000000" w:themeColor="text1"/>
          <w:sz w:val="20"/>
          <w:szCs w:val="20"/>
          <w:lang w:val="en-US" w:eastAsia="zh-CN"/>
          <w14:textFill>
            <w14:solidFill>
              <w14:schemeClr w14:val="tx1"/>
            </w14:solidFill>
          </w14:textFill>
        </w:rPr>
        <w:t>Fig. 4a):</w:t>
      </w:r>
    </w:p>
    <w:p>
      <w:pPr>
        <w:jc w:val="right"/>
        <w:rPr>
          <w:rFonts w:hint="default" w:ascii="Times New Roman" w:hAnsi="Times New Roman" w:cs="Times New Roman"/>
          <w:color w:val="000000" w:themeColor="text1"/>
          <w:sz w:val="20"/>
          <w:szCs w:val="20"/>
          <w:lang w:val="en-US" w:eastAsia="zh-CN"/>
          <w14:textFill>
            <w14:solidFill>
              <w14:schemeClr w14:val="tx1"/>
            </w14:solidFill>
          </w14:textFill>
        </w:rPr>
      </w:pPr>
      <w:r>
        <w:rPr>
          <w:rFonts w:hint="eastAsia" w:ascii="Times New Roman" w:hAnsi="Times New Roman" w:cs="Times New Roman"/>
          <w:color w:val="000000" w:themeColor="text1"/>
          <w:position w:val="-26"/>
          <w:sz w:val="20"/>
          <w:szCs w:val="20"/>
          <w:lang w:val="en-US" w:eastAsia="zh-CN"/>
          <w14:textFill>
            <w14:solidFill>
              <w14:schemeClr w14:val="tx1"/>
            </w14:solidFill>
          </w14:textFill>
        </w:rPr>
        <w:object>
          <v:shape id="_x0000_i1051" o:spt="75" type="#_x0000_t75" style="height:31pt;width:138pt;" o:ole="t" filled="f" o:preferrelative="t" stroked="f" coordsize="21600,21600">
            <v:path/>
            <v:fill on="f" focussize="0,0"/>
            <v:stroke on="f"/>
            <v:imagedata r:id="rId69" o:title=""/>
            <o:lock v:ext="edit" aspectratio="t"/>
            <w10:wrap type="none"/>
            <w10:anchorlock/>
          </v:shape>
          <o:OLEObject Type="Embed" ProgID="Equation.DSMT4" ShapeID="_x0000_i1051" DrawAspect="Content" ObjectID="_1468075751" r:id="rId68">
            <o:LockedField>false</o:LockedField>
          </o:OLEObject>
        </w:object>
      </w:r>
      <w:r>
        <w:rPr>
          <w:rFonts w:hint="eastAsia" w:cs="Times New Roman"/>
          <w:color w:val="000000" w:themeColor="text1"/>
          <w:sz w:val="20"/>
          <w:szCs w:val="20"/>
          <w:lang w:val="en-US" w:eastAsia="zh-CN"/>
          <w14:textFill>
            <w14:solidFill>
              <w14:schemeClr w14:val="tx1"/>
            </w14:solidFill>
          </w14:textFill>
        </w:rPr>
        <w:t xml:space="preserve">      (A1)</w:t>
      </w:r>
    </w:p>
    <w:p>
      <w:pPr>
        <w:ind w:firstLine="400"/>
        <w:jc w:val="both"/>
        <w:rPr>
          <w:rFonts w:hint="default" w:ascii="Times New Roman" w:hAnsi="Times New Roman" w:cs="Times New Roman"/>
          <w:color w:val="000000" w:themeColor="text1"/>
          <w:sz w:val="20"/>
          <w:szCs w:val="20"/>
          <w:lang w:val="en-US" w:eastAsia="zh-CN"/>
          <w14:textFill>
            <w14:solidFill>
              <w14:schemeClr w14:val="tx1"/>
            </w14:solidFill>
          </w14:textFill>
        </w:rPr>
      </w:pPr>
      <w:r>
        <w:rPr>
          <w:rFonts w:hint="eastAsia" w:cs="Times New Roman"/>
          <w:color w:val="000000" w:themeColor="text1"/>
          <w:sz w:val="20"/>
          <w:szCs w:val="20"/>
          <w:lang w:val="en-US" w:eastAsia="zh-CN"/>
          <w14:textFill>
            <w14:solidFill>
              <w14:schemeClr w14:val="tx1"/>
            </w14:solidFill>
          </w14:textFill>
        </w:rPr>
        <w:t>Fig. 4b):</w:t>
      </w:r>
    </w:p>
    <w:p>
      <w:pPr>
        <w:jc w:val="right"/>
        <w:rPr>
          <w:rFonts w:hint="default" w:cs="Times New Roman"/>
          <w:color w:val="000000" w:themeColor="text1"/>
          <w:sz w:val="20"/>
          <w:szCs w:val="20"/>
          <w:lang w:val="en-US" w:eastAsia="zh-CN"/>
          <w14:textFill>
            <w14:solidFill>
              <w14:schemeClr w14:val="tx1"/>
            </w14:solidFill>
          </w14:textFill>
        </w:rPr>
      </w:pPr>
      <w:r>
        <w:rPr>
          <w:rFonts w:hint="eastAsia" w:cs="Times New Roman"/>
          <w:color w:val="000000" w:themeColor="text1"/>
          <w:position w:val="-26"/>
          <w:sz w:val="20"/>
          <w:szCs w:val="20"/>
          <w:lang w:val="en-US" w:eastAsia="zh-CN"/>
          <w14:textFill>
            <w14:solidFill>
              <w14:schemeClr w14:val="tx1"/>
            </w14:solidFill>
          </w14:textFill>
        </w:rPr>
        <w:object>
          <v:shape id="_x0000_i1052" o:spt="75" type="#_x0000_t75" style="height:31pt;width:138pt;" o:ole="t" filled="f" o:preferrelative="t" stroked="f" coordsize="21600,21600">
            <v:path/>
            <v:fill on="f" focussize="0,0"/>
            <v:stroke on="f"/>
            <v:imagedata r:id="rId71" o:title=""/>
            <o:lock v:ext="edit" aspectratio="t"/>
            <w10:wrap type="none"/>
            <w10:anchorlock/>
          </v:shape>
          <o:OLEObject Type="Embed" ProgID="Equation.DSMT4" ShapeID="_x0000_i1052" DrawAspect="Content" ObjectID="_1468075752" r:id="rId70">
            <o:LockedField>false</o:LockedField>
          </o:OLEObject>
        </w:object>
      </w:r>
      <w:r>
        <w:rPr>
          <w:rFonts w:hint="eastAsia" w:cs="Times New Roman"/>
          <w:color w:val="000000" w:themeColor="text1"/>
          <w:sz w:val="20"/>
          <w:szCs w:val="20"/>
          <w:lang w:val="en-US" w:eastAsia="zh-CN"/>
          <w14:textFill>
            <w14:solidFill>
              <w14:schemeClr w14:val="tx1"/>
            </w14:solidFill>
          </w14:textFill>
        </w:rPr>
        <w:t xml:space="preserve">      (A2)</w:t>
      </w:r>
    </w:p>
    <w:p>
      <w:pPr>
        <w:ind w:firstLine="400"/>
        <w:jc w:val="both"/>
        <w:rPr>
          <w:rFonts w:hint="eastAsia" w:cs="Times New Roman"/>
          <w:color w:val="000000" w:themeColor="text1"/>
          <w:sz w:val="20"/>
          <w:szCs w:val="20"/>
          <w:lang w:val="en-US" w:eastAsia="zh-CN"/>
          <w14:textFill>
            <w14:solidFill>
              <w14:schemeClr w14:val="tx1"/>
            </w14:solidFill>
          </w14:textFill>
        </w:rPr>
      </w:pPr>
      <w:r>
        <w:rPr>
          <w:rFonts w:hint="eastAsia" w:cs="Times New Roman"/>
          <w:color w:val="000000" w:themeColor="text1"/>
          <w:sz w:val="20"/>
          <w:szCs w:val="20"/>
          <w:lang w:val="en-US" w:eastAsia="zh-CN"/>
          <w14:textFill>
            <w14:solidFill>
              <w14:schemeClr w14:val="tx1"/>
            </w14:solidFill>
          </w14:textFill>
        </w:rPr>
        <w:t>Fig. 4c):</w:t>
      </w:r>
    </w:p>
    <w:p>
      <w:pPr>
        <w:jc w:val="right"/>
        <w:rPr>
          <w:rFonts w:hint="default" w:cs="Times New Roman"/>
          <w:color w:val="000000" w:themeColor="text1"/>
          <w:sz w:val="20"/>
          <w:szCs w:val="20"/>
          <w:lang w:val="en-US" w:eastAsia="zh-CN"/>
          <w14:textFill>
            <w14:solidFill>
              <w14:schemeClr w14:val="tx1"/>
            </w14:solidFill>
          </w14:textFill>
        </w:rPr>
      </w:pPr>
      <w:r>
        <w:rPr>
          <w:rFonts w:hint="default" w:cs="Times New Roman"/>
          <w:color w:val="000000" w:themeColor="text1"/>
          <w:position w:val="-26"/>
          <w:sz w:val="20"/>
          <w:szCs w:val="20"/>
          <w:lang w:val="en-US" w:eastAsia="zh-CN"/>
          <w14:textFill>
            <w14:solidFill>
              <w14:schemeClr w14:val="tx1"/>
            </w14:solidFill>
          </w14:textFill>
        </w:rPr>
        <w:object>
          <v:shape id="_x0000_i1053" o:spt="75" type="#_x0000_t75" style="height:31pt;width:192pt;" o:ole="t" filled="f" o:preferrelative="t" stroked="f" coordsize="21600,21600">
            <v:path/>
            <v:fill on="f" focussize="0,0"/>
            <v:stroke on="f"/>
            <v:imagedata r:id="rId73" o:title=""/>
            <o:lock v:ext="edit" aspectratio="t"/>
            <w10:wrap type="none"/>
            <w10:anchorlock/>
          </v:shape>
          <o:OLEObject Type="Embed" ProgID="Equation.DSMT4" ShapeID="_x0000_i1053" DrawAspect="Content" ObjectID="_1468075753" r:id="rId72">
            <o:LockedField>false</o:LockedField>
          </o:OLEObject>
        </w:object>
      </w:r>
      <w:r>
        <w:rPr>
          <w:rFonts w:hint="eastAsia" w:cs="Times New Roman"/>
          <w:color w:val="000000" w:themeColor="text1"/>
          <w:sz w:val="20"/>
          <w:szCs w:val="20"/>
          <w:lang w:val="en-US" w:eastAsia="zh-CN"/>
          <w14:textFill>
            <w14:solidFill>
              <w14:schemeClr w14:val="tx1"/>
            </w14:solidFill>
          </w14:textFill>
        </w:rPr>
        <w:t>(A3)</w:t>
      </w:r>
    </w:p>
    <w:p>
      <w:pPr>
        <w:ind w:firstLine="400"/>
        <w:jc w:val="both"/>
        <w:rPr>
          <w:rFonts w:hint="eastAsia" w:cs="Times New Roman"/>
          <w:color w:val="000000" w:themeColor="text1"/>
          <w:sz w:val="20"/>
          <w:szCs w:val="20"/>
          <w:lang w:val="en-US" w:eastAsia="zh-CN"/>
          <w14:textFill>
            <w14:solidFill>
              <w14:schemeClr w14:val="tx1"/>
            </w14:solidFill>
          </w14:textFill>
        </w:rPr>
      </w:pPr>
      <w:r>
        <w:rPr>
          <w:rFonts w:hint="eastAsia" w:cs="Times New Roman"/>
          <w:color w:val="000000" w:themeColor="text1"/>
          <w:sz w:val="20"/>
          <w:szCs w:val="20"/>
          <w:lang w:val="en-US" w:eastAsia="zh-CN"/>
          <w14:textFill>
            <w14:solidFill>
              <w14:schemeClr w14:val="tx1"/>
            </w14:solidFill>
          </w14:textFill>
        </w:rPr>
        <w:t>Direct-mounted Damping Device:</w:t>
      </w:r>
    </w:p>
    <w:p>
      <w:pPr>
        <w:jc w:val="both"/>
        <w:rPr>
          <w:rFonts w:hint="default" w:cs="Times New Roman"/>
          <w:color w:val="000000" w:themeColor="text1"/>
          <w:sz w:val="20"/>
          <w:szCs w:val="20"/>
          <w:lang w:val="en-US" w:eastAsia="zh-CN"/>
          <w14:textFill>
            <w14:solidFill>
              <w14:schemeClr w14:val="tx1"/>
            </w14:solidFill>
          </w14:textFill>
        </w:rPr>
        <w:sectPr>
          <w:headerReference r:id="rId11" w:type="first"/>
          <w:footerReference r:id="rId14" w:type="first"/>
          <w:headerReference r:id="rId9" w:type="default"/>
          <w:footerReference r:id="rId12" w:type="default"/>
          <w:headerReference r:id="rId10" w:type="even"/>
          <w:footerReference r:id="rId13" w:type="even"/>
          <w:type w:val="continuous"/>
          <w:pgSz w:w="11906" w:h="16838"/>
          <w:pgMar w:top="1191" w:right="1077" w:bottom="1134" w:left="1077" w:header="851" w:footer="992" w:gutter="0"/>
          <w:cols w:space="426" w:num="2"/>
          <w:docGrid w:type="lines" w:linePitch="312" w:charSpace="0"/>
        </w:sectPr>
      </w:pPr>
    </w:p>
    <w:p>
      <w:pPr>
        <w:jc w:val="right"/>
        <w:rPr>
          <w:rFonts w:hint="default" w:cs="Times New Roman"/>
          <w:color w:val="000000" w:themeColor="text1"/>
          <w:sz w:val="20"/>
          <w:szCs w:val="20"/>
          <w:lang w:val="en-US" w:eastAsia="zh-CN"/>
          <w14:textFill>
            <w14:solidFill>
              <w14:schemeClr w14:val="tx1"/>
            </w14:solidFill>
          </w14:textFill>
        </w:rPr>
        <w:sectPr>
          <w:type w:val="continuous"/>
          <w:pgSz w:w="11906" w:h="16838"/>
          <w:pgMar w:top="1191" w:right="1077" w:bottom="1134" w:left="1077" w:header="851" w:footer="992" w:gutter="0"/>
          <w:cols w:space="425" w:num="1"/>
          <w:docGrid w:type="lines" w:linePitch="312" w:charSpace="0"/>
        </w:sectPr>
      </w:pPr>
      <w:r>
        <w:rPr>
          <w:rFonts w:hint="default" w:cs="Times New Roman"/>
          <w:color w:val="000000" w:themeColor="text1"/>
          <w:position w:val="-26"/>
          <w:sz w:val="20"/>
          <w:szCs w:val="20"/>
          <w:lang w:val="en-US" w:eastAsia="zh-CN"/>
          <w14:textFill>
            <w14:solidFill>
              <w14:schemeClr w14:val="tx1"/>
            </w14:solidFill>
          </w14:textFill>
        </w:rPr>
        <w:object>
          <v:shape id="_x0000_i1054" o:spt="75" type="#_x0000_t75" style="height:31pt;width:324pt;" o:ole="t" filled="f" o:preferrelative="t" stroked="f" coordsize="21600,21600">
            <v:path/>
            <v:fill on="f" focussize="0,0"/>
            <v:stroke on="f"/>
            <v:imagedata r:id="rId75" o:title=""/>
            <o:lock v:ext="edit" aspectratio="t"/>
            <w10:wrap type="none"/>
            <w10:anchorlock/>
          </v:shape>
          <o:OLEObject Type="Embed" ProgID="Equation.DSMT4" ShapeID="_x0000_i1054" DrawAspect="Content" ObjectID="_1468075754" r:id="rId74">
            <o:LockedField>false</o:LockedField>
          </o:OLEObject>
        </w:object>
      </w:r>
      <w:r>
        <w:rPr>
          <w:rFonts w:hint="eastAsia" w:cs="Times New Roman"/>
          <w:color w:val="000000" w:themeColor="text1"/>
          <w:sz w:val="20"/>
          <w:szCs w:val="20"/>
          <w:lang w:val="en-US" w:eastAsia="zh-CN"/>
          <w14:textFill>
            <w14:solidFill>
              <w14:schemeClr w14:val="tx1"/>
            </w14:solidFill>
          </w14:textFill>
        </w:rPr>
        <w:t xml:space="preserve">             (A4)</w:t>
      </w:r>
    </w:p>
    <w:p>
      <w:pPr>
        <w:pStyle w:val="40"/>
        <w:rPr>
          <w:lang w:val="en-GB"/>
        </w:rPr>
      </w:pPr>
      <w:r>
        <w:rPr>
          <w:rFonts w:hint="eastAsia"/>
          <w:lang w:val="en-GB"/>
        </w:rPr>
        <w:t>References</w:t>
      </w:r>
    </w:p>
    <w:p>
      <w:pPr>
        <w:pStyle w:val="49"/>
        <w:numPr>
          <w:ilvl w:val="0"/>
          <w:numId w:val="5"/>
        </w:numPr>
        <w:ind w:left="284" w:hanging="142"/>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F. Blaabjerg, R. Teodorescu, M. Liserre, and A. V. Timbus, “Overview of Control and Grid Synchronization for Distributed Power Generation Systems,” IEEE Trans. Ind. Electron., vol. 53, no. 5, pp. 1398-1409, Oct. 2006.</w:t>
      </w:r>
    </w:p>
    <w:p>
      <w:pPr>
        <w:pStyle w:val="49"/>
        <w:numPr>
          <w:ilvl w:val="0"/>
          <w:numId w:val="5"/>
        </w:numPr>
        <w:ind w:left="284" w:hanging="142"/>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X. Wang, and F. Blaabjerg, “Harmonic Stability in Power Electronic-Based Power Systems: Concept, Modeling, and Analysis,” IEEE Trans. Smart Grid, vol. 10, no. 3, pp. 2858-2870, May 2019.</w:t>
      </w:r>
    </w:p>
    <w:p>
      <w:pPr>
        <w:pStyle w:val="49"/>
        <w:numPr>
          <w:ilvl w:val="0"/>
          <w:numId w:val="5"/>
        </w:numPr>
        <w:ind w:left="284" w:hanging="142"/>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M. Zhao, X. Yuan, J. Hu, and Y. Yan, “Voltage Dynamics of Current Control Time-Scale in a VSC-Connected Weak Grid,” IEEE Trans. Power Syst., vol. 31, no. 4, pp. 2925-2937, Jul. 2016.</w:t>
      </w:r>
    </w:p>
    <w:p>
      <w:pPr>
        <w:pStyle w:val="49"/>
        <w:numPr>
          <w:ilvl w:val="0"/>
          <w:numId w:val="5"/>
        </w:numPr>
        <w:ind w:left="284" w:hanging="142"/>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C. Li, “Unstable Operation of Photovoltaic Inverter From Field Experiences,” IEEE Trans. Power Del., vol. 33, no. 2, pp. 1013-1015, Apr. 2018.</w:t>
      </w:r>
    </w:p>
    <w:p>
      <w:pPr>
        <w:pStyle w:val="49"/>
        <w:numPr>
          <w:ilvl w:val="0"/>
          <w:numId w:val="5"/>
        </w:numPr>
        <w:ind w:left="284" w:hanging="142"/>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F. Wang, J. L. Duarte, M. A. M. Hendrix, and P. F. Ribeiro, “Modeling and Analysis of Grid Harmonic Distortion Impact of Aggregated DG Inverters,” IEEE Trans. Power Electron., vol. 26, no. 3, pp. 786-797, Mar. 2011.</w:t>
      </w:r>
    </w:p>
    <w:p>
      <w:pPr>
        <w:pStyle w:val="49"/>
        <w:numPr>
          <w:ilvl w:val="0"/>
          <w:numId w:val="5"/>
        </w:numPr>
        <w:ind w:left="284" w:hanging="142"/>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Z. Chen, X. Huang, A. Luo, J. Yang, and L. Yang, “Wideband Harmonic Resonance Characteristics and Coordinated Damping Method for Distributed Generation Power Plants,” IEEE Trans. Ind. Electron., vol. 66, no. 10, pp. 7753-7764, Oct. 2019.</w:t>
      </w:r>
    </w:p>
    <w:p>
      <w:pPr>
        <w:pStyle w:val="49"/>
        <w:numPr>
          <w:ilvl w:val="0"/>
          <w:numId w:val="5"/>
        </w:numPr>
        <w:ind w:left="284" w:hanging="142"/>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t xml:space="preserve">S. Jian. “Impedance-based stability criterion for grid-connected inverters,” IEEE </w:t>
      </w:r>
      <w:r>
        <w:rPr>
          <w:rFonts w:hint="default" w:ascii="Times New Roman" w:hAnsi="Times New Roman" w:cs="Times New Roman"/>
          <w:color w:val="000000" w:themeColor="text1"/>
          <w14:textFill>
            <w14:solidFill>
              <w14:schemeClr w14:val="tx1"/>
            </w14:solidFill>
          </w14:textFill>
        </w:rPr>
        <w:t>Trans.</w:t>
      </w:r>
      <w:r>
        <w:rPr>
          <w:rFonts w:hint="default" w:ascii="Times New Roman" w:hAnsi="Times New Roman" w:cs="Times New Roman"/>
          <w:color w:val="000000" w:themeColor="text1"/>
          <w:lang w:val="en-US" w:eastAsia="zh-CN"/>
          <w14:textFill>
            <w14:solidFill>
              <w14:schemeClr w14:val="tx1"/>
            </w14:solidFill>
          </w14:textFill>
        </w:rPr>
        <w:t xml:space="preserve"> Power </w:t>
      </w:r>
      <w:r>
        <w:rPr>
          <w:rFonts w:hint="default" w:ascii="Times New Roman" w:hAnsi="Times New Roman" w:cs="Times New Roman"/>
          <w:color w:val="000000" w:themeColor="text1"/>
          <w14:textFill>
            <w14:solidFill>
              <w14:schemeClr w14:val="tx1"/>
            </w14:solidFill>
          </w14:textFill>
        </w:rPr>
        <w:t>Electron.,</w:t>
      </w:r>
      <w:r>
        <w:rPr>
          <w:rFonts w:hint="default" w:ascii="Times New Roman" w:hAnsi="Times New Roman" w:cs="Times New Roman"/>
          <w:color w:val="000000" w:themeColor="text1"/>
          <w:lang w:val="en-US" w:eastAsia="zh-CN"/>
          <w14:textFill>
            <w14:solidFill>
              <w14:schemeClr w14:val="tx1"/>
            </w14:solidFill>
          </w14:textFill>
        </w:rPr>
        <w:t xml:space="preserve"> </w:t>
      </w:r>
      <w:r>
        <w:rPr>
          <w:rFonts w:hint="default" w:ascii="Times New Roman" w:hAnsi="Times New Roman" w:cs="Times New Roman"/>
          <w:color w:val="000000" w:themeColor="text1"/>
          <w14:textFill>
            <w14:solidFill>
              <w14:schemeClr w14:val="tx1"/>
            </w14:solidFill>
          </w14:textFill>
        </w:rPr>
        <w:t xml:space="preserve">vol. </w:t>
      </w:r>
      <w:r>
        <w:rPr>
          <w:rFonts w:hint="default" w:ascii="Times New Roman" w:hAnsi="Times New Roman" w:cs="Times New Roman"/>
          <w:color w:val="000000" w:themeColor="text1"/>
          <w:lang w:val="en-US" w:eastAsia="zh-CN"/>
          <w14:textFill>
            <w14:solidFill>
              <w14:schemeClr w14:val="tx1"/>
            </w14:solidFill>
          </w14:textFill>
        </w:rPr>
        <w:t>2</w:t>
      </w:r>
      <w:r>
        <w:rPr>
          <w:rFonts w:hint="default" w:ascii="Times New Roman" w:hAnsi="Times New Roman" w:cs="Times New Roman"/>
          <w:color w:val="000000" w:themeColor="text1"/>
          <w14:textFill>
            <w14:solidFill>
              <w14:schemeClr w14:val="tx1"/>
            </w14:solidFill>
          </w14:textFill>
        </w:rPr>
        <w:t>6, no. 1</w:t>
      </w:r>
      <w:r>
        <w:rPr>
          <w:rFonts w:hint="default" w:ascii="Times New Roman" w:hAnsi="Times New Roman" w:cs="Times New Roman"/>
          <w:color w:val="000000" w:themeColor="text1"/>
          <w:lang w:val="en-US" w:eastAsia="zh-CN"/>
          <w14:textFill>
            <w14:solidFill>
              <w14:schemeClr w14:val="tx1"/>
            </w14:solidFill>
          </w14:textFill>
        </w:rPr>
        <w:t>1</w:t>
      </w:r>
      <w:r>
        <w:rPr>
          <w:rFonts w:hint="default" w:ascii="Times New Roman" w:hAnsi="Times New Roman" w:cs="Times New Roman"/>
          <w:color w:val="000000" w:themeColor="text1"/>
          <w14:textFill>
            <w14:solidFill>
              <w14:schemeClr w14:val="tx1"/>
            </w14:solidFill>
          </w14:textFill>
        </w:rPr>
        <w:t xml:space="preserve">, pp. </w:t>
      </w:r>
      <w:r>
        <w:rPr>
          <w:rFonts w:hint="default" w:ascii="Times New Roman" w:hAnsi="Times New Roman" w:cs="Times New Roman"/>
          <w:color w:val="000000" w:themeColor="text1"/>
          <w:lang w:val="en-US" w:eastAsia="zh-CN"/>
          <w14:textFill>
            <w14:solidFill>
              <w14:schemeClr w14:val="tx1"/>
            </w14:solidFill>
          </w14:textFill>
        </w:rPr>
        <w:t>3075-3078</w:t>
      </w:r>
      <w:r>
        <w:rPr>
          <w:rFonts w:hint="default" w:ascii="Times New Roman" w:hAnsi="Times New Roman" w:cs="Times New Roman"/>
          <w:color w:val="000000" w:themeColor="text1"/>
          <w14:textFill>
            <w14:solidFill>
              <w14:schemeClr w14:val="tx1"/>
            </w14:solidFill>
          </w14:textFill>
        </w:rPr>
        <w:t xml:space="preserve">, </w:t>
      </w:r>
      <w:r>
        <w:rPr>
          <w:rFonts w:hint="default" w:ascii="Times New Roman" w:hAnsi="Times New Roman" w:cs="Times New Roman"/>
          <w:color w:val="000000" w:themeColor="text1"/>
          <w:lang w:val="en-US" w:eastAsia="zh-CN"/>
          <w14:textFill>
            <w14:solidFill>
              <w14:schemeClr w14:val="tx1"/>
            </w14:solidFill>
          </w14:textFill>
        </w:rPr>
        <w:t>Nov</w:t>
      </w:r>
      <w:r>
        <w:rPr>
          <w:rFonts w:hint="default" w:ascii="Times New Roman" w:hAnsi="Times New Roman" w:cs="Times New Roman"/>
          <w:color w:val="000000" w:themeColor="text1"/>
          <w14:textFill>
            <w14:solidFill>
              <w14:schemeClr w14:val="tx1"/>
            </w14:solidFill>
          </w14:textFill>
        </w:rPr>
        <w:t>. 201</w:t>
      </w:r>
      <w:r>
        <w:rPr>
          <w:rFonts w:hint="default" w:ascii="Times New Roman" w:hAnsi="Times New Roman" w:cs="Times New Roman"/>
          <w:color w:val="000000" w:themeColor="text1"/>
          <w:lang w:val="en-US" w:eastAsia="zh-CN"/>
          <w14:textFill>
            <w14:solidFill>
              <w14:schemeClr w14:val="tx1"/>
            </w14:solidFill>
          </w14:textFill>
        </w:rPr>
        <w:t>1</w:t>
      </w:r>
      <w:r>
        <w:rPr>
          <w:rFonts w:hint="default" w:ascii="Times New Roman" w:hAnsi="Times New Roman" w:cs="Times New Roman"/>
          <w:color w:val="000000" w:themeColor="text1"/>
          <w14:textFill>
            <w14:solidFill>
              <w14:schemeClr w14:val="tx1"/>
            </w14:solidFill>
          </w14:textFill>
        </w:rPr>
        <w:t>.</w:t>
      </w:r>
      <w:r>
        <w:rPr>
          <w:rFonts w:hint="default" w:ascii="Times New Roman" w:hAnsi="Times New Roman" w:cs="Times New Roman"/>
          <w:color w:val="000000" w:themeColor="text1"/>
          <w:lang w:val="en-US" w:eastAsia="zh-CN"/>
          <w14:textFill>
            <w14:solidFill>
              <w14:schemeClr w14:val="tx1"/>
            </w14:solidFill>
          </w14:textFill>
        </w:rPr>
        <w:t xml:space="preserve"> </w:t>
      </w:r>
    </w:p>
    <w:p>
      <w:pPr>
        <w:pStyle w:val="49"/>
        <w:numPr>
          <w:ilvl w:val="0"/>
          <w:numId w:val="5"/>
        </w:numPr>
        <w:ind w:left="284" w:hanging="142"/>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L. Rong, L. Jianwen, L. Yonggang, and S. Wei, “Analysis of Harmonic Disturbance Response of Multi-Inverter Grid-Connected System Combining Characteristic Root and Modal Analysis Method,” Transactions of China Electrotechnical Society, vol. 39, no. 14, pp. 4519-4534, Jul. 2024.</w:t>
      </w:r>
    </w:p>
    <w:p>
      <w:pPr>
        <w:pStyle w:val="49"/>
        <w:numPr>
          <w:ilvl w:val="0"/>
          <w:numId w:val="5"/>
        </w:numPr>
        <w:ind w:left="284" w:hanging="142"/>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C. Xie, K. Li, J. Zou, and J. M. Guerrero, “Passivity-Based Stabilization of LCL-Type Grid-Connected Inverters via a General Admittance Model,” IEEE Trans. Power Electron., vol. 35, no. 6, pp. 6636-6648, Jun. 2020.</w:t>
      </w:r>
    </w:p>
    <w:p>
      <w:pPr>
        <w:pStyle w:val="49"/>
        <w:numPr>
          <w:ilvl w:val="0"/>
          <w:numId w:val="5"/>
        </w:numPr>
        <w:ind w:left="284" w:hanging="142"/>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Z. Xin, P. Mattavelli, W. Yao, Y. Yang, F. Blaabjerg, and P. C. Loh, “Mitigation of Grid-Current Distortion for LCL-Filtered Voltage-Source Inverter With Inverter-Current Feedback Control,” IEEE Trans. Power Electron., vol. 33, no. 7, pp. 6248-6261, Jul. 2018.</w:t>
      </w:r>
    </w:p>
    <w:p>
      <w:pPr>
        <w:pStyle w:val="49"/>
        <w:numPr>
          <w:ilvl w:val="0"/>
          <w:numId w:val="5"/>
        </w:numPr>
        <w:ind w:left="284" w:hanging="142"/>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M. Li, Y. Ren, H. Xiao, C. Niu, and M. Cheng, “An Equivalent Differential Method for Active Damping of LCL Type Grid-Connected Inverters With Grid-Side Inductor Voltage Feedback,” IEEE Trans. Power Electron., vol. 38, no. 6, pp. 7009-7021, Jun. 2023.</w:t>
      </w:r>
    </w:p>
    <w:p>
      <w:pPr>
        <w:pStyle w:val="49"/>
        <w:numPr>
          <w:ilvl w:val="0"/>
          <w:numId w:val="5"/>
        </w:numPr>
        <w:ind w:left="284" w:hanging="142"/>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Z. Zheng, L. Zhang, Y. Wang, Z. Lei, Y. Zou, and C. Wu, “Full Grid Voltage Feedforward for Critical Mode LCL-Type Single-Phase Grid-Tied Inverters With Physical Interpretations,” IEEE Trans. Power Electron., vol. 38, no. 4, pp. 5283-5295, Apr. 2023.</w:t>
      </w:r>
    </w:p>
    <w:p>
      <w:pPr>
        <w:pStyle w:val="49"/>
        <w:numPr>
          <w:ilvl w:val="0"/>
          <w:numId w:val="5"/>
        </w:numPr>
        <w:ind w:left="284" w:hanging="142"/>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L. Harnefors, X. Wang, A. G. Yepes, and F. Blaabjerg,,“Passivity-Based Stability</w:t>
      </w:r>
      <w:r>
        <w:rPr>
          <w:rFonts w:hint="default" w:ascii="Times New Roman" w:hAnsi="Times New Roman" w:cs="Times New Roman"/>
          <w:color w:val="000000" w:themeColor="text1"/>
          <w:lang w:val="en-US" w:eastAsia="zh-CN"/>
          <w14:textFill>
            <w14:solidFill>
              <w14:schemeClr w14:val="tx1"/>
            </w14:solidFill>
          </w14:textFill>
        </w:rPr>
        <w:t xml:space="preserve"> </w:t>
      </w:r>
      <w:r>
        <w:rPr>
          <w:rFonts w:hint="default" w:ascii="Times New Roman" w:hAnsi="Times New Roman" w:cs="Times New Roman"/>
          <w:color w:val="000000" w:themeColor="text1"/>
          <w14:textFill>
            <w14:solidFill>
              <w14:schemeClr w14:val="tx1"/>
            </w14:solidFill>
          </w14:textFill>
        </w:rPr>
        <w:t>Assessment of Grid-Connected VSCs-An Overview,” IEEE J. Emerg. Sel. Topics Power Electron., vol. 4, no. 1, pp. 116-125, Mar. 2016.</w:t>
      </w:r>
    </w:p>
    <w:p>
      <w:pPr>
        <w:pStyle w:val="49"/>
        <w:numPr>
          <w:ilvl w:val="0"/>
          <w:numId w:val="5"/>
        </w:numPr>
        <w:ind w:left="284" w:hanging="142"/>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X</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 xml:space="preserve"> Wang, F</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 xml:space="preserve"> Blaabjerg, P</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 xml:space="preserve"> C</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 xml:space="preserve"> Loh</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 xml:space="preserve"> </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Passivity-Based stability analysis and damping injection for multiparalleled VSCs with LCL filters</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 xml:space="preserve"> IEEE Transactions on </w:t>
      </w:r>
      <w:r>
        <w:rPr>
          <w:rFonts w:hint="default" w:ascii="Times New Roman" w:hAnsi="Times New Roman" w:cs="Times New Roman"/>
          <w:color w:val="000000" w:themeColor="text1"/>
          <w:lang w:val="en-US" w:eastAsia="zh-CN"/>
          <w14:textFill>
            <w14:solidFill>
              <w14:schemeClr w14:val="tx1"/>
            </w14:solidFill>
          </w14:textFill>
        </w:rPr>
        <w:t xml:space="preserve">Power </w:t>
      </w:r>
      <w:r>
        <w:rPr>
          <w:rFonts w:hint="default" w:ascii="Times New Roman" w:hAnsi="Times New Roman" w:cs="Times New Roman"/>
          <w:color w:val="000000" w:themeColor="text1"/>
          <w14:textFill>
            <w14:solidFill>
              <w14:schemeClr w14:val="tx1"/>
            </w14:solidFill>
          </w14:textFill>
        </w:rPr>
        <w:t xml:space="preserve">Electron., vol. </w:t>
      </w:r>
      <w:r>
        <w:rPr>
          <w:rFonts w:hint="default" w:ascii="Times New Roman" w:hAnsi="Times New Roman" w:cs="Times New Roman"/>
          <w:color w:val="000000" w:themeColor="text1"/>
          <w:lang w:val="en-US" w:eastAsia="zh-CN"/>
          <w14:textFill>
            <w14:solidFill>
              <w14:schemeClr w14:val="tx1"/>
            </w14:solidFill>
          </w14:textFill>
        </w:rPr>
        <w:t>32</w:t>
      </w:r>
      <w:r>
        <w:rPr>
          <w:rFonts w:hint="default" w:ascii="Times New Roman" w:hAnsi="Times New Roman" w:cs="Times New Roman"/>
          <w:color w:val="000000" w:themeColor="text1"/>
          <w14:textFill>
            <w14:solidFill>
              <w14:schemeClr w14:val="tx1"/>
            </w14:solidFill>
          </w14:textFill>
        </w:rPr>
        <w:t>, no. 1</w:t>
      </w:r>
      <w:r>
        <w:rPr>
          <w:rFonts w:hint="default" w:ascii="Times New Roman" w:hAnsi="Times New Roman" w:cs="Times New Roman"/>
          <w:color w:val="000000" w:themeColor="text1"/>
          <w:lang w:val="en-US" w:eastAsia="zh-CN"/>
          <w14:textFill>
            <w14:solidFill>
              <w14:schemeClr w14:val="tx1"/>
            </w14:solidFill>
          </w14:textFill>
        </w:rPr>
        <w:t>1</w:t>
      </w:r>
      <w:r>
        <w:rPr>
          <w:rFonts w:hint="default" w:ascii="Times New Roman" w:hAnsi="Times New Roman" w:cs="Times New Roman"/>
          <w:color w:val="000000" w:themeColor="text1"/>
          <w14:textFill>
            <w14:solidFill>
              <w14:schemeClr w14:val="tx1"/>
            </w14:solidFill>
          </w14:textFill>
        </w:rPr>
        <w:t xml:space="preserve">, pp. 8922-8935, </w:t>
      </w:r>
      <w:r>
        <w:rPr>
          <w:rFonts w:hint="default" w:ascii="Times New Roman" w:hAnsi="Times New Roman" w:cs="Times New Roman"/>
          <w:color w:val="000000" w:themeColor="text1"/>
          <w:lang w:val="en-US" w:eastAsia="zh-CN"/>
          <w14:textFill>
            <w14:solidFill>
              <w14:schemeClr w14:val="tx1"/>
            </w14:solidFill>
          </w14:textFill>
        </w:rPr>
        <w:t>Nov</w:t>
      </w:r>
      <w:r>
        <w:rPr>
          <w:rFonts w:hint="default" w:ascii="Times New Roman" w:hAnsi="Times New Roman" w:cs="Times New Roman"/>
          <w:color w:val="000000" w:themeColor="text1"/>
          <w14:textFill>
            <w14:solidFill>
              <w14:schemeClr w14:val="tx1"/>
            </w14:solidFill>
          </w14:textFill>
        </w:rPr>
        <w:t>. 201</w:t>
      </w:r>
      <w:r>
        <w:rPr>
          <w:rFonts w:hint="default" w:ascii="Times New Roman" w:hAnsi="Times New Roman" w:cs="Times New Roman"/>
          <w:color w:val="000000" w:themeColor="text1"/>
          <w:lang w:val="en-US" w:eastAsia="zh-CN"/>
          <w14:textFill>
            <w14:solidFill>
              <w14:schemeClr w14:val="tx1"/>
            </w14:solidFill>
          </w14:textFill>
        </w:rPr>
        <w:t>7</w:t>
      </w:r>
      <w:r>
        <w:rPr>
          <w:rFonts w:hint="default" w:ascii="Times New Roman" w:hAnsi="Times New Roman" w:cs="Times New Roman"/>
          <w:color w:val="000000" w:themeColor="text1"/>
          <w14:textFill>
            <w14:solidFill>
              <w14:schemeClr w14:val="tx1"/>
            </w14:solidFill>
          </w14:textFill>
        </w:rPr>
        <w:t>.</w:t>
      </w:r>
      <w:r>
        <w:rPr>
          <w:rFonts w:hint="default" w:ascii="Times New Roman" w:hAnsi="Times New Roman" w:cs="Times New Roman"/>
          <w:color w:val="000000" w:themeColor="text1"/>
          <w:lang w:val="en-US" w:eastAsia="zh-CN"/>
          <w14:textFill>
            <w14:solidFill>
              <w14:schemeClr w14:val="tx1"/>
            </w14:solidFill>
          </w14:textFill>
        </w:rPr>
        <w:t xml:space="preserve"> </w:t>
      </w:r>
    </w:p>
    <w:p>
      <w:pPr>
        <w:pStyle w:val="49"/>
        <w:numPr>
          <w:ilvl w:val="0"/>
          <w:numId w:val="5"/>
        </w:numPr>
        <w:ind w:left="284" w:hanging="142"/>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J. He, and Y. W. Li, “Generalized Closed-Loop Control Schemes with Embedded Virtual Impedances for Voltage Source Converters with LC or LCL Filters,” IEEE Trans. Power Electron., vol. 27, no. 4, pp. 1850-1861, Apr. 2012.</w:t>
      </w:r>
    </w:p>
    <w:p>
      <w:pPr>
        <w:pStyle w:val="49"/>
        <w:numPr>
          <w:ilvl w:val="0"/>
          <w:numId w:val="5"/>
        </w:numPr>
        <w:ind w:left="284" w:hanging="142"/>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rPr>
        <w:t>D. Ding, J. Liu, W. Song, and P. Wheeler, “Extended Application of Improved D-D-Σ Current Control in Synchronous Inverter Cluster Considering N Times Equivalent Impedance,” IEEE Trans. Circuits Syst. I: Regular Papers, vol. 71, no. 3, pp. 1346-1357, Mar. 2024.</w:t>
      </w:r>
    </w:p>
    <w:p>
      <w:pPr>
        <w:pStyle w:val="49"/>
        <w:numPr>
          <w:ilvl w:val="0"/>
          <w:numId w:val="5"/>
        </w:numPr>
        <w:ind w:left="284" w:hanging="142"/>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J. Liu, X. Sun, Z. Chen, Y. Chi, W. Song, Q. Zhu, and P. Wheeler, “A Hybrid Multiresonances Suppression Method for Nonsynchronous LCL-Type Grid-Connected Inverter Clusters Under Weak Grid,” IEEE Trans. Power Electron., vol. 39, no. 5, pp.5386-5399, May 2024.</w:t>
      </w:r>
    </w:p>
    <w:p>
      <w:pPr>
        <w:pStyle w:val="49"/>
        <w:numPr>
          <w:ilvl w:val="0"/>
          <w:numId w:val="5"/>
        </w:numPr>
        <w:ind w:left="284" w:hanging="142"/>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P</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 xml:space="preserve"> Yi, G</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 xml:space="preserve"> Chunyi, D</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 xml:space="preserve"> Dongye</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 xml:space="preserve"> </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Research on medium and high frequency oscillation suppression approach based on impedance tuning in flexible HVDC system</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 xml:space="preserve"> Proceedings of the CSEE, vol. </w:t>
      </w:r>
      <w:r>
        <w:rPr>
          <w:rFonts w:hint="default" w:ascii="Times New Roman" w:hAnsi="Times New Roman" w:cs="Times New Roman"/>
          <w:color w:val="000000" w:themeColor="text1"/>
          <w:lang w:val="en-US" w:eastAsia="zh-CN"/>
          <w14:textFill>
            <w14:solidFill>
              <w14:schemeClr w14:val="tx1"/>
            </w14:solidFill>
          </w14:textFill>
        </w:rPr>
        <w:t>42</w:t>
      </w:r>
      <w:r>
        <w:rPr>
          <w:rFonts w:hint="default" w:ascii="Times New Roman" w:hAnsi="Times New Roman" w:cs="Times New Roman"/>
          <w:color w:val="000000" w:themeColor="text1"/>
          <w14:textFill>
            <w14:solidFill>
              <w14:schemeClr w14:val="tx1"/>
            </w14:solidFill>
          </w14:textFill>
        </w:rPr>
        <w:t xml:space="preserve">, no. </w:t>
      </w:r>
      <w:r>
        <w:rPr>
          <w:rFonts w:hint="default" w:ascii="Times New Roman" w:hAnsi="Times New Roman" w:cs="Times New Roman"/>
          <w:color w:val="000000" w:themeColor="text1"/>
          <w:lang w:val="en-US" w:eastAsia="zh-CN"/>
          <w14:textFill>
            <w14:solidFill>
              <w14:schemeClr w14:val="tx1"/>
            </w14:solidFill>
          </w14:textFill>
        </w:rPr>
        <w:t>22</w:t>
      </w:r>
      <w:r>
        <w:rPr>
          <w:rFonts w:hint="default" w:ascii="Times New Roman" w:hAnsi="Times New Roman" w:cs="Times New Roman"/>
          <w:color w:val="000000" w:themeColor="text1"/>
          <w14:textFill>
            <w14:solidFill>
              <w14:schemeClr w14:val="tx1"/>
            </w14:solidFill>
          </w14:textFill>
        </w:rPr>
        <w:t xml:space="preserve">, pp.8053-8062, </w:t>
      </w:r>
      <w:r>
        <w:rPr>
          <w:rFonts w:hint="default" w:ascii="Times New Roman" w:hAnsi="Times New Roman" w:cs="Times New Roman"/>
          <w:color w:val="000000" w:themeColor="text1"/>
          <w:lang w:val="en-US" w:eastAsia="zh-CN"/>
          <w14:textFill>
            <w14:solidFill>
              <w14:schemeClr w14:val="tx1"/>
            </w14:solidFill>
          </w14:textFill>
        </w:rPr>
        <w:t>Nov.</w:t>
      </w:r>
      <w:r>
        <w:rPr>
          <w:rFonts w:hint="default" w:ascii="Times New Roman" w:hAnsi="Times New Roman" w:cs="Times New Roman"/>
          <w:color w:val="000000" w:themeColor="text1"/>
          <w14:textFill>
            <w14:solidFill>
              <w14:schemeClr w14:val="tx1"/>
            </w14:solidFill>
          </w14:textFill>
        </w:rPr>
        <w:t xml:space="preserve"> 202</w:t>
      </w:r>
      <w:r>
        <w:rPr>
          <w:rFonts w:hint="default" w:ascii="Times New Roman" w:hAnsi="Times New Roman" w:cs="Times New Roman"/>
          <w:color w:val="000000" w:themeColor="text1"/>
          <w:lang w:val="en-US" w:eastAsia="zh-CN"/>
          <w14:textFill>
            <w14:solidFill>
              <w14:schemeClr w14:val="tx1"/>
            </w14:solidFill>
          </w14:textFill>
        </w:rPr>
        <w:t>2</w:t>
      </w:r>
      <w:r>
        <w:rPr>
          <w:rFonts w:hint="default" w:ascii="Times New Roman" w:hAnsi="Times New Roman" w:cs="Times New Roman"/>
          <w:color w:val="000000" w:themeColor="text1"/>
          <w14:textFill>
            <w14:solidFill>
              <w14:schemeClr w14:val="tx1"/>
            </w14:solidFill>
          </w14:textFill>
        </w:rPr>
        <w:t>.</w:t>
      </w:r>
    </w:p>
    <w:p>
      <w:pPr>
        <w:pStyle w:val="49"/>
        <w:numPr>
          <w:ilvl w:val="0"/>
          <w:numId w:val="5"/>
        </w:numPr>
        <w:ind w:left="284" w:hanging="142"/>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H</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 xml:space="preserve"> Yanqi, L</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 xml:space="preserve"> Chongru, W</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 xml:space="preserve"> Yu, et al</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 xml:space="preserve"> </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Research on the suppression strategy of high-frequency resonance for MMC-HVDC</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 xml:space="preserve"> Proceedings of the CSEE, vol. </w:t>
      </w:r>
      <w:r>
        <w:rPr>
          <w:rFonts w:hint="default" w:ascii="Times New Roman" w:hAnsi="Times New Roman" w:cs="Times New Roman"/>
          <w:color w:val="000000" w:themeColor="text1"/>
          <w:lang w:val="en-US" w:eastAsia="zh-CN"/>
          <w14:textFill>
            <w14:solidFill>
              <w14:schemeClr w14:val="tx1"/>
            </w14:solidFill>
          </w14:textFill>
        </w:rPr>
        <w:t>41</w:t>
      </w:r>
      <w:r>
        <w:rPr>
          <w:rFonts w:hint="default" w:ascii="Times New Roman" w:hAnsi="Times New Roman" w:cs="Times New Roman"/>
          <w:color w:val="000000" w:themeColor="text1"/>
          <w14:textFill>
            <w14:solidFill>
              <w14:schemeClr w14:val="tx1"/>
            </w14:solidFill>
          </w14:textFill>
        </w:rPr>
        <w:t xml:space="preserve">, no. </w:t>
      </w:r>
      <w:r>
        <w:rPr>
          <w:rFonts w:hint="default" w:ascii="Times New Roman" w:hAnsi="Times New Roman" w:cs="Times New Roman"/>
          <w:color w:val="000000" w:themeColor="text1"/>
          <w:lang w:val="en-US" w:eastAsia="zh-CN"/>
          <w14:textFill>
            <w14:solidFill>
              <w14:schemeClr w14:val="tx1"/>
            </w14:solidFill>
          </w14:textFill>
        </w:rPr>
        <w:t>11</w:t>
      </w:r>
      <w:r>
        <w:rPr>
          <w:rFonts w:hint="default" w:ascii="Times New Roman" w:hAnsi="Times New Roman" w:cs="Times New Roman"/>
          <w:color w:val="000000" w:themeColor="text1"/>
          <w14:textFill>
            <w14:solidFill>
              <w14:schemeClr w14:val="tx1"/>
            </w14:solidFill>
          </w14:textFill>
        </w:rPr>
        <w:t>, pp.</w:t>
      </w:r>
      <w:r>
        <w:rPr>
          <w:rFonts w:hint="default" w:ascii="Times New Roman" w:hAnsi="Times New Roman" w:cs="Times New Roman"/>
          <w:color w:val="000000" w:themeColor="text1"/>
          <w:lang w:val="en-US" w:eastAsia="zh-CN"/>
          <w14:textFill>
            <w14:solidFill>
              <w14:schemeClr w14:val="tx1"/>
            </w14:solidFill>
          </w14:textFill>
        </w:rPr>
        <w:t xml:space="preserve"> </w:t>
      </w:r>
      <w:r>
        <w:rPr>
          <w:rFonts w:hint="default" w:ascii="Times New Roman" w:hAnsi="Times New Roman" w:cs="Times New Roman"/>
          <w:color w:val="000000" w:themeColor="text1"/>
          <w14:textFill>
            <w14:solidFill>
              <w14:schemeClr w14:val="tx1"/>
            </w14:solidFill>
          </w14:textFill>
        </w:rPr>
        <w:t xml:space="preserve">3741-3750, </w:t>
      </w:r>
      <w:r>
        <w:rPr>
          <w:rFonts w:hint="default" w:ascii="Times New Roman" w:hAnsi="Times New Roman" w:cs="Times New Roman"/>
          <w:color w:val="000000" w:themeColor="text1"/>
          <w:lang w:val="en-US" w:eastAsia="zh-CN"/>
          <w14:textFill>
            <w14:solidFill>
              <w14:schemeClr w14:val="tx1"/>
            </w14:solidFill>
          </w14:textFill>
        </w:rPr>
        <w:t>Jun.</w:t>
      </w:r>
      <w:r>
        <w:rPr>
          <w:rFonts w:hint="default" w:ascii="Times New Roman" w:hAnsi="Times New Roman" w:cs="Times New Roman"/>
          <w:color w:val="000000" w:themeColor="text1"/>
          <w14:textFill>
            <w14:solidFill>
              <w14:schemeClr w14:val="tx1"/>
            </w14:solidFill>
          </w14:textFill>
        </w:rPr>
        <w:t xml:space="preserve"> 202</w:t>
      </w:r>
      <w:r>
        <w:rPr>
          <w:rFonts w:hint="default" w:ascii="Times New Roman" w:hAnsi="Times New Roman" w:cs="Times New Roman"/>
          <w:color w:val="000000" w:themeColor="text1"/>
          <w:lang w:val="en-US" w:eastAsia="zh-CN"/>
          <w14:textFill>
            <w14:solidFill>
              <w14:schemeClr w14:val="tx1"/>
            </w14:solidFill>
          </w14:textFill>
        </w:rPr>
        <w:t>1</w:t>
      </w:r>
      <w:r>
        <w:rPr>
          <w:rFonts w:hint="default" w:ascii="Times New Roman" w:hAnsi="Times New Roman" w:cs="Times New Roman"/>
          <w:color w:val="000000" w:themeColor="text1"/>
          <w14:textFill>
            <w14:solidFill>
              <w14:schemeClr w14:val="tx1"/>
            </w14:solidFill>
          </w14:textFill>
        </w:rPr>
        <w:t>.</w:t>
      </w:r>
    </w:p>
    <w:p>
      <w:pPr>
        <w:pStyle w:val="49"/>
        <w:numPr>
          <w:ilvl w:val="0"/>
          <w:numId w:val="5"/>
        </w:numPr>
        <w:ind w:left="284" w:hanging="142"/>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S</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 xml:space="preserve"> H</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 xml:space="preserve"> E</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 xml:space="preserve"> A</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 xml:space="preserve"> Aleem, A</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 xml:space="preserve"> F</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 xml:space="preserve"> Zobaa, and M</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 xml:space="preserve"> M</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 xml:space="preserve"> A</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 xml:space="preserve"> Aziz</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 xml:space="preserve"> </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Optimal C-Type passive filter based on minimization of the voltage harmonic distortion for nonlinear loads</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 xml:space="preserve"> IEEE Transactions on Ind. Electron., vol. 5</w:t>
      </w:r>
      <w:r>
        <w:rPr>
          <w:rFonts w:hint="default" w:ascii="Times New Roman" w:hAnsi="Times New Roman" w:cs="Times New Roman"/>
          <w:color w:val="000000" w:themeColor="text1"/>
          <w:lang w:val="en-US" w:eastAsia="zh-CN"/>
          <w14:textFill>
            <w14:solidFill>
              <w14:schemeClr w14:val="tx1"/>
            </w14:solidFill>
          </w14:textFill>
        </w:rPr>
        <w:t>9</w:t>
      </w:r>
      <w:r>
        <w:rPr>
          <w:rFonts w:hint="default" w:ascii="Times New Roman" w:hAnsi="Times New Roman" w:cs="Times New Roman"/>
          <w:color w:val="000000" w:themeColor="text1"/>
          <w14:textFill>
            <w14:solidFill>
              <w14:schemeClr w14:val="tx1"/>
            </w14:solidFill>
          </w14:textFill>
        </w:rPr>
        <w:t xml:space="preserve">, no. </w:t>
      </w:r>
      <w:r>
        <w:rPr>
          <w:rFonts w:hint="default" w:ascii="Times New Roman" w:hAnsi="Times New Roman" w:cs="Times New Roman"/>
          <w:color w:val="000000" w:themeColor="text1"/>
          <w:lang w:val="en-US" w:eastAsia="zh-CN"/>
          <w14:textFill>
            <w14:solidFill>
              <w14:schemeClr w14:val="tx1"/>
            </w14:solidFill>
          </w14:textFill>
        </w:rPr>
        <w:t>1</w:t>
      </w:r>
      <w:r>
        <w:rPr>
          <w:rFonts w:hint="default" w:ascii="Times New Roman" w:hAnsi="Times New Roman" w:cs="Times New Roman"/>
          <w:color w:val="000000" w:themeColor="text1"/>
          <w14:textFill>
            <w14:solidFill>
              <w14:schemeClr w14:val="tx1"/>
            </w14:solidFill>
          </w14:textFill>
        </w:rPr>
        <w:t xml:space="preserve">, pp. 281-289, </w:t>
      </w:r>
      <w:r>
        <w:rPr>
          <w:rFonts w:hint="default" w:ascii="Times New Roman" w:hAnsi="Times New Roman" w:cs="Times New Roman"/>
          <w:color w:val="000000" w:themeColor="text1"/>
          <w:lang w:val="en-US" w:eastAsia="zh-CN"/>
          <w14:textFill>
            <w14:solidFill>
              <w14:schemeClr w14:val="tx1"/>
            </w14:solidFill>
          </w14:textFill>
        </w:rPr>
        <w:t>Jan</w:t>
      </w:r>
      <w:r>
        <w:rPr>
          <w:rFonts w:hint="default" w:ascii="Times New Roman" w:hAnsi="Times New Roman" w:cs="Times New Roman"/>
          <w:color w:val="000000" w:themeColor="text1"/>
          <w14:textFill>
            <w14:solidFill>
              <w14:schemeClr w14:val="tx1"/>
            </w14:solidFill>
          </w14:textFill>
        </w:rPr>
        <w:t>. 20</w:t>
      </w:r>
      <w:r>
        <w:rPr>
          <w:rFonts w:hint="default" w:ascii="Times New Roman" w:hAnsi="Times New Roman" w:cs="Times New Roman"/>
          <w:color w:val="000000" w:themeColor="text1"/>
          <w:lang w:val="en-US" w:eastAsia="zh-CN"/>
          <w14:textFill>
            <w14:solidFill>
              <w14:schemeClr w14:val="tx1"/>
            </w14:solidFill>
          </w14:textFill>
        </w:rPr>
        <w:t>12</w:t>
      </w:r>
      <w:r>
        <w:rPr>
          <w:rFonts w:hint="default" w:ascii="Times New Roman" w:hAnsi="Times New Roman" w:cs="Times New Roman"/>
          <w:color w:val="000000" w:themeColor="text1"/>
          <w14:textFill>
            <w14:solidFill>
              <w14:schemeClr w14:val="tx1"/>
            </w14:solidFill>
          </w14:textFill>
        </w:rPr>
        <w:t>.</w:t>
      </w:r>
    </w:p>
    <w:p>
      <w:pPr>
        <w:pStyle w:val="49"/>
        <w:numPr>
          <w:ilvl w:val="0"/>
          <w:numId w:val="5"/>
        </w:numPr>
        <w:ind w:left="284" w:hanging="142"/>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C</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 xml:space="preserve"> Ö</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 xml:space="preserve"> Gerçek, M</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 xml:space="preserve"> Ermis, A</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 xml:space="preserve"> Ertas, et al</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 xml:space="preserve"> </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Design, implementation, and operation of a new C-Type 2nd harmonic filter for electric arc and ladle furnaces</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 xml:space="preserve"> IEEE Transactions on Ind. App</w:t>
      </w:r>
      <w:r>
        <w:rPr>
          <w:rFonts w:hint="default" w:ascii="Times New Roman" w:hAnsi="Times New Roman" w:cs="Times New Roman"/>
          <w:color w:val="000000" w:themeColor="text1"/>
          <w:lang w:val="en-US" w:eastAsia="zh-CN"/>
          <w14:textFill>
            <w14:solidFill>
              <w14:schemeClr w14:val="tx1"/>
            </w14:solidFill>
          </w14:textFill>
        </w:rPr>
        <w:t>l.</w:t>
      </w:r>
      <w:r>
        <w:rPr>
          <w:rFonts w:hint="default" w:ascii="Times New Roman" w:hAnsi="Times New Roman" w:cs="Times New Roman"/>
          <w:color w:val="000000" w:themeColor="text1"/>
          <w14:textFill>
            <w14:solidFill>
              <w14:schemeClr w14:val="tx1"/>
            </w14:solidFill>
          </w14:textFill>
        </w:rPr>
        <w:t xml:space="preserve">, vol. </w:t>
      </w:r>
      <w:r>
        <w:rPr>
          <w:rFonts w:hint="default" w:ascii="Times New Roman" w:hAnsi="Times New Roman" w:cs="Times New Roman"/>
          <w:color w:val="000000" w:themeColor="text1"/>
          <w:lang w:val="en-US" w:eastAsia="zh-CN"/>
          <w14:textFill>
            <w14:solidFill>
              <w14:schemeClr w14:val="tx1"/>
            </w14:solidFill>
          </w14:textFill>
        </w:rPr>
        <w:t>47</w:t>
      </w:r>
      <w:r>
        <w:rPr>
          <w:rFonts w:hint="default" w:ascii="Times New Roman" w:hAnsi="Times New Roman" w:cs="Times New Roman"/>
          <w:color w:val="000000" w:themeColor="text1"/>
          <w14:textFill>
            <w14:solidFill>
              <w14:schemeClr w14:val="tx1"/>
            </w14:solidFill>
          </w14:textFill>
        </w:rPr>
        <w:t xml:space="preserve">, no. </w:t>
      </w:r>
      <w:r>
        <w:rPr>
          <w:rFonts w:hint="default" w:ascii="Times New Roman" w:hAnsi="Times New Roman" w:cs="Times New Roman"/>
          <w:color w:val="000000" w:themeColor="text1"/>
          <w:lang w:val="en-US" w:eastAsia="zh-CN"/>
          <w14:textFill>
            <w14:solidFill>
              <w14:schemeClr w14:val="tx1"/>
            </w14:solidFill>
          </w14:textFill>
        </w:rPr>
        <w:t>4</w:t>
      </w:r>
      <w:r>
        <w:rPr>
          <w:rFonts w:hint="default" w:ascii="Times New Roman" w:hAnsi="Times New Roman" w:cs="Times New Roman"/>
          <w:color w:val="000000" w:themeColor="text1"/>
          <w14:textFill>
            <w14:solidFill>
              <w14:schemeClr w14:val="tx1"/>
            </w14:solidFill>
          </w14:textFill>
        </w:rPr>
        <w:t>, pp. 1545-1557</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 xml:space="preserve"> </w:t>
      </w:r>
      <w:r>
        <w:rPr>
          <w:rFonts w:hint="default" w:ascii="Times New Roman" w:hAnsi="Times New Roman" w:cs="Times New Roman"/>
          <w:color w:val="000000" w:themeColor="text1"/>
          <w:lang w:val="en-US" w:eastAsia="zh-CN"/>
          <w14:textFill>
            <w14:solidFill>
              <w14:schemeClr w14:val="tx1"/>
            </w14:solidFill>
          </w14:textFill>
        </w:rPr>
        <w:t>Jul./Aug</w:t>
      </w:r>
      <w:r>
        <w:rPr>
          <w:rFonts w:hint="default" w:ascii="Times New Roman" w:hAnsi="Times New Roman" w:cs="Times New Roman"/>
          <w:color w:val="000000" w:themeColor="text1"/>
          <w14:textFill>
            <w14:solidFill>
              <w14:schemeClr w14:val="tx1"/>
            </w14:solidFill>
          </w14:textFill>
        </w:rPr>
        <w:t>. 20</w:t>
      </w:r>
      <w:r>
        <w:rPr>
          <w:rFonts w:hint="default" w:ascii="Times New Roman" w:hAnsi="Times New Roman" w:cs="Times New Roman"/>
          <w:color w:val="000000" w:themeColor="text1"/>
          <w:lang w:val="en-US" w:eastAsia="zh-CN"/>
          <w14:textFill>
            <w14:solidFill>
              <w14:schemeClr w14:val="tx1"/>
            </w14:solidFill>
          </w14:textFill>
        </w:rPr>
        <w:t>11.</w:t>
      </w:r>
    </w:p>
    <w:p>
      <w:pPr>
        <w:pStyle w:val="49"/>
        <w:numPr>
          <w:ilvl w:val="0"/>
          <w:numId w:val="5"/>
        </w:numPr>
        <w:ind w:left="284" w:hanging="142"/>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C</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 xml:space="preserve"> Zou, H</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 xml:space="preserve"> Rao, S</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 xml:space="preserve"> Xu, et al</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 xml:space="preserve"> </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Analysis of Resonance Between a VSC-HVDC Converter and the AC Grid</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 xml:space="preserve"> IEEE Transactions on Power Electron., vol. 3</w:t>
      </w:r>
      <w:r>
        <w:rPr>
          <w:rFonts w:hint="default" w:ascii="Times New Roman" w:hAnsi="Times New Roman" w:cs="Times New Roman"/>
          <w:color w:val="000000" w:themeColor="text1"/>
          <w:lang w:val="en-US" w:eastAsia="zh-CN"/>
          <w14:textFill>
            <w14:solidFill>
              <w14:schemeClr w14:val="tx1"/>
            </w14:solidFill>
          </w14:textFill>
        </w:rPr>
        <w:t>3</w:t>
      </w:r>
      <w:r>
        <w:rPr>
          <w:rFonts w:hint="default" w:ascii="Times New Roman" w:hAnsi="Times New Roman" w:cs="Times New Roman"/>
          <w:color w:val="000000" w:themeColor="text1"/>
          <w14:textFill>
            <w14:solidFill>
              <w14:schemeClr w14:val="tx1"/>
            </w14:solidFill>
          </w14:textFill>
        </w:rPr>
        <w:t xml:space="preserve">, no. </w:t>
      </w:r>
      <w:r>
        <w:rPr>
          <w:rFonts w:hint="default" w:ascii="Times New Roman" w:hAnsi="Times New Roman" w:cs="Times New Roman"/>
          <w:color w:val="000000" w:themeColor="text1"/>
          <w:lang w:val="en-US" w:eastAsia="zh-CN"/>
          <w14:textFill>
            <w14:solidFill>
              <w14:schemeClr w14:val="tx1"/>
            </w14:solidFill>
          </w14:textFill>
        </w:rPr>
        <w:t>12</w:t>
      </w:r>
      <w:r>
        <w:rPr>
          <w:rFonts w:hint="default" w:ascii="Times New Roman" w:hAnsi="Times New Roman" w:cs="Times New Roman"/>
          <w:color w:val="000000" w:themeColor="text1"/>
          <w14:textFill>
            <w14:solidFill>
              <w14:schemeClr w14:val="tx1"/>
            </w14:solidFill>
          </w14:textFill>
        </w:rPr>
        <w:t xml:space="preserve">, pp. 10157-10168, </w:t>
      </w:r>
      <w:r>
        <w:rPr>
          <w:rFonts w:hint="default" w:ascii="Times New Roman" w:hAnsi="Times New Roman" w:cs="Times New Roman"/>
          <w:color w:val="000000" w:themeColor="text1"/>
          <w:lang w:val="en-US" w:eastAsia="zh-CN"/>
          <w14:textFill>
            <w14:solidFill>
              <w14:schemeClr w14:val="tx1"/>
            </w14:solidFill>
          </w14:textFill>
        </w:rPr>
        <w:t>Dec</w:t>
      </w:r>
      <w:r>
        <w:rPr>
          <w:rFonts w:hint="default" w:ascii="Times New Roman" w:hAnsi="Times New Roman" w:cs="Times New Roman"/>
          <w:color w:val="000000" w:themeColor="text1"/>
          <w14:textFill>
            <w14:solidFill>
              <w14:schemeClr w14:val="tx1"/>
            </w14:solidFill>
          </w14:textFill>
        </w:rPr>
        <w:t>. 20</w:t>
      </w:r>
      <w:r>
        <w:rPr>
          <w:rFonts w:hint="default" w:ascii="Times New Roman" w:hAnsi="Times New Roman" w:cs="Times New Roman"/>
          <w:color w:val="000000" w:themeColor="text1"/>
          <w:lang w:val="en-US" w:eastAsia="zh-CN"/>
          <w14:textFill>
            <w14:solidFill>
              <w14:schemeClr w14:val="tx1"/>
            </w14:solidFill>
          </w14:textFill>
        </w:rPr>
        <w:t>18</w:t>
      </w:r>
      <w:r>
        <w:rPr>
          <w:rFonts w:hint="default" w:ascii="Times New Roman" w:hAnsi="Times New Roman" w:cs="Times New Roman"/>
          <w:color w:val="000000" w:themeColor="text1"/>
          <w14:textFill>
            <w14:solidFill>
              <w14:schemeClr w14:val="tx1"/>
            </w14:solidFill>
          </w14:textFill>
        </w:rPr>
        <w:t>.</w:t>
      </w:r>
    </w:p>
    <w:p>
      <w:pPr>
        <w:pStyle w:val="49"/>
        <w:numPr>
          <w:ilvl w:val="0"/>
          <w:numId w:val="5"/>
        </w:numPr>
        <w:ind w:left="284" w:hanging="142"/>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Z</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 xml:space="preserve"> Donghui, C</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 xml:space="preserve"> Xin, Y</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 xml:space="preserve"> Shuting, et al</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 xml:space="preserve"> </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Analysis of high-frequency resonance and suppression strategy of photovoltaic power plant with static reactive power compensation device</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 xml:space="preserve"> Proceedings of the CSEE, vol. </w:t>
      </w:r>
      <w:r>
        <w:rPr>
          <w:rFonts w:hint="default" w:ascii="Times New Roman" w:hAnsi="Times New Roman" w:cs="Times New Roman"/>
          <w:color w:val="000000" w:themeColor="text1"/>
          <w:lang w:val="en-US" w:eastAsia="zh-CN"/>
          <w14:textFill>
            <w14:solidFill>
              <w14:schemeClr w14:val="tx1"/>
            </w14:solidFill>
          </w14:textFill>
        </w:rPr>
        <w:t>43</w:t>
      </w:r>
      <w:r>
        <w:rPr>
          <w:rFonts w:hint="default" w:ascii="Times New Roman" w:hAnsi="Times New Roman" w:cs="Times New Roman"/>
          <w:color w:val="000000" w:themeColor="text1"/>
          <w14:textFill>
            <w14:solidFill>
              <w14:schemeClr w14:val="tx1"/>
            </w14:solidFill>
          </w14:textFill>
        </w:rPr>
        <w:t xml:space="preserve">, no. </w:t>
      </w:r>
      <w:r>
        <w:rPr>
          <w:rFonts w:hint="default" w:ascii="Times New Roman" w:hAnsi="Times New Roman" w:cs="Times New Roman"/>
          <w:color w:val="000000" w:themeColor="text1"/>
          <w:lang w:val="en-US" w:eastAsia="zh-CN"/>
          <w14:textFill>
            <w14:solidFill>
              <w14:schemeClr w14:val="tx1"/>
            </w14:solidFill>
          </w14:textFill>
        </w:rPr>
        <w:t>24</w:t>
      </w:r>
      <w:r>
        <w:rPr>
          <w:rFonts w:hint="default" w:ascii="Times New Roman" w:hAnsi="Times New Roman" w:cs="Times New Roman"/>
          <w:color w:val="000000" w:themeColor="text1"/>
          <w14:textFill>
            <w14:solidFill>
              <w14:schemeClr w14:val="tx1"/>
            </w14:solidFill>
          </w14:textFill>
        </w:rPr>
        <w:t xml:space="preserve">, pp. 9580-9593, </w:t>
      </w:r>
      <w:r>
        <w:rPr>
          <w:rFonts w:hint="default" w:ascii="Times New Roman" w:hAnsi="Times New Roman" w:cs="Times New Roman"/>
          <w:color w:val="000000" w:themeColor="text1"/>
          <w:lang w:val="en-US" w:eastAsia="zh-CN"/>
          <w14:textFill>
            <w14:solidFill>
              <w14:schemeClr w14:val="tx1"/>
            </w14:solidFill>
          </w14:textFill>
        </w:rPr>
        <w:t>Dec</w:t>
      </w:r>
      <w:r>
        <w:rPr>
          <w:rFonts w:hint="default" w:ascii="Times New Roman" w:hAnsi="Times New Roman" w:cs="Times New Roman"/>
          <w:color w:val="000000" w:themeColor="text1"/>
          <w14:textFill>
            <w14:solidFill>
              <w14:schemeClr w14:val="tx1"/>
            </w14:solidFill>
          </w14:textFill>
        </w:rPr>
        <w:t>. 20</w:t>
      </w:r>
      <w:r>
        <w:rPr>
          <w:rFonts w:hint="default" w:ascii="Times New Roman" w:hAnsi="Times New Roman" w:cs="Times New Roman"/>
          <w:color w:val="000000" w:themeColor="text1"/>
          <w:lang w:val="en-US" w:eastAsia="zh-CN"/>
          <w14:textFill>
            <w14:solidFill>
              <w14:schemeClr w14:val="tx1"/>
            </w14:solidFill>
          </w14:textFill>
        </w:rPr>
        <w:t>23</w:t>
      </w:r>
      <w:r>
        <w:rPr>
          <w:rFonts w:hint="default" w:ascii="Times New Roman" w:hAnsi="Times New Roman" w:cs="Times New Roman"/>
          <w:color w:val="000000" w:themeColor="text1"/>
          <w14:textFill>
            <w14:solidFill>
              <w14:schemeClr w14:val="tx1"/>
            </w14:solidFill>
          </w14:textFill>
        </w:rPr>
        <w:t>.</w:t>
      </w:r>
    </w:p>
    <w:p>
      <w:pPr>
        <w:pStyle w:val="49"/>
        <w:numPr>
          <w:ilvl w:val="0"/>
          <w:numId w:val="5"/>
        </w:numPr>
        <w:ind w:left="284" w:hanging="142"/>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Z</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 xml:space="preserve"> Qianjin, Z</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 xml:space="preserve"> Lin, L</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 xml:space="preserve"> Haixiao, et al</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 xml:space="preserve"> </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Oscillation analysis and suppression of large-scale grid-connected photovoltaic system considering SVG equipment</w:t>
      </w:r>
      <w:r>
        <w:rPr>
          <w:rFonts w:hint="default" w:ascii="Times New Roman" w:hAnsi="Times New Roman" w:cs="Times New Roman"/>
          <w:color w:val="000000" w:themeColor="text1"/>
          <w:lang w:val="en-US" w:eastAsia="zh-CN"/>
          <w14:textFill>
            <w14:solidFill>
              <w14:schemeClr w14:val="tx1"/>
            </w14:solidFill>
          </w14:textFill>
        </w:rPr>
        <w:t>,”</w:t>
      </w:r>
      <w:r>
        <w:rPr>
          <w:rFonts w:hint="default" w:ascii="Times New Roman" w:hAnsi="Times New Roman" w:cs="Times New Roman"/>
          <w:color w:val="000000" w:themeColor="text1"/>
          <w14:textFill>
            <w14:solidFill>
              <w14:schemeClr w14:val="tx1"/>
            </w14:solidFill>
          </w14:textFill>
        </w:rPr>
        <w:t xml:space="preserve"> Proceedings of the CSEE, vol. </w:t>
      </w:r>
      <w:r>
        <w:rPr>
          <w:rFonts w:hint="default" w:ascii="Times New Roman" w:hAnsi="Times New Roman" w:cs="Times New Roman"/>
          <w:color w:val="000000" w:themeColor="text1"/>
          <w:lang w:val="en-US" w:eastAsia="zh-CN"/>
          <w14:textFill>
            <w14:solidFill>
              <w14:schemeClr w14:val="tx1"/>
            </w14:solidFill>
          </w14:textFill>
        </w:rPr>
        <w:t>39</w:t>
      </w:r>
      <w:r>
        <w:rPr>
          <w:rFonts w:hint="default" w:ascii="Times New Roman" w:hAnsi="Times New Roman" w:cs="Times New Roman"/>
          <w:color w:val="000000" w:themeColor="text1"/>
          <w14:textFill>
            <w14:solidFill>
              <w14:schemeClr w14:val="tx1"/>
            </w14:solidFill>
          </w14:textFill>
        </w:rPr>
        <w:t xml:space="preserve">, no. </w:t>
      </w:r>
      <w:r>
        <w:rPr>
          <w:rFonts w:hint="default" w:ascii="Times New Roman" w:hAnsi="Times New Roman" w:cs="Times New Roman"/>
          <w:color w:val="000000" w:themeColor="text1"/>
          <w:lang w:val="en-US" w:eastAsia="zh-CN"/>
          <w14:textFill>
            <w14:solidFill>
              <w14:schemeClr w14:val="tx1"/>
            </w14:solidFill>
          </w14:textFill>
        </w:rPr>
        <w:t>9</w:t>
      </w:r>
      <w:r>
        <w:rPr>
          <w:rFonts w:hint="default" w:ascii="Times New Roman" w:hAnsi="Times New Roman" w:cs="Times New Roman"/>
          <w:color w:val="000000" w:themeColor="text1"/>
          <w14:textFill>
            <w14:solidFill>
              <w14:schemeClr w14:val="tx1"/>
            </w14:solidFill>
          </w14:textFill>
        </w:rPr>
        <w:t xml:space="preserve">, pp. 2636-2643, </w:t>
      </w:r>
      <w:r>
        <w:rPr>
          <w:rFonts w:hint="default" w:ascii="Times New Roman" w:hAnsi="Times New Roman" w:cs="Times New Roman"/>
          <w:color w:val="000000" w:themeColor="text1"/>
          <w:lang w:val="en-US" w:eastAsia="zh-CN"/>
          <w14:textFill>
            <w14:solidFill>
              <w14:schemeClr w14:val="tx1"/>
            </w14:solidFill>
          </w14:textFill>
        </w:rPr>
        <w:t>May</w:t>
      </w:r>
      <w:r>
        <w:rPr>
          <w:rFonts w:hint="default" w:ascii="Times New Roman" w:hAnsi="Times New Roman" w:cs="Times New Roman"/>
          <w:color w:val="000000" w:themeColor="text1"/>
          <w14:textFill>
            <w14:solidFill>
              <w14:schemeClr w14:val="tx1"/>
            </w14:solidFill>
          </w14:textFill>
        </w:rPr>
        <w:t xml:space="preserve"> 20</w:t>
      </w:r>
      <w:r>
        <w:rPr>
          <w:rFonts w:hint="default" w:ascii="Times New Roman" w:hAnsi="Times New Roman" w:cs="Times New Roman"/>
          <w:color w:val="000000" w:themeColor="text1"/>
          <w:lang w:val="en-US" w:eastAsia="zh-CN"/>
          <w14:textFill>
            <w14:solidFill>
              <w14:schemeClr w14:val="tx1"/>
            </w14:solidFill>
          </w14:textFill>
        </w:rPr>
        <w:t>19</w:t>
      </w:r>
      <w:r>
        <w:rPr>
          <w:rFonts w:hint="default" w:ascii="Times New Roman" w:hAnsi="Times New Roman" w:cs="Times New Roman"/>
          <w:color w:val="000000" w:themeColor="text1"/>
          <w14:textFill>
            <w14:solidFill>
              <w14:schemeClr w14:val="tx1"/>
            </w14:solidFill>
          </w14:textFill>
        </w:rPr>
        <w:t>.</w:t>
      </w:r>
    </w:p>
    <w:p>
      <w:pPr>
        <w:pStyle w:val="49"/>
        <w:numPr>
          <w:ilvl w:val="0"/>
          <w:numId w:val="5"/>
        </w:numPr>
        <w:ind w:left="284" w:hanging="142"/>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S. Wang, Y. Li, M. Zhang, Y. Peng, Y. Tian, G. Lin, and F. Chang, “Harmonic Resonance Suppression With Inductive Power Filtering Method: Case Study of Large-Scale Photovoltaic Plant in China,” IEEE Trans. Power Electron., vol. 38, no. 5, pp. 6444-6454, May 2023.</w:t>
      </w:r>
    </w:p>
    <w:p>
      <w:pPr>
        <w:pStyle w:val="49"/>
        <w:numPr>
          <w:ilvl w:val="0"/>
          <w:numId w:val="5"/>
        </w:numPr>
        <w:ind w:left="284" w:hanging="142"/>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W. Xu, Z. Huang, Y. Cui, and H. Wang, “Harmonic Resonance Mode Analysis,” IEEE Trans. Power Delivery, vol. 20, no. 2, pp. 1182-1190, Apr. 2005.</w:t>
      </w:r>
    </w:p>
    <w:p>
      <w:pPr>
        <w:pStyle w:val="49"/>
        <w:numPr>
          <w:ilvl w:val="0"/>
          <w:numId w:val="5"/>
        </w:numPr>
        <w:ind w:left="284" w:hanging="142"/>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L. Hong, W. Shu, J. Wang, and R. Mian, “Harmonic Resonance Investigation of a Multi-Inverter Grid-Connected System Using Resonance Modal Analysis,” IEEE Trans. Power Delivery, vol. 34, no. 1, pp. 63-72, Feb. 2019.</w:t>
      </w:r>
    </w:p>
    <w:p>
      <w:pPr>
        <w:pStyle w:val="49"/>
        <w:numPr>
          <w:ilvl w:val="0"/>
          <w:numId w:val="5"/>
        </w:numPr>
        <w:ind w:left="284" w:hanging="142"/>
        <w:jc w:val="both"/>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Pereira M, Retzmann D, Lottes J, et al. SVC plus: an MMC STATCOM for network and grid access applications[C]//Proceedings of 2011 IEEE Trondheim PowerTech, Trondheim, Norway, 2011: 1-5.</w:t>
      </w:r>
    </w:p>
    <w:p>
      <w:pPr>
        <w:pStyle w:val="49"/>
        <w:numPr>
          <w:ilvl w:val="0"/>
          <w:numId w:val="5"/>
        </w:numPr>
        <w:ind w:left="284" w:hanging="142"/>
        <w:jc w:val="both"/>
        <w:rPr>
          <w:rFonts w:hint="default" w:ascii="Times New Roman" w:hAnsi="Times New Roman" w:cs="Times New Roman"/>
          <w:color w:val="000000" w:themeColor="text1"/>
          <w:lang w:val="en-GB"/>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Electromagnetic Compatibility (EMC) - Environment - Compatibility levels for low-frequency conducted disturbances and signalling in public low-voltage power supply systems: DS/EN 61000-2-2: 2002/A2: 2019[S]. Danish Standards, 2019.</w:t>
      </w:r>
    </w:p>
    <w:p>
      <w:pPr>
        <w:pStyle w:val="49"/>
        <w:numPr>
          <w:ilvl w:val="0"/>
          <w:numId w:val="5"/>
        </w:numPr>
        <w:ind w:left="284" w:hanging="142"/>
        <w:jc w:val="both"/>
        <w:rPr>
          <w:rFonts w:hint="default" w:ascii="Times New Roman" w:hAnsi="Times New Roman" w:cs="Times New Roman"/>
          <w:color w:val="000000" w:themeColor="text1"/>
          <w:lang w:val="en-GB"/>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Electromagnetic compatibility (EMC) – Part 3-15: Limits – Assessment of low frequency electromagnetic immunity and emission requirements for dispersed generation systems in LV network: IEC/TR 61000-3-15[S]. IEC, 2011.</w:t>
      </w:r>
    </w:p>
    <w:p>
      <w:pPr>
        <w:pStyle w:val="49"/>
        <w:numPr>
          <w:ilvl w:val="0"/>
          <w:numId w:val="5"/>
        </w:numPr>
        <w:ind w:left="284" w:hanging="142"/>
        <w:jc w:val="both"/>
        <w:rPr>
          <w:rFonts w:hint="default" w:ascii="Times New Roman" w:hAnsi="Times New Roman" w:cs="Times New Roman"/>
          <w:color w:val="000000" w:themeColor="text1"/>
          <w:lang w:val="en-GB"/>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J. C. Das, “Practical passive filter designs,” in Power System Harmonic Passive Filter Designs, Hoboken, NJ, USA: Wiley, 2015.</w:t>
      </w:r>
    </w:p>
    <w:sectPr>
      <w:type w:val="continuous"/>
      <w:pgSz w:w="11906" w:h="16838"/>
      <w:pgMar w:top="1191" w:right="1077" w:bottom="1134" w:left="1077" w:header="851" w:footer="992" w:gutter="0"/>
      <w:cols w:space="426" w:num="2"/>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Cambria Math">
    <w:panose1 w:val="02040503050406030204"/>
    <w:charset w:val="00"/>
    <w:family w:val="roman"/>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ind w:firstLine="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ind w:firstLine="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ind w:firstLine="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ind w:firstLine="36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ind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1A378EA"/>
    <w:multiLevelType w:val="multilevel"/>
    <w:tmpl w:val="01A378EA"/>
    <w:lvl w:ilvl="0" w:tentative="0">
      <w:start w:val="1"/>
      <w:numFmt w:val="decimal"/>
      <w:lvlText w:val="[%1]"/>
      <w:lvlJc w:val="righ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
    <w:nsid w:val="23885529"/>
    <w:multiLevelType w:val="multilevel"/>
    <w:tmpl w:val="23885529"/>
    <w:lvl w:ilvl="0" w:tentative="0">
      <w:start w:val="5"/>
      <w:numFmt w:val="decimal"/>
      <w:lvlText w:val="%1"/>
      <w:lvlJc w:val="left"/>
      <w:pPr>
        <w:ind w:left="360" w:hanging="360"/>
      </w:pPr>
      <w:rPr>
        <w:rFonts w:hint="default"/>
      </w:rPr>
    </w:lvl>
    <w:lvl w:ilvl="1" w:tentative="0">
      <w:start w:val="1"/>
      <w:numFmt w:val="decimal"/>
      <w:lvlText w:val="%1.%2"/>
      <w:lvlJc w:val="left"/>
      <w:pPr>
        <w:ind w:left="720" w:hanging="360"/>
      </w:pPr>
      <w:rPr>
        <w:rFonts w:hint="default"/>
      </w:rPr>
    </w:lvl>
    <w:lvl w:ilvl="2" w:tentative="0">
      <w:start w:val="1"/>
      <w:numFmt w:val="decimal"/>
      <w:lvlText w:val="%1.%2.%3"/>
      <w:lvlJc w:val="left"/>
      <w:pPr>
        <w:ind w:left="1440" w:hanging="720"/>
      </w:pPr>
      <w:rPr>
        <w:rFonts w:hint="default"/>
      </w:rPr>
    </w:lvl>
    <w:lvl w:ilvl="3" w:tentative="0">
      <w:start w:val="1"/>
      <w:numFmt w:val="decimal"/>
      <w:lvlText w:val="%1.%2.%3.%4"/>
      <w:lvlJc w:val="left"/>
      <w:pPr>
        <w:ind w:left="1800" w:hanging="720"/>
      </w:pPr>
      <w:rPr>
        <w:rFonts w:hint="default"/>
      </w:rPr>
    </w:lvl>
    <w:lvl w:ilvl="4" w:tentative="0">
      <w:start w:val="1"/>
      <w:numFmt w:val="decimal"/>
      <w:lvlText w:val="%1.%2.%3.%4.%5"/>
      <w:lvlJc w:val="left"/>
      <w:pPr>
        <w:ind w:left="2520" w:hanging="1080"/>
      </w:pPr>
      <w:rPr>
        <w:rFonts w:hint="default"/>
      </w:rPr>
    </w:lvl>
    <w:lvl w:ilvl="5" w:tentative="0">
      <w:start w:val="1"/>
      <w:numFmt w:val="decimal"/>
      <w:lvlText w:val="%1.%2.%3.%4.%5.%6"/>
      <w:lvlJc w:val="left"/>
      <w:pPr>
        <w:ind w:left="2880" w:hanging="1080"/>
      </w:pPr>
      <w:rPr>
        <w:rFonts w:hint="default"/>
      </w:rPr>
    </w:lvl>
    <w:lvl w:ilvl="6" w:tentative="0">
      <w:start w:val="1"/>
      <w:numFmt w:val="decimal"/>
      <w:lvlText w:val="%1.%2.%3.%4.%5.%6.%7"/>
      <w:lvlJc w:val="left"/>
      <w:pPr>
        <w:ind w:left="3600" w:hanging="1440"/>
      </w:pPr>
      <w:rPr>
        <w:rFonts w:hint="default"/>
      </w:rPr>
    </w:lvl>
    <w:lvl w:ilvl="7" w:tentative="0">
      <w:start w:val="1"/>
      <w:numFmt w:val="decimal"/>
      <w:lvlText w:val="%1.%2.%3.%4.%5.%6.%7.%8"/>
      <w:lvlJc w:val="left"/>
      <w:pPr>
        <w:ind w:left="3960" w:hanging="1440"/>
      </w:pPr>
      <w:rPr>
        <w:rFonts w:hint="default"/>
      </w:rPr>
    </w:lvl>
    <w:lvl w:ilvl="8" w:tentative="0">
      <w:start w:val="1"/>
      <w:numFmt w:val="decimal"/>
      <w:lvlText w:val="%1.%2.%3.%4.%5.%6.%7.%8.%9"/>
      <w:lvlJc w:val="left"/>
      <w:pPr>
        <w:ind w:left="4680" w:hanging="1800"/>
      </w:pPr>
      <w:rPr>
        <w:rFonts w:hint="default"/>
      </w:rPr>
    </w:lvl>
  </w:abstractNum>
  <w:abstractNum w:abstractNumId="2">
    <w:nsid w:val="2B855861"/>
    <w:multiLevelType w:val="multilevel"/>
    <w:tmpl w:val="2B855861"/>
    <w:lvl w:ilvl="0" w:tentative="0">
      <w:start w:val="1"/>
      <w:numFmt w:val="decimal"/>
      <w:lvlText w:val="[%1]"/>
      <w:lvlJc w:val="right"/>
      <w:pPr>
        <w:tabs>
          <w:tab w:val="left" w:pos="432"/>
        </w:tabs>
        <w:ind w:left="432" w:hanging="144"/>
      </w:pPr>
      <w:rPr>
        <w:rFonts w:hint="default"/>
      </w:rPr>
    </w:lvl>
    <w:lvl w:ilvl="1" w:tentative="0">
      <w:start w:val="1"/>
      <w:numFmt w:val="decimal"/>
      <w:lvlText w:val="%1.%2)"/>
      <w:lvlJc w:val="left"/>
      <w:pPr>
        <w:tabs>
          <w:tab w:val="left" w:pos="936"/>
        </w:tabs>
        <w:ind w:left="936" w:hanging="720"/>
      </w:pPr>
      <w:rPr>
        <w:rFonts w:hint="default"/>
      </w:rPr>
    </w:lvl>
    <w:lvl w:ilvl="2" w:tentative="0">
      <w:start w:val="1"/>
      <w:numFmt w:val="decimal"/>
      <w:pStyle w:val="4"/>
      <w:lvlText w:val="%3)"/>
      <w:lvlJc w:val="left"/>
      <w:pPr>
        <w:tabs>
          <w:tab w:val="left" w:pos="360"/>
        </w:tabs>
        <w:ind w:left="360" w:hanging="360"/>
      </w:pPr>
      <w:rPr>
        <w:rFonts w:hint="default"/>
      </w:rPr>
    </w:lvl>
    <w:lvl w:ilvl="3" w:tentative="0">
      <w:start w:val="1"/>
      <w:numFmt w:val="decimal"/>
      <w:lvlText w:val="%1.%2)%3.%4."/>
      <w:lvlJc w:val="left"/>
      <w:pPr>
        <w:tabs>
          <w:tab w:val="left" w:pos="1296"/>
        </w:tabs>
        <w:ind w:left="1296" w:hanging="1080"/>
      </w:pPr>
      <w:rPr>
        <w:rFonts w:hint="default"/>
      </w:rPr>
    </w:lvl>
    <w:lvl w:ilvl="4" w:tentative="0">
      <w:start w:val="1"/>
      <w:numFmt w:val="decimal"/>
      <w:lvlText w:val="%1.%2)%3.%4.%5."/>
      <w:lvlJc w:val="left"/>
      <w:pPr>
        <w:tabs>
          <w:tab w:val="left" w:pos="1296"/>
        </w:tabs>
        <w:ind w:left="1296" w:hanging="1080"/>
      </w:pPr>
      <w:rPr>
        <w:rFonts w:hint="default"/>
      </w:rPr>
    </w:lvl>
    <w:lvl w:ilvl="5" w:tentative="0">
      <w:start w:val="1"/>
      <w:numFmt w:val="decimal"/>
      <w:lvlText w:val="%1.%2)%3.%4.%5.%6."/>
      <w:lvlJc w:val="left"/>
      <w:pPr>
        <w:tabs>
          <w:tab w:val="left" w:pos="1656"/>
        </w:tabs>
        <w:ind w:left="1656" w:hanging="1440"/>
      </w:pPr>
      <w:rPr>
        <w:rFonts w:hint="default"/>
      </w:rPr>
    </w:lvl>
    <w:lvl w:ilvl="6" w:tentative="0">
      <w:start w:val="1"/>
      <w:numFmt w:val="decimal"/>
      <w:lvlText w:val="%1.%2)%3.%4.%5.%6.%7."/>
      <w:lvlJc w:val="left"/>
      <w:pPr>
        <w:tabs>
          <w:tab w:val="left" w:pos="1656"/>
        </w:tabs>
        <w:ind w:left="1656" w:hanging="1440"/>
      </w:pPr>
      <w:rPr>
        <w:rFonts w:hint="default"/>
      </w:rPr>
    </w:lvl>
    <w:lvl w:ilvl="7" w:tentative="0">
      <w:start w:val="1"/>
      <w:numFmt w:val="decimal"/>
      <w:lvlText w:val="%1.%2)%3.%4.%5.%6.%7.%8."/>
      <w:lvlJc w:val="left"/>
      <w:pPr>
        <w:tabs>
          <w:tab w:val="left" w:pos="2016"/>
        </w:tabs>
        <w:ind w:left="2016" w:hanging="1800"/>
      </w:pPr>
      <w:rPr>
        <w:rFonts w:hint="default"/>
      </w:rPr>
    </w:lvl>
    <w:lvl w:ilvl="8" w:tentative="0">
      <w:start w:val="1"/>
      <w:numFmt w:val="decimal"/>
      <w:lvlText w:val="%1.%2)%3.%4.%5.%6.%7.%8.%9."/>
      <w:lvlJc w:val="left"/>
      <w:pPr>
        <w:tabs>
          <w:tab w:val="left" w:pos="2016"/>
        </w:tabs>
        <w:ind w:left="2016" w:hanging="1800"/>
      </w:pPr>
      <w:rPr>
        <w:rFonts w:hint="default"/>
      </w:rPr>
    </w:lvl>
  </w:abstractNum>
  <w:abstractNum w:abstractNumId="3">
    <w:nsid w:val="3A772DC1"/>
    <w:multiLevelType w:val="multilevel"/>
    <w:tmpl w:val="3A772DC1"/>
    <w:lvl w:ilvl="0" w:tentative="0">
      <w:start w:val="1"/>
      <w:numFmt w:val="decimal"/>
      <w:pStyle w:val="44"/>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
    <w:nsid w:val="7FD73CCA"/>
    <w:multiLevelType w:val="multilevel"/>
    <w:tmpl w:val="7FD73CCA"/>
    <w:lvl w:ilvl="0" w:tentative="0">
      <w:start w:val="1"/>
      <w:numFmt w:val="decimal"/>
      <w:pStyle w:val="40"/>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num w:numId="1">
    <w:abstractNumId w:val="2"/>
  </w:num>
  <w:num w:numId="2">
    <w:abstractNumId w:val="4"/>
  </w:num>
  <w:num w:numId="3">
    <w:abstractNumId w:val="3"/>
  </w:num>
  <w:num w:numId="4">
    <w:abstractNumId w:val="1"/>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bordersDoNotSurroundHeader w:val="0"/>
  <w:bordersDoNotSurroundFooter w:val="0"/>
  <w:hideSpellingErrors/>
  <w:hideGrammaticalErrors/>
  <w:linkStyles/>
  <w:attachedTemplate r:id="rId1"/>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mM3NDMyN2E1YjZmZDRmNmUyYmFkNGY3OGRjNDgzNTUifQ=="/>
  </w:docVars>
  <w:rsids>
    <w:rsidRoot w:val="00737DCB"/>
    <w:rsid w:val="0000038A"/>
    <w:rsid w:val="00000D54"/>
    <w:rsid w:val="0000157D"/>
    <w:rsid w:val="00001906"/>
    <w:rsid w:val="00002935"/>
    <w:rsid w:val="00002C5E"/>
    <w:rsid w:val="00002E1E"/>
    <w:rsid w:val="0000466A"/>
    <w:rsid w:val="000050A7"/>
    <w:rsid w:val="00005785"/>
    <w:rsid w:val="0000739C"/>
    <w:rsid w:val="00007EA0"/>
    <w:rsid w:val="00010201"/>
    <w:rsid w:val="0001131B"/>
    <w:rsid w:val="00011360"/>
    <w:rsid w:val="000119C7"/>
    <w:rsid w:val="00012674"/>
    <w:rsid w:val="00012B54"/>
    <w:rsid w:val="00013D93"/>
    <w:rsid w:val="000144A6"/>
    <w:rsid w:val="00014BB4"/>
    <w:rsid w:val="00014C28"/>
    <w:rsid w:val="00016D89"/>
    <w:rsid w:val="000170BE"/>
    <w:rsid w:val="0001738D"/>
    <w:rsid w:val="00020D44"/>
    <w:rsid w:val="000212C5"/>
    <w:rsid w:val="0002148B"/>
    <w:rsid w:val="00021EF3"/>
    <w:rsid w:val="000224BC"/>
    <w:rsid w:val="00023108"/>
    <w:rsid w:val="00024557"/>
    <w:rsid w:val="0002549E"/>
    <w:rsid w:val="00025F8F"/>
    <w:rsid w:val="000261E7"/>
    <w:rsid w:val="00026FE2"/>
    <w:rsid w:val="00027DC7"/>
    <w:rsid w:val="00027F16"/>
    <w:rsid w:val="00030189"/>
    <w:rsid w:val="00030472"/>
    <w:rsid w:val="00031F7B"/>
    <w:rsid w:val="00032F83"/>
    <w:rsid w:val="00034887"/>
    <w:rsid w:val="00040141"/>
    <w:rsid w:val="000406DD"/>
    <w:rsid w:val="000413C8"/>
    <w:rsid w:val="00041B77"/>
    <w:rsid w:val="00041BF2"/>
    <w:rsid w:val="00042C84"/>
    <w:rsid w:val="0004339F"/>
    <w:rsid w:val="00044123"/>
    <w:rsid w:val="00044276"/>
    <w:rsid w:val="00044304"/>
    <w:rsid w:val="000445E2"/>
    <w:rsid w:val="00046D9B"/>
    <w:rsid w:val="0005010D"/>
    <w:rsid w:val="00050871"/>
    <w:rsid w:val="000508EA"/>
    <w:rsid w:val="00050E53"/>
    <w:rsid w:val="00051178"/>
    <w:rsid w:val="00051B7D"/>
    <w:rsid w:val="00052B4C"/>
    <w:rsid w:val="000538DB"/>
    <w:rsid w:val="00054680"/>
    <w:rsid w:val="000552F9"/>
    <w:rsid w:val="000554D0"/>
    <w:rsid w:val="00055544"/>
    <w:rsid w:val="000576D1"/>
    <w:rsid w:val="00057A61"/>
    <w:rsid w:val="00060BD5"/>
    <w:rsid w:val="00060D62"/>
    <w:rsid w:val="00060F58"/>
    <w:rsid w:val="00060FB3"/>
    <w:rsid w:val="00064510"/>
    <w:rsid w:val="00064BA8"/>
    <w:rsid w:val="00065CA0"/>
    <w:rsid w:val="00066EF9"/>
    <w:rsid w:val="000700B3"/>
    <w:rsid w:val="00070D03"/>
    <w:rsid w:val="00072408"/>
    <w:rsid w:val="00072B14"/>
    <w:rsid w:val="00072B3D"/>
    <w:rsid w:val="000730A3"/>
    <w:rsid w:val="000733B7"/>
    <w:rsid w:val="00073E60"/>
    <w:rsid w:val="00075936"/>
    <w:rsid w:val="00076283"/>
    <w:rsid w:val="000763EF"/>
    <w:rsid w:val="00076734"/>
    <w:rsid w:val="00081689"/>
    <w:rsid w:val="0008243C"/>
    <w:rsid w:val="000829D3"/>
    <w:rsid w:val="00082F96"/>
    <w:rsid w:val="0008356F"/>
    <w:rsid w:val="00084D7C"/>
    <w:rsid w:val="00085FD5"/>
    <w:rsid w:val="00086C76"/>
    <w:rsid w:val="00086F86"/>
    <w:rsid w:val="00087538"/>
    <w:rsid w:val="00091617"/>
    <w:rsid w:val="0009239B"/>
    <w:rsid w:val="00092FB9"/>
    <w:rsid w:val="0009300E"/>
    <w:rsid w:val="00096333"/>
    <w:rsid w:val="00097DA7"/>
    <w:rsid w:val="000A0857"/>
    <w:rsid w:val="000A09A3"/>
    <w:rsid w:val="000A101D"/>
    <w:rsid w:val="000A14A6"/>
    <w:rsid w:val="000A55B7"/>
    <w:rsid w:val="000A6A3A"/>
    <w:rsid w:val="000A6B16"/>
    <w:rsid w:val="000A7C36"/>
    <w:rsid w:val="000B1525"/>
    <w:rsid w:val="000B1B77"/>
    <w:rsid w:val="000B3333"/>
    <w:rsid w:val="000B34D4"/>
    <w:rsid w:val="000B5668"/>
    <w:rsid w:val="000B6321"/>
    <w:rsid w:val="000B75C5"/>
    <w:rsid w:val="000B7CC9"/>
    <w:rsid w:val="000B7D27"/>
    <w:rsid w:val="000C0CAC"/>
    <w:rsid w:val="000C0DDE"/>
    <w:rsid w:val="000C113F"/>
    <w:rsid w:val="000C248D"/>
    <w:rsid w:val="000C3162"/>
    <w:rsid w:val="000C383D"/>
    <w:rsid w:val="000C39BD"/>
    <w:rsid w:val="000C48E1"/>
    <w:rsid w:val="000C513A"/>
    <w:rsid w:val="000C61C3"/>
    <w:rsid w:val="000C683D"/>
    <w:rsid w:val="000C7A0E"/>
    <w:rsid w:val="000C7EE8"/>
    <w:rsid w:val="000D0EA0"/>
    <w:rsid w:val="000D26EC"/>
    <w:rsid w:val="000D452C"/>
    <w:rsid w:val="000D4576"/>
    <w:rsid w:val="000D4E9A"/>
    <w:rsid w:val="000D55C4"/>
    <w:rsid w:val="000D5609"/>
    <w:rsid w:val="000D6EFC"/>
    <w:rsid w:val="000D7129"/>
    <w:rsid w:val="000D7713"/>
    <w:rsid w:val="000E059D"/>
    <w:rsid w:val="000E08AE"/>
    <w:rsid w:val="000E1A66"/>
    <w:rsid w:val="000E2673"/>
    <w:rsid w:val="000E2C0E"/>
    <w:rsid w:val="000E2C22"/>
    <w:rsid w:val="000E4E44"/>
    <w:rsid w:val="000E5051"/>
    <w:rsid w:val="000E53FA"/>
    <w:rsid w:val="000E5491"/>
    <w:rsid w:val="000E553E"/>
    <w:rsid w:val="000E5998"/>
    <w:rsid w:val="000E6256"/>
    <w:rsid w:val="000E6DEE"/>
    <w:rsid w:val="000E7E52"/>
    <w:rsid w:val="000F18F0"/>
    <w:rsid w:val="000F1CAE"/>
    <w:rsid w:val="000F1FA5"/>
    <w:rsid w:val="000F4549"/>
    <w:rsid w:val="000F5010"/>
    <w:rsid w:val="000F6002"/>
    <w:rsid w:val="000F72F8"/>
    <w:rsid w:val="000F7401"/>
    <w:rsid w:val="000F75F7"/>
    <w:rsid w:val="000F761C"/>
    <w:rsid w:val="000F7F85"/>
    <w:rsid w:val="00100916"/>
    <w:rsid w:val="001026D3"/>
    <w:rsid w:val="001042A9"/>
    <w:rsid w:val="001046AC"/>
    <w:rsid w:val="00104F7E"/>
    <w:rsid w:val="00105465"/>
    <w:rsid w:val="00105C3C"/>
    <w:rsid w:val="00105D5F"/>
    <w:rsid w:val="001077F3"/>
    <w:rsid w:val="001114D2"/>
    <w:rsid w:val="001116C5"/>
    <w:rsid w:val="00111B2B"/>
    <w:rsid w:val="001143A3"/>
    <w:rsid w:val="001147E1"/>
    <w:rsid w:val="00114EF9"/>
    <w:rsid w:val="00115397"/>
    <w:rsid w:val="00115419"/>
    <w:rsid w:val="0011566A"/>
    <w:rsid w:val="00120056"/>
    <w:rsid w:val="00120744"/>
    <w:rsid w:val="0012116D"/>
    <w:rsid w:val="001230FC"/>
    <w:rsid w:val="001236D2"/>
    <w:rsid w:val="00124D94"/>
    <w:rsid w:val="00126D32"/>
    <w:rsid w:val="00127403"/>
    <w:rsid w:val="00134029"/>
    <w:rsid w:val="00134600"/>
    <w:rsid w:val="0013482A"/>
    <w:rsid w:val="00135B27"/>
    <w:rsid w:val="001365E9"/>
    <w:rsid w:val="00136875"/>
    <w:rsid w:val="00140164"/>
    <w:rsid w:val="001408A3"/>
    <w:rsid w:val="00143009"/>
    <w:rsid w:val="00143ECB"/>
    <w:rsid w:val="00145FB9"/>
    <w:rsid w:val="00146CB0"/>
    <w:rsid w:val="00146DCB"/>
    <w:rsid w:val="00151B00"/>
    <w:rsid w:val="00151FE8"/>
    <w:rsid w:val="001525BE"/>
    <w:rsid w:val="001525F9"/>
    <w:rsid w:val="00153CDD"/>
    <w:rsid w:val="00153EE5"/>
    <w:rsid w:val="00154479"/>
    <w:rsid w:val="00155674"/>
    <w:rsid w:val="0015651F"/>
    <w:rsid w:val="001567E2"/>
    <w:rsid w:val="00157F3A"/>
    <w:rsid w:val="001617B8"/>
    <w:rsid w:val="00162729"/>
    <w:rsid w:val="001641B6"/>
    <w:rsid w:val="00164422"/>
    <w:rsid w:val="00164B0C"/>
    <w:rsid w:val="00165E0B"/>
    <w:rsid w:val="00166C59"/>
    <w:rsid w:val="00166FCD"/>
    <w:rsid w:val="00167E36"/>
    <w:rsid w:val="00170EE7"/>
    <w:rsid w:val="001726F9"/>
    <w:rsid w:val="0017271A"/>
    <w:rsid w:val="00172A13"/>
    <w:rsid w:val="00173E52"/>
    <w:rsid w:val="00174D03"/>
    <w:rsid w:val="00175F79"/>
    <w:rsid w:val="0017696C"/>
    <w:rsid w:val="001774E0"/>
    <w:rsid w:val="00180CEE"/>
    <w:rsid w:val="001812A4"/>
    <w:rsid w:val="0018161C"/>
    <w:rsid w:val="001817B5"/>
    <w:rsid w:val="00183539"/>
    <w:rsid w:val="00183B94"/>
    <w:rsid w:val="0018473A"/>
    <w:rsid w:val="00184A48"/>
    <w:rsid w:val="00185D05"/>
    <w:rsid w:val="00186359"/>
    <w:rsid w:val="00186EC2"/>
    <w:rsid w:val="00190298"/>
    <w:rsid w:val="00190A7A"/>
    <w:rsid w:val="00191AAA"/>
    <w:rsid w:val="00192536"/>
    <w:rsid w:val="001936DD"/>
    <w:rsid w:val="00194C31"/>
    <w:rsid w:val="00194C9D"/>
    <w:rsid w:val="00194DD2"/>
    <w:rsid w:val="00195425"/>
    <w:rsid w:val="001955FD"/>
    <w:rsid w:val="001959C0"/>
    <w:rsid w:val="00195A7F"/>
    <w:rsid w:val="00196583"/>
    <w:rsid w:val="00196994"/>
    <w:rsid w:val="00197045"/>
    <w:rsid w:val="0019723B"/>
    <w:rsid w:val="001A143F"/>
    <w:rsid w:val="001A20AD"/>
    <w:rsid w:val="001A233B"/>
    <w:rsid w:val="001A2B25"/>
    <w:rsid w:val="001A331A"/>
    <w:rsid w:val="001A39C4"/>
    <w:rsid w:val="001A431E"/>
    <w:rsid w:val="001A492C"/>
    <w:rsid w:val="001A505B"/>
    <w:rsid w:val="001A59B4"/>
    <w:rsid w:val="001A68E3"/>
    <w:rsid w:val="001A7D1C"/>
    <w:rsid w:val="001B0858"/>
    <w:rsid w:val="001B0EA3"/>
    <w:rsid w:val="001B24C0"/>
    <w:rsid w:val="001B2FB6"/>
    <w:rsid w:val="001B3355"/>
    <w:rsid w:val="001B576E"/>
    <w:rsid w:val="001B5CDD"/>
    <w:rsid w:val="001B6064"/>
    <w:rsid w:val="001C0074"/>
    <w:rsid w:val="001C17A7"/>
    <w:rsid w:val="001C1F78"/>
    <w:rsid w:val="001C4222"/>
    <w:rsid w:val="001C4233"/>
    <w:rsid w:val="001C5685"/>
    <w:rsid w:val="001C5CF2"/>
    <w:rsid w:val="001C5E12"/>
    <w:rsid w:val="001C6313"/>
    <w:rsid w:val="001C646C"/>
    <w:rsid w:val="001C66D5"/>
    <w:rsid w:val="001C70D6"/>
    <w:rsid w:val="001C7FBF"/>
    <w:rsid w:val="001D094A"/>
    <w:rsid w:val="001D0B9C"/>
    <w:rsid w:val="001D180F"/>
    <w:rsid w:val="001D1A5F"/>
    <w:rsid w:val="001D32EF"/>
    <w:rsid w:val="001D3CB0"/>
    <w:rsid w:val="001D3D52"/>
    <w:rsid w:val="001D4132"/>
    <w:rsid w:val="001D4C0D"/>
    <w:rsid w:val="001D53E9"/>
    <w:rsid w:val="001D5B57"/>
    <w:rsid w:val="001D61A8"/>
    <w:rsid w:val="001D6B4D"/>
    <w:rsid w:val="001D7AFB"/>
    <w:rsid w:val="001E18DE"/>
    <w:rsid w:val="001E1BFD"/>
    <w:rsid w:val="001E25B5"/>
    <w:rsid w:val="001E2A4A"/>
    <w:rsid w:val="001E3003"/>
    <w:rsid w:val="001E34F7"/>
    <w:rsid w:val="001E3CB4"/>
    <w:rsid w:val="001E4F1C"/>
    <w:rsid w:val="001E555D"/>
    <w:rsid w:val="001E55DA"/>
    <w:rsid w:val="001E6125"/>
    <w:rsid w:val="001E6C46"/>
    <w:rsid w:val="001E70AE"/>
    <w:rsid w:val="001F09CF"/>
    <w:rsid w:val="001F09E3"/>
    <w:rsid w:val="001F17D8"/>
    <w:rsid w:val="001F27A9"/>
    <w:rsid w:val="001F39C0"/>
    <w:rsid w:val="001F3AE8"/>
    <w:rsid w:val="001F685F"/>
    <w:rsid w:val="001F699F"/>
    <w:rsid w:val="001F7352"/>
    <w:rsid w:val="002018AD"/>
    <w:rsid w:val="00201DE8"/>
    <w:rsid w:val="00201E02"/>
    <w:rsid w:val="00201FAF"/>
    <w:rsid w:val="00202AEE"/>
    <w:rsid w:val="00202B28"/>
    <w:rsid w:val="00202BED"/>
    <w:rsid w:val="00204A37"/>
    <w:rsid w:val="00205691"/>
    <w:rsid w:val="002057D2"/>
    <w:rsid w:val="00206641"/>
    <w:rsid w:val="00207988"/>
    <w:rsid w:val="00210832"/>
    <w:rsid w:val="00211929"/>
    <w:rsid w:val="00212A56"/>
    <w:rsid w:val="0021428C"/>
    <w:rsid w:val="00214F71"/>
    <w:rsid w:val="002160A2"/>
    <w:rsid w:val="0021760A"/>
    <w:rsid w:val="00217E62"/>
    <w:rsid w:val="0022013A"/>
    <w:rsid w:val="00220FD6"/>
    <w:rsid w:val="00221376"/>
    <w:rsid w:val="002237B1"/>
    <w:rsid w:val="00223928"/>
    <w:rsid w:val="0022442B"/>
    <w:rsid w:val="002245DB"/>
    <w:rsid w:val="00224C9B"/>
    <w:rsid w:val="002261D1"/>
    <w:rsid w:val="0022756B"/>
    <w:rsid w:val="002301B6"/>
    <w:rsid w:val="00230A73"/>
    <w:rsid w:val="00230F06"/>
    <w:rsid w:val="002312C3"/>
    <w:rsid w:val="00231347"/>
    <w:rsid w:val="002313AB"/>
    <w:rsid w:val="00232DC1"/>
    <w:rsid w:val="0023309F"/>
    <w:rsid w:val="00233637"/>
    <w:rsid w:val="00233A78"/>
    <w:rsid w:val="002342C9"/>
    <w:rsid w:val="002343C1"/>
    <w:rsid w:val="002369EE"/>
    <w:rsid w:val="00241022"/>
    <w:rsid w:val="00241EC0"/>
    <w:rsid w:val="0024234D"/>
    <w:rsid w:val="00244772"/>
    <w:rsid w:val="00245937"/>
    <w:rsid w:val="00247B62"/>
    <w:rsid w:val="002507F0"/>
    <w:rsid w:val="00250EA6"/>
    <w:rsid w:val="00251183"/>
    <w:rsid w:val="002527B4"/>
    <w:rsid w:val="00252B8B"/>
    <w:rsid w:val="00253672"/>
    <w:rsid w:val="00253C50"/>
    <w:rsid w:val="00253FB3"/>
    <w:rsid w:val="002559D2"/>
    <w:rsid w:val="002572CD"/>
    <w:rsid w:val="00260982"/>
    <w:rsid w:val="002627EF"/>
    <w:rsid w:val="00262B0F"/>
    <w:rsid w:val="00262E8D"/>
    <w:rsid w:val="00263466"/>
    <w:rsid w:val="00263D84"/>
    <w:rsid w:val="00265149"/>
    <w:rsid w:val="00265C13"/>
    <w:rsid w:val="002670C3"/>
    <w:rsid w:val="00271291"/>
    <w:rsid w:val="002722F8"/>
    <w:rsid w:val="002747BE"/>
    <w:rsid w:val="00274A3C"/>
    <w:rsid w:val="00274CEC"/>
    <w:rsid w:val="00274DF0"/>
    <w:rsid w:val="002752CC"/>
    <w:rsid w:val="002756F5"/>
    <w:rsid w:val="00276B49"/>
    <w:rsid w:val="00276B5D"/>
    <w:rsid w:val="00276F6E"/>
    <w:rsid w:val="002776C0"/>
    <w:rsid w:val="00280ACB"/>
    <w:rsid w:val="00280D7F"/>
    <w:rsid w:val="00281B4B"/>
    <w:rsid w:val="00282B44"/>
    <w:rsid w:val="002833F6"/>
    <w:rsid w:val="002839DE"/>
    <w:rsid w:val="002856C4"/>
    <w:rsid w:val="00285C93"/>
    <w:rsid w:val="00286B7B"/>
    <w:rsid w:val="00286C5F"/>
    <w:rsid w:val="00287DC8"/>
    <w:rsid w:val="002902EF"/>
    <w:rsid w:val="00291005"/>
    <w:rsid w:val="002917EA"/>
    <w:rsid w:val="0029185A"/>
    <w:rsid w:val="00292CA1"/>
    <w:rsid w:val="002935B8"/>
    <w:rsid w:val="0029383E"/>
    <w:rsid w:val="00294686"/>
    <w:rsid w:val="00296E29"/>
    <w:rsid w:val="00297A69"/>
    <w:rsid w:val="002A1507"/>
    <w:rsid w:val="002A150C"/>
    <w:rsid w:val="002A1714"/>
    <w:rsid w:val="002A1AED"/>
    <w:rsid w:val="002A3F82"/>
    <w:rsid w:val="002A4808"/>
    <w:rsid w:val="002A50BF"/>
    <w:rsid w:val="002A5390"/>
    <w:rsid w:val="002A6039"/>
    <w:rsid w:val="002A7867"/>
    <w:rsid w:val="002A7B02"/>
    <w:rsid w:val="002B0070"/>
    <w:rsid w:val="002B04BC"/>
    <w:rsid w:val="002B0AE4"/>
    <w:rsid w:val="002B12F4"/>
    <w:rsid w:val="002B242B"/>
    <w:rsid w:val="002B2925"/>
    <w:rsid w:val="002B50F8"/>
    <w:rsid w:val="002B51C0"/>
    <w:rsid w:val="002B52ED"/>
    <w:rsid w:val="002B5448"/>
    <w:rsid w:val="002B600A"/>
    <w:rsid w:val="002B6C26"/>
    <w:rsid w:val="002B7C8D"/>
    <w:rsid w:val="002C012F"/>
    <w:rsid w:val="002C0AED"/>
    <w:rsid w:val="002C2521"/>
    <w:rsid w:val="002C2750"/>
    <w:rsid w:val="002C32A0"/>
    <w:rsid w:val="002C3A2A"/>
    <w:rsid w:val="002C4208"/>
    <w:rsid w:val="002C4640"/>
    <w:rsid w:val="002C4EC9"/>
    <w:rsid w:val="002C5738"/>
    <w:rsid w:val="002C5AE7"/>
    <w:rsid w:val="002C61CD"/>
    <w:rsid w:val="002C71EC"/>
    <w:rsid w:val="002D0583"/>
    <w:rsid w:val="002D1DB2"/>
    <w:rsid w:val="002D27F3"/>
    <w:rsid w:val="002D2C16"/>
    <w:rsid w:val="002D3551"/>
    <w:rsid w:val="002D3C2F"/>
    <w:rsid w:val="002D5849"/>
    <w:rsid w:val="002D6313"/>
    <w:rsid w:val="002D6782"/>
    <w:rsid w:val="002D6E18"/>
    <w:rsid w:val="002D7857"/>
    <w:rsid w:val="002E06DB"/>
    <w:rsid w:val="002E12ED"/>
    <w:rsid w:val="002E316A"/>
    <w:rsid w:val="002E4011"/>
    <w:rsid w:val="002E53C2"/>
    <w:rsid w:val="002E5D8E"/>
    <w:rsid w:val="002E5E6D"/>
    <w:rsid w:val="002E6888"/>
    <w:rsid w:val="002E6EE2"/>
    <w:rsid w:val="002E6FD7"/>
    <w:rsid w:val="002E71DE"/>
    <w:rsid w:val="002E7A24"/>
    <w:rsid w:val="002E7D2E"/>
    <w:rsid w:val="002F0AE6"/>
    <w:rsid w:val="002F1326"/>
    <w:rsid w:val="002F1834"/>
    <w:rsid w:val="002F1A7B"/>
    <w:rsid w:val="002F2B82"/>
    <w:rsid w:val="002F5861"/>
    <w:rsid w:val="002F59C0"/>
    <w:rsid w:val="002F5C63"/>
    <w:rsid w:val="002F65EE"/>
    <w:rsid w:val="002F66D2"/>
    <w:rsid w:val="002F7E92"/>
    <w:rsid w:val="0030057E"/>
    <w:rsid w:val="00300CF9"/>
    <w:rsid w:val="003020F2"/>
    <w:rsid w:val="00302941"/>
    <w:rsid w:val="0030363B"/>
    <w:rsid w:val="00303B3D"/>
    <w:rsid w:val="00303C2C"/>
    <w:rsid w:val="00304682"/>
    <w:rsid w:val="0030518C"/>
    <w:rsid w:val="003059CD"/>
    <w:rsid w:val="003064CD"/>
    <w:rsid w:val="0030655E"/>
    <w:rsid w:val="00306CD8"/>
    <w:rsid w:val="0031181A"/>
    <w:rsid w:val="00312139"/>
    <w:rsid w:val="0031228A"/>
    <w:rsid w:val="00312300"/>
    <w:rsid w:val="003129D8"/>
    <w:rsid w:val="00312A42"/>
    <w:rsid w:val="00317806"/>
    <w:rsid w:val="00317928"/>
    <w:rsid w:val="00317D7A"/>
    <w:rsid w:val="00317EEB"/>
    <w:rsid w:val="003226A2"/>
    <w:rsid w:val="00323681"/>
    <w:rsid w:val="0032443C"/>
    <w:rsid w:val="00324585"/>
    <w:rsid w:val="003268EE"/>
    <w:rsid w:val="003269B8"/>
    <w:rsid w:val="00330039"/>
    <w:rsid w:val="00330223"/>
    <w:rsid w:val="00330AEF"/>
    <w:rsid w:val="0033287A"/>
    <w:rsid w:val="00332C62"/>
    <w:rsid w:val="00332D66"/>
    <w:rsid w:val="00334819"/>
    <w:rsid w:val="00335112"/>
    <w:rsid w:val="003359CA"/>
    <w:rsid w:val="00336262"/>
    <w:rsid w:val="00336796"/>
    <w:rsid w:val="00336E4A"/>
    <w:rsid w:val="003371CB"/>
    <w:rsid w:val="00337F13"/>
    <w:rsid w:val="0034077A"/>
    <w:rsid w:val="00343EF0"/>
    <w:rsid w:val="0034529C"/>
    <w:rsid w:val="003456D7"/>
    <w:rsid w:val="00346B99"/>
    <w:rsid w:val="003473B6"/>
    <w:rsid w:val="00347867"/>
    <w:rsid w:val="00347AD3"/>
    <w:rsid w:val="00351360"/>
    <w:rsid w:val="003528F9"/>
    <w:rsid w:val="00352E88"/>
    <w:rsid w:val="003539BA"/>
    <w:rsid w:val="00354386"/>
    <w:rsid w:val="00354B30"/>
    <w:rsid w:val="00355DE5"/>
    <w:rsid w:val="0035756C"/>
    <w:rsid w:val="0036048D"/>
    <w:rsid w:val="00360FBC"/>
    <w:rsid w:val="00361928"/>
    <w:rsid w:val="00362751"/>
    <w:rsid w:val="0036308D"/>
    <w:rsid w:val="00363483"/>
    <w:rsid w:val="00363EA1"/>
    <w:rsid w:val="0036512C"/>
    <w:rsid w:val="00371374"/>
    <w:rsid w:val="00371AEC"/>
    <w:rsid w:val="003723FB"/>
    <w:rsid w:val="00372728"/>
    <w:rsid w:val="00374C3F"/>
    <w:rsid w:val="00375E2C"/>
    <w:rsid w:val="003808B5"/>
    <w:rsid w:val="00380CA5"/>
    <w:rsid w:val="0038208B"/>
    <w:rsid w:val="00382E87"/>
    <w:rsid w:val="00383300"/>
    <w:rsid w:val="003846D9"/>
    <w:rsid w:val="003847A1"/>
    <w:rsid w:val="00385092"/>
    <w:rsid w:val="003878E8"/>
    <w:rsid w:val="0039003A"/>
    <w:rsid w:val="00393E97"/>
    <w:rsid w:val="00394B13"/>
    <w:rsid w:val="00395BBC"/>
    <w:rsid w:val="00395EEE"/>
    <w:rsid w:val="003963E2"/>
    <w:rsid w:val="00396449"/>
    <w:rsid w:val="00396CCC"/>
    <w:rsid w:val="0039720D"/>
    <w:rsid w:val="003A008F"/>
    <w:rsid w:val="003A172A"/>
    <w:rsid w:val="003A1ABF"/>
    <w:rsid w:val="003A2A18"/>
    <w:rsid w:val="003A2D11"/>
    <w:rsid w:val="003A2F89"/>
    <w:rsid w:val="003A3FE6"/>
    <w:rsid w:val="003A46CB"/>
    <w:rsid w:val="003A4E64"/>
    <w:rsid w:val="003A654F"/>
    <w:rsid w:val="003A661D"/>
    <w:rsid w:val="003A6D75"/>
    <w:rsid w:val="003A6E1A"/>
    <w:rsid w:val="003A7B1F"/>
    <w:rsid w:val="003A7BD7"/>
    <w:rsid w:val="003B0E03"/>
    <w:rsid w:val="003B177F"/>
    <w:rsid w:val="003B1C2F"/>
    <w:rsid w:val="003B2F5E"/>
    <w:rsid w:val="003B3220"/>
    <w:rsid w:val="003B3807"/>
    <w:rsid w:val="003B4210"/>
    <w:rsid w:val="003B4E28"/>
    <w:rsid w:val="003B7BE2"/>
    <w:rsid w:val="003C08AE"/>
    <w:rsid w:val="003C3613"/>
    <w:rsid w:val="003C3C80"/>
    <w:rsid w:val="003C4034"/>
    <w:rsid w:val="003C467B"/>
    <w:rsid w:val="003C4B11"/>
    <w:rsid w:val="003C562F"/>
    <w:rsid w:val="003C5700"/>
    <w:rsid w:val="003C64FE"/>
    <w:rsid w:val="003C6A63"/>
    <w:rsid w:val="003D069D"/>
    <w:rsid w:val="003D144D"/>
    <w:rsid w:val="003D33A5"/>
    <w:rsid w:val="003D4893"/>
    <w:rsid w:val="003D4D39"/>
    <w:rsid w:val="003D62F7"/>
    <w:rsid w:val="003D6557"/>
    <w:rsid w:val="003D6DC2"/>
    <w:rsid w:val="003D79C5"/>
    <w:rsid w:val="003E0720"/>
    <w:rsid w:val="003E11C5"/>
    <w:rsid w:val="003E148A"/>
    <w:rsid w:val="003E1F28"/>
    <w:rsid w:val="003E2B4E"/>
    <w:rsid w:val="003E3132"/>
    <w:rsid w:val="003E33E1"/>
    <w:rsid w:val="003E368A"/>
    <w:rsid w:val="003E47CE"/>
    <w:rsid w:val="003E5DED"/>
    <w:rsid w:val="003E65F0"/>
    <w:rsid w:val="003E73D1"/>
    <w:rsid w:val="003E7441"/>
    <w:rsid w:val="003F03C4"/>
    <w:rsid w:val="003F0985"/>
    <w:rsid w:val="003F1050"/>
    <w:rsid w:val="003F1455"/>
    <w:rsid w:val="003F1C22"/>
    <w:rsid w:val="003F2132"/>
    <w:rsid w:val="003F22F5"/>
    <w:rsid w:val="003F38C8"/>
    <w:rsid w:val="003F3AA9"/>
    <w:rsid w:val="003F406F"/>
    <w:rsid w:val="003F4B0F"/>
    <w:rsid w:val="003F54D5"/>
    <w:rsid w:val="003F5CC9"/>
    <w:rsid w:val="003F639A"/>
    <w:rsid w:val="003F7EB3"/>
    <w:rsid w:val="00401AE7"/>
    <w:rsid w:val="00402107"/>
    <w:rsid w:val="004026FF"/>
    <w:rsid w:val="00402703"/>
    <w:rsid w:val="004040BB"/>
    <w:rsid w:val="00404B64"/>
    <w:rsid w:val="004065A3"/>
    <w:rsid w:val="00406F35"/>
    <w:rsid w:val="00407424"/>
    <w:rsid w:val="00407745"/>
    <w:rsid w:val="00411B49"/>
    <w:rsid w:val="00412E1C"/>
    <w:rsid w:val="004131D4"/>
    <w:rsid w:val="00413432"/>
    <w:rsid w:val="004140B5"/>
    <w:rsid w:val="004154B4"/>
    <w:rsid w:val="00415B29"/>
    <w:rsid w:val="00415C91"/>
    <w:rsid w:val="004175EA"/>
    <w:rsid w:val="00420351"/>
    <w:rsid w:val="0042136E"/>
    <w:rsid w:val="00422680"/>
    <w:rsid w:val="00422808"/>
    <w:rsid w:val="00423DCE"/>
    <w:rsid w:val="00425384"/>
    <w:rsid w:val="004261FC"/>
    <w:rsid w:val="00426EE2"/>
    <w:rsid w:val="00427330"/>
    <w:rsid w:val="00432674"/>
    <w:rsid w:val="00432AA8"/>
    <w:rsid w:val="00432AB9"/>
    <w:rsid w:val="00432F2F"/>
    <w:rsid w:val="00433718"/>
    <w:rsid w:val="00433D2F"/>
    <w:rsid w:val="00434176"/>
    <w:rsid w:val="004347A6"/>
    <w:rsid w:val="00434991"/>
    <w:rsid w:val="00435673"/>
    <w:rsid w:val="00435D32"/>
    <w:rsid w:val="0043703F"/>
    <w:rsid w:val="00437099"/>
    <w:rsid w:val="00437957"/>
    <w:rsid w:val="00441D71"/>
    <w:rsid w:val="004433E5"/>
    <w:rsid w:val="00445AB1"/>
    <w:rsid w:val="0044605B"/>
    <w:rsid w:val="00450AC8"/>
    <w:rsid w:val="0045193A"/>
    <w:rsid w:val="00452D77"/>
    <w:rsid w:val="004532DB"/>
    <w:rsid w:val="00453EF1"/>
    <w:rsid w:val="00454843"/>
    <w:rsid w:val="00455164"/>
    <w:rsid w:val="0045519B"/>
    <w:rsid w:val="00455848"/>
    <w:rsid w:val="004567E9"/>
    <w:rsid w:val="004575B3"/>
    <w:rsid w:val="00457EE8"/>
    <w:rsid w:val="00460AFE"/>
    <w:rsid w:val="00461068"/>
    <w:rsid w:val="00462DAE"/>
    <w:rsid w:val="00463533"/>
    <w:rsid w:val="004635F1"/>
    <w:rsid w:val="00463E16"/>
    <w:rsid w:val="004645D1"/>
    <w:rsid w:val="00464B54"/>
    <w:rsid w:val="00465B2A"/>
    <w:rsid w:val="00465F8F"/>
    <w:rsid w:val="00467786"/>
    <w:rsid w:val="00467D34"/>
    <w:rsid w:val="004708A7"/>
    <w:rsid w:val="004708F0"/>
    <w:rsid w:val="00470ADF"/>
    <w:rsid w:val="00473E7C"/>
    <w:rsid w:val="00474918"/>
    <w:rsid w:val="00474979"/>
    <w:rsid w:val="00475AE4"/>
    <w:rsid w:val="00475F34"/>
    <w:rsid w:val="00475FF6"/>
    <w:rsid w:val="004763E6"/>
    <w:rsid w:val="004775EA"/>
    <w:rsid w:val="0047773B"/>
    <w:rsid w:val="00480194"/>
    <w:rsid w:val="004801C5"/>
    <w:rsid w:val="00481DD7"/>
    <w:rsid w:val="00481DF4"/>
    <w:rsid w:val="00482E5F"/>
    <w:rsid w:val="004841AD"/>
    <w:rsid w:val="0048556B"/>
    <w:rsid w:val="004857AC"/>
    <w:rsid w:val="00485978"/>
    <w:rsid w:val="00485DD1"/>
    <w:rsid w:val="00486014"/>
    <w:rsid w:val="004863F8"/>
    <w:rsid w:val="004865DE"/>
    <w:rsid w:val="00486AC0"/>
    <w:rsid w:val="00486FBA"/>
    <w:rsid w:val="00487DD2"/>
    <w:rsid w:val="0049003B"/>
    <w:rsid w:val="004906F9"/>
    <w:rsid w:val="00490976"/>
    <w:rsid w:val="00490BEB"/>
    <w:rsid w:val="00491FBF"/>
    <w:rsid w:val="00492095"/>
    <w:rsid w:val="0049225F"/>
    <w:rsid w:val="00492374"/>
    <w:rsid w:val="004927E0"/>
    <w:rsid w:val="004929B6"/>
    <w:rsid w:val="004949D8"/>
    <w:rsid w:val="00494E52"/>
    <w:rsid w:val="004951C6"/>
    <w:rsid w:val="00496431"/>
    <w:rsid w:val="004972D3"/>
    <w:rsid w:val="004A02FC"/>
    <w:rsid w:val="004A1A73"/>
    <w:rsid w:val="004A2680"/>
    <w:rsid w:val="004A301E"/>
    <w:rsid w:val="004A3033"/>
    <w:rsid w:val="004A3214"/>
    <w:rsid w:val="004A53BF"/>
    <w:rsid w:val="004A57AF"/>
    <w:rsid w:val="004A7C12"/>
    <w:rsid w:val="004A7FEB"/>
    <w:rsid w:val="004B20F8"/>
    <w:rsid w:val="004B283D"/>
    <w:rsid w:val="004B3424"/>
    <w:rsid w:val="004B455B"/>
    <w:rsid w:val="004B569A"/>
    <w:rsid w:val="004B5B1B"/>
    <w:rsid w:val="004B7006"/>
    <w:rsid w:val="004C0731"/>
    <w:rsid w:val="004C2F9B"/>
    <w:rsid w:val="004C64B2"/>
    <w:rsid w:val="004C67D0"/>
    <w:rsid w:val="004C729D"/>
    <w:rsid w:val="004C7A63"/>
    <w:rsid w:val="004C7E01"/>
    <w:rsid w:val="004D2E42"/>
    <w:rsid w:val="004D5226"/>
    <w:rsid w:val="004D5453"/>
    <w:rsid w:val="004D5F7C"/>
    <w:rsid w:val="004D60AB"/>
    <w:rsid w:val="004D6169"/>
    <w:rsid w:val="004D6619"/>
    <w:rsid w:val="004E0D77"/>
    <w:rsid w:val="004E11DE"/>
    <w:rsid w:val="004E129D"/>
    <w:rsid w:val="004E3664"/>
    <w:rsid w:val="004E4360"/>
    <w:rsid w:val="004E4D99"/>
    <w:rsid w:val="004E4E5B"/>
    <w:rsid w:val="004E5218"/>
    <w:rsid w:val="004E58B1"/>
    <w:rsid w:val="004E6AC3"/>
    <w:rsid w:val="004E6B25"/>
    <w:rsid w:val="004E733C"/>
    <w:rsid w:val="004E7B09"/>
    <w:rsid w:val="004F0F1C"/>
    <w:rsid w:val="004F1847"/>
    <w:rsid w:val="004F271F"/>
    <w:rsid w:val="004F2EF0"/>
    <w:rsid w:val="004F4B55"/>
    <w:rsid w:val="004F5B73"/>
    <w:rsid w:val="00500E4B"/>
    <w:rsid w:val="00500FCE"/>
    <w:rsid w:val="005039D7"/>
    <w:rsid w:val="005050F2"/>
    <w:rsid w:val="0050572A"/>
    <w:rsid w:val="00505796"/>
    <w:rsid w:val="005061BD"/>
    <w:rsid w:val="00506C5E"/>
    <w:rsid w:val="00510940"/>
    <w:rsid w:val="0051224E"/>
    <w:rsid w:val="005126D5"/>
    <w:rsid w:val="00515071"/>
    <w:rsid w:val="005156AA"/>
    <w:rsid w:val="00516C2C"/>
    <w:rsid w:val="00517BA3"/>
    <w:rsid w:val="00520778"/>
    <w:rsid w:val="00521B2C"/>
    <w:rsid w:val="00521FDB"/>
    <w:rsid w:val="00523E88"/>
    <w:rsid w:val="00525B84"/>
    <w:rsid w:val="00526D0C"/>
    <w:rsid w:val="005273D0"/>
    <w:rsid w:val="00531419"/>
    <w:rsid w:val="005319AB"/>
    <w:rsid w:val="00531FA0"/>
    <w:rsid w:val="005323C9"/>
    <w:rsid w:val="00533566"/>
    <w:rsid w:val="005337C0"/>
    <w:rsid w:val="00534AE5"/>
    <w:rsid w:val="00534B04"/>
    <w:rsid w:val="00535879"/>
    <w:rsid w:val="00535B6D"/>
    <w:rsid w:val="005362F7"/>
    <w:rsid w:val="0053698A"/>
    <w:rsid w:val="00536B4B"/>
    <w:rsid w:val="005370F6"/>
    <w:rsid w:val="00541DD3"/>
    <w:rsid w:val="005427FF"/>
    <w:rsid w:val="0054449B"/>
    <w:rsid w:val="00544C69"/>
    <w:rsid w:val="00544D8A"/>
    <w:rsid w:val="0054508F"/>
    <w:rsid w:val="005451F2"/>
    <w:rsid w:val="00546388"/>
    <w:rsid w:val="00547214"/>
    <w:rsid w:val="0054750F"/>
    <w:rsid w:val="00547B0E"/>
    <w:rsid w:val="00550671"/>
    <w:rsid w:val="00550AF5"/>
    <w:rsid w:val="00552BC6"/>
    <w:rsid w:val="00552F7D"/>
    <w:rsid w:val="005547D1"/>
    <w:rsid w:val="0055509D"/>
    <w:rsid w:val="0055554D"/>
    <w:rsid w:val="005579F9"/>
    <w:rsid w:val="00557D2C"/>
    <w:rsid w:val="00557E44"/>
    <w:rsid w:val="0056039D"/>
    <w:rsid w:val="005634DC"/>
    <w:rsid w:val="0056359A"/>
    <w:rsid w:val="00563E3C"/>
    <w:rsid w:val="005640CD"/>
    <w:rsid w:val="00564816"/>
    <w:rsid w:val="00564D15"/>
    <w:rsid w:val="00564DEB"/>
    <w:rsid w:val="005650DB"/>
    <w:rsid w:val="0056549E"/>
    <w:rsid w:val="0056581C"/>
    <w:rsid w:val="00565E5A"/>
    <w:rsid w:val="00566058"/>
    <w:rsid w:val="00567258"/>
    <w:rsid w:val="00570195"/>
    <w:rsid w:val="005701F8"/>
    <w:rsid w:val="005705B3"/>
    <w:rsid w:val="00571F98"/>
    <w:rsid w:val="00572766"/>
    <w:rsid w:val="00574DFF"/>
    <w:rsid w:val="0057635A"/>
    <w:rsid w:val="005765CE"/>
    <w:rsid w:val="00576C62"/>
    <w:rsid w:val="00576E79"/>
    <w:rsid w:val="0057798F"/>
    <w:rsid w:val="00577E96"/>
    <w:rsid w:val="00580A6C"/>
    <w:rsid w:val="0058155E"/>
    <w:rsid w:val="00581E9F"/>
    <w:rsid w:val="005820AF"/>
    <w:rsid w:val="00584BF1"/>
    <w:rsid w:val="00585355"/>
    <w:rsid w:val="00586553"/>
    <w:rsid w:val="00587CEF"/>
    <w:rsid w:val="00592E2D"/>
    <w:rsid w:val="00592F45"/>
    <w:rsid w:val="00594640"/>
    <w:rsid w:val="005951F9"/>
    <w:rsid w:val="0059726C"/>
    <w:rsid w:val="00597C87"/>
    <w:rsid w:val="00597E5F"/>
    <w:rsid w:val="005A1186"/>
    <w:rsid w:val="005A15A4"/>
    <w:rsid w:val="005A1677"/>
    <w:rsid w:val="005A19AE"/>
    <w:rsid w:val="005A1E95"/>
    <w:rsid w:val="005A1FB6"/>
    <w:rsid w:val="005A3A05"/>
    <w:rsid w:val="005A5A03"/>
    <w:rsid w:val="005A5DE1"/>
    <w:rsid w:val="005A6368"/>
    <w:rsid w:val="005A6958"/>
    <w:rsid w:val="005B0D01"/>
    <w:rsid w:val="005B1D94"/>
    <w:rsid w:val="005B1FAA"/>
    <w:rsid w:val="005B202F"/>
    <w:rsid w:val="005B2646"/>
    <w:rsid w:val="005B3B7D"/>
    <w:rsid w:val="005B4527"/>
    <w:rsid w:val="005B45F8"/>
    <w:rsid w:val="005B4A62"/>
    <w:rsid w:val="005B5604"/>
    <w:rsid w:val="005B587F"/>
    <w:rsid w:val="005B5AF7"/>
    <w:rsid w:val="005B726A"/>
    <w:rsid w:val="005C0010"/>
    <w:rsid w:val="005C0115"/>
    <w:rsid w:val="005C0E82"/>
    <w:rsid w:val="005C188C"/>
    <w:rsid w:val="005C2F01"/>
    <w:rsid w:val="005C4631"/>
    <w:rsid w:val="005C49B5"/>
    <w:rsid w:val="005C4BF3"/>
    <w:rsid w:val="005C6E66"/>
    <w:rsid w:val="005D01A4"/>
    <w:rsid w:val="005D13E1"/>
    <w:rsid w:val="005D284F"/>
    <w:rsid w:val="005D45C5"/>
    <w:rsid w:val="005D4D35"/>
    <w:rsid w:val="005D5F63"/>
    <w:rsid w:val="005D77A4"/>
    <w:rsid w:val="005E12E1"/>
    <w:rsid w:val="005E1442"/>
    <w:rsid w:val="005E1686"/>
    <w:rsid w:val="005E1DAA"/>
    <w:rsid w:val="005E2C89"/>
    <w:rsid w:val="005E2D20"/>
    <w:rsid w:val="005E2E71"/>
    <w:rsid w:val="005E3527"/>
    <w:rsid w:val="005E3763"/>
    <w:rsid w:val="005E457D"/>
    <w:rsid w:val="005E698E"/>
    <w:rsid w:val="005E71DF"/>
    <w:rsid w:val="005F1E3C"/>
    <w:rsid w:val="005F24EE"/>
    <w:rsid w:val="005F258C"/>
    <w:rsid w:val="005F3D01"/>
    <w:rsid w:val="005F48C1"/>
    <w:rsid w:val="005F5685"/>
    <w:rsid w:val="005F5C96"/>
    <w:rsid w:val="005F6EE3"/>
    <w:rsid w:val="005F769D"/>
    <w:rsid w:val="005F789B"/>
    <w:rsid w:val="00600C83"/>
    <w:rsid w:val="00601DCB"/>
    <w:rsid w:val="00602289"/>
    <w:rsid w:val="00604AF7"/>
    <w:rsid w:val="006056AB"/>
    <w:rsid w:val="00606251"/>
    <w:rsid w:val="006068DB"/>
    <w:rsid w:val="006102BD"/>
    <w:rsid w:val="006104CE"/>
    <w:rsid w:val="00610F59"/>
    <w:rsid w:val="00611711"/>
    <w:rsid w:val="006120B4"/>
    <w:rsid w:val="006128E4"/>
    <w:rsid w:val="00612B00"/>
    <w:rsid w:val="00612B86"/>
    <w:rsid w:val="00612C13"/>
    <w:rsid w:val="006132C9"/>
    <w:rsid w:val="006134A6"/>
    <w:rsid w:val="006138A8"/>
    <w:rsid w:val="00613BBC"/>
    <w:rsid w:val="00614284"/>
    <w:rsid w:val="00614525"/>
    <w:rsid w:val="006162BF"/>
    <w:rsid w:val="006168DD"/>
    <w:rsid w:val="00616C09"/>
    <w:rsid w:val="0061774F"/>
    <w:rsid w:val="0062115C"/>
    <w:rsid w:val="00621431"/>
    <w:rsid w:val="0062176A"/>
    <w:rsid w:val="00621886"/>
    <w:rsid w:val="00622F31"/>
    <w:rsid w:val="00623F3C"/>
    <w:rsid w:val="00623F4D"/>
    <w:rsid w:val="00624D53"/>
    <w:rsid w:val="0062614F"/>
    <w:rsid w:val="006307DF"/>
    <w:rsid w:val="00630B4C"/>
    <w:rsid w:val="00630C97"/>
    <w:rsid w:val="00630D51"/>
    <w:rsid w:val="00631077"/>
    <w:rsid w:val="00631086"/>
    <w:rsid w:val="00631A93"/>
    <w:rsid w:val="00632FAF"/>
    <w:rsid w:val="00633236"/>
    <w:rsid w:val="00633C99"/>
    <w:rsid w:val="00634B8C"/>
    <w:rsid w:val="006350C4"/>
    <w:rsid w:val="006354E3"/>
    <w:rsid w:val="0063574C"/>
    <w:rsid w:val="00635D0D"/>
    <w:rsid w:val="00636177"/>
    <w:rsid w:val="006363C6"/>
    <w:rsid w:val="006367C8"/>
    <w:rsid w:val="00640FBC"/>
    <w:rsid w:val="006424B2"/>
    <w:rsid w:val="006424EC"/>
    <w:rsid w:val="00642674"/>
    <w:rsid w:val="006467FA"/>
    <w:rsid w:val="00646C20"/>
    <w:rsid w:val="00650E9B"/>
    <w:rsid w:val="00651139"/>
    <w:rsid w:val="006522AD"/>
    <w:rsid w:val="00652AAC"/>
    <w:rsid w:val="0065378D"/>
    <w:rsid w:val="00654BC0"/>
    <w:rsid w:val="006554E1"/>
    <w:rsid w:val="006559BF"/>
    <w:rsid w:val="006568AB"/>
    <w:rsid w:val="00661A2E"/>
    <w:rsid w:val="006636FE"/>
    <w:rsid w:val="006651AD"/>
    <w:rsid w:val="00665655"/>
    <w:rsid w:val="00666188"/>
    <w:rsid w:val="006670CA"/>
    <w:rsid w:val="006673E5"/>
    <w:rsid w:val="006716F6"/>
    <w:rsid w:val="00671C3D"/>
    <w:rsid w:val="00673A91"/>
    <w:rsid w:val="006741AC"/>
    <w:rsid w:val="00676294"/>
    <w:rsid w:val="006767BE"/>
    <w:rsid w:val="006807DE"/>
    <w:rsid w:val="0068122A"/>
    <w:rsid w:val="00681609"/>
    <w:rsid w:val="006817E6"/>
    <w:rsid w:val="00681A4E"/>
    <w:rsid w:val="00682ABF"/>
    <w:rsid w:val="00682DAA"/>
    <w:rsid w:val="006838CD"/>
    <w:rsid w:val="00683A73"/>
    <w:rsid w:val="00683DD3"/>
    <w:rsid w:val="00683E8F"/>
    <w:rsid w:val="00683EC4"/>
    <w:rsid w:val="00684775"/>
    <w:rsid w:val="0068492C"/>
    <w:rsid w:val="00686A13"/>
    <w:rsid w:val="00686B6F"/>
    <w:rsid w:val="00686F6B"/>
    <w:rsid w:val="00686FF6"/>
    <w:rsid w:val="00687591"/>
    <w:rsid w:val="006877A2"/>
    <w:rsid w:val="00690AA8"/>
    <w:rsid w:val="00690D93"/>
    <w:rsid w:val="006918B9"/>
    <w:rsid w:val="00691C57"/>
    <w:rsid w:val="006920F8"/>
    <w:rsid w:val="00692BBA"/>
    <w:rsid w:val="00692FCC"/>
    <w:rsid w:val="00693549"/>
    <w:rsid w:val="00693D31"/>
    <w:rsid w:val="00693DD8"/>
    <w:rsid w:val="00694E62"/>
    <w:rsid w:val="00694F5E"/>
    <w:rsid w:val="0069514E"/>
    <w:rsid w:val="00695BB1"/>
    <w:rsid w:val="006965D6"/>
    <w:rsid w:val="00696984"/>
    <w:rsid w:val="0069719E"/>
    <w:rsid w:val="00697CDF"/>
    <w:rsid w:val="006A004D"/>
    <w:rsid w:val="006A110D"/>
    <w:rsid w:val="006A22EB"/>
    <w:rsid w:val="006A3342"/>
    <w:rsid w:val="006A3353"/>
    <w:rsid w:val="006A377F"/>
    <w:rsid w:val="006A37F0"/>
    <w:rsid w:val="006A440D"/>
    <w:rsid w:val="006A4B2B"/>
    <w:rsid w:val="006A5A48"/>
    <w:rsid w:val="006B0D66"/>
    <w:rsid w:val="006B0DDE"/>
    <w:rsid w:val="006B140C"/>
    <w:rsid w:val="006B1570"/>
    <w:rsid w:val="006B1CDF"/>
    <w:rsid w:val="006B276E"/>
    <w:rsid w:val="006B3299"/>
    <w:rsid w:val="006B3CF4"/>
    <w:rsid w:val="006B412F"/>
    <w:rsid w:val="006B4711"/>
    <w:rsid w:val="006B59EB"/>
    <w:rsid w:val="006C08FA"/>
    <w:rsid w:val="006C1434"/>
    <w:rsid w:val="006C19F1"/>
    <w:rsid w:val="006C2AFB"/>
    <w:rsid w:val="006C377B"/>
    <w:rsid w:val="006C424B"/>
    <w:rsid w:val="006C4CD2"/>
    <w:rsid w:val="006C54F8"/>
    <w:rsid w:val="006C6E50"/>
    <w:rsid w:val="006C70B6"/>
    <w:rsid w:val="006C7BA5"/>
    <w:rsid w:val="006D06DA"/>
    <w:rsid w:val="006D0FDF"/>
    <w:rsid w:val="006D1D47"/>
    <w:rsid w:val="006D362A"/>
    <w:rsid w:val="006D3C70"/>
    <w:rsid w:val="006D3F0F"/>
    <w:rsid w:val="006D4D99"/>
    <w:rsid w:val="006D4E02"/>
    <w:rsid w:val="006D569D"/>
    <w:rsid w:val="006D6502"/>
    <w:rsid w:val="006D665E"/>
    <w:rsid w:val="006D670A"/>
    <w:rsid w:val="006D671E"/>
    <w:rsid w:val="006D69B0"/>
    <w:rsid w:val="006D7095"/>
    <w:rsid w:val="006D7149"/>
    <w:rsid w:val="006E07BD"/>
    <w:rsid w:val="006E0D3C"/>
    <w:rsid w:val="006E1361"/>
    <w:rsid w:val="006E171E"/>
    <w:rsid w:val="006E1E51"/>
    <w:rsid w:val="006E2835"/>
    <w:rsid w:val="006E2D5F"/>
    <w:rsid w:val="006E2E2E"/>
    <w:rsid w:val="006E3CDF"/>
    <w:rsid w:val="006E404F"/>
    <w:rsid w:val="006E4250"/>
    <w:rsid w:val="006E5C72"/>
    <w:rsid w:val="006E6149"/>
    <w:rsid w:val="006E69F2"/>
    <w:rsid w:val="006E7458"/>
    <w:rsid w:val="006E7AC5"/>
    <w:rsid w:val="006F2FFB"/>
    <w:rsid w:val="006F39FF"/>
    <w:rsid w:val="006F45CB"/>
    <w:rsid w:val="006F6C85"/>
    <w:rsid w:val="00700F6A"/>
    <w:rsid w:val="00703013"/>
    <w:rsid w:val="007039A4"/>
    <w:rsid w:val="00704762"/>
    <w:rsid w:val="00704E97"/>
    <w:rsid w:val="00704E9D"/>
    <w:rsid w:val="0070529C"/>
    <w:rsid w:val="00705542"/>
    <w:rsid w:val="007116C6"/>
    <w:rsid w:val="00711ACE"/>
    <w:rsid w:val="007124BF"/>
    <w:rsid w:val="007132C9"/>
    <w:rsid w:val="00713713"/>
    <w:rsid w:val="00713E93"/>
    <w:rsid w:val="0071416F"/>
    <w:rsid w:val="00716243"/>
    <w:rsid w:val="007175F5"/>
    <w:rsid w:val="00717CB7"/>
    <w:rsid w:val="00717DFE"/>
    <w:rsid w:val="00717EA3"/>
    <w:rsid w:val="007219D8"/>
    <w:rsid w:val="00722A1C"/>
    <w:rsid w:val="00722F53"/>
    <w:rsid w:val="0072725E"/>
    <w:rsid w:val="007311CD"/>
    <w:rsid w:val="007328F6"/>
    <w:rsid w:val="00733618"/>
    <w:rsid w:val="00733C11"/>
    <w:rsid w:val="00733FCE"/>
    <w:rsid w:val="007341D7"/>
    <w:rsid w:val="00734C16"/>
    <w:rsid w:val="00735983"/>
    <w:rsid w:val="00735CBB"/>
    <w:rsid w:val="00736863"/>
    <w:rsid w:val="00736A42"/>
    <w:rsid w:val="00736CB5"/>
    <w:rsid w:val="00737483"/>
    <w:rsid w:val="00737AE6"/>
    <w:rsid w:val="00737DCB"/>
    <w:rsid w:val="0074054C"/>
    <w:rsid w:val="00740879"/>
    <w:rsid w:val="0074235E"/>
    <w:rsid w:val="0074241B"/>
    <w:rsid w:val="00742A1E"/>
    <w:rsid w:val="007438BB"/>
    <w:rsid w:val="00744A84"/>
    <w:rsid w:val="0074571F"/>
    <w:rsid w:val="00745F97"/>
    <w:rsid w:val="00746700"/>
    <w:rsid w:val="00747A66"/>
    <w:rsid w:val="00750FE6"/>
    <w:rsid w:val="00751EDC"/>
    <w:rsid w:val="007522EC"/>
    <w:rsid w:val="00753411"/>
    <w:rsid w:val="00753595"/>
    <w:rsid w:val="0075460C"/>
    <w:rsid w:val="007549B8"/>
    <w:rsid w:val="00754D2C"/>
    <w:rsid w:val="007550B9"/>
    <w:rsid w:val="00756751"/>
    <w:rsid w:val="00757F37"/>
    <w:rsid w:val="0076050E"/>
    <w:rsid w:val="007605DB"/>
    <w:rsid w:val="00760906"/>
    <w:rsid w:val="00761C07"/>
    <w:rsid w:val="00761CCF"/>
    <w:rsid w:val="00762115"/>
    <w:rsid w:val="0076225C"/>
    <w:rsid w:val="007627EA"/>
    <w:rsid w:val="007628D2"/>
    <w:rsid w:val="00763F0F"/>
    <w:rsid w:val="00764422"/>
    <w:rsid w:val="007650D2"/>
    <w:rsid w:val="00765ACE"/>
    <w:rsid w:val="00765D86"/>
    <w:rsid w:val="00767111"/>
    <w:rsid w:val="00772715"/>
    <w:rsid w:val="00772F4D"/>
    <w:rsid w:val="00773BF4"/>
    <w:rsid w:val="0077447D"/>
    <w:rsid w:val="00774792"/>
    <w:rsid w:val="00774A69"/>
    <w:rsid w:val="00774BD3"/>
    <w:rsid w:val="00775908"/>
    <w:rsid w:val="00776AA3"/>
    <w:rsid w:val="00777D88"/>
    <w:rsid w:val="0078065F"/>
    <w:rsid w:val="00780A84"/>
    <w:rsid w:val="007810AD"/>
    <w:rsid w:val="00781C0B"/>
    <w:rsid w:val="00782712"/>
    <w:rsid w:val="00783190"/>
    <w:rsid w:val="007844DC"/>
    <w:rsid w:val="007847BE"/>
    <w:rsid w:val="007849A0"/>
    <w:rsid w:val="00784A87"/>
    <w:rsid w:val="00785FB9"/>
    <w:rsid w:val="0078620C"/>
    <w:rsid w:val="00786703"/>
    <w:rsid w:val="0078732B"/>
    <w:rsid w:val="00787CA5"/>
    <w:rsid w:val="00787D81"/>
    <w:rsid w:val="00787EDB"/>
    <w:rsid w:val="0079069A"/>
    <w:rsid w:val="007907A4"/>
    <w:rsid w:val="0079114E"/>
    <w:rsid w:val="00792C42"/>
    <w:rsid w:val="007931AC"/>
    <w:rsid w:val="007949C4"/>
    <w:rsid w:val="00795BC4"/>
    <w:rsid w:val="00796596"/>
    <w:rsid w:val="00797A58"/>
    <w:rsid w:val="007A0374"/>
    <w:rsid w:val="007A0C07"/>
    <w:rsid w:val="007A1EEF"/>
    <w:rsid w:val="007A299E"/>
    <w:rsid w:val="007A2A0B"/>
    <w:rsid w:val="007A36DC"/>
    <w:rsid w:val="007A3FF1"/>
    <w:rsid w:val="007A4349"/>
    <w:rsid w:val="007A5A76"/>
    <w:rsid w:val="007A5B78"/>
    <w:rsid w:val="007A67F9"/>
    <w:rsid w:val="007B05E9"/>
    <w:rsid w:val="007B0B18"/>
    <w:rsid w:val="007B0CAB"/>
    <w:rsid w:val="007B0D1B"/>
    <w:rsid w:val="007B2B34"/>
    <w:rsid w:val="007B3A2D"/>
    <w:rsid w:val="007B3E09"/>
    <w:rsid w:val="007B40CE"/>
    <w:rsid w:val="007B447E"/>
    <w:rsid w:val="007B5418"/>
    <w:rsid w:val="007B5852"/>
    <w:rsid w:val="007B60CC"/>
    <w:rsid w:val="007B61F0"/>
    <w:rsid w:val="007C0192"/>
    <w:rsid w:val="007C075A"/>
    <w:rsid w:val="007C08A2"/>
    <w:rsid w:val="007C16AD"/>
    <w:rsid w:val="007C1DDD"/>
    <w:rsid w:val="007C2552"/>
    <w:rsid w:val="007C2C58"/>
    <w:rsid w:val="007C31F2"/>
    <w:rsid w:val="007C3CA1"/>
    <w:rsid w:val="007C4918"/>
    <w:rsid w:val="007C6042"/>
    <w:rsid w:val="007C67CC"/>
    <w:rsid w:val="007C67EB"/>
    <w:rsid w:val="007D0396"/>
    <w:rsid w:val="007D073C"/>
    <w:rsid w:val="007D110D"/>
    <w:rsid w:val="007D1117"/>
    <w:rsid w:val="007D111B"/>
    <w:rsid w:val="007D1BDB"/>
    <w:rsid w:val="007D32F7"/>
    <w:rsid w:val="007D3A3B"/>
    <w:rsid w:val="007D3BFE"/>
    <w:rsid w:val="007D4E35"/>
    <w:rsid w:val="007D646D"/>
    <w:rsid w:val="007D6BF5"/>
    <w:rsid w:val="007D7758"/>
    <w:rsid w:val="007D78DF"/>
    <w:rsid w:val="007D7B7F"/>
    <w:rsid w:val="007E0F5A"/>
    <w:rsid w:val="007E1F7F"/>
    <w:rsid w:val="007E3B92"/>
    <w:rsid w:val="007E4EB7"/>
    <w:rsid w:val="007E4EDC"/>
    <w:rsid w:val="007E6261"/>
    <w:rsid w:val="007E6484"/>
    <w:rsid w:val="007E7C37"/>
    <w:rsid w:val="007F0885"/>
    <w:rsid w:val="007F1C88"/>
    <w:rsid w:val="007F1E2E"/>
    <w:rsid w:val="007F424B"/>
    <w:rsid w:val="007F46C3"/>
    <w:rsid w:val="007F4E7A"/>
    <w:rsid w:val="007F760B"/>
    <w:rsid w:val="007F7BAD"/>
    <w:rsid w:val="00800E97"/>
    <w:rsid w:val="00802597"/>
    <w:rsid w:val="00802810"/>
    <w:rsid w:val="00802BFD"/>
    <w:rsid w:val="00803201"/>
    <w:rsid w:val="00804B1B"/>
    <w:rsid w:val="00804FCA"/>
    <w:rsid w:val="00805309"/>
    <w:rsid w:val="00805C77"/>
    <w:rsid w:val="00806401"/>
    <w:rsid w:val="008103DF"/>
    <w:rsid w:val="00811419"/>
    <w:rsid w:val="00811543"/>
    <w:rsid w:val="00813317"/>
    <w:rsid w:val="00813498"/>
    <w:rsid w:val="008157B7"/>
    <w:rsid w:val="00815C42"/>
    <w:rsid w:val="008175A4"/>
    <w:rsid w:val="0081774D"/>
    <w:rsid w:val="00820A2D"/>
    <w:rsid w:val="0082274D"/>
    <w:rsid w:val="00822AE1"/>
    <w:rsid w:val="008232C6"/>
    <w:rsid w:val="00823A16"/>
    <w:rsid w:val="0082411D"/>
    <w:rsid w:val="008244F5"/>
    <w:rsid w:val="00824641"/>
    <w:rsid w:val="00824743"/>
    <w:rsid w:val="00826487"/>
    <w:rsid w:val="00830033"/>
    <w:rsid w:val="008312F4"/>
    <w:rsid w:val="00831655"/>
    <w:rsid w:val="00831B97"/>
    <w:rsid w:val="0083421A"/>
    <w:rsid w:val="00835248"/>
    <w:rsid w:val="00835B2C"/>
    <w:rsid w:val="00835B8F"/>
    <w:rsid w:val="00835CB5"/>
    <w:rsid w:val="00836023"/>
    <w:rsid w:val="00836430"/>
    <w:rsid w:val="008373A5"/>
    <w:rsid w:val="00840059"/>
    <w:rsid w:val="00840115"/>
    <w:rsid w:val="008401FE"/>
    <w:rsid w:val="0084089D"/>
    <w:rsid w:val="00841436"/>
    <w:rsid w:val="008416EE"/>
    <w:rsid w:val="00841D95"/>
    <w:rsid w:val="00843394"/>
    <w:rsid w:val="00843EC3"/>
    <w:rsid w:val="008447A2"/>
    <w:rsid w:val="00844DA8"/>
    <w:rsid w:val="00845AF9"/>
    <w:rsid w:val="008467EF"/>
    <w:rsid w:val="0084755E"/>
    <w:rsid w:val="008512D0"/>
    <w:rsid w:val="008519F1"/>
    <w:rsid w:val="00851BA4"/>
    <w:rsid w:val="0085267D"/>
    <w:rsid w:val="008535DB"/>
    <w:rsid w:val="00854C5E"/>
    <w:rsid w:val="0085717C"/>
    <w:rsid w:val="008577FB"/>
    <w:rsid w:val="00857FA8"/>
    <w:rsid w:val="00860DA9"/>
    <w:rsid w:val="0086163D"/>
    <w:rsid w:val="00863AAD"/>
    <w:rsid w:val="008648DF"/>
    <w:rsid w:val="0086490D"/>
    <w:rsid w:val="00866AE0"/>
    <w:rsid w:val="00866E38"/>
    <w:rsid w:val="00866F94"/>
    <w:rsid w:val="008671EC"/>
    <w:rsid w:val="008675C7"/>
    <w:rsid w:val="00867668"/>
    <w:rsid w:val="00867713"/>
    <w:rsid w:val="00867DDC"/>
    <w:rsid w:val="008710EB"/>
    <w:rsid w:val="00872489"/>
    <w:rsid w:val="00873E08"/>
    <w:rsid w:val="00874D4A"/>
    <w:rsid w:val="008752C7"/>
    <w:rsid w:val="008758BE"/>
    <w:rsid w:val="00875BC7"/>
    <w:rsid w:val="0087747C"/>
    <w:rsid w:val="00877EBB"/>
    <w:rsid w:val="00881C69"/>
    <w:rsid w:val="008833F8"/>
    <w:rsid w:val="00883EFB"/>
    <w:rsid w:val="008844B6"/>
    <w:rsid w:val="00884AF5"/>
    <w:rsid w:val="00884BC5"/>
    <w:rsid w:val="00884E55"/>
    <w:rsid w:val="008853BA"/>
    <w:rsid w:val="00886130"/>
    <w:rsid w:val="008875FD"/>
    <w:rsid w:val="008879AF"/>
    <w:rsid w:val="00887CA0"/>
    <w:rsid w:val="0089153E"/>
    <w:rsid w:val="008928B2"/>
    <w:rsid w:val="00894050"/>
    <w:rsid w:val="008950F9"/>
    <w:rsid w:val="008966FC"/>
    <w:rsid w:val="00897B42"/>
    <w:rsid w:val="00897B46"/>
    <w:rsid w:val="008A0BB3"/>
    <w:rsid w:val="008A0E8D"/>
    <w:rsid w:val="008A139A"/>
    <w:rsid w:val="008A2139"/>
    <w:rsid w:val="008A25A4"/>
    <w:rsid w:val="008A2806"/>
    <w:rsid w:val="008A2E6D"/>
    <w:rsid w:val="008A428E"/>
    <w:rsid w:val="008A4801"/>
    <w:rsid w:val="008B0CB3"/>
    <w:rsid w:val="008B1BE8"/>
    <w:rsid w:val="008B2185"/>
    <w:rsid w:val="008B32D2"/>
    <w:rsid w:val="008B3735"/>
    <w:rsid w:val="008B51F5"/>
    <w:rsid w:val="008B71AF"/>
    <w:rsid w:val="008B799A"/>
    <w:rsid w:val="008C0416"/>
    <w:rsid w:val="008C1B4E"/>
    <w:rsid w:val="008C4E6F"/>
    <w:rsid w:val="008C73D1"/>
    <w:rsid w:val="008D08C1"/>
    <w:rsid w:val="008D1846"/>
    <w:rsid w:val="008D187C"/>
    <w:rsid w:val="008D2CA5"/>
    <w:rsid w:val="008D39E5"/>
    <w:rsid w:val="008D422B"/>
    <w:rsid w:val="008D59F1"/>
    <w:rsid w:val="008D638D"/>
    <w:rsid w:val="008D6549"/>
    <w:rsid w:val="008D69A3"/>
    <w:rsid w:val="008E1638"/>
    <w:rsid w:val="008E1D5F"/>
    <w:rsid w:val="008E21CA"/>
    <w:rsid w:val="008E2352"/>
    <w:rsid w:val="008E29C9"/>
    <w:rsid w:val="008E3446"/>
    <w:rsid w:val="008E3948"/>
    <w:rsid w:val="008E4EF9"/>
    <w:rsid w:val="008F093F"/>
    <w:rsid w:val="008F1E0B"/>
    <w:rsid w:val="008F2B91"/>
    <w:rsid w:val="008F3669"/>
    <w:rsid w:val="008F37B0"/>
    <w:rsid w:val="008F525F"/>
    <w:rsid w:val="008F5712"/>
    <w:rsid w:val="008F635D"/>
    <w:rsid w:val="008F7770"/>
    <w:rsid w:val="008F781C"/>
    <w:rsid w:val="009003C0"/>
    <w:rsid w:val="00900F42"/>
    <w:rsid w:val="00901ECC"/>
    <w:rsid w:val="00901EFF"/>
    <w:rsid w:val="0090241C"/>
    <w:rsid w:val="009026FD"/>
    <w:rsid w:val="00904107"/>
    <w:rsid w:val="0090426F"/>
    <w:rsid w:val="00905C08"/>
    <w:rsid w:val="00907235"/>
    <w:rsid w:val="009074A4"/>
    <w:rsid w:val="0091221C"/>
    <w:rsid w:val="009122D0"/>
    <w:rsid w:val="0091251C"/>
    <w:rsid w:val="00913D78"/>
    <w:rsid w:val="009140DD"/>
    <w:rsid w:val="00915A4E"/>
    <w:rsid w:val="009160F3"/>
    <w:rsid w:val="00916D93"/>
    <w:rsid w:val="009170AC"/>
    <w:rsid w:val="00917B9D"/>
    <w:rsid w:val="00920CB1"/>
    <w:rsid w:val="00920F0F"/>
    <w:rsid w:val="0092305B"/>
    <w:rsid w:val="009242B5"/>
    <w:rsid w:val="009243C2"/>
    <w:rsid w:val="00925A21"/>
    <w:rsid w:val="00927F48"/>
    <w:rsid w:val="009305ED"/>
    <w:rsid w:val="00930C39"/>
    <w:rsid w:val="009316B7"/>
    <w:rsid w:val="00931A52"/>
    <w:rsid w:val="009324EA"/>
    <w:rsid w:val="00934676"/>
    <w:rsid w:val="00934903"/>
    <w:rsid w:val="00936AA0"/>
    <w:rsid w:val="00936C67"/>
    <w:rsid w:val="00937DF5"/>
    <w:rsid w:val="00937E17"/>
    <w:rsid w:val="00940D93"/>
    <w:rsid w:val="009411BF"/>
    <w:rsid w:val="00941586"/>
    <w:rsid w:val="009417DA"/>
    <w:rsid w:val="00942DA6"/>
    <w:rsid w:val="00943128"/>
    <w:rsid w:val="00943137"/>
    <w:rsid w:val="00946141"/>
    <w:rsid w:val="00946400"/>
    <w:rsid w:val="00950D3F"/>
    <w:rsid w:val="009510AF"/>
    <w:rsid w:val="00951658"/>
    <w:rsid w:val="009516C5"/>
    <w:rsid w:val="00951F4B"/>
    <w:rsid w:val="00952145"/>
    <w:rsid w:val="00952D19"/>
    <w:rsid w:val="00956AF7"/>
    <w:rsid w:val="00957864"/>
    <w:rsid w:val="009609FD"/>
    <w:rsid w:val="009610F0"/>
    <w:rsid w:val="009612E4"/>
    <w:rsid w:val="009613AB"/>
    <w:rsid w:val="009631D0"/>
    <w:rsid w:val="00963366"/>
    <w:rsid w:val="009638BA"/>
    <w:rsid w:val="009641B8"/>
    <w:rsid w:val="00966F60"/>
    <w:rsid w:val="009679BB"/>
    <w:rsid w:val="00971F3E"/>
    <w:rsid w:val="0097265C"/>
    <w:rsid w:val="009732E2"/>
    <w:rsid w:val="009733B2"/>
    <w:rsid w:val="009745B1"/>
    <w:rsid w:val="00974715"/>
    <w:rsid w:val="00975229"/>
    <w:rsid w:val="00977406"/>
    <w:rsid w:val="00977C2E"/>
    <w:rsid w:val="00977C8B"/>
    <w:rsid w:val="00980CEB"/>
    <w:rsid w:val="009814D1"/>
    <w:rsid w:val="00982012"/>
    <w:rsid w:val="00982993"/>
    <w:rsid w:val="00983611"/>
    <w:rsid w:val="009846E7"/>
    <w:rsid w:val="00984B6C"/>
    <w:rsid w:val="009860CF"/>
    <w:rsid w:val="00986610"/>
    <w:rsid w:val="009872A2"/>
    <w:rsid w:val="0098797C"/>
    <w:rsid w:val="00987A7E"/>
    <w:rsid w:val="00987C95"/>
    <w:rsid w:val="00987DEE"/>
    <w:rsid w:val="009904C0"/>
    <w:rsid w:val="00990FEA"/>
    <w:rsid w:val="00992B50"/>
    <w:rsid w:val="00992E6D"/>
    <w:rsid w:val="0099561F"/>
    <w:rsid w:val="00995DD8"/>
    <w:rsid w:val="009A02B9"/>
    <w:rsid w:val="009A0EEC"/>
    <w:rsid w:val="009A2145"/>
    <w:rsid w:val="009A2EFD"/>
    <w:rsid w:val="009A3332"/>
    <w:rsid w:val="009A3716"/>
    <w:rsid w:val="009A4489"/>
    <w:rsid w:val="009A44FC"/>
    <w:rsid w:val="009A4AA4"/>
    <w:rsid w:val="009A5668"/>
    <w:rsid w:val="009A67B6"/>
    <w:rsid w:val="009A6984"/>
    <w:rsid w:val="009A6D0B"/>
    <w:rsid w:val="009B189E"/>
    <w:rsid w:val="009B1B83"/>
    <w:rsid w:val="009B35FD"/>
    <w:rsid w:val="009B3888"/>
    <w:rsid w:val="009B50D4"/>
    <w:rsid w:val="009B6637"/>
    <w:rsid w:val="009B6E59"/>
    <w:rsid w:val="009C0670"/>
    <w:rsid w:val="009C0FE4"/>
    <w:rsid w:val="009C1B0E"/>
    <w:rsid w:val="009C2529"/>
    <w:rsid w:val="009C2FE0"/>
    <w:rsid w:val="009C3C85"/>
    <w:rsid w:val="009C3D37"/>
    <w:rsid w:val="009C7946"/>
    <w:rsid w:val="009D009C"/>
    <w:rsid w:val="009D0D6D"/>
    <w:rsid w:val="009D13C0"/>
    <w:rsid w:val="009D1B6A"/>
    <w:rsid w:val="009D2BF5"/>
    <w:rsid w:val="009D330F"/>
    <w:rsid w:val="009D370A"/>
    <w:rsid w:val="009D3885"/>
    <w:rsid w:val="009D41FE"/>
    <w:rsid w:val="009D4CB9"/>
    <w:rsid w:val="009D58B2"/>
    <w:rsid w:val="009D6B9F"/>
    <w:rsid w:val="009E0A1E"/>
    <w:rsid w:val="009E0EF8"/>
    <w:rsid w:val="009E11E0"/>
    <w:rsid w:val="009E23A4"/>
    <w:rsid w:val="009E28D6"/>
    <w:rsid w:val="009E2BA4"/>
    <w:rsid w:val="009E3453"/>
    <w:rsid w:val="009E37BA"/>
    <w:rsid w:val="009E47CF"/>
    <w:rsid w:val="009E4DFB"/>
    <w:rsid w:val="009E4FFB"/>
    <w:rsid w:val="009E6465"/>
    <w:rsid w:val="009E71D5"/>
    <w:rsid w:val="009E749D"/>
    <w:rsid w:val="009E763E"/>
    <w:rsid w:val="009E7764"/>
    <w:rsid w:val="009F0CCF"/>
    <w:rsid w:val="009F0DDF"/>
    <w:rsid w:val="009F0E08"/>
    <w:rsid w:val="009F1C3D"/>
    <w:rsid w:val="009F3523"/>
    <w:rsid w:val="009F36E7"/>
    <w:rsid w:val="009F424A"/>
    <w:rsid w:val="009F55B0"/>
    <w:rsid w:val="009F5ECD"/>
    <w:rsid w:val="009F66E3"/>
    <w:rsid w:val="009F66E4"/>
    <w:rsid w:val="009F727D"/>
    <w:rsid w:val="009F79D2"/>
    <w:rsid w:val="009F7A22"/>
    <w:rsid w:val="009F7DE8"/>
    <w:rsid w:val="00A00313"/>
    <w:rsid w:val="00A034EF"/>
    <w:rsid w:val="00A03CE7"/>
    <w:rsid w:val="00A0481C"/>
    <w:rsid w:val="00A050D7"/>
    <w:rsid w:val="00A058B9"/>
    <w:rsid w:val="00A05B7C"/>
    <w:rsid w:val="00A05F80"/>
    <w:rsid w:val="00A060A8"/>
    <w:rsid w:val="00A07778"/>
    <w:rsid w:val="00A114C6"/>
    <w:rsid w:val="00A127CE"/>
    <w:rsid w:val="00A12902"/>
    <w:rsid w:val="00A13094"/>
    <w:rsid w:val="00A1347E"/>
    <w:rsid w:val="00A1591A"/>
    <w:rsid w:val="00A15AAA"/>
    <w:rsid w:val="00A16C40"/>
    <w:rsid w:val="00A16E8C"/>
    <w:rsid w:val="00A179AE"/>
    <w:rsid w:val="00A20607"/>
    <w:rsid w:val="00A222AB"/>
    <w:rsid w:val="00A222AF"/>
    <w:rsid w:val="00A2297C"/>
    <w:rsid w:val="00A2321B"/>
    <w:rsid w:val="00A23940"/>
    <w:rsid w:val="00A2418F"/>
    <w:rsid w:val="00A248B3"/>
    <w:rsid w:val="00A24F3C"/>
    <w:rsid w:val="00A25DC1"/>
    <w:rsid w:val="00A27233"/>
    <w:rsid w:val="00A27C70"/>
    <w:rsid w:val="00A3027D"/>
    <w:rsid w:val="00A307EB"/>
    <w:rsid w:val="00A3165E"/>
    <w:rsid w:val="00A31E3E"/>
    <w:rsid w:val="00A3247C"/>
    <w:rsid w:val="00A342AD"/>
    <w:rsid w:val="00A34309"/>
    <w:rsid w:val="00A35594"/>
    <w:rsid w:val="00A36B9C"/>
    <w:rsid w:val="00A3763C"/>
    <w:rsid w:val="00A40D16"/>
    <w:rsid w:val="00A410BF"/>
    <w:rsid w:val="00A41909"/>
    <w:rsid w:val="00A425A4"/>
    <w:rsid w:val="00A42ABC"/>
    <w:rsid w:val="00A430E9"/>
    <w:rsid w:val="00A43290"/>
    <w:rsid w:val="00A4363B"/>
    <w:rsid w:val="00A4386F"/>
    <w:rsid w:val="00A438CB"/>
    <w:rsid w:val="00A43F2E"/>
    <w:rsid w:val="00A4453B"/>
    <w:rsid w:val="00A471DD"/>
    <w:rsid w:val="00A51446"/>
    <w:rsid w:val="00A5225F"/>
    <w:rsid w:val="00A524C7"/>
    <w:rsid w:val="00A52BFE"/>
    <w:rsid w:val="00A5320F"/>
    <w:rsid w:val="00A54964"/>
    <w:rsid w:val="00A555AC"/>
    <w:rsid w:val="00A55783"/>
    <w:rsid w:val="00A60A19"/>
    <w:rsid w:val="00A60B84"/>
    <w:rsid w:val="00A61683"/>
    <w:rsid w:val="00A61FC5"/>
    <w:rsid w:val="00A62C4B"/>
    <w:rsid w:val="00A63376"/>
    <w:rsid w:val="00A6358A"/>
    <w:rsid w:val="00A647D0"/>
    <w:rsid w:val="00A65069"/>
    <w:rsid w:val="00A66494"/>
    <w:rsid w:val="00A67FBD"/>
    <w:rsid w:val="00A703EA"/>
    <w:rsid w:val="00A70581"/>
    <w:rsid w:val="00A7075F"/>
    <w:rsid w:val="00A712C5"/>
    <w:rsid w:val="00A7246D"/>
    <w:rsid w:val="00A724AA"/>
    <w:rsid w:val="00A724B3"/>
    <w:rsid w:val="00A72F5D"/>
    <w:rsid w:val="00A74E1B"/>
    <w:rsid w:val="00A7507A"/>
    <w:rsid w:val="00A75807"/>
    <w:rsid w:val="00A802B6"/>
    <w:rsid w:val="00A815CC"/>
    <w:rsid w:val="00A81B7D"/>
    <w:rsid w:val="00A83896"/>
    <w:rsid w:val="00A83A77"/>
    <w:rsid w:val="00A8590B"/>
    <w:rsid w:val="00A86FF4"/>
    <w:rsid w:val="00A8776E"/>
    <w:rsid w:val="00A9172E"/>
    <w:rsid w:val="00A92AFD"/>
    <w:rsid w:val="00A93427"/>
    <w:rsid w:val="00A937B7"/>
    <w:rsid w:val="00A93FF4"/>
    <w:rsid w:val="00A94DE3"/>
    <w:rsid w:val="00A95540"/>
    <w:rsid w:val="00A9609A"/>
    <w:rsid w:val="00A961BE"/>
    <w:rsid w:val="00AA0403"/>
    <w:rsid w:val="00AA1313"/>
    <w:rsid w:val="00AA320F"/>
    <w:rsid w:val="00AA32BE"/>
    <w:rsid w:val="00AA4704"/>
    <w:rsid w:val="00AA510A"/>
    <w:rsid w:val="00AA53E7"/>
    <w:rsid w:val="00AA54A7"/>
    <w:rsid w:val="00AA6D68"/>
    <w:rsid w:val="00AA7771"/>
    <w:rsid w:val="00AA78A4"/>
    <w:rsid w:val="00AB004B"/>
    <w:rsid w:val="00AB1250"/>
    <w:rsid w:val="00AB24FF"/>
    <w:rsid w:val="00AB3F62"/>
    <w:rsid w:val="00AB5398"/>
    <w:rsid w:val="00AB55D2"/>
    <w:rsid w:val="00AC0345"/>
    <w:rsid w:val="00AC06D5"/>
    <w:rsid w:val="00AC09C6"/>
    <w:rsid w:val="00AC132F"/>
    <w:rsid w:val="00AC1415"/>
    <w:rsid w:val="00AC3B26"/>
    <w:rsid w:val="00AC4018"/>
    <w:rsid w:val="00AC4E5B"/>
    <w:rsid w:val="00AC53DB"/>
    <w:rsid w:val="00AC5A3A"/>
    <w:rsid w:val="00AC5C52"/>
    <w:rsid w:val="00AC7587"/>
    <w:rsid w:val="00AC7B4D"/>
    <w:rsid w:val="00AD0A2D"/>
    <w:rsid w:val="00AD174E"/>
    <w:rsid w:val="00AD20F2"/>
    <w:rsid w:val="00AD327F"/>
    <w:rsid w:val="00AD386D"/>
    <w:rsid w:val="00AD60D6"/>
    <w:rsid w:val="00AD6824"/>
    <w:rsid w:val="00AD7ABA"/>
    <w:rsid w:val="00AD7C8F"/>
    <w:rsid w:val="00AD7E07"/>
    <w:rsid w:val="00AE055F"/>
    <w:rsid w:val="00AE1BCF"/>
    <w:rsid w:val="00AE2E2C"/>
    <w:rsid w:val="00AE3054"/>
    <w:rsid w:val="00AE35AB"/>
    <w:rsid w:val="00AE4FE2"/>
    <w:rsid w:val="00AE5FE6"/>
    <w:rsid w:val="00AE7943"/>
    <w:rsid w:val="00AE7E92"/>
    <w:rsid w:val="00AF0174"/>
    <w:rsid w:val="00AF18A1"/>
    <w:rsid w:val="00AF203B"/>
    <w:rsid w:val="00AF20F9"/>
    <w:rsid w:val="00AF251E"/>
    <w:rsid w:val="00AF2AE2"/>
    <w:rsid w:val="00AF4B14"/>
    <w:rsid w:val="00AF535A"/>
    <w:rsid w:val="00AF5BBC"/>
    <w:rsid w:val="00AF64AE"/>
    <w:rsid w:val="00AF68DF"/>
    <w:rsid w:val="00AF71DC"/>
    <w:rsid w:val="00AF79E9"/>
    <w:rsid w:val="00B022E4"/>
    <w:rsid w:val="00B03949"/>
    <w:rsid w:val="00B0394A"/>
    <w:rsid w:val="00B03DB2"/>
    <w:rsid w:val="00B03DE9"/>
    <w:rsid w:val="00B04353"/>
    <w:rsid w:val="00B04743"/>
    <w:rsid w:val="00B05324"/>
    <w:rsid w:val="00B057FB"/>
    <w:rsid w:val="00B05D29"/>
    <w:rsid w:val="00B06EC4"/>
    <w:rsid w:val="00B0711F"/>
    <w:rsid w:val="00B1000B"/>
    <w:rsid w:val="00B1030D"/>
    <w:rsid w:val="00B10F54"/>
    <w:rsid w:val="00B13A41"/>
    <w:rsid w:val="00B13A81"/>
    <w:rsid w:val="00B13CED"/>
    <w:rsid w:val="00B13F8A"/>
    <w:rsid w:val="00B15159"/>
    <w:rsid w:val="00B153F2"/>
    <w:rsid w:val="00B15714"/>
    <w:rsid w:val="00B16204"/>
    <w:rsid w:val="00B16C91"/>
    <w:rsid w:val="00B17A5C"/>
    <w:rsid w:val="00B17F70"/>
    <w:rsid w:val="00B2131E"/>
    <w:rsid w:val="00B21A5F"/>
    <w:rsid w:val="00B21AD4"/>
    <w:rsid w:val="00B25068"/>
    <w:rsid w:val="00B25219"/>
    <w:rsid w:val="00B252AC"/>
    <w:rsid w:val="00B25A12"/>
    <w:rsid w:val="00B26AEF"/>
    <w:rsid w:val="00B30F40"/>
    <w:rsid w:val="00B30FDC"/>
    <w:rsid w:val="00B32A26"/>
    <w:rsid w:val="00B332C5"/>
    <w:rsid w:val="00B34D9E"/>
    <w:rsid w:val="00B358DC"/>
    <w:rsid w:val="00B35A9C"/>
    <w:rsid w:val="00B3615A"/>
    <w:rsid w:val="00B37A4F"/>
    <w:rsid w:val="00B4053D"/>
    <w:rsid w:val="00B40A36"/>
    <w:rsid w:val="00B4206E"/>
    <w:rsid w:val="00B42259"/>
    <w:rsid w:val="00B42567"/>
    <w:rsid w:val="00B43000"/>
    <w:rsid w:val="00B44FF4"/>
    <w:rsid w:val="00B4578B"/>
    <w:rsid w:val="00B46AFB"/>
    <w:rsid w:val="00B504EB"/>
    <w:rsid w:val="00B5132D"/>
    <w:rsid w:val="00B51CC0"/>
    <w:rsid w:val="00B51D4C"/>
    <w:rsid w:val="00B52AD3"/>
    <w:rsid w:val="00B52D1A"/>
    <w:rsid w:val="00B548F0"/>
    <w:rsid w:val="00B54B19"/>
    <w:rsid w:val="00B54B7A"/>
    <w:rsid w:val="00B54E8C"/>
    <w:rsid w:val="00B550D1"/>
    <w:rsid w:val="00B558D6"/>
    <w:rsid w:val="00B573F8"/>
    <w:rsid w:val="00B57732"/>
    <w:rsid w:val="00B5794E"/>
    <w:rsid w:val="00B60D56"/>
    <w:rsid w:val="00B611EF"/>
    <w:rsid w:val="00B61605"/>
    <w:rsid w:val="00B623D9"/>
    <w:rsid w:val="00B632DE"/>
    <w:rsid w:val="00B64EA0"/>
    <w:rsid w:val="00B65EF7"/>
    <w:rsid w:val="00B664DC"/>
    <w:rsid w:val="00B66732"/>
    <w:rsid w:val="00B66A19"/>
    <w:rsid w:val="00B674CC"/>
    <w:rsid w:val="00B67A76"/>
    <w:rsid w:val="00B67DC8"/>
    <w:rsid w:val="00B700BC"/>
    <w:rsid w:val="00B702D7"/>
    <w:rsid w:val="00B72A50"/>
    <w:rsid w:val="00B72EFC"/>
    <w:rsid w:val="00B740AF"/>
    <w:rsid w:val="00B75081"/>
    <w:rsid w:val="00B765DB"/>
    <w:rsid w:val="00B77571"/>
    <w:rsid w:val="00B77679"/>
    <w:rsid w:val="00B7799C"/>
    <w:rsid w:val="00B80354"/>
    <w:rsid w:val="00B827C6"/>
    <w:rsid w:val="00B8284E"/>
    <w:rsid w:val="00B8289F"/>
    <w:rsid w:val="00B8293B"/>
    <w:rsid w:val="00B82C6E"/>
    <w:rsid w:val="00B83E08"/>
    <w:rsid w:val="00B84071"/>
    <w:rsid w:val="00B85EAE"/>
    <w:rsid w:val="00B86E63"/>
    <w:rsid w:val="00B87A92"/>
    <w:rsid w:val="00B929FB"/>
    <w:rsid w:val="00B945D9"/>
    <w:rsid w:val="00B954C1"/>
    <w:rsid w:val="00B95F42"/>
    <w:rsid w:val="00B96AA3"/>
    <w:rsid w:val="00B97A27"/>
    <w:rsid w:val="00BA07B6"/>
    <w:rsid w:val="00BA0955"/>
    <w:rsid w:val="00BA1245"/>
    <w:rsid w:val="00BA27C5"/>
    <w:rsid w:val="00BA2986"/>
    <w:rsid w:val="00BA3C7E"/>
    <w:rsid w:val="00BA3D15"/>
    <w:rsid w:val="00BA4B05"/>
    <w:rsid w:val="00BA702F"/>
    <w:rsid w:val="00BA7105"/>
    <w:rsid w:val="00BA7F65"/>
    <w:rsid w:val="00BA7FCA"/>
    <w:rsid w:val="00BB0002"/>
    <w:rsid w:val="00BB27B3"/>
    <w:rsid w:val="00BB2802"/>
    <w:rsid w:val="00BB288B"/>
    <w:rsid w:val="00BB3144"/>
    <w:rsid w:val="00BB4D3A"/>
    <w:rsid w:val="00BB59CE"/>
    <w:rsid w:val="00BB7279"/>
    <w:rsid w:val="00BC0298"/>
    <w:rsid w:val="00BC02DC"/>
    <w:rsid w:val="00BC065E"/>
    <w:rsid w:val="00BC1E40"/>
    <w:rsid w:val="00BC3820"/>
    <w:rsid w:val="00BC5021"/>
    <w:rsid w:val="00BC7EF4"/>
    <w:rsid w:val="00BD0655"/>
    <w:rsid w:val="00BD0EB6"/>
    <w:rsid w:val="00BD13B0"/>
    <w:rsid w:val="00BD1CA4"/>
    <w:rsid w:val="00BD2A17"/>
    <w:rsid w:val="00BD3B9A"/>
    <w:rsid w:val="00BD42F3"/>
    <w:rsid w:val="00BD4535"/>
    <w:rsid w:val="00BD4D26"/>
    <w:rsid w:val="00BD5571"/>
    <w:rsid w:val="00BD6C73"/>
    <w:rsid w:val="00BD7EB7"/>
    <w:rsid w:val="00BE025C"/>
    <w:rsid w:val="00BE11B5"/>
    <w:rsid w:val="00BE245F"/>
    <w:rsid w:val="00BE2B71"/>
    <w:rsid w:val="00BE2E20"/>
    <w:rsid w:val="00BE35AA"/>
    <w:rsid w:val="00BE37B0"/>
    <w:rsid w:val="00BE3FBD"/>
    <w:rsid w:val="00BE4BF1"/>
    <w:rsid w:val="00BE556E"/>
    <w:rsid w:val="00BE6A56"/>
    <w:rsid w:val="00BE6B58"/>
    <w:rsid w:val="00BF0BC6"/>
    <w:rsid w:val="00BF12DE"/>
    <w:rsid w:val="00BF18CA"/>
    <w:rsid w:val="00BF2083"/>
    <w:rsid w:val="00BF292E"/>
    <w:rsid w:val="00BF3D5C"/>
    <w:rsid w:val="00BF4F29"/>
    <w:rsid w:val="00BF5DD2"/>
    <w:rsid w:val="00BF6147"/>
    <w:rsid w:val="00BF6662"/>
    <w:rsid w:val="00BF6688"/>
    <w:rsid w:val="00BF6EA5"/>
    <w:rsid w:val="00BF74FF"/>
    <w:rsid w:val="00BF7F16"/>
    <w:rsid w:val="00C02379"/>
    <w:rsid w:val="00C02869"/>
    <w:rsid w:val="00C03AF7"/>
    <w:rsid w:val="00C04127"/>
    <w:rsid w:val="00C04601"/>
    <w:rsid w:val="00C05D68"/>
    <w:rsid w:val="00C063CD"/>
    <w:rsid w:val="00C06495"/>
    <w:rsid w:val="00C066D8"/>
    <w:rsid w:val="00C06C96"/>
    <w:rsid w:val="00C070E3"/>
    <w:rsid w:val="00C07F11"/>
    <w:rsid w:val="00C102C5"/>
    <w:rsid w:val="00C1031B"/>
    <w:rsid w:val="00C104C0"/>
    <w:rsid w:val="00C10B49"/>
    <w:rsid w:val="00C11400"/>
    <w:rsid w:val="00C1164C"/>
    <w:rsid w:val="00C119F3"/>
    <w:rsid w:val="00C124A5"/>
    <w:rsid w:val="00C13870"/>
    <w:rsid w:val="00C139BD"/>
    <w:rsid w:val="00C13A01"/>
    <w:rsid w:val="00C13C12"/>
    <w:rsid w:val="00C142D7"/>
    <w:rsid w:val="00C14CBA"/>
    <w:rsid w:val="00C14F96"/>
    <w:rsid w:val="00C153A4"/>
    <w:rsid w:val="00C15624"/>
    <w:rsid w:val="00C162D9"/>
    <w:rsid w:val="00C16E57"/>
    <w:rsid w:val="00C173C5"/>
    <w:rsid w:val="00C202F6"/>
    <w:rsid w:val="00C20F7C"/>
    <w:rsid w:val="00C21439"/>
    <w:rsid w:val="00C2363E"/>
    <w:rsid w:val="00C23658"/>
    <w:rsid w:val="00C238DE"/>
    <w:rsid w:val="00C24EBF"/>
    <w:rsid w:val="00C260C0"/>
    <w:rsid w:val="00C267FE"/>
    <w:rsid w:val="00C30194"/>
    <w:rsid w:val="00C30C83"/>
    <w:rsid w:val="00C32BA9"/>
    <w:rsid w:val="00C3312B"/>
    <w:rsid w:val="00C33515"/>
    <w:rsid w:val="00C3425F"/>
    <w:rsid w:val="00C34ABA"/>
    <w:rsid w:val="00C34E55"/>
    <w:rsid w:val="00C3559D"/>
    <w:rsid w:val="00C35830"/>
    <w:rsid w:val="00C366A7"/>
    <w:rsid w:val="00C366F4"/>
    <w:rsid w:val="00C36E5E"/>
    <w:rsid w:val="00C406CC"/>
    <w:rsid w:val="00C40AEC"/>
    <w:rsid w:val="00C41735"/>
    <w:rsid w:val="00C42099"/>
    <w:rsid w:val="00C428DC"/>
    <w:rsid w:val="00C4324F"/>
    <w:rsid w:val="00C43A71"/>
    <w:rsid w:val="00C443D7"/>
    <w:rsid w:val="00C44CD1"/>
    <w:rsid w:val="00C44FF5"/>
    <w:rsid w:val="00C45259"/>
    <w:rsid w:val="00C458CD"/>
    <w:rsid w:val="00C45CDF"/>
    <w:rsid w:val="00C45CF0"/>
    <w:rsid w:val="00C464AF"/>
    <w:rsid w:val="00C46966"/>
    <w:rsid w:val="00C46A29"/>
    <w:rsid w:val="00C470F0"/>
    <w:rsid w:val="00C4758F"/>
    <w:rsid w:val="00C47FFC"/>
    <w:rsid w:val="00C50350"/>
    <w:rsid w:val="00C527BC"/>
    <w:rsid w:val="00C535A7"/>
    <w:rsid w:val="00C53C97"/>
    <w:rsid w:val="00C54C19"/>
    <w:rsid w:val="00C54D3F"/>
    <w:rsid w:val="00C54F1D"/>
    <w:rsid w:val="00C56B64"/>
    <w:rsid w:val="00C60796"/>
    <w:rsid w:val="00C61195"/>
    <w:rsid w:val="00C617EB"/>
    <w:rsid w:val="00C630D2"/>
    <w:rsid w:val="00C63E05"/>
    <w:rsid w:val="00C64A47"/>
    <w:rsid w:val="00C665E3"/>
    <w:rsid w:val="00C667F1"/>
    <w:rsid w:val="00C668E1"/>
    <w:rsid w:val="00C66D27"/>
    <w:rsid w:val="00C66D75"/>
    <w:rsid w:val="00C70581"/>
    <w:rsid w:val="00C70AF7"/>
    <w:rsid w:val="00C70FA6"/>
    <w:rsid w:val="00C71ED6"/>
    <w:rsid w:val="00C71F31"/>
    <w:rsid w:val="00C730E8"/>
    <w:rsid w:val="00C74CB4"/>
    <w:rsid w:val="00C75844"/>
    <w:rsid w:val="00C7711D"/>
    <w:rsid w:val="00C80394"/>
    <w:rsid w:val="00C8055C"/>
    <w:rsid w:val="00C80DFA"/>
    <w:rsid w:val="00C815B8"/>
    <w:rsid w:val="00C81A14"/>
    <w:rsid w:val="00C82340"/>
    <w:rsid w:val="00C830AB"/>
    <w:rsid w:val="00C83F4A"/>
    <w:rsid w:val="00C8587B"/>
    <w:rsid w:val="00C85ED0"/>
    <w:rsid w:val="00C86339"/>
    <w:rsid w:val="00C87478"/>
    <w:rsid w:val="00C90152"/>
    <w:rsid w:val="00C91422"/>
    <w:rsid w:val="00C92EE8"/>
    <w:rsid w:val="00C934A9"/>
    <w:rsid w:val="00C93805"/>
    <w:rsid w:val="00C946BD"/>
    <w:rsid w:val="00C95187"/>
    <w:rsid w:val="00C95368"/>
    <w:rsid w:val="00C954F7"/>
    <w:rsid w:val="00C95F19"/>
    <w:rsid w:val="00C95FCD"/>
    <w:rsid w:val="00C96435"/>
    <w:rsid w:val="00C97DC6"/>
    <w:rsid w:val="00CA014E"/>
    <w:rsid w:val="00CA18C3"/>
    <w:rsid w:val="00CA261F"/>
    <w:rsid w:val="00CA38CC"/>
    <w:rsid w:val="00CA6977"/>
    <w:rsid w:val="00CA6BD8"/>
    <w:rsid w:val="00CB4363"/>
    <w:rsid w:val="00CB4A43"/>
    <w:rsid w:val="00CB5348"/>
    <w:rsid w:val="00CB54B6"/>
    <w:rsid w:val="00CB5ADA"/>
    <w:rsid w:val="00CB7390"/>
    <w:rsid w:val="00CC04EC"/>
    <w:rsid w:val="00CC04F4"/>
    <w:rsid w:val="00CC0580"/>
    <w:rsid w:val="00CC0690"/>
    <w:rsid w:val="00CC09AA"/>
    <w:rsid w:val="00CC0FC0"/>
    <w:rsid w:val="00CC0FFF"/>
    <w:rsid w:val="00CC2ED0"/>
    <w:rsid w:val="00CC4461"/>
    <w:rsid w:val="00CC4F8B"/>
    <w:rsid w:val="00CC61A2"/>
    <w:rsid w:val="00CC77E3"/>
    <w:rsid w:val="00CD1815"/>
    <w:rsid w:val="00CD1D35"/>
    <w:rsid w:val="00CD227E"/>
    <w:rsid w:val="00CD2C0F"/>
    <w:rsid w:val="00CD3335"/>
    <w:rsid w:val="00CD3802"/>
    <w:rsid w:val="00CD386A"/>
    <w:rsid w:val="00CD4913"/>
    <w:rsid w:val="00CD4B80"/>
    <w:rsid w:val="00CD4FF7"/>
    <w:rsid w:val="00CD50AD"/>
    <w:rsid w:val="00CD5252"/>
    <w:rsid w:val="00CD5999"/>
    <w:rsid w:val="00CD64DC"/>
    <w:rsid w:val="00CD7C74"/>
    <w:rsid w:val="00CE17EA"/>
    <w:rsid w:val="00CE3576"/>
    <w:rsid w:val="00CE3881"/>
    <w:rsid w:val="00CE38B6"/>
    <w:rsid w:val="00CE3D25"/>
    <w:rsid w:val="00CE4D08"/>
    <w:rsid w:val="00CE4ED0"/>
    <w:rsid w:val="00CE4F4C"/>
    <w:rsid w:val="00CE55D0"/>
    <w:rsid w:val="00CE5CC8"/>
    <w:rsid w:val="00CE7026"/>
    <w:rsid w:val="00CE7D71"/>
    <w:rsid w:val="00CE7D79"/>
    <w:rsid w:val="00CF1553"/>
    <w:rsid w:val="00CF368A"/>
    <w:rsid w:val="00CF3996"/>
    <w:rsid w:val="00CF59FA"/>
    <w:rsid w:val="00CF5AE5"/>
    <w:rsid w:val="00CF5FF8"/>
    <w:rsid w:val="00CF6B87"/>
    <w:rsid w:val="00CF7944"/>
    <w:rsid w:val="00D01EA6"/>
    <w:rsid w:val="00D022F3"/>
    <w:rsid w:val="00D04A46"/>
    <w:rsid w:val="00D0553E"/>
    <w:rsid w:val="00D05B88"/>
    <w:rsid w:val="00D05FB2"/>
    <w:rsid w:val="00D075BF"/>
    <w:rsid w:val="00D07C4D"/>
    <w:rsid w:val="00D07D0B"/>
    <w:rsid w:val="00D07E72"/>
    <w:rsid w:val="00D10249"/>
    <w:rsid w:val="00D10D01"/>
    <w:rsid w:val="00D10D99"/>
    <w:rsid w:val="00D1163F"/>
    <w:rsid w:val="00D11B1E"/>
    <w:rsid w:val="00D12DE2"/>
    <w:rsid w:val="00D135FE"/>
    <w:rsid w:val="00D1427E"/>
    <w:rsid w:val="00D142B2"/>
    <w:rsid w:val="00D1433A"/>
    <w:rsid w:val="00D17C45"/>
    <w:rsid w:val="00D20153"/>
    <w:rsid w:val="00D202C8"/>
    <w:rsid w:val="00D20A08"/>
    <w:rsid w:val="00D20F22"/>
    <w:rsid w:val="00D210D8"/>
    <w:rsid w:val="00D21300"/>
    <w:rsid w:val="00D215BF"/>
    <w:rsid w:val="00D21F35"/>
    <w:rsid w:val="00D21F5B"/>
    <w:rsid w:val="00D222A1"/>
    <w:rsid w:val="00D22303"/>
    <w:rsid w:val="00D2245E"/>
    <w:rsid w:val="00D22B2F"/>
    <w:rsid w:val="00D23D48"/>
    <w:rsid w:val="00D2433A"/>
    <w:rsid w:val="00D2449D"/>
    <w:rsid w:val="00D244FF"/>
    <w:rsid w:val="00D2476D"/>
    <w:rsid w:val="00D2699E"/>
    <w:rsid w:val="00D27655"/>
    <w:rsid w:val="00D27AF4"/>
    <w:rsid w:val="00D27E34"/>
    <w:rsid w:val="00D3018E"/>
    <w:rsid w:val="00D30A8E"/>
    <w:rsid w:val="00D32356"/>
    <w:rsid w:val="00D365B1"/>
    <w:rsid w:val="00D36C8B"/>
    <w:rsid w:val="00D41CD2"/>
    <w:rsid w:val="00D422C7"/>
    <w:rsid w:val="00D422EA"/>
    <w:rsid w:val="00D42A70"/>
    <w:rsid w:val="00D42E64"/>
    <w:rsid w:val="00D42F19"/>
    <w:rsid w:val="00D432DB"/>
    <w:rsid w:val="00D44E35"/>
    <w:rsid w:val="00D457D4"/>
    <w:rsid w:val="00D47D95"/>
    <w:rsid w:val="00D518F7"/>
    <w:rsid w:val="00D524ED"/>
    <w:rsid w:val="00D5414F"/>
    <w:rsid w:val="00D54378"/>
    <w:rsid w:val="00D547C1"/>
    <w:rsid w:val="00D54A32"/>
    <w:rsid w:val="00D54CE4"/>
    <w:rsid w:val="00D56A62"/>
    <w:rsid w:val="00D56D51"/>
    <w:rsid w:val="00D56DA3"/>
    <w:rsid w:val="00D571D7"/>
    <w:rsid w:val="00D61960"/>
    <w:rsid w:val="00D62098"/>
    <w:rsid w:val="00D6215A"/>
    <w:rsid w:val="00D62CC2"/>
    <w:rsid w:val="00D63341"/>
    <w:rsid w:val="00D640E1"/>
    <w:rsid w:val="00D641F0"/>
    <w:rsid w:val="00D66944"/>
    <w:rsid w:val="00D66EE9"/>
    <w:rsid w:val="00D67528"/>
    <w:rsid w:val="00D6768B"/>
    <w:rsid w:val="00D67990"/>
    <w:rsid w:val="00D67D21"/>
    <w:rsid w:val="00D70D39"/>
    <w:rsid w:val="00D71DDC"/>
    <w:rsid w:val="00D72C11"/>
    <w:rsid w:val="00D73672"/>
    <w:rsid w:val="00D74610"/>
    <w:rsid w:val="00D74638"/>
    <w:rsid w:val="00D74928"/>
    <w:rsid w:val="00D7517A"/>
    <w:rsid w:val="00D754C9"/>
    <w:rsid w:val="00D75755"/>
    <w:rsid w:val="00D757B5"/>
    <w:rsid w:val="00D77AEA"/>
    <w:rsid w:val="00D8025C"/>
    <w:rsid w:val="00D8063C"/>
    <w:rsid w:val="00D80E46"/>
    <w:rsid w:val="00D80F0F"/>
    <w:rsid w:val="00D81ACC"/>
    <w:rsid w:val="00D81C85"/>
    <w:rsid w:val="00D82ACF"/>
    <w:rsid w:val="00D838E4"/>
    <w:rsid w:val="00D842CA"/>
    <w:rsid w:val="00D8457B"/>
    <w:rsid w:val="00D85945"/>
    <w:rsid w:val="00D867DF"/>
    <w:rsid w:val="00D870F5"/>
    <w:rsid w:val="00D87373"/>
    <w:rsid w:val="00D87FC7"/>
    <w:rsid w:val="00D90334"/>
    <w:rsid w:val="00D906B4"/>
    <w:rsid w:val="00D9115A"/>
    <w:rsid w:val="00D915E8"/>
    <w:rsid w:val="00D91B87"/>
    <w:rsid w:val="00D93D7C"/>
    <w:rsid w:val="00D94D4B"/>
    <w:rsid w:val="00D94FC1"/>
    <w:rsid w:val="00D95834"/>
    <w:rsid w:val="00D96BED"/>
    <w:rsid w:val="00D96E4A"/>
    <w:rsid w:val="00D97B23"/>
    <w:rsid w:val="00DA15DA"/>
    <w:rsid w:val="00DA2105"/>
    <w:rsid w:val="00DA4C70"/>
    <w:rsid w:val="00DA5559"/>
    <w:rsid w:val="00DA56C1"/>
    <w:rsid w:val="00DA58B9"/>
    <w:rsid w:val="00DA65B0"/>
    <w:rsid w:val="00DA764C"/>
    <w:rsid w:val="00DA79A4"/>
    <w:rsid w:val="00DB18FE"/>
    <w:rsid w:val="00DB4421"/>
    <w:rsid w:val="00DB4711"/>
    <w:rsid w:val="00DB53F5"/>
    <w:rsid w:val="00DB7F45"/>
    <w:rsid w:val="00DC0309"/>
    <w:rsid w:val="00DC051A"/>
    <w:rsid w:val="00DC0B6C"/>
    <w:rsid w:val="00DC1BC5"/>
    <w:rsid w:val="00DC1E56"/>
    <w:rsid w:val="00DC44E2"/>
    <w:rsid w:val="00DC5E17"/>
    <w:rsid w:val="00DC5F2A"/>
    <w:rsid w:val="00DC643E"/>
    <w:rsid w:val="00DC6934"/>
    <w:rsid w:val="00DC7891"/>
    <w:rsid w:val="00DC7FC5"/>
    <w:rsid w:val="00DD1D91"/>
    <w:rsid w:val="00DD330E"/>
    <w:rsid w:val="00DD3732"/>
    <w:rsid w:val="00DD39B6"/>
    <w:rsid w:val="00DD3F11"/>
    <w:rsid w:val="00DD4454"/>
    <w:rsid w:val="00DD62BA"/>
    <w:rsid w:val="00DD67D2"/>
    <w:rsid w:val="00DD78E8"/>
    <w:rsid w:val="00DD7AE4"/>
    <w:rsid w:val="00DE0747"/>
    <w:rsid w:val="00DE083E"/>
    <w:rsid w:val="00DE0F5D"/>
    <w:rsid w:val="00DE1546"/>
    <w:rsid w:val="00DE18EA"/>
    <w:rsid w:val="00DE21BE"/>
    <w:rsid w:val="00DE39BA"/>
    <w:rsid w:val="00DE4982"/>
    <w:rsid w:val="00DE4F0F"/>
    <w:rsid w:val="00DE5619"/>
    <w:rsid w:val="00DE641D"/>
    <w:rsid w:val="00DE64E2"/>
    <w:rsid w:val="00DE7C21"/>
    <w:rsid w:val="00DF12CC"/>
    <w:rsid w:val="00DF185A"/>
    <w:rsid w:val="00DF29D4"/>
    <w:rsid w:val="00DF2B00"/>
    <w:rsid w:val="00DF31E6"/>
    <w:rsid w:val="00DF3A0D"/>
    <w:rsid w:val="00DF3B93"/>
    <w:rsid w:val="00DF41D0"/>
    <w:rsid w:val="00DF6C81"/>
    <w:rsid w:val="00DF6E0C"/>
    <w:rsid w:val="00DF77D2"/>
    <w:rsid w:val="00DF7D5B"/>
    <w:rsid w:val="00E001CB"/>
    <w:rsid w:val="00E0089D"/>
    <w:rsid w:val="00E01D00"/>
    <w:rsid w:val="00E02F83"/>
    <w:rsid w:val="00E034F0"/>
    <w:rsid w:val="00E0445D"/>
    <w:rsid w:val="00E044D7"/>
    <w:rsid w:val="00E0480A"/>
    <w:rsid w:val="00E04FC3"/>
    <w:rsid w:val="00E050C7"/>
    <w:rsid w:val="00E051B0"/>
    <w:rsid w:val="00E05381"/>
    <w:rsid w:val="00E05A85"/>
    <w:rsid w:val="00E06225"/>
    <w:rsid w:val="00E0686D"/>
    <w:rsid w:val="00E12A4F"/>
    <w:rsid w:val="00E1341D"/>
    <w:rsid w:val="00E14625"/>
    <w:rsid w:val="00E165A8"/>
    <w:rsid w:val="00E168D5"/>
    <w:rsid w:val="00E17199"/>
    <w:rsid w:val="00E17336"/>
    <w:rsid w:val="00E203FB"/>
    <w:rsid w:val="00E20B15"/>
    <w:rsid w:val="00E21A36"/>
    <w:rsid w:val="00E22080"/>
    <w:rsid w:val="00E2357A"/>
    <w:rsid w:val="00E23CF0"/>
    <w:rsid w:val="00E2408E"/>
    <w:rsid w:val="00E24174"/>
    <w:rsid w:val="00E24750"/>
    <w:rsid w:val="00E251A9"/>
    <w:rsid w:val="00E25529"/>
    <w:rsid w:val="00E2688D"/>
    <w:rsid w:val="00E27673"/>
    <w:rsid w:val="00E30EFD"/>
    <w:rsid w:val="00E31BDB"/>
    <w:rsid w:val="00E32DDC"/>
    <w:rsid w:val="00E32EC0"/>
    <w:rsid w:val="00E335A9"/>
    <w:rsid w:val="00E33872"/>
    <w:rsid w:val="00E33FDA"/>
    <w:rsid w:val="00E341EC"/>
    <w:rsid w:val="00E34756"/>
    <w:rsid w:val="00E34E39"/>
    <w:rsid w:val="00E350D8"/>
    <w:rsid w:val="00E353EE"/>
    <w:rsid w:val="00E3553B"/>
    <w:rsid w:val="00E35852"/>
    <w:rsid w:val="00E36171"/>
    <w:rsid w:val="00E37145"/>
    <w:rsid w:val="00E37A60"/>
    <w:rsid w:val="00E419E6"/>
    <w:rsid w:val="00E41D7C"/>
    <w:rsid w:val="00E423B5"/>
    <w:rsid w:val="00E42615"/>
    <w:rsid w:val="00E42E48"/>
    <w:rsid w:val="00E44048"/>
    <w:rsid w:val="00E442C8"/>
    <w:rsid w:val="00E44D0E"/>
    <w:rsid w:val="00E45266"/>
    <w:rsid w:val="00E47742"/>
    <w:rsid w:val="00E47A71"/>
    <w:rsid w:val="00E50567"/>
    <w:rsid w:val="00E51121"/>
    <w:rsid w:val="00E51181"/>
    <w:rsid w:val="00E52350"/>
    <w:rsid w:val="00E526A5"/>
    <w:rsid w:val="00E52F59"/>
    <w:rsid w:val="00E53BFD"/>
    <w:rsid w:val="00E53D57"/>
    <w:rsid w:val="00E54EDE"/>
    <w:rsid w:val="00E554E2"/>
    <w:rsid w:val="00E5592B"/>
    <w:rsid w:val="00E57093"/>
    <w:rsid w:val="00E57E96"/>
    <w:rsid w:val="00E57EEB"/>
    <w:rsid w:val="00E604C0"/>
    <w:rsid w:val="00E60C3E"/>
    <w:rsid w:val="00E610BB"/>
    <w:rsid w:val="00E61108"/>
    <w:rsid w:val="00E62594"/>
    <w:rsid w:val="00E63200"/>
    <w:rsid w:val="00E63E31"/>
    <w:rsid w:val="00E63E84"/>
    <w:rsid w:val="00E63ECF"/>
    <w:rsid w:val="00E63EEC"/>
    <w:rsid w:val="00E6476D"/>
    <w:rsid w:val="00E66C23"/>
    <w:rsid w:val="00E6700C"/>
    <w:rsid w:val="00E67DF0"/>
    <w:rsid w:val="00E70217"/>
    <w:rsid w:val="00E7096F"/>
    <w:rsid w:val="00E71F8E"/>
    <w:rsid w:val="00E72044"/>
    <w:rsid w:val="00E72A31"/>
    <w:rsid w:val="00E72EC3"/>
    <w:rsid w:val="00E74DF1"/>
    <w:rsid w:val="00E75612"/>
    <w:rsid w:val="00E76AEF"/>
    <w:rsid w:val="00E80094"/>
    <w:rsid w:val="00E80F7C"/>
    <w:rsid w:val="00E81954"/>
    <w:rsid w:val="00E82320"/>
    <w:rsid w:val="00E82E5E"/>
    <w:rsid w:val="00E82E71"/>
    <w:rsid w:val="00E839A9"/>
    <w:rsid w:val="00E86FA7"/>
    <w:rsid w:val="00E87353"/>
    <w:rsid w:val="00E8794C"/>
    <w:rsid w:val="00E87E1E"/>
    <w:rsid w:val="00E91ADA"/>
    <w:rsid w:val="00E9261E"/>
    <w:rsid w:val="00E92C72"/>
    <w:rsid w:val="00E92DFF"/>
    <w:rsid w:val="00E9394F"/>
    <w:rsid w:val="00E94A60"/>
    <w:rsid w:val="00E9608E"/>
    <w:rsid w:val="00E9649D"/>
    <w:rsid w:val="00E966DB"/>
    <w:rsid w:val="00E9752D"/>
    <w:rsid w:val="00E97FF5"/>
    <w:rsid w:val="00EA02F0"/>
    <w:rsid w:val="00EA06EE"/>
    <w:rsid w:val="00EA085C"/>
    <w:rsid w:val="00EA22EA"/>
    <w:rsid w:val="00EA2D59"/>
    <w:rsid w:val="00EA56CD"/>
    <w:rsid w:val="00EA624B"/>
    <w:rsid w:val="00EA743A"/>
    <w:rsid w:val="00EA7958"/>
    <w:rsid w:val="00EA795A"/>
    <w:rsid w:val="00EA797E"/>
    <w:rsid w:val="00EA7A17"/>
    <w:rsid w:val="00EB011A"/>
    <w:rsid w:val="00EB0244"/>
    <w:rsid w:val="00EB029E"/>
    <w:rsid w:val="00EB09FE"/>
    <w:rsid w:val="00EB0D5B"/>
    <w:rsid w:val="00EB1D92"/>
    <w:rsid w:val="00EB1FA4"/>
    <w:rsid w:val="00EB2E3F"/>
    <w:rsid w:val="00EB3728"/>
    <w:rsid w:val="00EB3DA5"/>
    <w:rsid w:val="00EB73C6"/>
    <w:rsid w:val="00EC0B16"/>
    <w:rsid w:val="00EC2448"/>
    <w:rsid w:val="00EC4914"/>
    <w:rsid w:val="00EC4EEF"/>
    <w:rsid w:val="00EC50A0"/>
    <w:rsid w:val="00EC5C68"/>
    <w:rsid w:val="00EC60FE"/>
    <w:rsid w:val="00EC6462"/>
    <w:rsid w:val="00EC7143"/>
    <w:rsid w:val="00ED086B"/>
    <w:rsid w:val="00ED08B7"/>
    <w:rsid w:val="00ED0975"/>
    <w:rsid w:val="00ED0FEE"/>
    <w:rsid w:val="00ED1B9D"/>
    <w:rsid w:val="00ED1EFD"/>
    <w:rsid w:val="00ED24E0"/>
    <w:rsid w:val="00ED338D"/>
    <w:rsid w:val="00ED4045"/>
    <w:rsid w:val="00ED69B8"/>
    <w:rsid w:val="00EE0721"/>
    <w:rsid w:val="00EE15BA"/>
    <w:rsid w:val="00EE3D47"/>
    <w:rsid w:val="00EE4D58"/>
    <w:rsid w:val="00EE534F"/>
    <w:rsid w:val="00EE5578"/>
    <w:rsid w:val="00EE6E12"/>
    <w:rsid w:val="00EE79DE"/>
    <w:rsid w:val="00EF0A02"/>
    <w:rsid w:val="00EF0C36"/>
    <w:rsid w:val="00EF31C8"/>
    <w:rsid w:val="00EF3DA6"/>
    <w:rsid w:val="00EF427F"/>
    <w:rsid w:val="00EF474B"/>
    <w:rsid w:val="00EF499E"/>
    <w:rsid w:val="00EF4C70"/>
    <w:rsid w:val="00EF4D8F"/>
    <w:rsid w:val="00EF4E72"/>
    <w:rsid w:val="00EF5C39"/>
    <w:rsid w:val="00EF5ED3"/>
    <w:rsid w:val="00EF7DE9"/>
    <w:rsid w:val="00F000EB"/>
    <w:rsid w:val="00F00FCC"/>
    <w:rsid w:val="00F01009"/>
    <w:rsid w:val="00F01859"/>
    <w:rsid w:val="00F02933"/>
    <w:rsid w:val="00F0361E"/>
    <w:rsid w:val="00F03AAC"/>
    <w:rsid w:val="00F03F18"/>
    <w:rsid w:val="00F040C0"/>
    <w:rsid w:val="00F053A9"/>
    <w:rsid w:val="00F0589D"/>
    <w:rsid w:val="00F07019"/>
    <w:rsid w:val="00F07122"/>
    <w:rsid w:val="00F0715B"/>
    <w:rsid w:val="00F100C3"/>
    <w:rsid w:val="00F10850"/>
    <w:rsid w:val="00F110AA"/>
    <w:rsid w:val="00F1465D"/>
    <w:rsid w:val="00F14FFC"/>
    <w:rsid w:val="00F15667"/>
    <w:rsid w:val="00F16ABC"/>
    <w:rsid w:val="00F17301"/>
    <w:rsid w:val="00F17536"/>
    <w:rsid w:val="00F2005C"/>
    <w:rsid w:val="00F20E42"/>
    <w:rsid w:val="00F21329"/>
    <w:rsid w:val="00F2212D"/>
    <w:rsid w:val="00F23EC5"/>
    <w:rsid w:val="00F2476D"/>
    <w:rsid w:val="00F25631"/>
    <w:rsid w:val="00F27889"/>
    <w:rsid w:val="00F27BE0"/>
    <w:rsid w:val="00F27EEE"/>
    <w:rsid w:val="00F30767"/>
    <w:rsid w:val="00F30B3E"/>
    <w:rsid w:val="00F311D3"/>
    <w:rsid w:val="00F31B95"/>
    <w:rsid w:val="00F31DC9"/>
    <w:rsid w:val="00F32455"/>
    <w:rsid w:val="00F32A5D"/>
    <w:rsid w:val="00F32DC6"/>
    <w:rsid w:val="00F333B8"/>
    <w:rsid w:val="00F34956"/>
    <w:rsid w:val="00F35B96"/>
    <w:rsid w:val="00F37958"/>
    <w:rsid w:val="00F37EA4"/>
    <w:rsid w:val="00F41922"/>
    <w:rsid w:val="00F43124"/>
    <w:rsid w:val="00F43ABE"/>
    <w:rsid w:val="00F442E4"/>
    <w:rsid w:val="00F44815"/>
    <w:rsid w:val="00F449A6"/>
    <w:rsid w:val="00F44C4F"/>
    <w:rsid w:val="00F4593B"/>
    <w:rsid w:val="00F5058B"/>
    <w:rsid w:val="00F506AC"/>
    <w:rsid w:val="00F5151A"/>
    <w:rsid w:val="00F51782"/>
    <w:rsid w:val="00F53477"/>
    <w:rsid w:val="00F53E13"/>
    <w:rsid w:val="00F544F0"/>
    <w:rsid w:val="00F5592F"/>
    <w:rsid w:val="00F5691A"/>
    <w:rsid w:val="00F56A21"/>
    <w:rsid w:val="00F5740C"/>
    <w:rsid w:val="00F60588"/>
    <w:rsid w:val="00F60E20"/>
    <w:rsid w:val="00F62526"/>
    <w:rsid w:val="00F6563F"/>
    <w:rsid w:val="00F6611D"/>
    <w:rsid w:val="00F703B3"/>
    <w:rsid w:val="00F704B8"/>
    <w:rsid w:val="00F71B76"/>
    <w:rsid w:val="00F72764"/>
    <w:rsid w:val="00F7349F"/>
    <w:rsid w:val="00F73A7B"/>
    <w:rsid w:val="00F746D4"/>
    <w:rsid w:val="00F74862"/>
    <w:rsid w:val="00F74DD2"/>
    <w:rsid w:val="00F753DF"/>
    <w:rsid w:val="00F75A49"/>
    <w:rsid w:val="00F77704"/>
    <w:rsid w:val="00F80177"/>
    <w:rsid w:val="00F80792"/>
    <w:rsid w:val="00F80D6D"/>
    <w:rsid w:val="00F81296"/>
    <w:rsid w:val="00F81DDF"/>
    <w:rsid w:val="00F83190"/>
    <w:rsid w:val="00F8473D"/>
    <w:rsid w:val="00F85303"/>
    <w:rsid w:val="00F85D89"/>
    <w:rsid w:val="00F86F4D"/>
    <w:rsid w:val="00F86FD1"/>
    <w:rsid w:val="00F9001E"/>
    <w:rsid w:val="00F900DA"/>
    <w:rsid w:val="00F90863"/>
    <w:rsid w:val="00F91C86"/>
    <w:rsid w:val="00F91F3C"/>
    <w:rsid w:val="00F92B5C"/>
    <w:rsid w:val="00F93398"/>
    <w:rsid w:val="00F9357B"/>
    <w:rsid w:val="00F93B58"/>
    <w:rsid w:val="00F93C34"/>
    <w:rsid w:val="00F944A2"/>
    <w:rsid w:val="00F94BB9"/>
    <w:rsid w:val="00F95A41"/>
    <w:rsid w:val="00F95E59"/>
    <w:rsid w:val="00F95F0A"/>
    <w:rsid w:val="00F969A5"/>
    <w:rsid w:val="00FA0243"/>
    <w:rsid w:val="00FA0658"/>
    <w:rsid w:val="00FA14B5"/>
    <w:rsid w:val="00FA192F"/>
    <w:rsid w:val="00FA2921"/>
    <w:rsid w:val="00FA2C59"/>
    <w:rsid w:val="00FA3B37"/>
    <w:rsid w:val="00FA459F"/>
    <w:rsid w:val="00FA4F24"/>
    <w:rsid w:val="00FA5088"/>
    <w:rsid w:val="00FA70C2"/>
    <w:rsid w:val="00FB0560"/>
    <w:rsid w:val="00FB1D4C"/>
    <w:rsid w:val="00FB2505"/>
    <w:rsid w:val="00FB309B"/>
    <w:rsid w:val="00FB320A"/>
    <w:rsid w:val="00FB32BF"/>
    <w:rsid w:val="00FB4517"/>
    <w:rsid w:val="00FB46A1"/>
    <w:rsid w:val="00FB4CE8"/>
    <w:rsid w:val="00FB53EE"/>
    <w:rsid w:val="00FB6520"/>
    <w:rsid w:val="00FB6FAB"/>
    <w:rsid w:val="00FB7353"/>
    <w:rsid w:val="00FC0562"/>
    <w:rsid w:val="00FC08B4"/>
    <w:rsid w:val="00FC0E74"/>
    <w:rsid w:val="00FC2479"/>
    <w:rsid w:val="00FC2B36"/>
    <w:rsid w:val="00FC2D90"/>
    <w:rsid w:val="00FC31C7"/>
    <w:rsid w:val="00FC358F"/>
    <w:rsid w:val="00FC38FC"/>
    <w:rsid w:val="00FC44C8"/>
    <w:rsid w:val="00FC4DE8"/>
    <w:rsid w:val="00FC53F9"/>
    <w:rsid w:val="00FC6259"/>
    <w:rsid w:val="00FC7226"/>
    <w:rsid w:val="00FC752D"/>
    <w:rsid w:val="00FC7D1F"/>
    <w:rsid w:val="00FD0277"/>
    <w:rsid w:val="00FD04D6"/>
    <w:rsid w:val="00FD0E1B"/>
    <w:rsid w:val="00FD1FDA"/>
    <w:rsid w:val="00FD20F4"/>
    <w:rsid w:val="00FD22BF"/>
    <w:rsid w:val="00FD262C"/>
    <w:rsid w:val="00FD5E79"/>
    <w:rsid w:val="00FD7A7E"/>
    <w:rsid w:val="00FE0773"/>
    <w:rsid w:val="00FE0F19"/>
    <w:rsid w:val="00FE1AB2"/>
    <w:rsid w:val="00FE1E1D"/>
    <w:rsid w:val="00FE3535"/>
    <w:rsid w:val="00FE444D"/>
    <w:rsid w:val="00FE4996"/>
    <w:rsid w:val="00FE5302"/>
    <w:rsid w:val="00FE5F74"/>
    <w:rsid w:val="00FE6C59"/>
    <w:rsid w:val="00FE7644"/>
    <w:rsid w:val="00FF0BCA"/>
    <w:rsid w:val="00FF2946"/>
    <w:rsid w:val="00FF2FC5"/>
    <w:rsid w:val="00FF3703"/>
    <w:rsid w:val="00FF4117"/>
    <w:rsid w:val="00FF4AB2"/>
    <w:rsid w:val="00FF4ADC"/>
    <w:rsid w:val="00FF5AC6"/>
    <w:rsid w:val="00FF5ADC"/>
    <w:rsid w:val="00FF5CD8"/>
    <w:rsid w:val="00FF600F"/>
    <w:rsid w:val="00FF6DAA"/>
    <w:rsid w:val="00FF73A4"/>
    <w:rsid w:val="00FF7C1D"/>
    <w:rsid w:val="00FF7DCB"/>
    <w:rsid w:val="01553510"/>
    <w:rsid w:val="03B838AF"/>
    <w:rsid w:val="067928F2"/>
    <w:rsid w:val="087C1612"/>
    <w:rsid w:val="17522051"/>
    <w:rsid w:val="1A725933"/>
    <w:rsid w:val="1B462BCE"/>
    <w:rsid w:val="20C96388"/>
    <w:rsid w:val="21BD7C2D"/>
    <w:rsid w:val="24682F13"/>
    <w:rsid w:val="27241DDB"/>
    <w:rsid w:val="28AB2423"/>
    <w:rsid w:val="2E77134D"/>
    <w:rsid w:val="31A35C4B"/>
    <w:rsid w:val="33E001D5"/>
    <w:rsid w:val="3B7C1525"/>
    <w:rsid w:val="3EC84DAA"/>
    <w:rsid w:val="44B7707C"/>
    <w:rsid w:val="46512162"/>
    <w:rsid w:val="485F6737"/>
    <w:rsid w:val="48C76115"/>
    <w:rsid w:val="4A46657A"/>
    <w:rsid w:val="4CA54A6D"/>
    <w:rsid w:val="4EE256DF"/>
    <w:rsid w:val="4EF22B0B"/>
    <w:rsid w:val="51947B82"/>
    <w:rsid w:val="51CF4842"/>
    <w:rsid w:val="52C03405"/>
    <w:rsid w:val="57672A8C"/>
    <w:rsid w:val="58583B48"/>
    <w:rsid w:val="5F4A27E1"/>
    <w:rsid w:val="644A4F15"/>
    <w:rsid w:val="6B115505"/>
    <w:rsid w:val="762078AF"/>
    <w:rsid w:val="799D4ABC"/>
    <w:rsid w:val="7C902372"/>
    <w:rsid w:val="7EC556B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qFormat="1" w:unhideWhenUsed="0" w:uiPriority="0" w:semiHidden="0"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qFormat="1" w:unhideWhenUsed="0" w:uiPriority="0" w:semiHidden="0"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39"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rPr>
      <w:rFonts w:ascii="Times New Roman" w:hAnsi="Times New Roman" w:eastAsia="宋体" w:cs="Times New Roman"/>
      <w:sz w:val="24"/>
      <w:szCs w:val="24"/>
      <w:lang w:val="en-AU" w:eastAsia="zh-CN" w:bidi="ar-SA"/>
    </w:rPr>
  </w:style>
  <w:style w:type="paragraph" w:styleId="2">
    <w:name w:val="heading 1"/>
    <w:basedOn w:val="1"/>
    <w:next w:val="1"/>
    <w:link w:val="35"/>
    <w:autoRedefine/>
    <w:qFormat/>
    <w:uiPriority w:val="9"/>
    <w:pPr>
      <w:keepNext/>
      <w:spacing w:before="240" w:after="60"/>
      <w:outlineLvl w:val="0"/>
    </w:pPr>
    <w:rPr>
      <w:rFonts w:ascii="Arial" w:hAnsi="Arial" w:cs="Arial"/>
      <w:b/>
      <w:bCs/>
      <w:kern w:val="32"/>
      <w:sz w:val="32"/>
      <w:szCs w:val="32"/>
    </w:rPr>
  </w:style>
  <w:style w:type="paragraph" w:styleId="3">
    <w:name w:val="heading 2"/>
    <w:basedOn w:val="1"/>
    <w:next w:val="1"/>
    <w:link w:val="29"/>
    <w:autoRedefine/>
    <w:qFormat/>
    <w:uiPriority w:val="0"/>
    <w:pPr>
      <w:keepNext/>
      <w:spacing w:before="240" w:after="60"/>
      <w:outlineLvl w:val="1"/>
    </w:pPr>
    <w:rPr>
      <w:rFonts w:ascii="Arial" w:hAnsi="Arial" w:cs="Arial"/>
      <w:b/>
      <w:bCs/>
      <w:i/>
      <w:iCs/>
      <w:sz w:val="28"/>
      <w:szCs w:val="28"/>
    </w:rPr>
  </w:style>
  <w:style w:type="paragraph" w:styleId="4">
    <w:name w:val="heading 3"/>
    <w:basedOn w:val="1"/>
    <w:next w:val="1"/>
    <w:link w:val="30"/>
    <w:autoRedefine/>
    <w:qFormat/>
    <w:uiPriority w:val="0"/>
    <w:pPr>
      <w:keepNext/>
      <w:numPr>
        <w:ilvl w:val="2"/>
        <w:numId w:val="1"/>
      </w:numPr>
      <w:spacing w:before="240" w:after="60"/>
      <w:outlineLvl w:val="2"/>
    </w:pPr>
    <w:rPr>
      <w:rFonts w:ascii="Arial" w:hAnsi="Arial" w:cs="Arial"/>
      <w:b/>
      <w:bCs/>
      <w:sz w:val="26"/>
      <w:szCs w:val="26"/>
    </w:rPr>
  </w:style>
  <w:style w:type="paragraph" w:styleId="5">
    <w:name w:val="heading 4"/>
    <w:basedOn w:val="1"/>
    <w:next w:val="1"/>
    <w:link w:val="31"/>
    <w:autoRedefine/>
    <w:unhideWhenUsed/>
    <w:qFormat/>
    <w:uiPriority w:val="9"/>
    <w:pPr>
      <w:jc w:val="both"/>
      <w:outlineLvl w:val="3"/>
    </w:pPr>
    <w:rPr>
      <w:rFonts w:cstheme="majorBidi"/>
      <w:bCs/>
      <w:color w:val="000000" w:themeColor="text1"/>
      <w:sz w:val="20"/>
      <w:szCs w:val="28"/>
      <w14:textFill>
        <w14:solidFill>
          <w14:schemeClr w14:val="tx1"/>
        </w14:solidFill>
      </w14:textFill>
    </w:rPr>
  </w:style>
  <w:style w:type="character" w:default="1" w:styleId="18">
    <w:name w:val="Default Paragraph Font"/>
    <w:autoRedefine/>
    <w:unhideWhenUsed/>
    <w:qFormat/>
    <w:uiPriority w:val="1"/>
  </w:style>
  <w:style w:type="table" w:default="1" w:styleId="15">
    <w:name w:val="Normal Table"/>
    <w:autoRedefine/>
    <w:semiHidden/>
    <w:unhideWhenUsed/>
    <w:qFormat/>
    <w:uiPriority w:val="99"/>
    <w:tblPr>
      <w:tblCellMar>
        <w:top w:w="0" w:type="dxa"/>
        <w:left w:w="108" w:type="dxa"/>
        <w:bottom w:w="0" w:type="dxa"/>
        <w:right w:w="108" w:type="dxa"/>
      </w:tblCellMar>
    </w:tblPr>
  </w:style>
  <w:style w:type="paragraph" w:styleId="6">
    <w:name w:val="Normal Indent"/>
    <w:basedOn w:val="1"/>
    <w:autoRedefine/>
    <w:qFormat/>
    <w:uiPriority w:val="0"/>
    <w:pPr>
      <w:ind w:left="720"/>
    </w:pPr>
  </w:style>
  <w:style w:type="paragraph" w:styleId="7">
    <w:name w:val="caption"/>
    <w:basedOn w:val="1"/>
    <w:next w:val="1"/>
    <w:autoRedefine/>
    <w:qFormat/>
    <w:uiPriority w:val="0"/>
    <w:pPr>
      <w:spacing w:before="120" w:after="120"/>
    </w:pPr>
    <w:rPr>
      <w:b/>
      <w:bCs/>
      <w:sz w:val="20"/>
      <w:szCs w:val="20"/>
    </w:rPr>
  </w:style>
  <w:style w:type="paragraph" w:styleId="8">
    <w:name w:val="annotation text"/>
    <w:basedOn w:val="1"/>
    <w:link w:val="28"/>
    <w:autoRedefine/>
    <w:qFormat/>
    <w:uiPriority w:val="0"/>
    <w:rPr>
      <w:sz w:val="20"/>
      <w:szCs w:val="20"/>
    </w:rPr>
  </w:style>
  <w:style w:type="paragraph" w:styleId="9">
    <w:name w:val="Balloon Text"/>
    <w:basedOn w:val="1"/>
    <w:link w:val="26"/>
    <w:autoRedefine/>
    <w:qFormat/>
    <w:uiPriority w:val="0"/>
    <w:rPr>
      <w:rFonts w:ascii="Tahoma" w:hAnsi="Tahoma" w:cs="Tahoma"/>
      <w:sz w:val="16"/>
      <w:szCs w:val="16"/>
    </w:rPr>
  </w:style>
  <w:style w:type="paragraph" w:styleId="10">
    <w:name w:val="footer"/>
    <w:basedOn w:val="1"/>
    <w:link w:val="25"/>
    <w:autoRedefine/>
    <w:qFormat/>
    <w:uiPriority w:val="99"/>
    <w:pPr>
      <w:tabs>
        <w:tab w:val="center" w:pos="4513"/>
        <w:tab w:val="right" w:pos="9026"/>
      </w:tabs>
    </w:pPr>
  </w:style>
  <w:style w:type="paragraph" w:styleId="11">
    <w:name w:val="header"/>
    <w:basedOn w:val="1"/>
    <w:link w:val="24"/>
    <w:autoRedefine/>
    <w:qFormat/>
    <w:uiPriority w:val="0"/>
    <w:pPr>
      <w:tabs>
        <w:tab w:val="center" w:pos="4513"/>
        <w:tab w:val="right" w:pos="9026"/>
      </w:tabs>
    </w:pPr>
  </w:style>
  <w:style w:type="paragraph" w:styleId="12">
    <w:name w:val="footnote text"/>
    <w:basedOn w:val="1"/>
    <w:link w:val="33"/>
    <w:autoRedefine/>
    <w:semiHidden/>
    <w:qFormat/>
    <w:uiPriority w:val="0"/>
    <w:pPr>
      <w:snapToGrid w:val="0"/>
    </w:pPr>
    <w:rPr>
      <w:rFonts w:ascii="宋体" w:hAnsi="宋体" w:cs="宋体"/>
      <w:color w:val="000000"/>
      <w:sz w:val="18"/>
      <w:szCs w:val="18"/>
    </w:rPr>
  </w:style>
  <w:style w:type="paragraph" w:styleId="13">
    <w:name w:val="Normal (Web)"/>
    <w:basedOn w:val="1"/>
    <w:autoRedefine/>
    <w:unhideWhenUsed/>
    <w:qFormat/>
    <w:uiPriority w:val="99"/>
    <w:pPr>
      <w:spacing w:before="100" w:beforeAutospacing="1" w:after="100" w:afterAutospacing="1"/>
    </w:pPr>
    <w:rPr>
      <w:rFonts w:eastAsia="Times New Roman"/>
      <w:lang w:val="en-GB" w:eastAsia="en-GB"/>
    </w:rPr>
  </w:style>
  <w:style w:type="paragraph" w:styleId="14">
    <w:name w:val="annotation subject"/>
    <w:basedOn w:val="8"/>
    <w:next w:val="8"/>
    <w:link w:val="34"/>
    <w:autoRedefine/>
    <w:qFormat/>
    <w:uiPriority w:val="0"/>
    <w:rPr>
      <w:b/>
      <w:bCs/>
    </w:rPr>
  </w:style>
  <w:style w:type="table" w:styleId="16">
    <w:name w:val="Table Grid"/>
    <w:basedOn w:val="15"/>
    <w:autoRedefine/>
    <w:qFormat/>
    <w:uiPriority w:val="39"/>
    <w:rPr>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17">
    <w:name w:val="Table Simple 1"/>
    <w:basedOn w:val="15"/>
    <w:autoRedefine/>
    <w:qFormat/>
    <w:uiPriority w:val="0"/>
    <w:rPr>
      <w:lang w:val="en-GB" w:eastAsia="en-GB"/>
    </w:rPr>
    <w:tblPr>
      <w:tblBorders>
        <w:top w:val="single" w:color="008000" w:sz="12" w:space="0"/>
        <w:bottom w:val="single" w:color="008000" w:sz="12" w:space="0"/>
      </w:tblBorders>
    </w:tblPr>
    <w:tcPr>
      <w:shd w:val="clear" w:color="auto" w:fill="auto"/>
    </w:tcPr>
    <w:tblStylePr w:type="firstRow">
      <w:tblPr/>
      <w:tcPr>
        <w:tcBorders>
          <w:bottom w:val="single" w:color="008000" w:sz="6" w:space="0"/>
          <w:tl2br w:val="nil"/>
          <w:tr2bl w:val="nil"/>
        </w:tcBorders>
      </w:tcPr>
    </w:tblStylePr>
    <w:tblStylePr w:type="lastRow">
      <w:tblPr/>
      <w:tcPr>
        <w:tcBorders>
          <w:top w:val="single" w:color="008000" w:sz="6" w:space="0"/>
          <w:tl2br w:val="nil"/>
          <w:tr2bl w:val="nil"/>
        </w:tcBorders>
      </w:tcPr>
    </w:tblStylePr>
  </w:style>
  <w:style w:type="character" w:styleId="19">
    <w:name w:val="Strong"/>
    <w:basedOn w:val="18"/>
    <w:autoRedefine/>
    <w:qFormat/>
    <w:uiPriority w:val="22"/>
    <w:rPr>
      <w:b/>
      <w:bCs/>
    </w:rPr>
  </w:style>
  <w:style w:type="character" w:styleId="20">
    <w:name w:val="FollowedHyperlink"/>
    <w:basedOn w:val="18"/>
    <w:autoRedefine/>
    <w:qFormat/>
    <w:uiPriority w:val="0"/>
    <w:rPr>
      <w:color w:val="800080"/>
      <w:u w:val="single"/>
    </w:rPr>
  </w:style>
  <w:style w:type="character" w:styleId="21">
    <w:name w:val="Emphasis"/>
    <w:basedOn w:val="18"/>
    <w:autoRedefine/>
    <w:qFormat/>
    <w:uiPriority w:val="20"/>
    <w:rPr>
      <w:i/>
      <w:iCs/>
    </w:rPr>
  </w:style>
  <w:style w:type="character" w:styleId="22">
    <w:name w:val="Hyperlink"/>
    <w:basedOn w:val="18"/>
    <w:autoRedefine/>
    <w:qFormat/>
    <w:uiPriority w:val="0"/>
    <w:rPr>
      <w:color w:val="0000FF" w:themeColor="hyperlink"/>
      <w:u w:val="single"/>
      <w14:textFill>
        <w14:solidFill>
          <w14:schemeClr w14:val="hlink"/>
        </w14:solidFill>
      </w14:textFill>
    </w:rPr>
  </w:style>
  <w:style w:type="character" w:styleId="23">
    <w:name w:val="annotation reference"/>
    <w:basedOn w:val="18"/>
    <w:autoRedefine/>
    <w:qFormat/>
    <w:uiPriority w:val="0"/>
    <w:rPr>
      <w:sz w:val="16"/>
      <w:szCs w:val="16"/>
    </w:rPr>
  </w:style>
  <w:style w:type="character" w:customStyle="1" w:styleId="24">
    <w:name w:val="页眉 字符"/>
    <w:basedOn w:val="18"/>
    <w:link w:val="11"/>
    <w:autoRedefine/>
    <w:qFormat/>
    <w:uiPriority w:val="0"/>
    <w:rPr>
      <w:rFonts w:ascii="Times New Roman" w:hAnsi="Times New Roman" w:eastAsia="宋体" w:cs="Times New Roman"/>
      <w:kern w:val="0"/>
      <w:sz w:val="24"/>
      <w:szCs w:val="24"/>
      <w:lang w:val="en-AU"/>
    </w:rPr>
  </w:style>
  <w:style w:type="character" w:customStyle="1" w:styleId="25">
    <w:name w:val="页脚 字符"/>
    <w:basedOn w:val="18"/>
    <w:link w:val="10"/>
    <w:autoRedefine/>
    <w:qFormat/>
    <w:uiPriority w:val="99"/>
    <w:rPr>
      <w:rFonts w:ascii="Times New Roman" w:hAnsi="Times New Roman" w:eastAsia="宋体" w:cs="Times New Roman"/>
      <w:kern w:val="0"/>
      <w:sz w:val="24"/>
      <w:szCs w:val="24"/>
      <w:lang w:val="en-AU"/>
    </w:rPr>
  </w:style>
  <w:style w:type="character" w:customStyle="1" w:styleId="26">
    <w:name w:val="批注框文本 字符"/>
    <w:basedOn w:val="18"/>
    <w:link w:val="9"/>
    <w:autoRedefine/>
    <w:qFormat/>
    <w:uiPriority w:val="0"/>
    <w:rPr>
      <w:rFonts w:ascii="Tahoma" w:hAnsi="Tahoma" w:eastAsia="宋体" w:cs="Tahoma"/>
      <w:kern w:val="0"/>
      <w:sz w:val="16"/>
      <w:szCs w:val="16"/>
      <w:lang w:val="en-AU"/>
    </w:rPr>
  </w:style>
  <w:style w:type="paragraph" w:styleId="27">
    <w:name w:val="List Paragraph"/>
    <w:basedOn w:val="1"/>
    <w:autoRedefine/>
    <w:qFormat/>
    <w:uiPriority w:val="34"/>
    <w:pPr>
      <w:ind w:left="720"/>
      <w:contextualSpacing/>
    </w:pPr>
  </w:style>
  <w:style w:type="character" w:customStyle="1" w:styleId="28">
    <w:name w:val="批注文字 字符"/>
    <w:basedOn w:val="18"/>
    <w:link w:val="8"/>
    <w:autoRedefine/>
    <w:qFormat/>
    <w:uiPriority w:val="0"/>
    <w:rPr>
      <w:rFonts w:ascii="Times New Roman" w:hAnsi="Times New Roman" w:eastAsia="宋体" w:cs="Times New Roman"/>
      <w:kern w:val="0"/>
      <w:sz w:val="20"/>
      <w:szCs w:val="20"/>
      <w:lang w:val="en-AU"/>
    </w:rPr>
  </w:style>
  <w:style w:type="character" w:customStyle="1" w:styleId="29">
    <w:name w:val="标题 2 字符"/>
    <w:basedOn w:val="18"/>
    <w:link w:val="3"/>
    <w:autoRedefine/>
    <w:qFormat/>
    <w:uiPriority w:val="0"/>
    <w:rPr>
      <w:rFonts w:ascii="Arial" w:hAnsi="Arial" w:eastAsia="宋体" w:cs="Arial"/>
      <w:b/>
      <w:bCs/>
      <w:i/>
      <w:iCs/>
      <w:kern w:val="0"/>
      <w:sz w:val="28"/>
      <w:szCs w:val="28"/>
      <w:lang w:val="en-AU"/>
    </w:rPr>
  </w:style>
  <w:style w:type="character" w:customStyle="1" w:styleId="30">
    <w:name w:val="标题 3 字符"/>
    <w:basedOn w:val="18"/>
    <w:link w:val="4"/>
    <w:autoRedefine/>
    <w:qFormat/>
    <w:uiPriority w:val="0"/>
    <w:rPr>
      <w:rFonts w:ascii="Arial" w:hAnsi="Arial" w:eastAsia="宋体" w:cs="Arial"/>
      <w:b/>
      <w:bCs/>
      <w:kern w:val="0"/>
      <w:sz w:val="26"/>
      <w:szCs w:val="26"/>
      <w:lang w:val="en-AU"/>
    </w:rPr>
  </w:style>
  <w:style w:type="character" w:customStyle="1" w:styleId="31">
    <w:name w:val="标题 4 字符"/>
    <w:basedOn w:val="18"/>
    <w:link w:val="5"/>
    <w:autoRedefine/>
    <w:qFormat/>
    <w:uiPriority w:val="9"/>
    <w:rPr>
      <w:rFonts w:ascii="Times New Roman" w:hAnsi="Times New Roman" w:eastAsia="宋体" w:cstheme="majorBidi"/>
      <w:bCs/>
      <w:color w:val="000000" w:themeColor="text1"/>
      <w:kern w:val="0"/>
      <w:sz w:val="20"/>
      <w:szCs w:val="28"/>
      <w:lang w:val="en-AU"/>
      <w14:textFill>
        <w14:solidFill>
          <w14:schemeClr w14:val="tx1"/>
        </w14:solidFill>
      </w14:textFill>
    </w:rPr>
  </w:style>
  <w:style w:type="paragraph" w:styleId="32">
    <w:name w:val="No Spacing"/>
    <w:autoRedefine/>
    <w:qFormat/>
    <w:uiPriority w:val="1"/>
    <w:pPr>
      <w:widowControl w:val="0"/>
      <w:spacing w:line="240" w:lineRule="exact"/>
      <w:ind w:left="357"/>
      <w:jc w:val="both"/>
    </w:pPr>
    <w:rPr>
      <w:rFonts w:ascii="Times New Roman" w:hAnsi="Times New Roman" w:eastAsiaTheme="minorEastAsia" w:cstheme="minorBidi"/>
      <w:kern w:val="2"/>
      <w:sz w:val="15"/>
      <w:szCs w:val="22"/>
      <w:lang w:val="en-US" w:eastAsia="zh-CN" w:bidi="ar-SA"/>
    </w:rPr>
  </w:style>
  <w:style w:type="character" w:customStyle="1" w:styleId="33">
    <w:name w:val="脚注文本 字符"/>
    <w:basedOn w:val="18"/>
    <w:link w:val="12"/>
    <w:autoRedefine/>
    <w:semiHidden/>
    <w:qFormat/>
    <w:uiPriority w:val="0"/>
    <w:rPr>
      <w:rFonts w:ascii="宋体" w:hAnsi="宋体" w:eastAsia="宋体" w:cs="宋体"/>
      <w:color w:val="000000"/>
      <w:kern w:val="0"/>
      <w:sz w:val="18"/>
      <w:szCs w:val="18"/>
    </w:rPr>
  </w:style>
  <w:style w:type="character" w:customStyle="1" w:styleId="34">
    <w:name w:val="批注主题 字符"/>
    <w:basedOn w:val="28"/>
    <w:link w:val="14"/>
    <w:autoRedefine/>
    <w:qFormat/>
    <w:uiPriority w:val="0"/>
    <w:rPr>
      <w:rFonts w:ascii="Times New Roman" w:hAnsi="Times New Roman" w:eastAsia="宋体" w:cs="Times New Roman"/>
      <w:b/>
      <w:bCs/>
      <w:kern w:val="0"/>
      <w:sz w:val="20"/>
      <w:szCs w:val="20"/>
      <w:lang w:val="en-AU"/>
    </w:rPr>
  </w:style>
  <w:style w:type="character" w:customStyle="1" w:styleId="35">
    <w:name w:val="标题 1 字符"/>
    <w:basedOn w:val="18"/>
    <w:link w:val="2"/>
    <w:autoRedefine/>
    <w:qFormat/>
    <w:uiPriority w:val="9"/>
    <w:rPr>
      <w:rFonts w:ascii="Arial" w:hAnsi="Arial" w:eastAsia="宋体" w:cs="Arial"/>
      <w:b/>
      <w:bCs/>
      <w:kern w:val="32"/>
      <w:sz w:val="32"/>
      <w:szCs w:val="32"/>
      <w:lang w:val="en-AU"/>
    </w:rPr>
  </w:style>
  <w:style w:type="character" w:customStyle="1" w:styleId="36">
    <w:name w:val="Unresolved Mention1"/>
    <w:basedOn w:val="18"/>
    <w:autoRedefine/>
    <w:semiHidden/>
    <w:unhideWhenUsed/>
    <w:qFormat/>
    <w:uiPriority w:val="99"/>
    <w:rPr>
      <w:color w:val="605E5C"/>
      <w:shd w:val="clear" w:color="auto" w:fill="E1DFDD"/>
    </w:rPr>
  </w:style>
  <w:style w:type="paragraph" w:customStyle="1" w:styleId="37">
    <w:name w:val="修订1"/>
    <w:autoRedefine/>
    <w:hidden/>
    <w:semiHidden/>
    <w:qFormat/>
    <w:uiPriority w:val="99"/>
    <w:rPr>
      <w:rFonts w:ascii="Times New Roman" w:hAnsi="Times New Roman" w:eastAsiaTheme="minorEastAsia" w:cstheme="minorBidi"/>
      <w:kern w:val="2"/>
      <w:szCs w:val="22"/>
      <w:lang w:val="en-US" w:eastAsia="zh-CN" w:bidi="ar-SA"/>
    </w:rPr>
  </w:style>
  <w:style w:type="character" w:customStyle="1" w:styleId="38">
    <w:name w:val="rowtit"/>
    <w:basedOn w:val="18"/>
    <w:autoRedefine/>
    <w:qFormat/>
    <w:uiPriority w:val="0"/>
  </w:style>
  <w:style w:type="paragraph" w:customStyle="1" w:styleId="39">
    <w:name w:val="IET Paper Title"/>
    <w:basedOn w:val="11"/>
    <w:autoRedefine/>
    <w:qFormat/>
    <w:locked/>
    <w:uiPriority w:val="0"/>
    <w:rPr>
      <w:b/>
      <w:sz w:val="28"/>
    </w:rPr>
  </w:style>
  <w:style w:type="paragraph" w:customStyle="1" w:styleId="40">
    <w:name w:val="IET Heading 1"/>
    <w:basedOn w:val="3"/>
    <w:autoRedefine/>
    <w:qFormat/>
    <w:locked/>
    <w:uiPriority w:val="0"/>
    <w:pPr>
      <w:numPr>
        <w:ilvl w:val="0"/>
        <w:numId w:val="2"/>
      </w:numPr>
    </w:pPr>
    <w:rPr>
      <w:i w:val="0"/>
      <w:sz w:val="24"/>
    </w:rPr>
  </w:style>
  <w:style w:type="paragraph" w:customStyle="1" w:styleId="41">
    <w:name w:val="IET Abstract Text"/>
    <w:basedOn w:val="1"/>
    <w:next w:val="1"/>
    <w:autoRedefine/>
    <w:qFormat/>
    <w:locked/>
    <w:uiPriority w:val="0"/>
    <w:rPr>
      <w:b/>
    </w:rPr>
  </w:style>
  <w:style w:type="paragraph" w:customStyle="1" w:styleId="42">
    <w:name w:val="Style1"/>
    <w:basedOn w:val="1"/>
    <w:next w:val="6"/>
    <w:autoRedefine/>
    <w:qFormat/>
    <w:locked/>
    <w:uiPriority w:val="0"/>
  </w:style>
  <w:style w:type="paragraph" w:customStyle="1" w:styleId="43">
    <w:name w:val="IET Paragraph"/>
    <w:basedOn w:val="1"/>
    <w:autoRedefine/>
    <w:qFormat/>
    <w:locked/>
    <w:uiPriority w:val="0"/>
    <w:pPr>
      <w:spacing w:line="360" w:lineRule="auto"/>
      <w:ind w:firstLine="567"/>
      <w:jc w:val="both"/>
    </w:pPr>
  </w:style>
  <w:style w:type="paragraph" w:customStyle="1" w:styleId="44">
    <w:name w:val="IET Heading 2"/>
    <w:basedOn w:val="1"/>
    <w:autoRedefine/>
    <w:qFormat/>
    <w:locked/>
    <w:uiPriority w:val="0"/>
    <w:pPr>
      <w:numPr>
        <w:ilvl w:val="0"/>
        <w:numId w:val="3"/>
      </w:numPr>
      <w:ind w:left="1080"/>
    </w:pPr>
    <w:rPr>
      <w:rFonts w:ascii="Arial" w:hAnsi="Arial"/>
      <w:i/>
      <w:sz w:val="22"/>
    </w:rPr>
  </w:style>
  <w:style w:type="paragraph" w:customStyle="1" w:styleId="45">
    <w:name w:val="Figure Caption"/>
    <w:basedOn w:val="1"/>
    <w:autoRedefine/>
    <w:qFormat/>
    <w:uiPriority w:val="0"/>
    <w:rPr>
      <w:b/>
      <w:i/>
    </w:rPr>
  </w:style>
  <w:style w:type="paragraph" w:customStyle="1" w:styleId="46">
    <w:name w:val="IET Figure Caption"/>
    <w:basedOn w:val="45"/>
    <w:autoRedefine/>
    <w:qFormat/>
    <w:locked/>
    <w:uiPriority w:val="0"/>
    <w:rPr>
      <w:b w:val="0"/>
      <w:iCs/>
      <w:sz w:val="20"/>
    </w:rPr>
  </w:style>
  <w:style w:type="paragraph" w:customStyle="1" w:styleId="47">
    <w:name w:val="Table Heading"/>
    <w:basedOn w:val="43"/>
    <w:next w:val="1"/>
    <w:autoRedefine/>
    <w:qFormat/>
    <w:locked/>
    <w:uiPriority w:val="0"/>
    <w:pPr>
      <w:spacing w:line="240" w:lineRule="auto"/>
      <w:ind w:firstLine="0"/>
    </w:pPr>
    <w:rPr>
      <w:sz w:val="20"/>
      <w:lang w:val="en-GB"/>
    </w:rPr>
  </w:style>
  <w:style w:type="character" w:customStyle="1" w:styleId="48">
    <w:name w:val="apple-converted-space"/>
    <w:basedOn w:val="18"/>
    <w:autoRedefine/>
    <w:qFormat/>
    <w:locked/>
    <w:uiPriority w:val="0"/>
  </w:style>
  <w:style w:type="paragraph" w:customStyle="1" w:styleId="49">
    <w:name w:val="IET References"/>
    <w:basedOn w:val="43"/>
    <w:autoRedefine/>
    <w:qFormat/>
    <w:locked/>
    <w:uiPriority w:val="0"/>
    <w:pPr>
      <w:spacing w:line="240" w:lineRule="auto"/>
      <w:ind w:firstLine="0"/>
      <w:jc w:val="left"/>
    </w:pPr>
    <w:rPr>
      <w:sz w:val="22"/>
      <w:lang w:val="en-GB" w:eastAsia="en-GB"/>
    </w:rPr>
  </w:style>
  <w:style w:type="paragraph" w:customStyle="1" w:styleId="50">
    <w:name w:val="书目1"/>
    <w:basedOn w:val="1"/>
    <w:next w:val="1"/>
    <w:autoRedefine/>
    <w:unhideWhenUsed/>
    <w:qFormat/>
    <w:uiPriority w:val="37"/>
  </w:style>
  <w:style w:type="character" w:styleId="51">
    <w:name w:val="Placeholder Text"/>
    <w:basedOn w:val="18"/>
    <w:autoRedefine/>
    <w:semiHidden/>
    <w:qFormat/>
    <w:uiPriority w:val="99"/>
    <w:rPr>
      <w:color w:val="808080"/>
    </w:rPr>
  </w:style>
  <w:style w:type="character" w:customStyle="1" w:styleId="52">
    <w:name w:val="未处理的提及1"/>
    <w:basedOn w:val="18"/>
    <w:autoRedefine/>
    <w:semiHidden/>
    <w:unhideWhenUsed/>
    <w:qFormat/>
    <w:uiPriority w:val="99"/>
    <w:rPr>
      <w:color w:val="605E5C"/>
      <w:shd w:val="clear" w:color="auto" w:fill="E1DFDD"/>
    </w:rPr>
  </w:style>
  <w:style w:type="paragraph" w:customStyle="1" w:styleId="53">
    <w:name w:val="MTDisplayEquation"/>
    <w:basedOn w:val="1"/>
    <w:next w:val="1"/>
    <w:link w:val="54"/>
    <w:autoRedefine/>
    <w:qFormat/>
    <w:uiPriority w:val="0"/>
    <w:pPr>
      <w:tabs>
        <w:tab w:val="center" w:pos="2320"/>
        <w:tab w:val="right" w:pos="4640"/>
      </w:tabs>
      <w:ind w:firstLine="400"/>
      <w:jc w:val="both"/>
    </w:pPr>
  </w:style>
  <w:style w:type="character" w:customStyle="1" w:styleId="54">
    <w:name w:val="MTDisplayEquation 字符"/>
    <w:basedOn w:val="18"/>
    <w:link w:val="53"/>
    <w:autoRedefine/>
    <w:qFormat/>
    <w:uiPriority w:val="0"/>
    <w:rPr>
      <w:sz w:val="24"/>
      <w:szCs w:val="24"/>
      <w:lang w:val="en-AU"/>
    </w:rPr>
  </w:style>
  <w:style w:type="character" w:customStyle="1" w:styleId="55">
    <w:name w:val="MTEquationSection"/>
    <w:basedOn w:val="18"/>
    <w:autoRedefine/>
    <w:qFormat/>
    <w:uiPriority w:val="0"/>
    <w:rPr>
      <w:rFonts w:ascii="Arial" w:hAnsi="Arial" w:cs="Arial"/>
      <w:b/>
      <w:bCs/>
      <w:vanish/>
      <w:color w:val="FF0000"/>
      <w:szCs w:val="20"/>
      <w:lang w:val="en-GB"/>
    </w:rPr>
  </w:style>
  <w:style w:type="table" w:customStyle="1" w:styleId="56">
    <w:name w:val="网格型1"/>
    <w:basedOn w:val="15"/>
    <w:autoRedefine/>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57">
    <w:name w:val="katex-mathml"/>
    <w:basedOn w:val="18"/>
    <w:autoRedefine/>
    <w:qFormat/>
    <w:uiPriority w:val="0"/>
  </w:style>
  <w:style w:type="character" w:customStyle="1" w:styleId="58">
    <w:name w:val="mord"/>
    <w:basedOn w:val="18"/>
    <w:autoRedefine/>
    <w:qFormat/>
    <w:uiPriority w:val="0"/>
  </w:style>
  <w:style w:type="character" w:customStyle="1" w:styleId="59">
    <w:name w:val="vlist-s"/>
    <w:basedOn w:val="18"/>
    <w:autoRedefine/>
    <w:qFormat/>
    <w:uiPriority w:val="0"/>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8" Type="http://schemas.openxmlformats.org/officeDocument/2006/relationships/fontTable" Target="fontTable.xml"/><Relationship Id="rId77" Type="http://schemas.openxmlformats.org/officeDocument/2006/relationships/customXml" Target="../customXml/item1.xml"/><Relationship Id="rId76" Type="http://schemas.openxmlformats.org/officeDocument/2006/relationships/numbering" Target="numbering.xml"/><Relationship Id="rId75" Type="http://schemas.openxmlformats.org/officeDocument/2006/relationships/image" Target="media/image30.wmf"/><Relationship Id="rId74" Type="http://schemas.openxmlformats.org/officeDocument/2006/relationships/oleObject" Target="embeddings/oleObject29.bin"/><Relationship Id="rId73" Type="http://schemas.openxmlformats.org/officeDocument/2006/relationships/image" Target="media/image29.wmf"/><Relationship Id="rId72" Type="http://schemas.openxmlformats.org/officeDocument/2006/relationships/oleObject" Target="embeddings/oleObject28.bin"/><Relationship Id="rId71" Type="http://schemas.openxmlformats.org/officeDocument/2006/relationships/image" Target="media/image28.wmf"/><Relationship Id="rId70" Type="http://schemas.openxmlformats.org/officeDocument/2006/relationships/oleObject" Target="embeddings/oleObject27.bin"/><Relationship Id="rId7" Type="http://schemas.openxmlformats.org/officeDocument/2006/relationships/footer" Target="footer2.xml"/><Relationship Id="rId69" Type="http://schemas.openxmlformats.org/officeDocument/2006/relationships/image" Target="media/image27.wmf"/><Relationship Id="rId68" Type="http://schemas.openxmlformats.org/officeDocument/2006/relationships/oleObject" Target="embeddings/oleObject26.bin"/><Relationship Id="rId67" Type="http://schemas.openxmlformats.org/officeDocument/2006/relationships/image" Target="media/image26.emf"/><Relationship Id="rId66" Type="http://schemas.openxmlformats.org/officeDocument/2006/relationships/oleObject" Target="embeddings/oleObject25.bin"/><Relationship Id="rId65" Type="http://schemas.openxmlformats.org/officeDocument/2006/relationships/image" Target="media/image25.emf"/><Relationship Id="rId64" Type="http://schemas.openxmlformats.org/officeDocument/2006/relationships/oleObject" Target="embeddings/oleObject24.bin"/><Relationship Id="rId63" Type="http://schemas.openxmlformats.org/officeDocument/2006/relationships/image" Target="media/image24.emf"/><Relationship Id="rId62" Type="http://schemas.openxmlformats.org/officeDocument/2006/relationships/oleObject" Target="embeddings/oleObject23.bin"/><Relationship Id="rId61" Type="http://schemas.openxmlformats.org/officeDocument/2006/relationships/image" Target="media/image23.emf"/><Relationship Id="rId60" Type="http://schemas.openxmlformats.org/officeDocument/2006/relationships/oleObject" Target="embeddings/oleObject22.bin"/><Relationship Id="rId6" Type="http://schemas.openxmlformats.org/officeDocument/2006/relationships/footer" Target="footer1.xml"/><Relationship Id="rId59" Type="http://schemas.openxmlformats.org/officeDocument/2006/relationships/image" Target="media/image22.emf"/><Relationship Id="rId58" Type="http://schemas.openxmlformats.org/officeDocument/2006/relationships/oleObject" Target="embeddings/oleObject21.bin"/><Relationship Id="rId57" Type="http://schemas.openxmlformats.org/officeDocument/2006/relationships/image" Target="media/image21.emf"/><Relationship Id="rId56" Type="http://schemas.openxmlformats.org/officeDocument/2006/relationships/oleObject" Target="embeddings/oleObject20.bin"/><Relationship Id="rId55" Type="http://schemas.openxmlformats.org/officeDocument/2006/relationships/image" Target="media/image20.emf"/><Relationship Id="rId54" Type="http://schemas.openxmlformats.org/officeDocument/2006/relationships/oleObject" Target="embeddings/oleObject19.bin"/><Relationship Id="rId53" Type="http://schemas.openxmlformats.org/officeDocument/2006/relationships/image" Target="media/image19.emf"/><Relationship Id="rId52" Type="http://schemas.openxmlformats.org/officeDocument/2006/relationships/oleObject" Target="embeddings/oleObject18.bin"/><Relationship Id="rId51" Type="http://schemas.openxmlformats.org/officeDocument/2006/relationships/image" Target="media/image18.emf"/><Relationship Id="rId50" Type="http://schemas.openxmlformats.org/officeDocument/2006/relationships/oleObject" Target="embeddings/oleObject17.bin"/><Relationship Id="rId5" Type="http://schemas.openxmlformats.org/officeDocument/2006/relationships/header" Target="header3.xml"/><Relationship Id="rId49" Type="http://schemas.openxmlformats.org/officeDocument/2006/relationships/image" Target="media/image17.emf"/><Relationship Id="rId48" Type="http://schemas.openxmlformats.org/officeDocument/2006/relationships/oleObject" Target="embeddings/oleObject16.bin"/><Relationship Id="rId47" Type="http://schemas.openxmlformats.org/officeDocument/2006/relationships/image" Target="media/image16.emf"/><Relationship Id="rId46" Type="http://schemas.openxmlformats.org/officeDocument/2006/relationships/oleObject" Target="embeddings/oleObject15.bin"/><Relationship Id="rId45" Type="http://schemas.openxmlformats.org/officeDocument/2006/relationships/image" Target="media/image15.emf"/><Relationship Id="rId44" Type="http://schemas.openxmlformats.org/officeDocument/2006/relationships/oleObject" Target="embeddings/oleObject14.bin"/><Relationship Id="rId43" Type="http://schemas.openxmlformats.org/officeDocument/2006/relationships/image" Target="media/image14.wmf"/><Relationship Id="rId42" Type="http://schemas.openxmlformats.org/officeDocument/2006/relationships/oleObject" Target="embeddings/oleObject13.bin"/><Relationship Id="rId41" Type="http://schemas.openxmlformats.org/officeDocument/2006/relationships/image" Target="media/image13.wmf"/><Relationship Id="rId40" Type="http://schemas.openxmlformats.org/officeDocument/2006/relationships/oleObject" Target="embeddings/oleObject12.bin"/><Relationship Id="rId4" Type="http://schemas.openxmlformats.org/officeDocument/2006/relationships/header" Target="header2.xml"/><Relationship Id="rId39" Type="http://schemas.openxmlformats.org/officeDocument/2006/relationships/image" Target="media/image12.wmf"/><Relationship Id="rId38" Type="http://schemas.openxmlformats.org/officeDocument/2006/relationships/oleObject" Target="embeddings/oleObject11.bin"/><Relationship Id="rId37" Type="http://schemas.openxmlformats.org/officeDocument/2006/relationships/image" Target="media/image11.wmf"/><Relationship Id="rId36" Type="http://schemas.openxmlformats.org/officeDocument/2006/relationships/oleObject" Target="embeddings/oleObject10.bin"/><Relationship Id="rId35" Type="http://schemas.openxmlformats.org/officeDocument/2006/relationships/image" Target="media/image10.wmf"/><Relationship Id="rId34" Type="http://schemas.openxmlformats.org/officeDocument/2006/relationships/oleObject" Target="embeddings/oleObject9.bin"/><Relationship Id="rId33" Type="http://schemas.openxmlformats.org/officeDocument/2006/relationships/image" Target="media/image9.wmf"/><Relationship Id="rId32" Type="http://schemas.openxmlformats.org/officeDocument/2006/relationships/oleObject" Target="embeddings/oleObject8.bin"/><Relationship Id="rId31" Type="http://schemas.openxmlformats.org/officeDocument/2006/relationships/image" Target="media/image8.emf"/><Relationship Id="rId30" Type="http://schemas.openxmlformats.org/officeDocument/2006/relationships/oleObject" Target="embeddings/oleObject7.bin"/><Relationship Id="rId3" Type="http://schemas.openxmlformats.org/officeDocument/2006/relationships/header" Target="header1.xml"/><Relationship Id="rId29" Type="http://schemas.openxmlformats.org/officeDocument/2006/relationships/image" Target="media/image7.emf"/><Relationship Id="rId28" Type="http://schemas.openxmlformats.org/officeDocument/2006/relationships/oleObject" Target="embeddings/oleObject6.bin"/><Relationship Id="rId27" Type="http://schemas.openxmlformats.org/officeDocument/2006/relationships/image" Target="media/image6.emf"/><Relationship Id="rId26" Type="http://schemas.openxmlformats.org/officeDocument/2006/relationships/oleObject" Target="embeddings/oleObject5.bin"/><Relationship Id="rId25" Type="http://schemas.openxmlformats.org/officeDocument/2006/relationships/image" Target="media/image5.wmf"/><Relationship Id="rId24" Type="http://schemas.openxmlformats.org/officeDocument/2006/relationships/oleObject" Target="embeddings/oleObject4.bin"/><Relationship Id="rId23" Type="http://schemas.openxmlformats.org/officeDocument/2006/relationships/image" Target="media/image4.wmf"/><Relationship Id="rId22" Type="http://schemas.openxmlformats.org/officeDocument/2006/relationships/oleObject" Target="embeddings/oleObject3.bin"/><Relationship Id="rId21" Type="http://schemas.openxmlformats.org/officeDocument/2006/relationships/image" Target="media/image3.wmf"/><Relationship Id="rId20" Type="http://schemas.openxmlformats.org/officeDocument/2006/relationships/oleObject" Target="embeddings/oleObject2.bin"/><Relationship Id="rId2" Type="http://schemas.openxmlformats.org/officeDocument/2006/relationships/settings" Target="settings.xml"/><Relationship Id="rId19" Type="http://schemas.openxmlformats.org/officeDocument/2006/relationships/image" Target="media/image2.emf"/><Relationship Id="rId18" Type="http://schemas.openxmlformats.org/officeDocument/2006/relationships/oleObject" Target="embeddings/oleObject1.bin"/><Relationship Id="rId17" Type="http://schemas.openxmlformats.org/officeDocument/2006/relationships/image" Target="media/image1.emf"/><Relationship Id="rId16" Type="http://schemas.openxmlformats.org/officeDocument/2006/relationships/package" Target="embeddings/Microsoft_Visio___1.vsdx"/><Relationship Id="rId15" Type="http://schemas.openxmlformats.org/officeDocument/2006/relationships/theme" Target="theme/theme1.xml"/><Relationship Id="rId14" Type="http://schemas.openxmlformats.org/officeDocument/2006/relationships/footer" Target="footer6.xml"/><Relationship Id="rId13" Type="http://schemas.openxmlformats.org/officeDocument/2006/relationships/footer" Target="footer5.xml"/><Relationship Id="rId12" Type="http://schemas.openxmlformats.org/officeDocument/2006/relationships/footer" Target="footer4.xml"/><Relationship Id="rId11" Type="http://schemas.openxmlformats.org/officeDocument/2006/relationships/header" Target="header6.xml"/><Relationship Id="rId10" Type="http://schemas.openxmlformats.org/officeDocument/2006/relationships/header" Target="header5.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D:\OneDrive%20-%20CACTUS\Jobs\RLIHL_1_2\New_submissions_word_template.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CF7E4F-A438-4296-85D8-33D85522C022}">
  <ds:schemaRefs/>
</ds:datastoreItem>
</file>

<file path=docProps/app.xml><?xml version="1.0" encoding="utf-8"?>
<Properties xmlns="http://schemas.openxmlformats.org/officeDocument/2006/extended-properties" xmlns:vt="http://schemas.openxmlformats.org/officeDocument/2006/docPropsVTypes">
  <Template>New_submissions_word_template.dotx</Template>
  <Company>daohangxitong.com</Company>
  <Pages>16</Pages>
  <Words>7511</Words>
  <Characters>42816</Characters>
  <Lines>356</Lines>
  <Paragraphs>100</Paragraphs>
  <TotalTime>8</TotalTime>
  <ScaleCrop>false</ScaleCrop>
  <LinksUpToDate>false</LinksUpToDate>
  <CharactersWithSpaces>50227</CharactersWithSpaces>
  <Application>WPS Office_12.1.0.16120_F1E327BC-269C-435d-A152-05C5408002CA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2022-01-02T12:42:00Z</dcterms:created>
  <dc:creator>hpk</dc:creator>
  <cp:lastModifiedBy>李戎</cp:lastModifiedBy>
  <cp:lastPrinted>2021-04-19T13:11:00Z</cp:lastPrinted>
  <dcterms:modified xsi:type="dcterms:W3CDTF">2025-10-15T07:28:11Z</dcterms:modified>
  <cp:revision>298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D8E0324772284F08A28689B4B3BE543E_13</vt:lpwstr>
  </property>
  <property fmtid="{D5CDD505-2E9C-101B-9397-08002B2CF9AE}" pid="4" name="MTEquationNumber2">
    <vt:lpwstr>(#E1)</vt:lpwstr>
  </property>
  <property fmtid="{D5CDD505-2E9C-101B-9397-08002B2CF9AE}" pid="5" name="MTWinEqns">
    <vt:bool>true</vt:bool>
  </property>
  <property fmtid="{D5CDD505-2E9C-101B-9397-08002B2CF9AE}" pid="6" name="MTEquationSection">
    <vt:lpwstr>1</vt:lpwstr>
  </property>
</Properties>
</file>