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510C9" w14:textId="77777777" w:rsidR="005169A7" w:rsidRPr="001A64F5" w:rsidRDefault="005169A7" w:rsidP="005169A7">
      <w:pPr>
        <w:rPr>
          <w:rFonts w:ascii="Times New Roman" w:hAnsi="Times New Roman"/>
          <w:sz w:val="24"/>
          <w:szCs w:val="24"/>
          <w:lang w:eastAsia="en-GB"/>
        </w:rPr>
      </w:pPr>
      <w:r w:rsidRPr="00FA273F">
        <w:rPr>
          <w:rFonts w:asciiTheme="majorBidi" w:hAnsiTheme="majorBidi" w:cstheme="majorBidi"/>
          <w:b/>
          <w:bCs/>
          <w:color w:val="212121"/>
          <w:sz w:val="28"/>
          <w:szCs w:val="28"/>
          <w:shd w:val="clear" w:color="auto" w:fill="FFFFFF"/>
        </w:rPr>
        <w:t>Evaluation of Prescribing Adherence to Guideline-Directed Medical Therapy in Patients with Chronic Heart Failure. A Retrospective Study at The National Heart Centre in Oman</w:t>
      </w:r>
    </w:p>
    <w:p w14:paraId="646ADA9C" w14:textId="77777777" w:rsidR="00F5021E" w:rsidRPr="00FA273F" w:rsidRDefault="00F5021E" w:rsidP="00F5021E">
      <w:pPr>
        <w:pStyle w:val="NormalWeb"/>
        <w:spacing w:before="0" w:beforeAutospacing="0" w:after="0" w:afterAutospacing="0"/>
        <w:jc w:val="both"/>
        <w:rPr>
          <w:rFonts w:asciiTheme="majorBidi" w:hAnsiTheme="majorBidi" w:cstheme="majorBidi"/>
          <w:color w:val="212121"/>
          <w:sz w:val="28"/>
          <w:szCs w:val="28"/>
          <w:shd w:val="clear" w:color="auto" w:fill="FFFFFF"/>
          <w:lang w:eastAsia="en-US"/>
        </w:rPr>
      </w:pPr>
    </w:p>
    <w:p w14:paraId="7251743A" w14:textId="77777777" w:rsidR="00F5021E" w:rsidRDefault="00F5021E" w:rsidP="00F5021E">
      <w:pPr>
        <w:outlineLvl w:val="2"/>
        <w:rPr>
          <w:rStyle w:val="Strong"/>
          <w:rFonts w:ascii="Merriweather" w:hAnsi="Merriweather"/>
          <w:color w:val="222222"/>
          <w:sz w:val="20"/>
          <w:szCs w:val="20"/>
        </w:rPr>
      </w:pPr>
      <w:r w:rsidRPr="00C04737">
        <w:rPr>
          <w:rFonts w:ascii="Merriweather" w:hAnsi="Merriweather"/>
          <w:b/>
          <w:bCs/>
          <w:color w:val="222222"/>
          <w:sz w:val="20"/>
          <w:szCs w:val="20"/>
        </w:rPr>
        <w:t>Authors and Affiliations</w:t>
      </w:r>
    </w:p>
    <w:p w14:paraId="39E4C1F1" w14:textId="77777777" w:rsidR="00F5021E" w:rsidRPr="0045675C" w:rsidRDefault="00F5021E" w:rsidP="00F5021E">
      <w:pPr>
        <w:pStyle w:val="NormalWeb"/>
        <w:spacing w:before="0" w:beforeAutospacing="0" w:after="0" w:afterAutospacing="0"/>
        <w:jc w:val="both"/>
        <w:rPr>
          <w:rFonts w:asciiTheme="majorBidi" w:hAnsiTheme="majorBidi" w:cstheme="majorBidi"/>
          <w:color w:val="212121"/>
          <w:sz w:val="28"/>
          <w:szCs w:val="28"/>
          <w:shd w:val="clear" w:color="auto" w:fill="FFFFFF"/>
          <w:lang w:eastAsia="en-US"/>
        </w:rPr>
      </w:pPr>
      <w:r w:rsidRPr="00FA273F">
        <w:rPr>
          <w:rFonts w:asciiTheme="majorBidi" w:hAnsiTheme="majorBidi" w:cstheme="majorBidi"/>
          <w:color w:val="212121"/>
          <w:sz w:val="28"/>
          <w:szCs w:val="28"/>
          <w:shd w:val="clear" w:color="auto" w:fill="FFFFFF"/>
          <w:lang w:eastAsia="en-US"/>
        </w:rPr>
        <w:t>Manal Abdullah Albalushi</w:t>
      </w:r>
      <w:r w:rsidRPr="00FA273F">
        <w:rPr>
          <w:rFonts w:asciiTheme="majorBidi" w:hAnsiTheme="majorBidi" w:cstheme="majorBidi"/>
          <w:color w:val="212121"/>
          <w:sz w:val="28"/>
          <w:szCs w:val="28"/>
          <w:shd w:val="clear" w:color="auto" w:fill="FFFFFF"/>
          <w:vertAlign w:val="superscript"/>
          <w:lang w:eastAsia="en-US"/>
        </w:rPr>
        <w:t>1</w:t>
      </w:r>
      <w:r w:rsidRPr="00FA273F">
        <w:rPr>
          <w:rFonts w:asciiTheme="majorBidi" w:hAnsiTheme="majorBidi" w:cstheme="majorBidi"/>
          <w:color w:val="212121"/>
          <w:sz w:val="28"/>
          <w:szCs w:val="28"/>
          <w:shd w:val="clear" w:color="auto" w:fill="FFFFFF"/>
          <w:lang w:eastAsia="en-US"/>
        </w:rPr>
        <w:t>, Leila Neshat-Mokadem</w:t>
      </w:r>
      <w:r w:rsidRPr="00FA273F">
        <w:rPr>
          <w:rFonts w:asciiTheme="majorBidi" w:hAnsiTheme="majorBidi" w:cstheme="majorBidi"/>
          <w:color w:val="212121"/>
          <w:sz w:val="28"/>
          <w:szCs w:val="28"/>
          <w:shd w:val="clear" w:color="auto" w:fill="FFFFFF"/>
          <w:vertAlign w:val="superscript"/>
          <w:lang w:eastAsia="en-US"/>
        </w:rPr>
        <w:t>2</w:t>
      </w:r>
      <w:r w:rsidRPr="00FA273F">
        <w:rPr>
          <w:rFonts w:asciiTheme="majorBidi" w:hAnsiTheme="majorBidi" w:cstheme="majorBidi"/>
          <w:color w:val="212121"/>
          <w:sz w:val="28"/>
          <w:szCs w:val="28"/>
          <w:shd w:val="clear" w:color="auto" w:fill="FFFFFF"/>
          <w:lang w:eastAsia="en-US"/>
        </w:rPr>
        <w:t>, Ghalib Almawaali</w:t>
      </w:r>
      <w:r w:rsidRPr="00FA273F">
        <w:rPr>
          <w:rFonts w:asciiTheme="majorBidi" w:hAnsiTheme="majorBidi" w:cstheme="majorBidi"/>
          <w:color w:val="212121"/>
          <w:sz w:val="28"/>
          <w:szCs w:val="28"/>
          <w:shd w:val="clear" w:color="auto" w:fill="FFFFFF"/>
          <w:vertAlign w:val="superscript"/>
          <w:lang w:eastAsia="en-US"/>
        </w:rPr>
        <w:t>3</w:t>
      </w:r>
    </w:p>
    <w:p w14:paraId="17F1118C" w14:textId="77777777" w:rsidR="00F5021E" w:rsidRDefault="00F5021E" w:rsidP="00F5021E">
      <w:pPr>
        <w:pStyle w:val="NormalWeb"/>
        <w:spacing w:before="0" w:beforeAutospacing="0" w:after="0" w:afterAutospacing="0"/>
        <w:rPr>
          <w:rFonts w:asciiTheme="majorBidi" w:hAnsiTheme="majorBidi" w:cstheme="majorBidi"/>
          <w:color w:val="212121"/>
          <w:sz w:val="22"/>
          <w:szCs w:val="22"/>
          <w:shd w:val="clear" w:color="auto" w:fill="FFFFFF"/>
          <w:lang w:eastAsia="en-US"/>
        </w:rPr>
      </w:pPr>
    </w:p>
    <w:p w14:paraId="163AD6EB" w14:textId="77777777" w:rsidR="00F5021E" w:rsidRDefault="00F5021E" w:rsidP="00F5021E">
      <w:pPr>
        <w:pStyle w:val="NormalWeb"/>
        <w:spacing w:before="0" w:beforeAutospacing="0" w:after="0" w:afterAutospacing="0"/>
        <w:rPr>
          <w:rFonts w:asciiTheme="majorBidi" w:hAnsiTheme="majorBidi" w:cstheme="majorBidi"/>
          <w:color w:val="212121"/>
          <w:sz w:val="22"/>
          <w:szCs w:val="22"/>
          <w:shd w:val="clear" w:color="auto" w:fill="FFFFFF"/>
          <w:lang w:eastAsia="en-US"/>
        </w:rPr>
      </w:pPr>
      <w:r>
        <w:rPr>
          <w:rFonts w:asciiTheme="majorBidi" w:hAnsiTheme="majorBidi" w:cstheme="majorBidi"/>
          <w:color w:val="212121"/>
          <w:sz w:val="22"/>
          <w:szCs w:val="22"/>
          <w:shd w:val="clear" w:color="auto" w:fill="FFFFFF"/>
          <w:lang w:eastAsia="en-US"/>
        </w:rPr>
        <w:t xml:space="preserve">1- </w:t>
      </w:r>
      <w:r w:rsidRPr="0092500C">
        <w:rPr>
          <w:rFonts w:asciiTheme="majorBidi" w:hAnsiTheme="majorBidi" w:cstheme="majorBidi"/>
          <w:color w:val="212121"/>
          <w:sz w:val="22"/>
          <w:szCs w:val="22"/>
          <w:shd w:val="clear" w:color="auto" w:fill="FFFFFF"/>
          <w:lang w:eastAsia="en-US"/>
        </w:rPr>
        <w:t>Manal Abdullah Albalushi</w:t>
      </w:r>
      <w:r>
        <w:rPr>
          <w:rFonts w:asciiTheme="majorBidi" w:hAnsiTheme="majorBidi" w:cstheme="majorBidi"/>
          <w:color w:val="212121"/>
          <w:sz w:val="22"/>
          <w:szCs w:val="22"/>
          <w:shd w:val="clear" w:color="auto" w:fill="FFFFFF"/>
          <w:lang w:eastAsia="en-US"/>
        </w:rPr>
        <w:t xml:space="preserve">, </w:t>
      </w:r>
      <w:r w:rsidRPr="0092500C">
        <w:rPr>
          <w:rFonts w:asciiTheme="majorBidi" w:hAnsiTheme="majorBidi" w:cstheme="majorBidi"/>
          <w:color w:val="212121"/>
          <w:sz w:val="22"/>
          <w:szCs w:val="22"/>
          <w:shd w:val="clear" w:color="auto" w:fill="FFFFFF"/>
          <w:lang w:eastAsia="en-US"/>
        </w:rPr>
        <w:t>MSc. Department of Pharmaceutical Care, The Royal Hospital.</w:t>
      </w:r>
      <w:r>
        <w:rPr>
          <w:rFonts w:asciiTheme="majorBidi" w:hAnsiTheme="majorBidi" w:cstheme="majorBidi"/>
          <w:color w:val="212121"/>
          <w:sz w:val="22"/>
          <w:szCs w:val="22"/>
          <w:shd w:val="clear" w:color="auto" w:fill="FFFFFF"/>
          <w:lang w:eastAsia="en-US"/>
        </w:rPr>
        <w:t xml:space="preserve"> </w:t>
      </w:r>
      <w:r w:rsidRPr="0092500C">
        <w:rPr>
          <w:rFonts w:asciiTheme="majorBidi" w:hAnsiTheme="majorBidi" w:cstheme="majorBidi"/>
          <w:color w:val="212121"/>
          <w:sz w:val="22"/>
          <w:szCs w:val="22"/>
          <w:shd w:val="clear" w:color="auto" w:fill="FFFFFF"/>
          <w:lang w:eastAsia="en-US"/>
        </w:rPr>
        <w:t>Muscat, Oman</w:t>
      </w:r>
      <w:r>
        <w:rPr>
          <w:rFonts w:asciiTheme="majorBidi" w:hAnsiTheme="majorBidi" w:cstheme="majorBidi"/>
          <w:color w:val="212121"/>
          <w:sz w:val="22"/>
          <w:szCs w:val="22"/>
          <w:shd w:val="clear" w:color="auto" w:fill="FFFFFF"/>
          <w:lang w:eastAsia="en-US"/>
        </w:rPr>
        <w:t xml:space="preserve">. </w:t>
      </w:r>
    </w:p>
    <w:p w14:paraId="6A53AB8B" w14:textId="77777777" w:rsidR="00F5021E" w:rsidRPr="0092500C" w:rsidRDefault="00F5021E" w:rsidP="00F5021E">
      <w:pPr>
        <w:pStyle w:val="NormalWeb"/>
        <w:spacing w:before="0" w:beforeAutospacing="0" w:after="0" w:afterAutospacing="0"/>
        <w:rPr>
          <w:rFonts w:asciiTheme="majorBidi" w:hAnsiTheme="majorBidi" w:cstheme="majorBidi"/>
          <w:color w:val="212121"/>
          <w:sz w:val="22"/>
          <w:szCs w:val="22"/>
          <w:shd w:val="clear" w:color="auto" w:fill="FFFFFF"/>
          <w:lang w:eastAsia="en-US"/>
        </w:rPr>
      </w:pPr>
      <w:r>
        <w:rPr>
          <w:rFonts w:asciiTheme="majorBidi" w:hAnsiTheme="majorBidi" w:cstheme="majorBidi"/>
          <w:color w:val="212121"/>
          <w:sz w:val="22"/>
          <w:szCs w:val="22"/>
          <w:shd w:val="clear" w:color="auto" w:fill="FFFFFF"/>
          <w:lang w:eastAsia="en-US"/>
        </w:rPr>
        <w:t xml:space="preserve">E-mail: </w:t>
      </w:r>
      <w:hyperlink r:id="rId7" w:history="1">
        <w:r w:rsidRPr="00AF24A6">
          <w:rPr>
            <w:rStyle w:val="Hyperlink"/>
            <w:rFonts w:asciiTheme="majorBidi" w:hAnsiTheme="majorBidi" w:cstheme="majorBidi"/>
            <w:sz w:val="22"/>
            <w:szCs w:val="22"/>
            <w:shd w:val="clear" w:color="auto" w:fill="FFFFFF"/>
            <w:lang w:eastAsia="en-US"/>
          </w:rPr>
          <w:t>m.a.z.al-balushi@rgu.ac.uk</w:t>
        </w:r>
      </w:hyperlink>
      <w:r>
        <w:rPr>
          <w:rFonts w:asciiTheme="majorBidi" w:hAnsiTheme="majorBidi" w:cstheme="majorBidi"/>
          <w:color w:val="212121"/>
          <w:sz w:val="22"/>
          <w:szCs w:val="22"/>
          <w:shd w:val="clear" w:color="auto" w:fill="FFFFFF"/>
          <w:lang w:eastAsia="en-US"/>
        </w:rPr>
        <w:t xml:space="preserve"> </w:t>
      </w:r>
    </w:p>
    <w:p w14:paraId="26E8D9DA" w14:textId="77777777" w:rsidR="00F5021E" w:rsidRPr="0092500C" w:rsidRDefault="00F5021E" w:rsidP="00F5021E">
      <w:pPr>
        <w:pStyle w:val="NormalWeb"/>
        <w:spacing w:before="0" w:beforeAutospacing="0" w:after="0" w:afterAutospacing="0"/>
        <w:rPr>
          <w:rFonts w:asciiTheme="majorBidi" w:hAnsiTheme="majorBidi" w:cstheme="majorBidi"/>
          <w:color w:val="212121"/>
          <w:sz w:val="22"/>
          <w:szCs w:val="22"/>
          <w:shd w:val="clear" w:color="auto" w:fill="FFFFFF"/>
          <w:lang w:eastAsia="en-US"/>
        </w:rPr>
      </w:pPr>
      <w:hyperlink r:id="rId8" w:history="1">
        <w:r w:rsidRPr="0092500C">
          <w:rPr>
            <w:rFonts w:asciiTheme="majorBidi" w:hAnsiTheme="majorBidi" w:cstheme="majorBidi"/>
            <w:color w:val="212121"/>
            <w:sz w:val="22"/>
            <w:szCs w:val="22"/>
            <w:shd w:val="clear" w:color="auto" w:fill="FFFFFF"/>
            <w:lang w:eastAsia="en-US"/>
          </w:rPr>
          <w:t>https://orcid.org/0009-0001-4353-0314</w:t>
        </w:r>
      </w:hyperlink>
      <w:r w:rsidRPr="0092500C">
        <w:rPr>
          <w:rFonts w:asciiTheme="majorBidi" w:hAnsiTheme="majorBidi" w:cstheme="majorBidi"/>
          <w:color w:val="212121"/>
          <w:sz w:val="22"/>
          <w:szCs w:val="22"/>
          <w:shd w:val="clear" w:color="auto" w:fill="FFFFFF"/>
          <w:lang w:eastAsia="en-US"/>
        </w:rPr>
        <w:t xml:space="preserve"> </w:t>
      </w:r>
    </w:p>
    <w:p w14:paraId="4DFA3851" w14:textId="77777777" w:rsidR="00F5021E" w:rsidRPr="0092500C" w:rsidRDefault="00F5021E" w:rsidP="00F5021E">
      <w:pPr>
        <w:pStyle w:val="NormalWeb"/>
        <w:spacing w:before="0" w:beforeAutospacing="0" w:after="0" w:afterAutospacing="0"/>
        <w:rPr>
          <w:rFonts w:asciiTheme="majorBidi" w:hAnsiTheme="majorBidi" w:cstheme="majorBidi"/>
          <w:color w:val="212121"/>
          <w:sz w:val="22"/>
          <w:szCs w:val="22"/>
          <w:shd w:val="clear" w:color="auto" w:fill="FFFFFF"/>
          <w:lang w:eastAsia="en-US"/>
        </w:rPr>
      </w:pPr>
    </w:p>
    <w:p w14:paraId="134F5724" w14:textId="77777777" w:rsidR="00F5021E" w:rsidRDefault="00F5021E" w:rsidP="00F5021E">
      <w:pPr>
        <w:pStyle w:val="NormalWeb"/>
        <w:spacing w:before="0" w:beforeAutospacing="0" w:after="0" w:afterAutospacing="0"/>
        <w:rPr>
          <w:rFonts w:asciiTheme="majorBidi" w:hAnsiTheme="majorBidi" w:cstheme="majorBidi"/>
          <w:color w:val="000000" w:themeColor="text1"/>
          <w:sz w:val="22"/>
          <w:szCs w:val="22"/>
          <w:shd w:val="clear" w:color="auto" w:fill="FFFFFF"/>
          <w:lang w:eastAsia="en-US"/>
        </w:rPr>
      </w:pPr>
      <w:r>
        <w:rPr>
          <w:rFonts w:asciiTheme="majorBidi" w:hAnsiTheme="majorBidi" w:cstheme="majorBidi"/>
          <w:color w:val="000000" w:themeColor="text1"/>
          <w:sz w:val="22"/>
          <w:szCs w:val="22"/>
          <w:shd w:val="clear" w:color="auto" w:fill="FFFFFF"/>
          <w:lang w:eastAsia="en-US"/>
        </w:rPr>
        <w:t xml:space="preserve">2- </w:t>
      </w:r>
      <w:r w:rsidRPr="0092500C">
        <w:rPr>
          <w:rFonts w:asciiTheme="majorBidi" w:hAnsiTheme="majorBidi" w:cstheme="majorBidi"/>
          <w:color w:val="000000" w:themeColor="text1"/>
          <w:sz w:val="22"/>
          <w:szCs w:val="22"/>
          <w:shd w:val="clear" w:color="auto" w:fill="FFFFFF"/>
          <w:lang w:eastAsia="en-US"/>
        </w:rPr>
        <w:t>Leila Neshat-Mokadem</w:t>
      </w:r>
      <w:r>
        <w:rPr>
          <w:rFonts w:asciiTheme="majorBidi" w:hAnsiTheme="majorBidi" w:cstheme="majorBidi"/>
          <w:color w:val="000000" w:themeColor="text1"/>
          <w:sz w:val="22"/>
          <w:szCs w:val="22"/>
          <w:shd w:val="clear" w:color="auto" w:fill="FFFFFF"/>
          <w:lang w:eastAsia="en-US"/>
        </w:rPr>
        <w:t xml:space="preserve">, </w:t>
      </w:r>
      <w:r w:rsidRPr="0092500C">
        <w:rPr>
          <w:rFonts w:asciiTheme="majorBidi" w:hAnsiTheme="majorBidi" w:cstheme="majorBidi"/>
          <w:color w:val="000000" w:themeColor="text1"/>
          <w:sz w:val="22"/>
          <w:szCs w:val="22"/>
          <w:shd w:val="clear" w:color="auto" w:fill="FFFFFF"/>
          <w:lang w:eastAsia="en-US"/>
        </w:rPr>
        <w:t>MSc. School of Nursing and Health Sciences, Robert Gordon University</w:t>
      </w:r>
      <w:r>
        <w:rPr>
          <w:rFonts w:asciiTheme="majorBidi" w:hAnsiTheme="majorBidi" w:cstheme="majorBidi"/>
          <w:color w:val="000000" w:themeColor="text1"/>
          <w:sz w:val="22"/>
          <w:szCs w:val="22"/>
          <w:shd w:val="clear" w:color="auto" w:fill="FFFFFF"/>
          <w:lang w:eastAsia="en-US"/>
        </w:rPr>
        <w:t xml:space="preserve">. </w:t>
      </w:r>
      <w:r w:rsidRPr="0092500C">
        <w:rPr>
          <w:rFonts w:asciiTheme="majorBidi" w:hAnsiTheme="majorBidi" w:cstheme="majorBidi"/>
          <w:color w:val="000000" w:themeColor="text1"/>
          <w:sz w:val="22"/>
          <w:szCs w:val="22"/>
          <w:shd w:val="clear" w:color="auto" w:fill="FFFFFF"/>
          <w:lang w:eastAsia="en-US"/>
        </w:rPr>
        <w:t>Aberdeen, Scotland, UK</w:t>
      </w:r>
    </w:p>
    <w:p w14:paraId="65CEC024" w14:textId="77777777" w:rsidR="00F5021E" w:rsidRPr="0092500C" w:rsidRDefault="00F5021E" w:rsidP="00F5021E">
      <w:pPr>
        <w:pStyle w:val="NormalWeb"/>
        <w:spacing w:before="0" w:beforeAutospacing="0" w:after="0" w:afterAutospacing="0"/>
        <w:rPr>
          <w:rFonts w:asciiTheme="majorBidi" w:hAnsiTheme="majorBidi" w:cstheme="majorBidi"/>
          <w:color w:val="000000" w:themeColor="text1"/>
          <w:sz w:val="22"/>
          <w:szCs w:val="22"/>
          <w:shd w:val="clear" w:color="auto" w:fill="FFFFFF"/>
          <w:lang w:eastAsia="en-US"/>
        </w:rPr>
      </w:pPr>
      <w:r>
        <w:rPr>
          <w:rFonts w:asciiTheme="majorBidi" w:hAnsiTheme="majorBidi" w:cstheme="majorBidi"/>
          <w:color w:val="000000" w:themeColor="text1"/>
          <w:sz w:val="22"/>
          <w:szCs w:val="22"/>
          <w:shd w:val="clear" w:color="auto" w:fill="FFFFFF"/>
          <w:lang w:eastAsia="en-US"/>
        </w:rPr>
        <w:t xml:space="preserve">E-mail: </w:t>
      </w:r>
      <w:hyperlink r:id="rId9" w:history="1">
        <w:r w:rsidRPr="00AF24A6">
          <w:rPr>
            <w:rStyle w:val="Hyperlink"/>
            <w:rFonts w:asciiTheme="majorBidi" w:hAnsiTheme="majorBidi" w:cstheme="majorBidi"/>
            <w:sz w:val="22"/>
            <w:szCs w:val="22"/>
            <w:shd w:val="clear" w:color="auto" w:fill="FFFFFF"/>
            <w:lang w:eastAsia="en-US"/>
          </w:rPr>
          <w:t>l.neshat-mokadem1@rgu.ac.uk</w:t>
        </w:r>
      </w:hyperlink>
      <w:r>
        <w:rPr>
          <w:rFonts w:asciiTheme="majorBidi" w:hAnsiTheme="majorBidi" w:cstheme="majorBidi"/>
          <w:color w:val="000000" w:themeColor="text1"/>
          <w:sz w:val="22"/>
          <w:szCs w:val="22"/>
          <w:shd w:val="clear" w:color="auto" w:fill="FFFFFF"/>
          <w:lang w:eastAsia="en-US"/>
        </w:rPr>
        <w:t xml:space="preserve"> </w:t>
      </w:r>
    </w:p>
    <w:p w14:paraId="47AE0A88" w14:textId="77777777" w:rsidR="00F5021E" w:rsidRPr="0092500C" w:rsidRDefault="00F5021E" w:rsidP="00F5021E">
      <w:pPr>
        <w:pStyle w:val="NormalWeb"/>
        <w:spacing w:before="0" w:beforeAutospacing="0" w:after="0" w:afterAutospacing="0"/>
        <w:jc w:val="both"/>
        <w:rPr>
          <w:rFonts w:asciiTheme="majorBidi" w:hAnsiTheme="majorBidi" w:cstheme="majorBidi"/>
          <w:color w:val="000000" w:themeColor="text1"/>
          <w:sz w:val="22"/>
          <w:szCs w:val="22"/>
          <w:shd w:val="clear" w:color="auto" w:fill="FFFFFF"/>
          <w:lang w:eastAsia="en-US"/>
        </w:rPr>
      </w:pPr>
    </w:p>
    <w:p w14:paraId="7AD6DAFF" w14:textId="77777777" w:rsidR="00F5021E" w:rsidRDefault="00F5021E" w:rsidP="00F5021E">
      <w:pPr>
        <w:pStyle w:val="NormalWeb"/>
        <w:spacing w:before="0" w:beforeAutospacing="0" w:after="0" w:afterAutospacing="0"/>
        <w:jc w:val="both"/>
        <w:rPr>
          <w:rFonts w:asciiTheme="majorBidi" w:hAnsiTheme="majorBidi" w:cstheme="majorBidi"/>
          <w:color w:val="212121"/>
          <w:sz w:val="22"/>
          <w:szCs w:val="22"/>
          <w:shd w:val="clear" w:color="auto" w:fill="FFFFFF"/>
          <w:lang w:eastAsia="en-US"/>
        </w:rPr>
      </w:pPr>
      <w:r>
        <w:rPr>
          <w:rFonts w:asciiTheme="majorBidi" w:hAnsiTheme="majorBidi" w:cstheme="majorBidi"/>
          <w:color w:val="212121"/>
          <w:sz w:val="22"/>
          <w:szCs w:val="22"/>
          <w:shd w:val="clear" w:color="auto" w:fill="FFFFFF"/>
          <w:lang w:eastAsia="en-US"/>
        </w:rPr>
        <w:t xml:space="preserve">3- </w:t>
      </w:r>
      <w:r w:rsidRPr="0092500C">
        <w:rPr>
          <w:rFonts w:asciiTheme="majorBidi" w:hAnsiTheme="majorBidi" w:cstheme="majorBidi"/>
          <w:color w:val="212121"/>
          <w:sz w:val="22"/>
          <w:szCs w:val="22"/>
          <w:shd w:val="clear" w:color="auto" w:fill="FFFFFF"/>
          <w:lang w:eastAsia="en-US"/>
        </w:rPr>
        <w:t>Ghalib Almawaali</w:t>
      </w:r>
      <w:r>
        <w:rPr>
          <w:rFonts w:asciiTheme="majorBidi" w:hAnsiTheme="majorBidi" w:cstheme="majorBidi"/>
          <w:color w:val="212121"/>
          <w:sz w:val="22"/>
          <w:szCs w:val="22"/>
          <w:shd w:val="clear" w:color="auto" w:fill="FFFFFF"/>
          <w:lang w:eastAsia="en-US"/>
        </w:rPr>
        <w:t xml:space="preserve">, </w:t>
      </w:r>
      <w:r w:rsidRPr="0092500C">
        <w:rPr>
          <w:rFonts w:asciiTheme="majorBidi" w:hAnsiTheme="majorBidi" w:cstheme="majorBidi"/>
          <w:color w:val="212121"/>
          <w:sz w:val="22"/>
          <w:szCs w:val="22"/>
          <w:shd w:val="clear" w:color="auto" w:fill="FFFFFF"/>
          <w:lang w:eastAsia="en-US"/>
        </w:rPr>
        <w:t>MSc. Department of Pharmaceutical Care, The Royal Hospital.</w:t>
      </w:r>
      <w:r>
        <w:rPr>
          <w:rFonts w:asciiTheme="majorBidi" w:hAnsiTheme="majorBidi" w:cstheme="majorBidi"/>
          <w:color w:val="212121"/>
          <w:sz w:val="22"/>
          <w:szCs w:val="22"/>
          <w:shd w:val="clear" w:color="auto" w:fill="FFFFFF"/>
          <w:lang w:eastAsia="en-US"/>
        </w:rPr>
        <w:t xml:space="preserve"> </w:t>
      </w:r>
    </w:p>
    <w:p w14:paraId="1F9C4F71" w14:textId="77777777" w:rsidR="00F5021E" w:rsidRDefault="00F5021E" w:rsidP="00F5021E">
      <w:pPr>
        <w:pStyle w:val="NormalWeb"/>
        <w:spacing w:before="0" w:beforeAutospacing="0" w:after="0" w:afterAutospacing="0"/>
        <w:jc w:val="both"/>
        <w:rPr>
          <w:rFonts w:asciiTheme="majorBidi" w:hAnsiTheme="majorBidi" w:cstheme="majorBidi"/>
          <w:color w:val="212121"/>
          <w:sz w:val="22"/>
          <w:szCs w:val="22"/>
          <w:shd w:val="clear" w:color="auto" w:fill="FFFFFF"/>
          <w:lang w:eastAsia="en-US"/>
        </w:rPr>
      </w:pPr>
      <w:r w:rsidRPr="0092500C">
        <w:rPr>
          <w:rFonts w:asciiTheme="majorBidi" w:hAnsiTheme="majorBidi" w:cstheme="majorBidi"/>
          <w:color w:val="212121"/>
          <w:sz w:val="22"/>
          <w:szCs w:val="22"/>
          <w:shd w:val="clear" w:color="auto" w:fill="FFFFFF"/>
          <w:lang w:eastAsia="en-US"/>
        </w:rPr>
        <w:t>Muscat, Oman</w:t>
      </w:r>
      <w:r>
        <w:rPr>
          <w:rFonts w:asciiTheme="majorBidi" w:hAnsiTheme="majorBidi" w:cstheme="majorBidi"/>
          <w:color w:val="212121"/>
          <w:sz w:val="22"/>
          <w:szCs w:val="22"/>
          <w:shd w:val="clear" w:color="auto" w:fill="FFFFFF"/>
          <w:lang w:eastAsia="en-US"/>
        </w:rPr>
        <w:t xml:space="preserve"> E-mail: </w:t>
      </w:r>
      <w:hyperlink r:id="rId10" w:history="1">
        <w:r w:rsidRPr="00AF24A6">
          <w:rPr>
            <w:rStyle w:val="Hyperlink"/>
            <w:rFonts w:asciiTheme="majorBidi" w:hAnsiTheme="majorBidi" w:cstheme="majorBidi"/>
            <w:sz w:val="22"/>
            <w:szCs w:val="22"/>
            <w:shd w:val="clear" w:color="auto" w:fill="FFFFFF"/>
            <w:lang w:eastAsia="en-US"/>
          </w:rPr>
          <w:t>gmaawaly@gmail.com</w:t>
        </w:r>
      </w:hyperlink>
      <w:r>
        <w:rPr>
          <w:rFonts w:asciiTheme="majorBidi" w:hAnsiTheme="majorBidi" w:cstheme="majorBidi"/>
          <w:color w:val="212121"/>
          <w:sz w:val="22"/>
          <w:szCs w:val="22"/>
          <w:shd w:val="clear" w:color="auto" w:fill="FFFFFF"/>
          <w:lang w:eastAsia="en-US"/>
        </w:rPr>
        <w:t xml:space="preserve"> </w:t>
      </w:r>
    </w:p>
    <w:p w14:paraId="4AA05D9E" w14:textId="77777777" w:rsidR="00F5021E" w:rsidRDefault="00F5021E" w:rsidP="00F5021E">
      <w:pPr>
        <w:spacing w:line="276" w:lineRule="auto"/>
        <w:rPr>
          <w:rFonts w:asciiTheme="majorBidi" w:hAnsiTheme="majorBidi" w:cstheme="majorBidi"/>
          <w:b/>
          <w:bCs/>
          <w:color w:val="212121"/>
          <w:lang w:eastAsia="en-GB"/>
        </w:rPr>
      </w:pPr>
    </w:p>
    <w:p w14:paraId="05345FC0" w14:textId="77777777" w:rsidR="00F5021E" w:rsidRDefault="00F5021E" w:rsidP="00F5021E">
      <w:pPr>
        <w:spacing w:line="276" w:lineRule="auto"/>
        <w:rPr>
          <w:rFonts w:asciiTheme="majorBidi" w:hAnsiTheme="majorBidi" w:cstheme="majorBidi"/>
          <w:b/>
          <w:bCs/>
          <w:color w:val="212121"/>
        </w:rPr>
      </w:pPr>
      <w:r>
        <w:rPr>
          <w:rFonts w:asciiTheme="majorBidi" w:hAnsiTheme="majorBidi" w:cstheme="majorBidi"/>
          <w:b/>
          <w:bCs/>
          <w:color w:val="212121"/>
        </w:rPr>
        <w:t xml:space="preserve">Corresponding author </w:t>
      </w:r>
    </w:p>
    <w:p w14:paraId="454A0B10" w14:textId="77777777" w:rsidR="00F5021E" w:rsidRDefault="00F5021E" w:rsidP="00F5021E">
      <w:pPr>
        <w:spacing w:line="276" w:lineRule="auto"/>
        <w:rPr>
          <w:rFonts w:asciiTheme="majorBidi" w:hAnsiTheme="majorBidi" w:cstheme="majorBidi"/>
          <w:b/>
          <w:bCs/>
          <w:color w:val="212121"/>
        </w:rPr>
      </w:pPr>
      <w:r w:rsidRPr="00C04737">
        <w:rPr>
          <w:rFonts w:asciiTheme="majorBidi" w:hAnsiTheme="majorBidi" w:cstheme="majorBidi"/>
          <w:color w:val="212121"/>
        </w:rPr>
        <w:t>Correspondence to Manal Abdullah Al Balushi,</w:t>
      </w:r>
      <w:r>
        <w:rPr>
          <w:rFonts w:asciiTheme="majorBidi" w:hAnsiTheme="majorBidi" w:cstheme="majorBidi"/>
          <w:b/>
          <w:bCs/>
          <w:color w:val="212121"/>
        </w:rPr>
        <w:t xml:space="preserve"> </w:t>
      </w:r>
      <w:r>
        <w:rPr>
          <w:rFonts w:asciiTheme="majorBidi" w:hAnsiTheme="majorBidi" w:cstheme="majorBidi"/>
          <w:color w:val="212121"/>
          <w:shd w:val="clear" w:color="auto" w:fill="FFFFFF"/>
        </w:rPr>
        <w:t xml:space="preserve">E-mail: </w:t>
      </w:r>
      <w:hyperlink r:id="rId11" w:history="1">
        <w:r w:rsidRPr="00AF24A6">
          <w:rPr>
            <w:rStyle w:val="Hyperlink"/>
            <w:rFonts w:asciiTheme="majorBidi" w:hAnsiTheme="majorBidi" w:cstheme="majorBidi"/>
            <w:shd w:val="clear" w:color="auto" w:fill="FFFFFF"/>
          </w:rPr>
          <w:t>m.a.z.al-balushi@rgu.ac.uk</w:t>
        </w:r>
      </w:hyperlink>
      <w:r>
        <w:rPr>
          <w:rFonts w:asciiTheme="majorBidi" w:hAnsiTheme="majorBidi" w:cstheme="majorBidi"/>
          <w:b/>
          <w:bCs/>
          <w:color w:val="212121"/>
        </w:rPr>
        <w:t xml:space="preserve"> </w:t>
      </w:r>
    </w:p>
    <w:p w14:paraId="44973523" w14:textId="77777777" w:rsidR="00F5021E" w:rsidRDefault="00F5021E" w:rsidP="00F5021E">
      <w:pPr>
        <w:spacing w:line="276" w:lineRule="auto"/>
        <w:rPr>
          <w:rFonts w:asciiTheme="majorBidi" w:hAnsiTheme="majorBidi" w:cstheme="majorBidi"/>
          <w:b/>
          <w:bCs/>
          <w:color w:val="212121"/>
        </w:rPr>
      </w:pPr>
    </w:p>
    <w:p w14:paraId="2E634195"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5DE0A850"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0E4ADFBD"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6F550060"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3021200D"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3D2DE75C"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2DBC66D1"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2264AACB"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094C94BA"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41B47103"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598F8F50" w14:textId="77777777" w:rsidR="0045675C" w:rsidRDefault="0045675C"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051B7620" w14:textId="77777777" w:rsidR="001164C2" w:rsidRDefault="001164C2"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5E9701B9" w14:textId="77777777" w:rsidR="001164C2" w:rsidRDefault="001164C2"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0231FCC3" w14:textId="77777777" w:rsidR="001164C2" w:rsidRDefault="001164C2"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56FFA917" w14:textId="77777777" w:rsidR="001164C2" w:rsidRDefault="001164C2"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42C51EA9" w14:textId="77777777" w:rsidR="001164C2" w:rsidRDefault="001164C2"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2141D84E" w14:textId="77777777" w:rsidR="00EB54AD" w:rsidRDefault="00EB54AD" w:rsidP="00B13EF3">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p>
    <w:p w14:paraId="2D881AA1" w14:textId="77777777" w:rsidR="00EB54AD" w:rsidRPr="00EB54AD" w:rsidRDefault="00B13EF3" w:rsidP="00EB54AD">
      <w:pPr>
        <w:pStyle w:val="NormalWeb"/>
        <w:spacing w:before="0" w:beforeAutospacing="0" w:after="0" w:afterAutospacing="0" w:line="480" w:lineRule="auto"/>
        <w:jc w:val="both"/>
        <w:rPr>
          <w:rFonts w:asciiTheme="majorBidi" w:hAnsiTheme="majorBidi" w:cstheme="majorBidi"/>
          <w:b/>
          <w:bCs/>
          <w:color w:val="215E99" w:themeColor="text2" w:themeTint="BF"/>
          <w:sz w:val="22"/>
          <w:szCs w:val="22"/>
          <w:u w:val="single"/>
          <w:shd w:val="clear" w:color="auto" w:fill="FFFFFF"/>
          <w:lang w:eastAsia="en-US"/>
        </w:rPr>
      </w:pPr>
      <w:r w:rsidRPr="00EB54AD">
        <w:rPr>
          <w:rFonts w:asciiTheme="majorBidi" w:hAnsiTheme="majorBidi" w:cstheme="majorBidi"/>
          <w:b/>
          <w:bCs/>
          <w:color w:val="215E99" w:themeColor="text2" w:themeTint="BF"/>
          <w:sz w:val="22"/>
          <w:szCs w:val="22"/>
          <w:u w:val="single"/>
          <w:shd w:val="clear" w:color="auto" w:fill="FFFFFF"/>
          <w:lang w:eastAsia="en-US"/>
        </w:rPr>
        <w:lastRenderedPageBreak/>
        <w:t>Abstract</w:t>
      </w:r>
    </w:p>
    <w:p w14:paraId="2D82659A" w14:textId="648716F1" w:rsidR="0044432A" w:rsidRPr="00EB54AD" w:rsidRDefault="007F4811" w:rsidP="00EB54AD">
      <w:pPr>
        <w:pStyle w:val="NormalWeb"/>
        <w:spacing w:before="0" w:beforeAutospacing="0" w:after="0" w:afterAutospacing="0" w:line="480" w:lineRule="auto"/>
        <w:jc w:val="both"/>
        <w:rPr>
          <w:rFonts w:asciiTheme="majorBidi" w:hAnsiTheme="majorBidi" w:cstheme="majorBidi"/>
          <w:b/>
          <w:bCs/>
          <w:color w:val="000000" w:themeColor="text1"/>
          <w:sz w:val="22"/>
          <w:szCs w:val="22"/>
          <w:u w:val="single"/>
          <w:shd w:val="clear" w:color="auto" w:fill="FFFFFF"/>
          <w:lang w:eastAsia="en-US"/>
        </w:rPr>
      </w:pPr>
      <w:r w:rsidRPr="00EB54AD">
        <w:rPr>
          <w:rFonts w:asciiTheme="majorBidi" w:hAnsiTheme="majorBidi" w:cstheme="majorBidi"/>
          <w:b/>
          <w:bCs/>
          <w:color w:val="212121"/>
          <w:sz w:val="22"/>
          <w:szCs w:val="22"/>
          <w:shd w:val="clear" w:color="auto" w:fill="FFFFFF"/>
        </w:rPr>
        <w:t xml:space="preserve">Purpose: </w:t>
      </w:r>
      <w:r w:rsidR="0044432A" w:rsidRPr="00EB54AD">
        <w:rPr>
          <w:rFonts w:asciiTheme="majorBidi" w:hAnsiTheme="majorBidi" w:cstheme="majorBidi"/>
          <w:color w:val="212121"/>
          <w:sz w:val="22"/>
          <w:szCs w:val="22"/>
          <w:shd w:val="clear" w:color="auto" w:fill="FFFFFF"/>
        </w:rPr>
        <w:t>Guidelines-directed medical therapy (GDMT) may benefit patients with heart failure (HF) reduced ejection fraction (</w:t>
      </w:r>
      <w:r w:rsidR="0044432A" w:rsidRPr="00EB54AD">
        <w:rPr>
          <w:rFonts w:asciiTheme="majorBidi" w:hAnsiTheme="majorBidi" w:cstheme="majorBidi"/>
          <w:color w:val="000000"/>
          <w:sz w:val="22"/>
          <w:szCs w:val="22"/>
        </w:rPr>
        <w:t>(</w:t>
      </w:r>
      <w:r w:rsidR="0044432A" w:rsidRPr="00EB54AD">
        <w:rPr>
          <w:rFonts w:asciiTheme="majorBidi" w:hAnsiTheme="majorBidi" w:cstheme="majorBidi"/>
          <w:color w:val="212121"/>
          <w:sz w:val="22"/>
          <w:szCs w:val="22"/>
          <w:shd w:val="clear" w:color="auto" w:fill="FFFFFF"/>
        </w:rPr>
        <w:t xml:space="preserve">HFrEF, ≤40%), however, there are significant gaps between guidelines and real-world practices. The aim of this study was to evaluated prescribing adherence to the recommended GDMT in HFrEF patients using the global guideline adherence score. </w:t>
      </w:r>
      <w:r w:rsidR="0044432A" w:rsidRPr="00EB54AD">
        <w:rPr>
          <w:rFonts w:asciiTheme="majorBidi" w:hAnsiTheme="majorBidi" w:cstheme="majorBidi"/>
          <w:b/>
          <w:bCs/>
          <w:color w:val="212121"/>
          <w:sz w:val="22"/>
          <w:szCs w:val="22"/>
          <w:shd w:val="clear" w:color="auto" w:fill="FFFFFF"/>
        </w:rPr>
        <w:t>Method:</w:t>
      </w:r>
      <w:r w:rsidR="0044432A" w:rsidRPr="00EB54AD">
        <w:rPr>
          <w:rFonts w:asciiTheme="majorBidi" w:hAnsiTheme="majorBidi" w:cstheme="majorBidi"/>
          <w:color w:val="212121"/>
          <w:sz w:val="22"/>
          <w:szCs w:val="22"/>
          <w:shd w:val="clear" w:color="auto" w:fill="FFFFFF"/>
        </w:rPr>
        <w:t xml:space="preserve"> A retrospective study among HFrEF patients at the National Heart Centre in Muscat, Oman, was conducted between 1st January and 30th June 2022.</w:t>
      </w:r>
      <w:r w:rsidR="0044432A" w:rsidRPr="00EB54AD">
        <w:rPr>
          <w:rFonts w:asciiTheme="majorBidi" w:hAnsiTheme="majorBidi" w:cstheme="majorBidi"/>
          <w:sz w:val="22"/>
          <w:szCs w:val="22"/>
        </w:rPr>
        <w:t xml:space="preserve"> </w:t>
      </w:r>
      <w:r w:rsidR="0044432A" w:rsidRPr="00EB54AD">
        <w:rPr>
          <w:rFonts w:asciiTheme="majorBidi" w:hAnsiTheme="majorBidi" w:cstheme="majorBidi"/>
          <w:color w:val="212121"/>
          <w:sz w:val="22"/>
          <w:szCs w:val="22"/>
          <w:shd w:val="clear" w:color="auto" w:fill="FFFFFF"/>
        </w:rPr>
        <w:t xml:space="preserve">The optimum target doses were identified according to the 2021 European Society of Cardiology HF guidelines. Thus, for eligible patients, prescribing all indicated GDMT in doses ≥50% of the target dose is considered good adherence; the use of more than half of the medications in doses ≥50% of the target dose, moderate adherence; and the use of less than half the recommended medications and/or in doses &lt;50% of target dose, poor adherence. Univariate statistics were used for the analysis. </w:t>
      </w:r>
      <w:r w:rsidR="0044432A" w:rsidRPr="00EB54AD">
        <w:rPr>
          <w:rFonts w:asciiTheme="majorBidi" w:hAnsiTheme="majorBidi" w:cstheme="majorBidi"/>
          <w:b/>
          <w:bCs/>
          <w:color w:val="212121"/>
          <w:sz w:val="22"/>
          <w:szCs w:val="22"/>
          <w:shd w:val="clear" w:color="auto" w:fill="FFFFFF"/>
        </w:rPr>
        <w:t>Results:</w:t>
      </w:r>
      <w:r w:rsidR="0044432A" w:rsidRPr="00EB54AD">
        <w:rPr>
          <w:rFonts w:asciiTheme="majorBidi" w:hAnsiTheme="majorBidi" w:cstheme="majorBidi"/>
          <w:color w:val="212121"/>
          <w:sz w:val="22"/>
          <w:szCs w:val="22"/>
          <w:shd w:val="clear" w:color="auto" w:fill="FFFFFF"/>
        </w:rPr>
        <w:t xml:space="preserve"> The overall mean age of the cohort was 57 ±13.6 years with a predominance of male patients (70%; n=180). The overall prescribing adherence to guideline-recommended HF medications was 71% good, 22% moderate, and 7% poor. There was a significate association between the sub-optimal dose of GDMT and patients with hypertension (P=0.004), dilated cardiomyopathy (P=0.015), older age (P=0.004) and chronic kidney disease (P=0.001). </w:t>
      </w:r>
      <w:r w:rsidR="0044432A" w:rsidRPr="00EB54AD">
        <w:rPr>
          <w:rFonts w:asciiTheme="majorBidi" w:hAnsiTheme="majorBidi" w:cstheme="majorBidi"/>
          <w:b/>
          <w:bCs/>
          <w:color w:val="212121"/>
          <w:sz w:val="22"/>
          <w:szCs w:val="22"/>
          <w:shd w:val="clear" w:color="auto" w:fill="FFFFFF"/>
        </w:rPr>
        <w:t>Conclusion:</w:t>
      </w:r>
      <w:r w:rsidR="0044432A" w:rsidRPr="00EB54AD">
        <w:rPr>
          <w:rFonts w:asciiTheme="majorBidi" w:hAnsiTheme="majorBidi" w:cstheme="majorBidi"/>
          <w:color w:val="212121"/>
          <w:sz w:val="22"/>
          <w:szCs w:val="22"/>
          <w:shd w:val="clear" w:color="auto" w:fill="FFFFFF"/>
        </w:rPr>
        <w:t xml:space="preserve"> Prescribing adherence to recommended GDMT in Oman is similar to that of international studies. Furthermore, sub-optimal GDMT titration was significantly associated with older age and comorbidity, suggesting that frailty perception may have an impact on GDMT titration.</w:t>
      </w:r>
    </w:p>
    <w:p w14:paraId="3FFE3C30" w14:textId="77777777" w:rsidR="00241FDC" w:rsidRDefault="00241FDC" w:rsidP="00B13EF3">
      <w:pPr>
        <w:spacing w:line="480" w:lineRule="auto"/>
        <w:jc w:val="both"/>
        <w:rPr>
          <w:rFonts w:asciiTheme="majorBidi" w:hAnsiTheme="majorBidi" w:cstheme="majorBidi"/>
          <w:b/>
          <w:bCs/>
          <w:color w:val="215E99" w:themeColor="text2" w:themeTint="BF"/>
          <w:u w:val="single"/>
          <w:shd w:val="clear" w:color="auto" w:fill="FFFFFF"/>
          <w:lang w:eastAsia="en-GB"/>
        </w:rPr>
      </w:pPr>
    </w:p>
    <w:p w14:paraId="59B6FC8D" w14:textId="17AF6D3B" w:rsidR="00EB54AD" w:rsidRPr="00EB54AD" w:rsidRDefault="00B13EF3" w:rsidP="00B13EF3">
      <w:pPr>
        <w:spacing w:line="480" w:lineRule="auto"/>
        <w:jc w:val="both"/>
        <w:rPr>
          <w:rFonts w:asciiTheme="majorBidi" w:hAnsiTheme="majorBidi" w:cstheme="majorBidi"/>
          <w:color w:val="215E99" w:themeColor="text2" w:themeTint="BF"/>
          <w:shd w:val="clear" w:color="auto" w:fill="FFFFFF"/>
        </w:rPr>
      </w:pPr>
      <w:r w:rsidRPr="00EB54AD">
        <w:rPr>
          <w:rFonts w:asciiTheme="majorBidi" w:hAnsiTheme="majorBidi" w:cstheme="majorBidi"/>
          <w:b/>
          <w:bCs/>
          <w:color w:val="215E99" w:themeColor="text2" w:themeTint="BF"/>
          <w:u w:val="single"/>
          <w:shd w:val="clear" w:color="auto" w:fill="FFFFFF"/>
          <w:lang w:eastAsia="en-GB"/>
        </w:rPr>
        <w:t>Keywords:</w:t>
      </w:r>
      <w:r w:rsidRPr="00EB54AD">
        <w:rPr>
          <w:rFonts w:asciiTheme="majorBidi" w:hAnsiTheme="majorBidi" w:cstheme="majorBidi"/>
          <w:color w:val="215E99" w:themeColor="text2" w:themeTint="BF"/>
          <w:shd w:val="clear" w:color="auto" w:fill="FFFFFF"/>
        </w:rPr>
        <w:t xml:space="preserve"> </w:t>
      </w:r>
    </w:p>
    <w:p w14:paraId="46EB5BC1" w14:textId="7E493659" w:rsidR="00B13EF3" w:rsidRPr="00EB54AD" w:rsidRDefault="00B13EF3" w:rsidP="00B13EF3">
      <w:pPr>
        <w:spacing w:line="480" w:lineRule="auto"/>
        <w:jc w:val="both"/>
        <w:rPr>
          <w:rFonts w:asciiTheme="majorBidi" w:hAnsiTheme="majorBidi" w:cstheme="majorBidi"/>
          <w:color w:val="212121"/>
          <w:shd w:val="clear" w:color="auto" w:fill="FFFFFF"/>
        </w:rPr>
      </w:pPr>
      <w:r w:rsidRPr="00EB54AD">
        <w:rPr>
          <w:rFonts w:asciiTheme="majorBidi" w:hAnsiTheme="majorBidi" w:cstheme="majorBidi"/>
          <w:color w:val="212121"/>
          <w:shd w:val="clear" w:color="auto" w:fill="FFFFFF"/>
        </w:rPr>
        <w:t xml:space="preserve">Guideline-directed medical therapy. GDMT. Prescribing. Guideline adherence. Heart Failure. Oman. </w:t>
      </w:r>
    </w:p>
    <w:p w14:paraId="3909025D" w14:textId="77777777" w:rsidR="00DD724A" w:rsidRDefault="00DD724A"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3687BCE5"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427BE769"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38F3504E"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2009883B"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4E375CBF"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0DB93129"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4AAC49CA"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2958FDD5"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076A63A1"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2A8BAB82" w14:textId="77777777" w:rsidR="00F21934" w:rsidRDefault="00F21934" w:rsidP="000A1005">
      <w:pPr>
        <w:spacing w:line="360" w:lineRule="auto"/>
        <w:jc w:val="both"/>
        <w:rPr>
          <w:rFonts w:asciiTheme="majorBidi" w:hAnsiTheme="majorBidi" w:cstheme="majorBidi"/>
          <w:b/>
          <w:bCs/>
          <w:color w:val="215E99" w:themeColor="text2" w:themeTint="BF"/>
          <w:u w:val="single"/>
          <w:shd w:val="clear" w:color="auto" w:fill="FFFFFF"/>
          <w:lang w:eastAsia="en-GB"/>
        </w:rPr>
      </w:pPr>
    </w:p>
    <w:p w14:paraId="206DB691" w14:textId="177CD1DC" w:rsidR="0057119E" w:rsidRPr="000A1005" w:rsidRDefault="000A1005" w:rsidP="000A1005">
      <w:pPr>
        <w:spacing w:line="360" w:lineRule="auto"/>
        <w:jc w:val="both"/>
        <w:rPr>
          <w:rFonts w:asciiTheme="majorBidi" w:hAnsiTheme="majorBidi" w:cstheme="majorBidi"/>
          <w:b/>
          <w:bCs/>
          <w:color w:val="215E99" w:themeColor="text2" w:themeTint="BF"/>
          <w:u w:val="single"/>
          <w:shd w:val="clear" w:color="auto" w:fill="FFFFFF"/>
          <w:lang w:eastAsia="en-GB"/>
        </w:rPr>
      </w:pPr>
      <w:r w:rsidRPr="000A1005">
        <w:rPr>
          <w:rFonts w:asciiTheme="majorBidi" w:hAnsiTheme="majorBidi" w:cstheme="majorBidi"/>
          <w:b/>
          <w:bCs/>
          <w:color w:val="215E99" w:themeColor="text2" w:themeTint="BF"/>
          <w:u w:val="single"/>
          <w:shd w:val="clear" w:color="auto" w:fill="FFFFFF"/>
          <w:lang w:eastAsia="en-GB"/>
        </w:rPr>
        <w:t>Key Points</w:t>
      </w:r>
      <w:r>
        <w:rPr>
          <w:rFonts w:ascii="Aptos" w:hAnsi="Aptos"/>
          <w:color w:val="212121"/>
        </w:rPr>
        <w:t xml:space="preserve"> </w:t>
      </w:r>
    </w:p>
    <w:p w14:paraId="5FEB1E56" w14:textId="77777777" w:rsidR="00241FDC" w:rsidRPr="00241FDC" w:rsidRDefault="00241FDC" w:rsidP="00241FDC">
      <w:pPr>
        <w:pStyle w:val="ListParagraph"/>
        <w:numPr>
          <w:ilvl w:val="0"/>
          <w:numId w:val="4"/>
        </w:numPr>
        <w:spacing w:line="360" w:lineRule="auto"/>
        <w:jc w:val="both"/>
        <w:rPr>
          <w:rFonts w:asciiTheme="majorBidi" w:hAnsiTheme="majorBidi" w:cstheme="majorBidi"/>
          <w:b/>
          <w:bCs/>
          <w:color w:val="212121"/>
          <w:shd w:val="clear" w:color="auto" w:fill="FFFFFF"/>
        </w:rPr>
      </w:pPr>
      <w:r w:rsidRPr="00241FDC">
        <w:rPr>
          <w:rFonts w:ascii="Times New Roman" w:hAnsi="Times New Roman"/>
          <w:color w:val="000000"/>
        </w:rPr>
        <w:t>The Global Guideline Adherence Score was used to evaluate GDMT and related dosages in Omani patients with HFrEF.</w:t>
      </w:r>
    </w:p>
    <w:p w14:paraId="4713BB94" w14:textId="777BB567" w:rsidR="00241FDC" w:rsidRPr="00F21934" w:rsidRDefault="00241FDC" w:rsidP="00241FDC">
      <w:pPr>
        <w:pStyle w:val="ListParagraph"/>
        <w:numPr>
          <w:ilvl w:val="0"/>
          <w:numId w:val="4"/>
        </w:numPr>
        <w:spacing w:line="360" w:lineRule="auto"/>
        <w:jc w:val="both"/>
        <w:rPr>
          <w:rFonts w:asciiTheme="majorBidi" w:hAnsiTheme="majorBidi" w:cstheme="majorBidi"/>
          <w:b/>
          <w:bCs/>
          <w:color w:val="212121"/>
          <w:shd w:val="clear" w:color="auto" w:fill="FFFFFF"/>
        </w:rPr>
      </w:pPr>
      <w:r>
        <w:rPr>
          <w:rFonts w:asciiTheme="majorBidi" w:hAnsiTheme="majorBidi" w:cstheme="majorBidi"/>
          <w:color w:val="212121"/>
          <w:shd w:val="clear" w:color="auto" w:fill="FFFFFF"/>
        </w:rPr>
        <w:t>T</w:t>
      </w:r>
      <w:r w:rsidRPr="00EB54AD">
        <w:rPr>
          <w:rFonts w:asciiTheme="majorBidi" w:hAnsiTheme="majorBidi" w:cstheme="majorBidi"/>
          <w:color w:val="212121"/>
          <w:shd w:val="clear" w:color="auto" w:fill="FFFFFF"/>
        </w:rPr>
        <w:t>he global guideline adherence score</w:t>
      </w:r>
      <w:r w:rsidRPr="00EB54AD">
        <w:rPr>
          <w:rFonts w:ascii="Times New Roman" w:hAnsi="Times New Roman"/>
          <w:color w:val="000000"/>
        </w:rPr>
        <w:t xml:space="preserve"> </w:t>
      </w:r>
      <w:r>
        <w:rPr>
          <w:rFonts w:ascii="Times New Roman" w:hAnsi="Times New Roman"/>
          <w:color w:val="000000"/>
        </w:rPr>
        <w:t xml:space="preserve">is a </w:t>
      </w:r>
      <w:r w:rsidRPr="00EB54AD">
        <w:rPr>
          <w:rFonts w:ascii="Times New Roman" w:hAnsi="Times New Roman"/>
          <w:color w:val="000000"/>
        </w:rPr>
        <w:t>scoring system</w:t>
      </w:r>
      <w:r>
        <w:rPr>
          <w:rFonts w:ascii="Times New Roman" w:hAnsi="Times New Roman"/>
          <w:color w:val="000000"/>
        </w:rPr>
        <w:t xml:space="preserve"> that</w:t>
      </w:r>
      <w:r w:rsidRPr="00EB54AD">
        <w:rPr>
          <w:rFonts w:ascii="Times New Roman" w:hAnsi="Times New Roman"/>
          <w:color w:val="000000"/>
        </w:rPr>
        <w:t xml:space="preserve"> integrated not only the prescription of recommended classes</w:t>
      </w:r>
      <w:r>
        <w:rPr>
          <w:rFonts w:ascii="Times New Roman" w:hAnsi="Times New Roman"/>
          <w:color w:val="000000"/>
        </w:rPr>
        <w:t xml:space="preserve"> of </w:t>
      </w:r>
      <w:r w:rsidRPr="00F21934">
        <w:rPr>
          <w:rFonts w:asciiTheme="majorBidi" w:hAnsiTheme="majorBidi" w:cstheme="majorBidi"/>
          <w:color w:val="212121"/>
          <w:shd w:val="clear" w:color="auto" w:fill="FFFFFF"/>
        </w:rPr>
        <w:t>GDMT</w:t>
      </w:r>
      <w:r w:rsidRPr="00EB54AD">
        <w:rPr>
          <w:rFonts w:ascii="Times New Roman" w:hAnsi="Times New Roman"/>
          <w:color w:val="000000"/>
        </w:rPr>
        <w:t xml:space="preserve"> in eligible patients, but also the use of at least 50% of recommended dosages.</w:t>
      </w:r>
    </w:p>
    <w:p w14:paraId="18ADABCA" w14:textId="0F4C0049" w:rsidR="00241FDC" w:rsidRPr="00CA3E1B" w:rsidRDefault="00241FDC" w:rsidP="00F21934">
      <w:pPr>
        <w:pStyle w:val="ListParagraph"/>
        <w:numPr>
          <w:ilvl w:val="0"/>
          <w:numId w:val="4"/>
        </w:numPr>
        <w:spacing w:line="360" w:lineRule="auto"/>
        <w:jc w:val="both"/>
        <w:rPr>
          <w:rFonts w:asciiTheme="majorBidi" w:hAnsiTheme="majorBidi" w:cstheme="majorBidi"/>
          <w:b/>
          <w:bCs/>
          <w:color w:val="212121"/>
          <w:shd w:val="clear" w:color="auto" w:fill="FFFFFF"/>
        </w:rPr>
      </w:pPr>
      <w:r w:rsidRPr="00EB54AD">
        <w:rPr>
          <w:rFonts w:asciiTheme="majorBidi" w:hAnsiTheme="majorBidi" w:cstheme="majorBidi"/>
          <w:color w:val="212121"/>
          <w:shd w:val="clear" w:color="auto" w:fill="FFFFFF"/>
        </w:rPr>
        <w:t>The overall prescribing adherence to guideline-recommended HF medications was 71% good, 22% moderate, and 7% poor. There was a significate association between the sub-optimal dose of GDMT and patients with hypertension (P=0.004), dilated cardiomyopathy (P=0.015), older age (P=0.004) and chronic kidney disease (P=0.001).</w:t>
      </w:r>
    </w:p>
    <w:p w14:paraId="7FB73504" w14:textId="3DC708F5" w:rsidR="00CA3E1B" w:rsidRPr="00CA3E1B" w:rsidRDefault="00241FDC" w:rsidP="00F21934">
      <w:pPr>
        <w:pStyle w:val="ListParagraph"/>
        <w:numPr>
          <w:ilvl w:val="0"/>
          <w:numId w:val="4"/>
        </w:numPr>
        <w:spacing w:line="360" w:lineRule="auto"/>
        <w:jc w:val="both"/>
        <w:rPr>
          <w:rFonts w:asciiTheme="majorBidi" w:hAnsiTheme="majorBidi" w:cstheme="majorBidi"/>
          <w:b/>
          <w:bCs/>
          <w:color w:val="212121"/>
          <w:shd w:val="clear" w:color="auto" w:fill="FFFFFF"/>
        </w:rPr>
      </w:pPr>
      <w:r w:rsidRPr="003B65E4">
        <w:rPr>
          <w:rFonts w:ascii="Times New Roman" w:hAnsi="Times New Roman"/>
          <w:color w:val="000000"/>
          <w:lang w:eastAsia="en-GB"/>
        </w:rPr>
        <w:t>Prescribing adherence to recommended GDMT in Oman is similar to that of international studies. In addition, sub-optimisation of GDMT was significantly associated with older age and comorbidities</w:t>
      </w:r>
      <w:r w:rsidRPr="00241FDC">
        <w:rPr>
          <w:rFonts w:ascii="Times New Roman" w:hAnsi="Times New Roman"/>
          <w:color w:val="000000"/>
          <w:lang w:eastAsia="en-GB"/>
        </w:rPr>
        <w:t xml:space="preserve"> </w:t>
      </w:r>
      <w:r w:rsidRPr="003B65E4">
        <w:rPr>
          <w:rFonts w:ascii="Times New Roman" w:hAnsi="Times New Roman"/>
          <w:color w:val="000000"/>
          <w:lang w:eastAsia="en-GB"/>
        </w:rPr>
        <w:t>suggesting that perceived frailty may influence physician decision-making regarding GDMT titration</w:t>
      </w:r>
      <w:r>
        <w:rPr>
          <w:rFonts w:ascii="Times New Roman" w:hAnsi="Times New Roman"/>
          <w:color w:val="000000"/>
          <w:lang w:eastAsia="en-GB"/>
        </w:rPr>
        <w:t xml:space="preserve">. </w:t>
      </w:r>
    </w:p>
    <w:p w14:paraId="12E81F9B" w14:textId="77777777" w:rsidR="00DD724A" w:rsidRDefault="00DD724A" w:rsidP="0057119E">
      <w:pPr>
        <w:spacing w:line="360" w:lineRule="auto"/>
        <w:jc w:val="both"/>
        <w:rPr>
          <w:rFonts w:ascii="Roboto" w:hAnsi="Roboto"/>
          <w:color w:val="495057"/>
          <w:shd w:val="clear" w:color="auto" w:fill="FFFFFF"/>
        </w:rPr>
      </w:pPr>
    </w:p>
    <w:p w14:paraId="28915244" w14:textId="77777777" w:rsidR="00DD724A" w:rsidRDefault="00DD724A" w:rsidP="0057119E">
      <w:pPr>
        <w:spacing w:line="360" w:lineRule="auto"/>
        <w:jc w:val="both"/>
        <w:rPr>
          <w:rFonts w:ascii="Roboto" w:hAnsi="Roboto"/>
          <w:color w:val="495057"/>
          <w:shd w:val="clear" w:color="auto" w:fill="FFFFFF"/>
        </w:rPr>
      </w:pPr>
    </w:p>
    <w:p w14:paraId="003A40B9" w14:textId="6044C544" w:rsidR="0057119E" w:rsidRDefault="0057119E" w:rsidP="0057119E">
      <w:pPr>
        <w:spacing w:line="360" w:lineRule="auto"/>
        <w:jc w:val="both"/>
        <w:rPr>
          <w:rFonts w:asciiTheme="majorBidi" w:hAnsiTheme="majorBidi" w:cstheme="majorBidi"/>
          <w:b/>
          <w:bCs/>
          <w:color w:val="212121"/>
          <w:shd w:val="clear" w:color="auto" w:fill="FFFFFF"/>
        </w:rPr>
      </w:pPr>
      <w:r w:rsidRPr="0057119E">
        <w:rPr>
          <w:rFonts w:asciiTheme="majorBidi" w:hAnsiTheme="majorBidi" w:cstheme="majorBidi"/>
          <w:b/>
          <w:bCs/>
          <w:color w:val="215E99" w:themeColor="text2" w:themeTint="BF"/>
          <w:u w:val="single"/>
          <w:shd w:val="clear" w:color="auto" w:fill="FFFFFF"/>
          <w:lang w:eastAsia="en-GB"/>
        </w:rPr>
        <w:t>The Plain Language Summary</w:t>
      </w:r>
    </w:p>
    <w:p w14:paraId="3C0C55BF" w14:textId="30ADA590" w:rsidR="0057119E" w:rsidRPr="00241FDC" w:rsidRDefault="001345A2" w:rsidP="00241FDC">
      <w:pPr>
        <w:pStyle w:val="NormalWeb"/>
        <w:spacing w:before="0" w:beforeAutospacing="0" w:after="0" w:afterAutospacing="0" w:line="480" w:lineRule="auto"/>
        <w:jc w:val="both"/>
      </w:pPr>
      <w:r>
        <w:t>Our study examined adherence to guideline-recommended heart failure medications in the Omani population using the Global Guideline Adherence Score.</w:t>
      </w:r>
      <w:r w:rsidR="00110BDC" w:rsidRPr="00110BDC">
        <w:t xml:space="preserve"> A second objective of the study was to determine whether sub-optimization of guidelines-directed medical therapy in Omani heart failure patients with a reduced ejection fraction (HFrEF, 40%) was associated with patient demographics, including age, gender, and chronic diseases. Using data from the Al-Shifa 3Plus health information system established by Oman's Ministry of Health, we found that the overall prescribing adherence to </w:t>
      </w:r>
      <w:r w:rsidR="00110BDC">
        <w:t xml:space="preserve">guideline-recommended heart failure medications </w:t>
      </w:r>
      <w:r w:rsidR="00110BDC" w:rsidRPr="00110BDC">
        <w:t>was 71% good, 22% moderate, and 7% poor</w:t>
      </w:r>
      <w:r w:rsidR="00DD724A">
        <w:t xml:space="preserve"> which was </w:t>
      </w:r>
      <w:r w:rsidR="00DD724A" w:rsidRPr="00DD724A">
        <w:t>similar to that of</w:t>
      </w:r>
      <w:r w:rsidR="00F21934">
        <w:t xml:space="preserve"> </w:t>
      </w:r>
      <w:r w:rsidR="00DD724A" w:rsidRPr="00DD724A">
        <w:t xml:space="preserve">international studies. </w:t>
      </w:r>
      <w:r w:rsidR="00110BDC" w:rsidRPr="00110BDC">
        <w:t>Patients with hypertension, dilated cardiomyopathy, older age, and chronic kidney disease were significantly associated with sub-optimal Guidelines-directed medical therapy</w:t>
      </w:r>
      <w:r w:rsidR="00DD724A" w:rsidRPr="00DD724A">
        <w:t>, suggesting that frailty perception may have an impact on Guidelines-directed medical therapy</w:t>
      </w:r>
      <w:r w:rsidR="00DD724A">
        <w:t xml:space="preserve"> </w:t>
      </w:r>
      <w:r w:rsidR="00DD724A" w:rsidRPr="00DD724A">
        <w:t>titration.</w:t>
      </w:r>
      <w:r w:rsidR="00DD724A">
        <w:t xml:space="preserve"> </w:t>
      </w:r>
    </w:p>
    <w:p w14:paraId="4E58200D" w14:textId="77777777" w:rsidR="0057119E" w:rsidRDefault="0057119E" w:rsidP="00EB54AD">
      <w:pPr>
        <w:tabs>
          <w:tab w:val="left" w:pos="1814"/>
        </w:tabs>
        <w:spacing w:line="480" w:lineRule="auto"/>
        <w:rPr>
          <w:rFonts w:ascii="Times New Roman" w:hAnsi="Times New Roman"/>
          <w:b/>
          <w:bCs/>
          <w:color w:val="215E99" w:themeColor="text2" w:themeTint="BF"/>
          <w:u w:val="single"/>
        </w:rPr>
      </w:pPr>
    </w:p>
    <w:p w14:paraId="0EEA0F44" w14:textId="77777777" w:rsidR="00241FDC" w:rsidRDefault="00241FDC" w:rsidP="00EB54AD">
      <w:pPr>
        <w:tabs>
          <w:tab w:val="left" w:pos="1814"/>
        </w:tabs>
        <w:spacing w:line="480" w:lineRule="auto"/>
        <w:rPr>
          <w:rFonts w:ascii="Times New Roman" w:hAnsi="Times New Roman"/>
          <w:b/>
          <w:bCs/>
          <w:color w:val="215E99" w:themeColor="text2" w:themeTint="BF"/>
          <w:u w:val="single"/>
        </w:rPr>
      </w:pPr>
    </w:p>
    <w:p w14:paraId="0D4603AD" w14:textId="77777777" w:rsidR="00241FDC" w:rsidRDefault="00241FDC" w:rsidP="00EB54AD">
      <w:pPr>
        <w:tabs>
          <w:tab w:val="left" w:pos="1814"/>
        </w:tabs>
        <w:spacing w:line="480" w:lineRule="auto"/>
        <w:rPr>
          <w:rFonts w:ascii="Times New Roman" w:hAnsi="Times New Roman"/>
          <w:b/>
          <w:bCs/>
          <w:color w:val="215E99" w:themeColor="text2" w:themeTint="BF"/>
          <w:u w:val="single"/>
        </w:rPr>
      </w:pPr>
    </w:p>
    <w:p w14:paraId="108614FF" w14:textId="77777777" w:rsidR="00241FDC" w:rsidRDefault="00241FDC" w:rsidP="00EB54AD">
      <w:pPr>
        <w:tabs>
          <w:tab w:val="left" w:pos="1814"/>
        </w:tabs>
        <w:spacing w:line="480" w:lineRule="auto"/>
        <w:rPr>
          <w:rFonts w:ascii="Times New Roman" w:hAnsi="Times New Roman"/>
          <w:b/>
          <w:bCs/>
          <w:color w:val="215E99" w:themeColor="text2" w:themeTint="BF"/>
          <w:u w:val="single"/>
        </w:rPr>
      </w:pPr>
    </w:p>
    <w:p w14:paraId="23F24602" w14:textId="5207CE67" w:rsidR="00EB54AD" w:rsidRPr="00EB54AD" w:rsidRDefault="00654958" w:rsidP="00EB54AD">
      <w:pPr>
        <w:tabs>
          <w:tab w:val="left" w:pos="1814"/>
        </w:tabs>
        <w:spacing w:line="480" w:lineRule="auto"/>
        <w:rPr>
          <w:rFonts w:ascii="Times New Roman" w:hAnsi="Times New Roman"/>
          <w:b/>
          <w:bCs/>
          <w:color w:val="215E99" w:themeColor="text2" w:themeTint="BF"/>
        </w:rPr>
      </w:pPr>
      <w:r w:rsidRPr="00EB54AD">
        <w:rPr>
          <w:rFonts w:ascii="Times New Roman" w:hAnsi="Times New Roman"/>
          <w:b/>
          <w:bCs/>
          <w:color w:val="215E99" w:themeColor="text2" w:themeTint="BF"/>
          <w:u w:val="single"/>
        </w:rPr>
        <w:lastRenderedPageBreak/>
        <w:t>Background:</w:t>
      </w:r>
      <w:r w:rsidRPr="00EB54AD">
        <w:rPr>
          <w:rFonts w:ascii="Times New Roman" w:hAnsi="Times New Roman"/>
          <w:b/>
          <w:bCs/>
          <w:color w:val="215E99" w:themeColor="text2" w:themeTint="BF"/>
        </w:rPr>
        <w:t xml:space="preserve"> </w:t>
      </w:r>
    </w:p>
    <w:p w14:paraId="095FB69F" w14:textId="2F2D219F" w:rsidR="00AE32DE" w:rsidRPr="00EB54AD" w:rsidRDefault="009D3310" w:rsidP="00EB54AD">
      <w:pPr>
        <w:tabs>
          <w:tab w:val="left" w:pos="1814"/>
        </w:tabs>
        <w:spacing w:line="480" w:lineRule="auto"/>
        <w:jc w:val="both"/>
        <w:rPr>
          <w:rFonts w:ascii="Times New Roman" w:hAnsi="Times New Roman"/>
          <w:b/>
          <w:bCs/>
          <w:color w:val="000000" w:themeColor="text1"/>
        </w:rPr>
      </w:pPr>
      <w:r w:rsidRPr="00EB54AD">
        <w:rPr>
          <w:rFonts w:ascii="Times New Roman" w:hAnsi="Times New Roman"/>
          <w:color w:val="000000"/>
        </w:rPr>
        <w:t>Globally, 64.3 million people are estimated to have suffered from heart failure (HF) in 2017</w:t>
      </w:r>
      <w:r w:rsidR="00F34EA0" w:rsidRPr="00EB54AD">
        <w:rPr>
          <w:rFonts w:ascii="Times New Roman" w:hAnsi="Times New Roman"/>
          <w:color w:val="000000"/>
        </w:rPr>
        <w:t xml:space="preserve"> </w:t>
      </w:r>
      <w:r w:rsidRPr="00EB54AD">
        <w:rPr>
          <w:rFonts w:ascii="Times New Roman" w:hAnsi="Times New Roman"/>
          <w:color w:val="000000"/>
        </w:rPr>
        <w:t>[1</w:t>
      </w:r>
      <w:r w:rsidR="007572D7" w:rsidRPr="00EB54AD">
        <w:rPr>
          <w:rFonts w:ascii="Times New Roman" w:hAnsi="Times New Roman"/>
          <w:color w:val="000000"/>
        </w:rPr>
        <w:t>,2</w:t>
      </w:r>
      <w:r w:rsidRPr="00EB54AD">
        <w:rPr>
          <w:rFonts w:ascii="Times New Roman" w:hAnsi="Times New Roman"/>
          <w:color w:val="000000"/>
        </w:rPr>
        <w:t>]</w:t>
      </w:r>
      <w:r w:rsidR="00F34EA0" w:rsidRPr="00EB54AD">
        <w:rPr>
          <w:rFonts w:ascii="Times New Roman" w:hAnsi="Times New Roman"/>
          <w:color w:val="000000"/>
        </w:rPr>
        <w:t>.</w:t>
      </w:r>
      <w:r w:rsidRPr="00EB54AD">
        <w:rPr>
          <w:rFonts w:ascii="Times New Roman" w:hAnsi="Times New Roman"/>
          <w:color w:val="000000"/>
        </w:rPr>
        <w:t xml:space="preserve"> HF can be classified according to the left ventricular ejection fraction (LVEF) into three phenotypes,</w:t>
      </w:r>
      <w:r w:rsidR="00EB54AD" w:rsidRPr="00EB54AD">
        <w:rPr>
          <w:rFonts w:ascii="Times New Roman" w:hAnsi="Times New Roman"/>
          <w:color w:val="000000"/>
        </w:rPr>
        <w:t xml:space="preserve"> </w:t>
      </w:r>
      <w:r w:rsidRPr="00EB54AD">
        <w:rPr>
          <w:rFonts w:ascii="Times New Roman" w:hAnsi="Times New Roman"/>
          <w:color w:val="000000"/>
        </w:rPr>
        <w:t>namely HF with reduced (HFrEF, ≤40%), mildly reduced (HFmrEF, 41–49%) and preserved ejection fraction (HFpEF, ≥50%)</w:t>
      </w:r>
      <w:r w:rsidR="00F34EA0" w:rsidRPr="00EB54AD">
        <w:rPr>
          <w:rFonts w:ascii="Times New Roman" w:hAnsi="Times New Roman"/>
          <w:color w:val="000000"/>
        </w:rPr>
        <w:t xml:space="preserve"> </w:t>
      </w:r>
      <w:r w:rsidRPr="00EB54AD">
        <w:rPr>
          <w:rFonts w:ascii="Times New Roman" w:hAnsi="Times New Roman"/>
          <w:color w:val="000000"/>
        </w:rPr>
        <w:t>[</w:t>
      </w:r>
      <w:r w:rsidR="007572D7" w:rsidRPr="00EB54AD">
        <w:rPr>
          <w:rFonts w:ascii="Times New Roman" w:hAnsi="Times New Roman"/>
          <w:color w:val="000000"/>
        </w:rPr>
        <w:t>3]</w:t>
      </w:r>
      <w:r w:rsidR="00F34EA0" w:rsidRPr="00EB54AD">
        <w:rPr>
          <w:rFonts w:ascii="Times New Roman" w:hAnsi="Times New Roman"/>
          <w:color w:val="000000"/>
        </w:rPr>
        <w:t>.</w:t>
      </w:r>
      <w:r w:rsidR="000818F7" w:rsidRPr="00EB54AD">
        <w:rPr>
          <w:rFonts w:ascii="Times New Roman" w:hAnsi="Times New Roman"/>
          <w:color w:val="000000"/>
        </w:rPr>
        <w:t xml:space="preserve"> </w:t>
      </w:r>
    </w:p>
    <w:p w14:paraId="41943708" w14:textId="77777777" w:rsidR="00241FDC" w:rsidRDefault="00241FDC" w:rsidP="00EB54AD">
      <w:pPr>
        <w:spacing w:line="480" w:lineRule="auto"/>
        <w:jc w:val="both"/>
        <w:rPr>
          <w:rFonts w:ascii="Times New Roman" w:hAnsi="Times New Roman"/>
          <w:color w:val="000000"/>
        </w:rPr>
      </w:pPr>
    </w:p>
    <w:p w14:paraId="0EA9277D" w14:textId="08C67C1E" w:rsidR="00EB54AD" w:rsidRPr="00EB54AD" w:rsidRDefault="007572D7" w:rsidP="00EB54AD">
      <w:pPr>
        <w:spacing w:line="480" w:lineRule="auto"/>
        <w:jc w:val="both"/>
        <w:rPr>
          <w:rFonts w:ascii="Times New Roman" w:hAnsi="Times New Roman"/>
          <w:color w:val="000000"/>
        </w:rPr>
      </w:pPr>
      <w:r w:rsidRPr="00EB54AD">
        <w:rPr>
          <w:rFonts w:ascii="Times New Roman" w:hAnsi="Times New Roman"/>
          <w:color w:val="000000"/>
        </w:rPr>
        <w:t xml:space="preserve">Patients with HF are treated to improve their clinical status, functional capacity, and quality of life while reducing their risk of hospital readmissions [4]. </w:t>
      </w:r>
      <w:r w:rsidR="000818F7" w:rsidRPr="00EB54AD">
        <w:rPr>
          <w:rFonts w:ascii="Times New Roman" w:hAnsi="Times New Roman"/>
          <w:color w:val="000000"/>
        </w:rPr>
        <w:t>For patients with HFrEF, recommended treatments include guideline-directed medical therapy (GDMT), which includes β-blockers (BBs), angiotensin-converting enzyme inhibitors (ACEIs), angiotensin receptor blockers (ARBs), angiotensin receptor–neprilysin inhibitors (ARNIs), and mineralocorticoid receptor antagonists (</w:t>
      </w:r>
      <w:r w:rsidR="00F05B83" w:rsidRPr="00EB54AD">
        <w:rPr>
          <w:rFonts w:ascii="Times New Roman" w:hAnsi="Times New Roman"/>
          <w:color w:val="000000"/>
        </w:rPr>
        <w:t>MRAs) [</w:t>
      </w:r>
      <w:r w:rsidRPr="00EB54AD">
        <w:rPr>
          <w:rFonts w:ascii="Times New Roman" w:hAnsi="Times New Roman"/>
          <w:color w:val="000000"/>
        </w:rPr>
        <w:t>5</w:t>
      </w:r>
      <w:r w:rsidR="009D3310" w:rsidRPr="00EB54AD">
        <w:rPr>
          <w:rFonts w:ascii="Times New Roman" w:hAnsi="Times New Roman"/>
          <w:color w:val="000000"/>
        </w:rPr>
        <w:t>]</w:t>
      </w:r>
      <w:r w:rsidR="00F34EA0" w:rsidRPr="00EB54AD">
        <w:rPr>
          <w:rFonts w:ascii="Times New Roman" w:hAnsi="Times New Roman"/>
          <w:color w:val="000000"/>
        </w:rPr>
        <w:t>.</w:t>
      </w:r>
      <w:r w:rsidR="009D3310" w:rsidRPr="00EB54AD">
        <w:rPr>
          <w:rFonts w:ascii="Times New Roman" w:hAnsi="Times New Roman"/>
        </w:rPr>
        <w:t xml:space="preserve"> </w:t>
      </w:r>
      <w:r w:rsidR="009D3310" w:rsidRPr="00EB54AD">
        <w:rPr>
          <w:rFonts w:ascii="Times New Roman" w:hAnsi="Times New Roman"/>
          <w:color w:val="000000"/>
        </w:rPr>
        <w:t>A new drug class, sodium-glucose cotransporter-2 inhibitors (SGLT2Is), has been added to the GDMT, creating four core GDMT classes for HFrEF</w:t>
      </w:r>
      <w:r w:rsidR="00F34EA0" w:rsidRPr="00EB54AD">
        <w:rPr>
          <w:rFonts w:ascii="Times New Roman" w:hAnsi="Times New Roman"/>
          <w:color w:val="000000"/>
        </w:rPr>
        <w:t xml:space="preserve"> </w:t>
      </w:r>
      <w:r w:rsidR="009D3310" w:rsidRPr="00EB54AD">
        <w:rPr>
          <w:rFonts w:ascii="Times New Roman" w:hAnsi="Times New Roman"/>
          <w:color w:val="000000"/>
        </w:rPr>
        <w:t>[</w:t>
      </w:r>
      <w:r w:rsidRPr="00EB54AD">
        <w:rPr>
          <w:rFonts w:ascii="Times New Roman" w:hAnsi="Times New Roman"/>
          <w:color w:val="000000"/>
        </w:rPr>
        <w:t>5</w:t>
      </w:r>
      <w:r w:rsidR="009D3310" w:rsidRPr="00EB54AD">
        <w:rPr>
          <w:rFonts w:ascii="Times New Roman" w:hAnsi="Times New Roman"/>
          <w:color w:val="000000"/>
        </w:rPr>
        <w:t>]</w:t>
      </w:r>
      <w:r w:rsidR="00F34EA0" w:rsidRPr="00EB54AD">
        <w:rPr>
          <w:rFonts w:ascii="Times New Roman" w:hAnsi="Times New Roman"/>
          <w:color w:val="000000"/>
        </w:rPr>
        <w:t>.</w:t>
      </w:r>
      <w:r w:rsidR="009D3310" w:rsidRPr="00EB54AD">
        <w:rPr>
          <w:rFonts w:ascii="Times New Roman" w:hAnsi="Times New Roman"/>
          <w:color w:val="000000"/>
        </w:rPr>
        <w:t xml:space="preserve"> Additionally, various therapeutic adjuncts, including ivabradine, vericiguat and omecamtiv-mecarbil, have been found to be effective in some cases</w:t>
      </w:r>
      <w:r w:rsidR="00F34EA0" w:rsidRPr="00EB54AD">
        <w:rPr>
          <w:rFonts w:ascii="Times New Roman" w:hAnsi="Times New Roman"/>
          <w:color w:val="000000"/>
        </w:rPr>
        <w:t xml:space="preserve"> </w:t>
      </w:r>
      <w:r w:rsidR="009D3310" w:rsidRPr="00EB54AD">
        <w:rPr>
          <w:rFonts w:ascii="Times New Roman" w:hAnsi="Times New Roman"/>
          <w:color w:val="000000"/>
        </w:rPr>
        <w:t>[</w:t>
      </w:r>
      <w:r w:rsidRPr="00EB54AD">
        <w:rPr>
          <w:rFonts w:ascii="Times New Roman" w:hAnsi="Times New Roman"/>
          <w:color w:val="000000"/>
        </w:rPr>
        <w:t>6</w:t>
      </w:r>
      <w:r w:rsidR="009D3310" w:rsidRPr="00EB54AD">
        <w:rPr>
          <w:rFonts w:ascii="Times New Roman" w:hAnsi="Times New Roman"/>
          <w:color w:val="000000"/>
        </w:rPr>
        <w:t>]</w:t>
      </w:r>
      <w:r w:rsidR="00F34EA0" w:rsidRPr="00EB54AD">
        <w:rPr>
          <w:rFonts w:ascii="Times New Roman" w:hAnsi="Times New Roman"/>
          <w:color w:val="000000"/>
        </w:rPr>
        <w:t>.</w:t>
      </w:r>
      <w:r w:rsidR="009D3310" w:rsidRPr="00EB54AD">
        <w:rPr>
          <w:rFonts w:ascii="Times New Roman" w:hAnsi="Times New Roman"/>
          <w:color w:val="000000"/>
        </w:rPr>
        <w:t xml:space="preserve"> When initiated and titrated to maximally tolerated doses, the GDMT for HFrEF decreases mortality and morbidity</w:t>
      </w:r>
      <w:r w:rsidR="00F34EA0" w:rsidRPr="00EB54AD">
        <w:rPr>
          <w:rFonts w:ascii="Times New Roman" w:hAnsi="Times New Roman"/>
          <w:color w:val="000000"/>
        </w:rPr>
        <w:t xml:space="preserve"> </w:t>
      </w:r>
      <w:r w:rsidR="009D3310" w:rsidRPr="00EB54AD">
        <w:rPr>
          <w:rFonts w:ascii="Times New Roman" w:hAnsi="Times New Roman"/>
          <w:color w:val="000000"/>
        </w:rPr>
        <w:t>[</w:t>
      </w:r>
      <w:r w:rsidRPr="00EB54AD">
        <w:rPr>
          <w:rFonts w:ascii="Times New Roman" w:hAnsi="Times New Roman"/>
          <w:color w:val="000000"/>
        </w:rPr>
        <w:t>5</w:t>
      </w:r>
      <w:r w:rsidR="009D3310" w:rsidRPr="00EB54AD">
        <w:rPr>
          <w:rFonts w:ascii="Times New Roman" w:hAnsi="Times New Roman"/>
          <w:color w:val="000000"/>
        </w:rPr>
        <w:t>,</w:t>
      </w:r>
      <w:r w:rsidRPr="00EB54AD">
        <w:rPr>
          <w:rFonts w:ascii="Times New Roman" w:hAnsi="Times New Roman"/>
          <w:color w:val="000000"/>
        </w:rPr>
        <w:t>7</w:t>
      </w:r>
      <w:r w:rsidR="009D3310" w:rsidRPr="00EB54AD">
        <w:rPr>
          <w:rFonts w:ascii="Times New Roman" w:hAnsi="Times New Roman"/>
          <w:color w:val="000000"/>
        </w:rPr>
        <w:t>]</w:t>
      </w:r>
      <w:r w:rsidR="00F34EA0" w:rsidRPr="00EB54AD">
        <w:rPr>
          <w:rFonts w:ascii="Times New Roman" w:hAnsi="Times New Roman"/>
          <w:color w:val="000000"/>
        </w:rPr>
        <w:t xml:space="preserve">. </w:t>
      </w:r>
      <w:r w:rsidR="009D3310" w:rsidRPr="00EB54AD">
        <w:rPr>
          <w:rFonts w:ascii="Times New Roman" w:hAnsi="Times New Roman"/>
          <w:color w:val="000000"/>
        </w:rPr>
        <w:t>The combination of ACEI, BB, MRA, and SGLT2I, as compared with no treatment, extended life expectancy for 70-year-olds by 5 years in two independent cohort studies</w:t>
      </w:r>
      <w:r w:rsidR="00F34EA0" w:rsidRPr="00EB54AD">
        <w:rPr>
          <w:rFonts w:ascii="Times New Roman" w:hAnsi="Times New Roman"/>
          <w:color w:val="000000"/>
        </w:rPr>
        <w:t xml:space="preserve"> </w:t>
      </w:r>
      <w:r w:rsidR="009D3310" w:rsidRPr="00EB54AD">
        <w:rPr>
          <w:rFonts w:ascii="Times New Roman" w:hAnsi="Times New Roman"/>
          <w:color w:val="000000"/>
        </w:rPr>
        <w:t>[</w:t>
      </w:r>
      <w:r w:rsidRPr="00EB54AD">
        <w:rPr>
          <w:rFonts w:ascii="Times New Roman" w:hAnsi="Times New Roman"/>
          <w:color w:val="000000"/>
        </w:rPr>
        <w:t>8</w:t>
      </w:r>
      <w:r w:rsidR="009D3310" w:rsidRPr="00EB54AD">
        <w:rPr>
          <w:rFonts w:ascii="Times New Roman" w:hAnsi="Times New Roman"/>
          <w:color w:val="000000"/>
        </w:rPr>
        <w:t>]</w:t>
      </w:r>
      <w:r w:rsidR="00F34EA0" w:rsidRPr="00EB54AD">
        <w:rPr>
          <w:rFonts w:ascii="Times New Roman" w:hAnsi="Times New Roman"/>
          <w:color w:val="000000"/>
        </w:rPr>
        <w:t>.</w:t>
      </w:r>
    </w:p>
    <w:p w14:paraId="77F1DCF6" w14:textId="77777777" w:rsidR="00241FDC" w:rsidRDefault="00241FDC" w:rsidP="00EB54AD">
      <w:pPr>
        <w:spacing w:line="480" w:lineRule="auto"/>
        <w:jc w:val="both"/>
        <w:rPr>
          <w:rFonts w:ascii="Times New Roman" w:hAnsi="Times New Roman"/>
          <w:color w:val="000000"/>
        </w:rPr>
      </w:pPr>
    </w:p>
    <w:p w14:paraId="4053FBD1" w14:textId="6E100738" w:rsidR="009D3310" w:rsidRPr="00EB54AD" w:rsidRDefault="009D3310" w:rsidP="00EB54AD">
      <w:pPr>
        <w:spacing w:line="480" w:lineRule="auto"/>
        <w:jc w:val="both"/>
        <w:rPr>
          <w:rFonts w:ascii="Times New Roman" w:hAnsi="Times New Roman"/>
          <w:color w:val="000000"/>
        </w:rPr>
      </w:pPr>
      <w:r w:rsidRPr="00EB54AD">
        <w:rPr>
          <w:rFonts w:ascii="Times New Roman" w:hAnsi="Times New Roman"/>
          <w:color w:val="000000"/>
        </w:rPr>
        <w:t xml:space="preserve">While there is robust scientific evidence that GDMT has benefits, </w:t>
      </w:r>
      <w:r w:rsidRPr="00EB54AD">
        <w:rPr>
          <w:rFonts w:ascii="Times New Roman" w:hAnsi="Times New Roman"/>
          <w:bCs/>
          <w:color w:val="000000" w:themeColor="text1"/>
          <w:lang w:bidi="th-TH"/>
        </w:rPr>
        <w:t>s</w:t>
      </w:r>
      <w:r w:rsidRPr="00EB54AD">
        <w:rPr>
          <w:rFonts w:ascii="Times New Roman" w:hAnsi="Times New Roman"/>
          <w:color w:val="000000" w:themeColor="text1"/>
        </w:rPr>
        <w:t>tu</w:t>
      </w:r>
      <w:r w:rsidRPr="00EB54AD">
        <w:rPr>
          <w:rFonts w:ascii="Times New Roman" w:hAnsi="Times New Roman"/>
          <w:color w:val="000000"/>
        </w:rPr>
        <w:t>dies demonstrate that despite the absence of contraindications or intolerances, many HFrEF patients are not receiving one or more of the recommended GDMT, and most patients receive inadequate GDMT doses, even when treated. A patient with HFrEF receiving sub-optimal doses may not achieve the survival outcomes shown in clinical trials. As shown by Ouwerkerk et al. (2017), patients treated with less than 50% of the guideline-recommended dose of ACEIs/ARBs and BBs have poorer prognoses than those treated at 100% dosage</w:t>
      </w:r>
      <w:r w:rsidR="00BC001D" w:rsidRPr="00EB54AD">
        <w:rPr>
          <w:rFonts w:ascii="Times New Roman" w:hAnsi="Times New Roman"/>
          <w:color w:val="000000"/>
        </w:rPr>
        <w:t xml:space="preserve"> </w:t>
      </w:r>
      <w:r w:rsidRPr="00EB54AD">
        <w:rPr>
          <w:rFonts w:ascii="Times New Roman" w:hAnsi="Times New Roman"/>
          <w:color w:val="000000"/>
        </w:rPr>
        <w:t>[</w:t>
      </w:r>
      <w:r w:rsidR="00AE32DE" w:rsidRPr="00EB54AD">
        <w:rPr>
          <w:rFonts w:ascii="Times New Roman" w:hAnsi="Times New Roman"/>
          <w:color w:val="000000"/>
        </w:rPr>
        <w:t>9</w:t>
      </w:r>
      <w:r w:rsidRPr="00EB54AD">
        <w:rPr>
          <w:rFonts w:ascii="Times New Roman" w:hAnsi="Times New Roman"/>
          <w:color w:val="000000"/>
        </w:rPr>
        <w:t>]</w:t>
      </w:r>
      <w:r w:rsidR="00BC001D" w:rsidRPr="00EB54AD">
        <w:rPr>
          <w:rFonts w:ascii="Times New Roman" w:hAnsi="Times New Roman"/>
          <w:color w:val="000000"/>
        </w:rPr>
        <w:t>.</w:t>
      </w:r>
      <w:r w:rsidRPr="00EB54AD">
        <w:rPr>
          <w:rFonts w:ascii="Times New Roman" w:hAnsi="Times New Roman"/>
          <w:color w:val="000000"/>
        </w:rPr>
        <w:t xml:space="preserve"> As per the analysis by Zubaid et al. (2020) of the Gulf DYSPNEA HF registry, which included Oman and the other four Arabian Gulf countries, although a high proportion of patients with HFrEF received treatment (87% ACEI/ARB/ARNI, 91% BB and 64% MRA), only a small percentage received GDMT target doses (13% ACEI/ARB/ARNI, 27% BB and 4.4% MRA)</w:t>
      </w:r>
      <w:r w:rsidR="00BC001D" w:rsidRPr="00EB54AD">
        <w:rPr>
          <w:rFonts w:ascii="Times New Roman" w:hAnsi="Times New Roman"/>
          <w:color w:val="000000"/>
        </w:rPr>
        <w:t xml:space="preserve"> </w:t>
      </w:r>
      <w:r w:rsidRPr="00EB54AD">
        <w:rPr>
          <w:rFonts w:ascii="Times New Roman" w:hAnsi="Times New Roman"/>
          <w:color w:val="000000"/>
        </w:rPr>
        <w:t>[</w:t>
      </w:r>
      <w:r w:rsidR="00AE32DE" w:rsidRPr="00EB54AD">
        <w:rPr>
          <w:rFonts w:ascii="Times New Roman" w:hAnsi="Times New Roman"/>
          <w:color w:val="000000"/>
        </w:rPr>
        <w:t>10</w:t>
      </w:r>
      <w:r w:rsidRPr="00EB54AD">
        <w:rPr>
          <w:rFonts w:ascii="Times New Roman" w:hAnsi="Times New Roman"/>
          <w:color w:val="000000"/>
        </w:rPr>
        <w:t>]</w:t>
      </w:r>
      <w:r w:rsidR="00BC001D" w:rsidRPr="00EB54AD">
        <w:rPr>
          <w:rFonts w:ascii="Times New Roman" w:hAnsi="Times New Roman"/>
          <w:color w:val="000000"/>
        </w:rPr>
        <w:t>.</w:t>
      </w:r>
      <w:r w:rsidRPr="00EB54AD">
        <w:rPr>
          <w:rFonts w:ascii="Times New Roman" w:hAnsi="Times New Roman"/>
          <w:color w:val="000000"/>
        </w:rPr>
        <w:t xml:space="preserve"> Further</w:t>
      </w:r>
      <w:r w:rsidR="00BC001D" w:rsidRPr="00EB54AD">
        <w:rPr>
          <w:rFonts w:ascii="Times New Roman" w:hAnsi="Times New Roman"/>
          <w:color w:val="000000"/>
        </w:rPr>
        <w:t>more</w:t>
      </w:r>
      <w:r w:rsidRPr="00EB54AD">
        <w:rPr>
          <w:rFonts w:ascii="Times New Roman" w:hAnsi="Times New Roman"/>
          <w:color w:val="000000"/>
        </w:rPr>
        <w:t xml:space="preserve">, similar </w:t>
      </w:r>
      <w:r w:rsidRPr="00EB54AD">
        <w:rPr>
          <w:rFonts w:ascii="Times New Roman" w:hAnsi="Times New Roman"/>
          <w:color w:val="000000"/>
        </w:rPr>
        <w:lastRenderedPageBreak/>
        <w:t>findings were seen in other HF registries from Europe and the United States, indicating that the problem persists across different healthcare systems</w:t>
      </w:r>
      <w:r w:rsidR="00BC001D" w:rsidRPr="00EB54AD">
        <w:rPr>
          <w:rFonts w:ascii="Times New Roman" w:hAnsi="Times New Roman"/>
          <w:color w:val="000000"/>
        </w:rPr>
        <w:t xml:space="preserve"> </w:t>
      </w:r>
      <w:r w:rsidRPr="00EB54AD">
        <w:rPr>
          <w:rFonts w:ascii="Times New Roman" w:hAnsi="Times New Roman"/>
          <w:color w:val="000000"/>
        </w:rPr>
        <w:t>[1</w:t>
      </w:r>
      <w:r w:rsidR="00AE32DE" w:rsidRPr="00EB54AD">
        <w:rPr>
          <w:rFonts w:ascii="Times New Roman" w:hAnsi="Times New Roman"/>
          <w:color w:val="000000"/>
        </w:rPr>
        <w:t>1</w:t>
      </w:r>
      <w:r w:rsidRPr="00EB54AD">
        <w:rPr>
          <w:rFonts w:ascii="Times New Roman" w:hAnsi="Times New Roman"/>
          <w:color w:val="000000"/>
        </w:rPr>
        <w:t>-1</w:t>
      </w:r>
      <w:r w:rsidR="00AE32DE" w:rsidRPr="00EB54AD">
        <w:rPr>
          <w:rFonts w:ascii="Times New Roman" w:hAnsi="Times New Roman"/>
          <w:color w:val="000000"/>
        </w:rPr>
        <w:t>3</w:t>
      </w:r>
      <w:r w:rsidRPr="00EB54AD">
        <w:rPr>
          <w:rFonts w:ascii="Times New Roman" w:hAnsi="Times New Roman"/>
          <w:color w:val="000000"/>
        </w:rPr>
        <w:t>]</w:t>
      </w:r>
      <w:r w:rsidR="00BC001D" w:rsidRPr="00EB54AD">
        <w:rPr>
          <w:rFonts w:ascii="Times New Roman" w:hAnsi="Times New Roman"/>
          <w:color w:val="000000"/>
        </w:rPr>
        <w:t>.</w:t>
      </w:r>
    </w:p>
    <w:p w14:paraId="41E448DB" w14:textId="77777777" w:rsidR="00241FDC" w:rsidRDefault="00241FDC" w:rsidP="00EB54AD">
      <w:pPr>
        <w:spacing w:line="480" w:lineRule="auto"/>
        <w:jc w:val="both"/>
        <w:rPr>
          <w:rFonts w:ascii="Times New Roman" w:hAnsi="Times New Roman"/>
          <w:color w:val="000000"/>
        </w:rPr>
      </w:pPr>
    </w:p>
    <w:p w14:paraId="65B449D4" w14:textId="14B6BFAF" w:rsidR="008D50A2" w:rsidRPr="00EB54AD" w:rsidRDefault="009D3310" w:rsidP="00EB54AD">
      <w:pPr>
        <w:spacing w:line="480" w:lineRule="auto"/>
        <w:jc w:val="both"/>
        <w:rPr>
          <w:rFonts w:ascii="Times New Roman" w:hAnsi="Times New Roman"/>
          <w:color w:val="000000"/>
        </w:rPr>
      </w:pPr>
      <w:r w:rsidRPr="00EB54AD">
        <w:rPr>
          <w:rFonts w:ascii="Times New Roman" w:hAnsi="Times New Roman"/>
          <w:color w:val="000000"/>
        </w:rPr>
        <w:t>Failure to prescribe or/and optimise GDMT in patients with HFrEF is frequently related to either (</w:t>
      </w:r>
      <w:proofErr w:type="spellStart"/>
      <w:r w:rsidRPr="00EB54AD">
        <w:rPr>
          <w:rFonts w:ascii="Times New Roman" w:hAnsi="Times New Roman"/>
          <w:color w:val="000000"/>
        </w:rPr>
        <w:t>i</w:t>
      </w:r>
      <w:proofErr w:type="spellEnd"/>
      <w:r w:rsidRPr="00EB54AD">
        <w:rPr>
          <w:rFonts w:ascii="Times New Roman" w:hAnsi="Times New Roman"/>
          <w:color w:val="000000"/>
        </w:rPr>
        <w:t>) physician-related factors such as lack of awareness of therapy goals, focus on symptom relief rather than reduction of mortality, or fear of side effects; (ii) patient-related factors such as frailty, intolerance or contraindications; (iii) non-medical factors such as availability of GDMT or access to the healthcare system</w:t>
      </w:r>
      <w:r w:rsidR="00BC001D" w:rsidRPr="00EB54AD">
        <w:rPr>
          <w:rFonts w:ascii="Times New Roman" w:hAnsi="Times New Roman"/>
          <w:color w:val="000000"/>
        </w:rPr>
        <w:t xml:space="preserve"> </w:t>
      </w:r>
      <w:r w:rsidRPr="00EB54AD">
        <w:rPr>
          <w:rFonts w:ascii="Times New Roman" w:hAnsi="Times New Roman"/>
          <w:color w:val="000000"/>
        </w:rPr>
        <w:t>[1</w:t>
      </w:r>
      <w:r w:rsidR="00AE32DE" w:rsidRPr="00EB54AD">
        <w:rPr>
          <w:rFonts w:ascii="Times New Roman" w:hAnsi="Times New Roman"/>
          <w:color w:val="000000"/>
        </w:rPr>
        <w:t>4</w:t>
      </w:r>
      <w:r w:rsidRPr="00EB54AD">
        <w:rPr>
          <w:rFonts w:ascii="Times New Roman" w:hAnsi="Times New Roman"/>
          <w:color w:val="000000"/>
        </w:rPr>
        <w:t>]</w:t>
      </w:r>
      <w:r w:rsidR="00BC001D" w:rsidRPr="00EB54AD">
        <w:rPr>
          <w:rFonts w:ascii="Times New Roman" w:hAnsi="Times New Roman"/>
          <w:color w:val="000000"/>
        </w:rPr>
        <w:t>.</w:t>
      </w:r>
      <w:r w:rsidRPr="00EB54AD">
        <w:rPr>
          <w:rFonts w:ascii="Times New Roman" w:hAnsi="Times New Roman"/>
          <w:color w:val="000000"/>
        </w:rPr>
        <w:t xml:space="preserve"> </w:t>
      </w:r>
      <w:r w:rsidR="008D50A2" w:rsidRPr="00EB54AD">
        <w:rPr>
          <w:rFonts w:ascii="Times New Roman" w:hAnsi="Times New Roman"/>
          <w:color w:val="000000"/>
        </w:rPr>
        <w:t xml:space="preserve">According to a meta-analysis by Denfeld et al. on the prevalence of frailty in HF, nearly one in two patients have frailty. </w:t>
      </w:r>
      <w:r w:rsidRPr="00EB54AD">
        <w:rPr>
          <w:rFonts w:ascii="Times New Roman" w:hAnsi="Times New Roman"/>
          <w:color w:val="000000"/>
        </w:rPr>
        <w:t>[1</w:t>
      </w:r>
      <w:r w:rsidR="00AE32DE" w:rsidRPr="00EB54AD">
        <w:rPr>
          <w:rFonts w:ascii="Times New Roman" w:hAnsi="Times New Roman"/>
          <w:color w:val="000000"/>
        </w:rPr>
        <w:t>5</w:t>
      </w:r>
      <w:r w:rsidRPr="00EB54AD">
        <w:rPr>
          <w:rFonts w:ascii="Times New Roman" w:hAnsi="Times New Roman"/>
          <w:color w:val="000000"/>
        </w:rPr>
        <w:t>]</w:t>
      </w:r>
      <w:r w:rsidR="00BC001D" w:rsidRPr="00EB54AD">
        <w:rPr>
          <w:rFonts w:ascii="Times New Roman" w:hAnsi="Times New Roman"/>
          <w:color w:val="000000"/>
        </w:rPr>
        <w:t>.</w:t>
      </w:r>
      <w:r w:rsidRPr="00EB54AD">
        <w:rPr>
          <w:rFonts w:ascii="Times New Roman" w:hAnsi="Times New Roman"/>
          <w:color w:val="000000"/>
        </w:rPr>
        <w:t xml:space="preserve"> </w:t>
      </w:r>
      <w:r w:rsidR="008D50A2" w:rsidRPr="00EB54AD">
        <w:rPr>
          <w:rFonts w:ascii="Times New Roman" w:hAnsi="Times New Roman"/>
          <w:color w:val="000000"/>
        </w:rPr>
        <w:t>Frailty was linked to an increased risk of death, an increase in hospital readmissions, and a reduction in functional ability over the course of a year among older patients with chronic HF.</w:t>
      </w:r>
      <w:r w:rsidR="00EB54AD">
        <w:rPr>
          <w:rFonts w:ascii="Times New Roman" w:hAnsi="Times New Roman"/>
          <w:color w:val="000000"/>
        </w:rPr>
        <w:t xml:space="preserve"> </w:t>
      </w:r>
      <w:r w:rsidRPr="00EB54AD">
        <w:rPr>
          <w:rFonts w:ascii="Times New Roman" w:hAnsi="Times New Roman"/>
          <w:color w:val="000000"/>
        </w:rPr>
        <w:t>As part of their study of the quality of adherence to guideline recommendations for lifesaving treatment in HF, Komajda et al. (2016) developed a global guideline adherence score for measuring physicians' prescribing with the following classes of medication: ACEIs/ARBs/ARNIs, BBs, MRAs, and ivabradine</w:t>
      </w:r>
      <w:r w:rsidR="00BC001D" w:rsidRPr="00EB54AD">
        <w:rPr>
          <w:rFonts w:ascii="Times New Roman" w:hAnsi="Times New Roman"/>
          <w:color w:val="000000"/>
        </w:rPr>
        <w:t xml:space="preserve"> </w:t>
      </w:r>
      <w:r w:rsidRPr="00EB54AD">
        <w:rPr>
          <w:rFonts w:ascii="Times New Roman" w:hAnsi="Times New Roman"/>
          <w:color w:val="000000"/>
        </w:rPr>
        <w:t>[1</w:t>
      </w:r>
      <w:r w:rsidR="00AE32DE" w:rsidRPr="00EB54AD">
        <w:rPr>
          <w:rFonts w:ascii="Times New Roman" w:hAnsi="Times New Roman"/>
          <w:color w:val="000000"/>
        </w:rPr>
        <w:t>4</w:t>
      </w:r>
      <w:r w:rsidRPr="00EB54AD">
        <w:rPr>
          <w:rFonts w:ascii="Times New Roman" w:hAnsi="Times New Roman"/>
          <w:color w:val="000000"/>
        </w:rPr>
        <w:t>]</w:t>
      </w:r>
      <w:r w:rsidR="00BC001D" w:rsidRPr="00EB54AD">
        <w:rPr>
          <w:rFonts w:ascii="Times New Roman" w:hAnsi="Times New Roman"/>
          <w:color w:val="000000"/>
        </w:rPr>
        <w:t>.</w:t>
      </w:r>
      <w:r w:rsidRPr="00EB54AD">
        <w:rPr>
          <w:rFonts w:ascii="Times New Roman" w:hAnsi="Times New Roman"/>
          <w:color w:val="000000"/>
        </w:rPr>
        <w:t xml:space="preserve"> This scoring system integrated not only the prescription of recommended classes in eligible patients, but also the use of at least 50% of recommended dosages. This adherence score has been used by several studies around the world, but no research articles have been published from Oman or other countries in the Middle East. </w:t>
      </w:r>
      <w:r w:rsidR="008D50A2" w:rsidRPr="00EB54AD">
        <w:rPr>
          <w:rFonts w:ascii="Times New Roman" w:hAnsi="Times New Roman"/>
          <w:color w:val="000000"/>
        </w:rPr>
        <w:t xml:space="preserve">Thus, the purpose of this study was to evaluate, using the Global Guideline Adherence Score, the usage of GDMT and related dosages in patients with HFrEF in the Omani population. Furthermore, the study sought to ascertain whether the sub-optimization of GDMT (&lt;50%) among the Omani HFrEF population was associated with patient demographics, including age, gender, and comorbidities. </w:t>
      </w:r>
    </w:p>
    <w:p w14:paraId="417C4A94"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0BC100C3"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6A6EAAE3"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0F412AEB"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05CAC382"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751EFB5B"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01812720"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2AA3972E" w14:textId="77777777" w:rsidR="00241FDC" w:rsidRDefault="00241FDC" w:rsidP="00EB54AD">
      <w:pPr>
        <w:spacing w:line="480" w:lineRule="auto"/>
        <w:jc w:val="both"/>
        <w:outlineLvl w:val="2"/>
        <w:rPr>
          <w:rFonts w:ascii="Times New Roman" w:hAnsi="Times New Roman"/>
          <w:b/>
          <w:bCs/>
          <w:color w:val="215E99" w:themeColor="text2" w:themeTint="BF"/>
          <w:u w:val="single"/>
        </w:rPr>
      </w:pPr>
    </w:p>
    <w:p w14:paraId="7ACEE789" w14:textId="52C6AB39" w:rsidR="003B59C5" w:rsidRPr="00EB54AD" w:rsidRDefault="003B59C5" w:rsidP="00EB54AD">
      <w:pPr>
        <w:spacing w:line="480" w:lineRule="auto"/>
        <w:jc w:val="both"/>
        <w:outlineLvl w:val="2"/>
        <w:rPr>
          <w:rFonts w:ascii="Times New Roman" w:hAnsi="Times New Roman"/>
          <w:color w:val="215E99" w:themeColor="text2" w:themeTint="BF"/>
          <w:u w:val="single"/>
        </w:rPr>
      </w:pPr>
      <w:r w:rsidRPr="00EB54AD">
        <w:rPr>
          <w:rFonts w:ascii="Times New Roman" w:hAnsi="Times New Roman"/>
          <w:b/>
          <w:bCs/>
          <w:color w:val="215E99" w:themeColor="text2" w:themeTint="BF"/>
          <w:u w:val="single"/>
        </w:rPr>
        <w:lastRenderedPageBreak/>
        <w:t xml:space="preserve">Methods </w:t>
      </w:r>
    </w:p>
    <w:p w14:paraId="4F1C5A1B" w14:textId="6CF5EA6D" w:rsidR="00D77F42" w:rsidRPr="00EB54AD" w:rsidRDefault="003B59C5" w:rsidP="00EB54AD">
      <w:pPr>
        <w:pStyle w:val="NormalWeb"/>
        <w:spacing w:before="0" w:beforeAutospacing="0" w:after="0" w:afterAutospacing="0" w:line="480" w:lineRule="auto"/>
        <w:jc w:val="both"/>
        <w:rPr>
          <w:color w:val="000000"/>
          <w:sz w:val="22"/>
          <w:szCs w:val="22"/>
        </w:rPr>
      </w:pPr>
      <w:r w:rsidRPr="00EB54AD">
        <w:rPr>
          <w:b/>
          <w:bCs/>
          <w:color w:val="000000"/>
          <w:sz w:val="22"/>
          <w:szCs w:val="22"/>
          <w:lang w:eastAsia="en-US"/>
        </w:rPr>
        <w:t>Study design and population</w:t>
      </w:r>
      <w:r w:rsidR="00D77F42" w:rsidRPr="00EB54AD">
        <w:rPr>
          <w:b/>
          <w:bCs/>
          <w:color w:val="000000"/>
          <w:sz w:val="22"/>
          <w:szCs w:val="22"/>
          <w:lang w:eastAsia="en-US"/>
        </w:rPr>
        <w:t>:</w:t>
      </w:r>
      <w:r w:rsidR="0047781B" w:rsidRPr="00EB54AD">
        <w:rPr>
          <w:sz w:val="22"/>
          <w:szCs w:val="22"/>
        </w:rPr>
        <w:t xml:space="preserve"> </w:t>
      </w:r>
      <w:r w:rsidR="0047781B" w:rsidRPr="00EB54AD">
        <w:rPr>
          <w:color w:val="000000"/>
          <w:sz w:val="22"/>
          <w:szCs w:val="22"/>
          <w:lang w:eastAsia="en-US"/>
        </w:rPr>
        <w:t xml:space="preserve">Patients with chronic heart failure (HF) (≥18 years of age) who visited the HF Clinic at the National Heart Centre (NHC) in Muscat, Oman, between January 1, 2022, and June 30, 2022, were assessed for eligibility. </w:t>
      </w:r>
      <w:r w:rsidR="00FA785E" w:rsidRPr="00EB54AD">
        <w:rPr>
          <w:color w:val="000000"/>
          <w:sz w:val="22"/>
          <w:szCs w:val="22"/>
        </w:rPr>
        <w:t>All patients with</w:t>
      </w:r>
      <w:r w:rsidR="008E4AD6" w:rsidRPr="00EB54AD">
        <w:rPr>
          <w:color w:val="000000"/>
          <w:sz w:val="22"/>
          <w:szCs w:val="22"/>
        </w:rPr>
        <w:t xml:space="preserve"> LVEF ≤</w:t>
      </w:r>
      <w:r w:rsidR="00FA785E" w:rsidRPr="00EB54AD">
        <w:rPr>
          <w:color w:val="000000"/>
          <w:sz w:val="22"/>
          <w:szCs w:val="22"/>
        </w:rPr>
        <w:t xml:space="preserve">40% measured on the most recent echocardiogram (≤2 years) were enrolled. If a patient had multiple </w:t>
      </w:r>
      <w:r w:rsidR="008E4AD6" w:rsidRPr="00EB54AD">
        <w:rPr>
          <w:color w:val="000000"/>
          <w:sz w:val="22"/>
          <w:szCs w:val="22"/>
        </w:rPr>
        <w:t>ejection fraction (</w:t>
      </w:r>
      <w:r w:rsidR="00FA785E" w:rsidRPr="00EB54AD">
        <w:rPr>
          <w:color w:val="000000"/>
          <w:sz w:val="22"/>
          <w:szCs w:val="22"/>
        </w:rPr>
        <w:t>EF</w:t>
      </w:r>
      <w:r w:rsidR="008E4AD6" w:rsidRPr="00EB54AD">
        <w:rPr>
          <w:color w:val="000000"/>
          <w:sz w:val="22"/>
          <w:szCs w:val="22"/>
        </w:rPr>
        <w:t xml:space="preserve">) </w:t>
      </w:r>
      <w:r w:rsidR="00FA785E" w:rsidRPr="00EB54AD">
        <w:rPr>
          <w:color w:val="000000"/>
          <w:sz w:val="22"/>
          <w:szCs w:val="22"/>
        </w:rPr>
        <w:t>measurements, the most recent one was used. Eligible patients had a documented diagnosis of HF from a hospital admission at least 3 months before enrolment and an echocardiogram confirming the diagnosis.</w:t>
      </w:r>
      <w:r w:rsidR="00D77F42" w:rsidRPr="00EB54AD">
        <w:rPr>
          <w:color w:val="000000"/>
          <w:sz w:val="22"/>
          <w:szCs w:val="22"/>
        </w:rPr>
        <w:t xml:space="preserve"> </w:t>
      </w:r>
      <w:r w:rsidR="00FA785E" w:rsidRPr="00EB54AD">
        <w:rPr>
          <w:color w:val="000000"/>
          <w:sz w:val="22"/>
          <w:szCs w:val="22"/>
        </w:rPr>
        <w:t>The study uses a convenience sample, a non-probability sampling method, since no previous data exist on local HFrEF prevalence.</w:t>
      </w:r>
    </w:p>
    <w:p w14:paraId="5AD223FB" w14:textId="37FCA9E1" w:rsidR="00CE6C11" w:rsidRPr="00EB54AD" w:rsidRDefault="003B59C5" w:rsidP="00EB54AD">
      <w:pPr>
        <w:pStyle w:val="NormalWeb"/>
        <w:spacing w:before="0" w:beforeAutospacing="0" w:after="0" w:afterAutospacing="0" w:line="480" w:lineRule="auto"/>
        <w:jc w:val="both"/>
        <w:rPr>
          <w:color w:val="000000"/>
          <w:sz w:val="22"/>
          <w:szCs w:val="22"/>
        </w:rPr>
      </w:pPr>
      <w:r w:rsidRPr="00EB54AD">
        <w:rPr>
          <w:b/>
          <w:bCs/>
          <w:color w:val="000000"/>
          <w:sz w:val="22"/>
          <w:szCs w:val="22"/>
        </w:rPr>
        <w:t>Setting</w:t>
      </w:r>
      <w:r w:rsidR="00D77F42" w:rsidRPr="00EB54AD">
        <w:rPr>
          <w:b/>
          <w:bCs/>
          <w:color w:val="000000"/>
          <w:sz w:val="22"/>
          <w:szCs w:val="22"/>
        </w:rPr>
        <w:t>:</w:t>
      </w:r>
      <w:r w:rsidR="00D77F42" w:rsidRPr="00EB54AD">
        <w:rPr>
          <w:color w:val="000000"/>
          <w:sz w:val="22"/>
          <w:szCs w:val="22"/>
        </w:rPr>
        <w:t xml:space="preserve"> </w:t>
      </w:r>
      <w:r w:rsidRPr="00EB54AD">
        <w:rPr>
          <w:color w:val="000000"/>
          <w:sz w:val="22"/>
          <w:szCs w:val="22"/>
        </w:rPr>
        <w:t>NHC provides comprehensive care for cardiovascular conditions and heart diseases in Muscat, Oman. It is considered a referral tertiary care health institution that receives patients from all regional primary and secondary health care institutions (hospitals, polyclinics and health centres) in Oman. At NHC, HF patients are treated and followed up by cardiologists with sub-speciality in HF management</w:t>
      </w:r>
      <w:r w:rsidR="003E1583" w:rsidRPr="00EB54AD">
        <w:rPr>
          <w:color w:val="000000"/>
          <w:sz w:val="22"/>
          <w:szCs w:val="22"/>
        </w:rPr>
        <w:t xml:space="preserve"> </w:t>
      </w:r>
      <w:r w:rsidRPr="00EB54AD">
        <w:rPr>
          <w:color w:val="000000"/>
          <w:sz w:val="22"/>
          <w:szCs w:val="22"/>
        </w:rPr>
        <w:t xml:space="preserve">with work experience ranging from </w:t>
      </w:r>
      <w:r w:rsidR="00272166" w:rsidRPr="00EB54AD">
        <w:rPr>
          <w:color w:val="000000"/>
          <w:sz w:val="22"/>
          <w:szCs w:val="22"/>
        </w:rPr>
        <w:t>5</w:t>
      </w:r>
      <w:r w:rsidRPr="00EB54AD">
        <w:rPr>
          <w:color w:val="000000"/>
          <w:sz w:val="22"/>
          <w:szCs w:val="22"/>
        </w:rPr>
        <w:t xml:space="preserve"> to 10 years. </w:t>
      </w:r>
    </w:p>
    <w:p w14:paraId="3DD22792" w14:textId="45188BF0" w:rsidR="003B59C5" w:rsidRPr="00EB54AD" w:rsidRDefault="003B59C5" w:rsidP="00CE6C11">
      <w:pPr>
        <w:pStyle w:val="NormalWeb"/>
        <w:spacing w:before="0" w:beforeAutospacing="0" w:after="0" w:afterAutospacing="0" w:line="480" w:lineRule="auto"/>
        <w:jc w:val="both"/>
        <w:rPr>
          <w:color w:val="000000"/>
          <w:sz w:val="22"/>
          <w:szCs w:val="22"/>
        </w:rPr>
      </w:pPr>
      <w:r w:rsidRPr="00EB54AD">
        <w:rPr>
          <w:b/>
          <w:bCs/>
          <w:color w:val="000000"/>
          <w:sz w:val="22"/>
          <w:szCs w:val="22"/>
        </w:rPr>
        <w:t>Data collection and generation</w:t>
      </w:r>
      <w:r w:rsidR="00D77F42" w:rsidRPr="00EB54AD">
        <w:rPr>
          <w:b/>
          <w:bCs/>
          <w:color w:val="000000"/>
          <w:sz w:val="22"/>
          <w:szCs w:val="22"/>
        </w:rPr>
        <w:t>:</w:t>
      </w:r>
      <w:r w:rsidR="00D77F42" w:rsidRPr="00EB54AD">
        <w:rPr>
          <w:color w:val="000000"/>
          <w:sz w:val="22"/>
          <w:szCs w:val="22"/>
        </w:rPr>
        <w:t xml:space="preserve"> </w:t>
      </w:r>
      <w:r w:rsidRPr="00EB54AD">
        <w:rPr>
          <w:color w:val="000000"/>
          <w:sz w:val="22"/>
          <w:szCs w:val="22"/>
        </w:rPr>
        <w:t>Demographic and clinical characteristics for this study were collected from the NHC's data registry, Al-Shifa 3Plus (the healthcare information system established by the Ministry of Health, Oman). Additionally, GDMT (ACEI/ARB/ARNI, BB, MRA, ivabradine) medications and their corresponding doses were also collected from patients' electronic records. The optimum target doses</w:t>
      </w:r>
      <w:r w:rsidR="00CE6C11" w:rsidRPr="00EB54AD">
        <w:rPr>
          <w:color w:val="000000"/>
          <w:sz w:val="22"/>
          <w:szCs w:val="22"/>
        </w:rPr>
        <w:t xml:space="preserve"> for carvedilol, bisoprolol, lisinopril, valsartan, the sacubitril/valsartan combination, ivabradine, spironolactone, and eplerenone</w:t>
      </w:r>
      <w:r w:rsidRPr="00EB54AD">
        <w:rPr>
          <w:color w:val="000000"/>
          <w:sz w:val="22"/>
          <w:szCs w:val="22"/>
        </w:rPr>
        <w:t xml:space="preserve"> were identified according to the 2021</w:t>
      </w:r>
      <w:r w:rsidR="00520903" w:rsidRPr="00EB54AD">
        <w:rPr>
          <w:rFonts w:asciiTheme="majorBidi" w:hAnsiTheme="majorBidi" w:cstheme="majorBidi"/>
          <w:color w:val="212121"/>
          <w:sz w:val="22"/>
          <w:szCs w:val="22"/>
          <w:shd w:val="clear" w:color="auto" w:fill="FFFFFF"/>
        </w:rPr>
        <w:t xml:space="preserve"> European Society of Cardiology (ESC) </w:t>
      </w:r>
      <w:r w:rsidRPr="00EB54AD">
        <w:rPr>
          <w:color w:val="000000"/>
          <w:sz w:val="22"/>
          <w:szCs w:val="22"/>
        </w:rPr>
        <w:t xml:space="preserve">HF guidelines which was the most update guidelines for HF at the time study conducted and utilized by HF </w:t>
      </w:r>
      <w:r w:rsidR="003E1583" w:rsidRPr="00EB54AD">
        <w:rPr>
          <w:color w:val="000000"/>
          <w:sz w:val="22"/>
          <w:szCs w:val="22"/>
        </w:rPr>
        <w:t xml:space="preserve">cardiologists </w:t>
      </w:r>
      <w:r w:rsidRPr="00EB54AD">
        <w:rPr>
          <w:color w:val="000000"/>
          <w:sz w:val="22"/>
          <w:szCs w:val="22"/>
        </w:rPr>
        <w:t xml:space="preserve">at NHC. Additionally, other medications for co-morbid conditions were also collected. The adherence score was calculated for each patient as follows: 1 point for each prescription of an ACEI/ARB/ARNI, BB, MRA, ivabradine (if indicated), and 0 points for no prescriptions. In the case of contraindications or intolerance, 1 point was given. Thus, for eligible patients, </w:t>
      </w:r>
    </w:p>
    <w:p w14:paraId="4244D82B" w14:textId="77777777" w:rsidR="003B59C5" w:rsidRPr="00EB54AD" w:rsidRDefault="003B59C5" w:rsidP="00EB54AD">
      <w:pPr>
        <w:pStyle w:val="ListParagraph"/>
        <w:numPr>
          <w:ilvl w:val="0"/>
          <w:numId w:val="2"/>
        </w:numPr>
        <w:spacing w:line="360" w:lineRule="auto"/>
        <w:jc w:val="both"/>
        <w:rPr>
          <w:rFonts w:ascii="Times New Roman" w:hAnsi="Times New Roman"/>
          <w:color w:val="000000"/>
        </w:rPr>
      </w:pPr>
      <w:r w:rsidRPr="00EB54AD">
        <w:rPr>
          <w:rFonts w:ascii="Times New Roman" w:hAnsi="Times New Roman"/>
          <w:color w:val="000000"/>
        </w:rPr>
        <w:t xml:space="preserve">use of all indicated medications in doses ≥50% of the target dose is considered good adherence, </w:t>
      </w:r>
    </w:p>
    <w:p w14:paraId="6625B213" w14:textId="77777777" w:rsidR="003B59C5" w:rsidRPr="00EB54AD" w:rsidRDefault="003B59C5" w:rsidP="00EB54AD">
      <w:pPr>
        <w:pStyle w:val="ListParagraph"/>
        <w:numPr>
          <w:ilvl w:val="0"/>
          <w:numId w:val="2"/>
        </w:numPr>
        <w:spacing w:line="360" w:lineRule="auto"/>
        <w:jc w:val="both"/>
        <w:rPr>
          <w:rFonts w:ascii="Times New Roman" w:hAnsi="Times New Roman"/>
          <w:color w:val="000000"/>
        </w:rPr>
      </w:pPr>
      <w:r w:rsidRPr="00EB54AD">
        <w:rPr>
          <w:rFonts w:ascii="Times New Roman" w:hAnsi="Times New Roman"/>
          <w:color w:val="000000"/>
        </w:rPr>
        <w:t>use of more than half of the medications in doses ≥50% of the target dose, moderate adherence, and</w:t>
      </w:r>
    </w:p>
    <w:p w14:paraId="4F2D758B" w14:textId="77777777" w:rsidR="003B59C5" w:rsidRPr="00EB54AD" w:rsidRDefault="003B59C5" w:rsidP="00EB54AD">
      <w:pPr>
        <w:pStyle w:val="ListParagraph"/>
        <w:numPr>
          <w:ilvl w:val="0"/>
          <w:numId w:val="2"/>
        </w:numPr>
        <w:spacing w:line="360" w:lineRule="auto"/>
        <w:jc w:val="both"/>
        <w:rPr>
          <w:rFonts w:ascii="Times New Roman" w:hAnsi="Times New Roman"/>
          <w:color w:val="000000"/>
        </w:rPr>
      </w:pPr>
      <w:r w:rsidRPr="00EB54AD">
        <w:rPr>
          <w:rFonts w:ascii="Times New Roman" w:hAnsi="Times New Roman"/>
          <w:color w:val="000000"/>
        </w:rPr>
        <w:lastRenderedPageBreak/>
        <w:t xml:space="preserve">use of less than half the recommended medications and/or in doses &lt;50% of target dose, poor adherence. </w:t>
      </w:r>
    </w:p>
    <w:p w14:paraId="06CAFA56" w14:textId="77777777" w:rsidR="0045675C" w:rsidRPr="00EB54AD" w:rsidRDefault="003B59C5" w:rsidP="00EB54AD">
      <w:pPr>
        <w:spacing w:line="480" w:lineRule="auto"/>
        <w:jc w:val="both"/>
        <w:outlineLvl w:val="2"/>
        <w:rPr>
          <w:rFonts w:ascii="Times New Roman" w:hAnsi="Times New Roman"/>
          <w:color w:val="000000"/>
        </w:rPr>
      </w:pPr>
      <w:r w:rsidRPr="00EB54AD">
        <w:rPr>
          <w:rFonts w:ascii="Times New Roman" w:hAnsi="Times New Roman"/>
          <w:b/>
          <w:bCs/>
          <w:color w:val="000000"/>
        </w:rPr>
        <w:t>Statistical analysis</w:t>
      </w:r>
      <w:r w:rsidR="00CE6C11" w:rsidRPr="00EB54AD">
        <w:rPr>
          <w:rFonts w:ascii="Times New Roman" w:hAnsi="Times New Roman"/>
          <w:b/>
          <w:bCs/>
          <w:color w:val="000000"/>
        </w:rPr>
        <w:t>:</w:t>
      </w:r>
      <w:r w:rsidR="00CE6C11" w:rsidRPr="00EB54AD">
        <w:rPr>
          <w:rFonts w:ascii="Times New Roman" w:hAnsi="Times New Roman"/>
          <w:color w:val="000000"/>
        </w:rPr>
        <w:t xml:space="preserve"> </w:t>
      </w:r>
      <w:r w:rsidRPr="00EB54AD">
        <w:rPr>
          <w:rFonts w:ascii="Times New Roman" w:hAnsi="Times New Roman"/>
          <w:color w:val="000000"/>
        </w:rPr>
        <w:t>Continuous variables normally distributed were reported as mean ± standard deviation while categorical variables were reported as numbers and percentages. Chi-square test or Fisher’s exact were used to assess the association between categorical variables as appropriate. Statistical significance was defined as a p-value &lt; 0.05. The Statistical Package for the Social Sciences (SPSS, version 28; IBM Corporation) was used to perform the statistical analyses.</w:t>
      </w:r>
    </w:p>
    <w:p w14:paraId="4A474CA2" w14:textId="77777777" w:rsidR="00EB54AD" w:rsidRPr="00EB54AD" w:rsidRDefault="003B59C5" w:rsidP="00EB54AD">
      <w:pPr>
        <w:spacing w:line="480" w:lineRule="auto"/>
        <w:jc w:val="both"/>
        <w:outlineLvl w:val="2"/>
        <w:rPr>
          <w:rFonts w:ascii="Times New Roman" w:hAnsi="Times New Roman"/>
          <w:color w:val="000000"/>
        </w:rPr>
      </w:pPr>
      <w:r w:rsidRPr="00EB54AD">
        <w:rPr>
          <w:rFonts w:ascii="Times New Roman" w:hAnsi="Times New Roman"/>
          <w:b/>
          <w:bCs/>
          <w:color w:val="000000"/>
        </w:rPr>
        <w:t>Outcome measures</w:t>
      </w:r>
      <w:r w:rsidR="00CE6C11" w:rsidRPr="00EB54AD">
        <w:rPr>
          <w:rFonts w:ascii="Times New Roman" w:hAnsi="Times New Roman"/>
          <w:b/>
          <w:bCs/>
          <w:color w:val="000000"/>
        </w:rPr>
        <w:t>:</w:t>
      </w:r>
      <w:r w:rsidR="00CE6C11" w:rsidRPr="00EB54AD">
        <w:rPr>
          <w:rFonts w:ascii="Times New Roman" w:hAnsi="Times New Roman"/>
          <w:color w:val="000000"/>
        </w:rPr>
        <w:t xml:space="preserve"> The primary outcome measures of interest were the assessment of </w:t>
      </w:r>
      <w:r w:rsidR="00723427" w:rsidRPr="00EB54AD">
        <w:rPr>
          <w:rFonts w:ascii="Times New Roman" w:hAnsi="Times New Roman"/>
          <w:color w:val="000000"/>
        </w:rPr>
        <w:t xml:space="preserve">the use and corresponding dosages of GDMT in patients with HFrEF in Oman </w:t>
      </w:r>
      <w:r w:rsidR="00520903" w:rsidRPr="00EB54AD">
        <w:rPr>
          <w:rFonts w:ascii="Times New Roman" w:hAnsi="Times New Roman"/>
          <w:color w:val="000000"/>
        </w:rPr>
        <w:t xml:space="preserve">population </w:t>
      </w:r>
      <w:r w:rsidR="00723427" w:rsidRPr="00EB54AD">
        <w:rPr>
          <w:rFonts w:ascii="Times New Roman" w:hAnsi="Times New Roman"/>
          <w:color w:val="000000"/>
        </w:rPr>
        <w:t>using the Global guideline adherence score.</w:t>
      </w:r>
      <w:r w:rsidR="00520903" w:rsidRPr="00EB54AD">
        <w:rPr>
          <w:rFonts w:ascii="Times New Roman" w:hAnsi="Times New Roman"/>
          <w:color w:val="000000"/>
        </w:rPr>
        <w:t xml:space="preserve"> </w:t>
      </w:r>
      <w:r w:rsidR="00723427" w:rsidRPr="00EB54AD">
        <w:rPr>
          <w:rFonts w:ascii="Times New Roman" w:hAnsi="Times New Roman"/>
          <w:color w:val="000000"/>
        </w:rPr>
        <w:t xml:space="preserve">Secondary outcome measures included determining the association between patients' demographic characteristics, such as age, comorbidities, and gender, and the sub-optimisation of GDMT (&lt;50%) among the Omani HFrEF population. </w:t>
      </w:r>
    </w:p>
    <w:p w14:paraId="6CC626AC"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47915D5D"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527861B2"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54C34612"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30FC27BD"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4B9C6F9B"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7EB2710F"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3A5AAB5D"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42228AF2"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2A8EB26E"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614408E0"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71B2B94B"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489AF1B4"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1548968F"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3F165F68"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1A72D1C4"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2F1B8D0F"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2FE8A1E4" w14:textId="77777777" w:rsidR="00241FDC" w:rsidRDefault="00241FDC" w:rsidP="00EB54AD">
      <w:pPr>
        <w:spacing w:line="480" w:lineRule="auto"/>
        <w:jc w:val="both"/>
        <w:outlineLvl w:val="2"/>
        <w:rPr>
          <w:rFonts w:ascii="Times New Roman" w:hAnsi="Times New Roman"/>
          <w:b/>
          <w:bCs/>
          <w:color w:val="215E99" w:themeColor="text2" w:themeTint="BF"/>
          <w:u w:val="single"/>
          <w:lang w:eastAsia="en-GB"/>
        </w:rPr>
      </w:pPr>
    </w:p>
    <w:p w14:paraId="5B9BF1CB" w14:textId="4EFF36DD" w:rsidR="003B65E4" w:rsidRPr="00EB54AD" w:rsidRDefault="003B65E4" w:rsidP="00EB54AD">
      <w:pPr>
        <w:spacing w:line="480" w:lineRule="auto"/>
        <w:jc w:val="both"/>
        <w:outlineLvl w:val="2"/>
        <w:rPr>
          <w:rFonts w:ascii="Times New Roman" w:hAnsi="Times New Roman"/>
          <w:color w:val="215E99" w:themeColor="text2" w:themeTint="BF"/>
          <w:u w:val="single"/>
        </w:rPr>
      </w:pPr>
      <w:r w:rsidRPr="00EB54AD">
        <w:rPr>
          <w:rFonts w:ascii="Times New Roman" w:hAnsi="Times New Roman"/>
          <w:b/>
          <w:bCs/>
          <w:color w:val="215E99" w:themeColor="text2" w:themeTint="BF"/>
          <w:u w:val="single"/>
          <w:lang w:eastAsia="en-GB"/>
        </w:rPr>
        <w:lastRenderedPageBreak/>
        <w:t xml:space="preserve">Results </w:t>
      </w:r>
    </w:p>
    <w:p w14:paraId="77AEC26F" w14:textId="3D54E8E0" w:rsidR="0045675C" w:rsidRDefault="003B65E4" w:rsidP="0045675C">
      <w:pPr>
        <w:spacing w:after="240" w:line="480" w:lineRule="auto"/>
        <w:jc w:val="lowKashida"/>
        <w:rPr>
          <w:rFonts w:ascii="Times New Roman" w:hAnsi="Times New Roman"/>
          <w:color w:val="000000"/>
          <w:lang w:eastAsia="en-GB"/>
        </w:rPr>
      </w:pPr>
      <w:r w:rsidRPr="00EB54AD">
        <w:rPr>
          <w:rFonts w:ascii="Times New Roman" w:hAnsi="Times New Roman"/>
          <w:color w:val="000000"/>
          <w:lang w:eastAsia="en-GB"/>
        </w:rPr>
        <w:t>This study included 259 HFrEF patients, which met the inclusion criteria for enrolment, with a mean</w:t>
      </w:r>
      <w:r w:rsidR="003E1583" w:rsidRPr="00EB54AD">
        <w:rPr>
          <w:rFonts w:ascii="Times New Roman" w:hAnsi="Times New Roman"/>
          <w:color w:val="000000"/>
          <w:lang w:eastAsia="en-GB"/>
        </w:rPr>
        <w:t xml:space="preserve"> </w:t>
      </w:r>
      <w:r w:rsidRPr="00EB54AD">
        <w:rPr>
          <w:rFonts w:ascii="Times New Roman" w:hAnsi="Times New Roman"/>
          <w:color w:val="000000"/>
          <w:lang w:eastAsia="en-GB"/>
        </w:rPr>
        <w:t>EF</w:t>
      </w:r>
      <w:r w:rsidR="003E1583" w:rsidRPr="00EB54AD">
        <w:rPr>
          <w:rFonts w:ascii="Times New Roman" w:hAnsi="Times New Roman"/>
          <w:color w:val="000000"/>
          <w:lang w:eastAsia="en-GB"/>
        </w:rPr>
        <w:t xml:space="preserve"> </w:t>
      </w:r>
      <w:r w:rsidRPr="00EB54AD">
        <w:rPr>
          <w:rFonts w:ascii="Times New Roman" w:hAnsi="Times New Roman"/>
          <w:color w:val="000000"/>
          <w:lang w:eastAsia="en-GB"/>
        </w:rPr>
        <w:t xml:space="preserve">of 28 ± 6.9%. The overall mean age of the cohort was 57 ± 13.6 years old, of which 4.2% (n=11) were smokers. There was a marked predominance of male patients (70%; n=180). Furthermore, comorbid conditions were common, particularly hypertension (HT) (42.1%; n=109), diabetes mellitus (DM) (35.1%; n=91), dilated cardiomyopathy (DCM) (32.8%; n=85) coronary artery disease (CAD) </w:t>
      </w:r>
      <w:r w:rsidRPr="003B65E4">
        <w:rPr>
          <w:rFonts w:ascii="Times New Roman" w:hAnsi="Times New Roman"/>
          <w:color w:val="000000"/>
          <w:lang w:eastAsia="en-GB"/>
        </w:rPr>
        <w:t xml:space="preserve">(18.1%; n=47) and chronic kidney disease (CKD) (12%; n=31). As presented in Table 1, most patients were receiving diuretic agents (78.4%; n=203) and majority was treated with statins (56.8%, n=147) or antiplatelet agents (43.6%; n=113). </w:t>
      </w:r>
      <w:r w:rsidR="003E1583" w:rsidRPr="003E1583">
        <w:rPr>
          <w:rFonts w:ascii="Times New Roman" w:hAnsi="Times New Roman"/>
          <w:color w:val="000000"/>
          <w:lang w:eastAsia="en-GB"/>
        </w:rPr>
        <w:t>The use of digoxin (2.7%, n=7) was reported in only a minority.</w:t>
      </w:r>
    </w:p>
    <w:p w14:paraId="140118FA" w14:textId="77777777" w:rsidR="00A339CB" w:rsidRDefault="00A339CB" w:rsidP="0045675C">
      <w:pPr>
        <w:spacing w:after="240" w:line="480" w:lineRule="auto"/>
        <w:jc w:val="lowKashida"/>
        <w:rPr>
          <w:rFonts w:ascii="Times New Roman" w:hAnsi="Times New Roman"/>
          <w:color w:val="000000"/>
          <w:lang w:eastAsia="en-GB"/>
        </w:rPr>
      </w:pPr>
    </w:p>
    <w:p w14:paraId="5D96A773" w14:textId="77777777" w:rsidR="00A339CB" w:rsidRDefault="00A339CB" w:rsidP="0045675C">
      <w:pPr>
        <w:spacing w:after="240" w:line="480" w:lineRule="auto"/>
        <w:jc w:val="lowKashida"/>
        <w:rPr>
          <w:rFonts w:ascii="Times New Roman" w:hAnsi="Times New Roman"/>
          <w:color w:val="000000"/>
          <w:lang w:eastAsia="en-GB"/>
        </w:rPr>
      </w:pPr>
    </w:p>
    <w:p w14:paraId="3934858A" w14:textId="77777777" w:rsidR="00A339CB" w:rsidRDefault="00A339CB" w:rsidP="0045675C">
      <w:pPr>
        <w:spacing w:after="240" w:line="480" w:lineRule="auto"/>
        <w:jc w:val="lowKashida"/>
        <w:rPr>
          <w:rFonts w:ascii="Times New Roman" w:hAnsi="Times New Roman"/>
          <w:color w:val="000000"/>
          <w:lang w:eastAsia="en-GB"/>
        </w:rPr>
      </w:pPr>
    </w:p>
    <w:p w14:paraId="5828C48C" w14:textId="77777777" w:rsidR="00A339CB" w:rsidRDefault="00A339CB" w:rsidP="0045675C">
      <w:pPr>
        <w:spacing w:after="240" w:line="480" w:lineRule="auto"/>
        <w:jc w:val="lowKashida"/>
        <w:rPr>
          <w:rFonts w:ascii="Times New Roman" w:hAnsi="Times New Roman"/>
          <w:color w:val="000000"/>
          <w:lang w:eastAsia="en-GB"/>
        </w:rPr>
      </w:pPr>
    </w:p>
    <w:p w14:paraId="09E73DF6" w14:textId="77777777" w:rsidR="00A339CB" w:rsidRDefault="00A339CB" w:rsidP="0045675C">
      <w:pPr>
        <w:spacing w:after="240" w:line="480" w:lineRule="auto"/>
        <w:jc w:val="lowKashida"/>
        <w:rPr>
          <w:rFonts w:ascii="Times New Roman" w:hAnsi="Times New Roman"/>
          <w:color w:val="000000"/>
          <w:lang w:eastAsia="en-GB"/>
        </w:rPr>
      </w:pPr>
    </w:p>
    <w:p w14:paraId="57AAF636" w14:textId="77777777" w:rsidR="00A339CB" w:rsidRDefault="00A339CB" w:rsidP="0045675C">
      <w:pPr>
        <w:spacing w:after="240" w:line="480" w:lineRule="auto"/>
        <w:jc w:val="lowKashida"/>
        <w:rPr>
          <w:rFonts w:ascii="Times New Roman" w:hAnsi="Times New Roman"/>
          <w:color w:val="000000"/>
          <w:lang w:eastAsia="en-GB"/>
        </w:rPr>
      </w:pPr>
    </w:p>
    <w:p w14:paraId="2550420E" w14:textId="77777777" w:rsidR="00A339CB" w:rsidRDefault="00A339CB" w:rsidP="0045675C">
      <w:pPr>
        <w:spacing w:after="240" w:line="480" w:lineRule="auto"/>
        <w:jc w:val="lowKashida"/>
        <w:rPr>
          <w:rFonts w:ascii="Times New Roman" w:hAnsi="Times New Roman"/>
          <w:color w:val="000000"/>
          <w:lang w:eastAsia="en-GB"/>
        </w:rPr>
      </w:pPr>
    </w:p>
    <w:p w14:paraId="70D82252" w14:textId="77777777" w:rsidR="00A339CB" w:rsidRDefault="00A339CB" w:rsidP="0045675C">
      <w:pPr>
        <w:spacing w:after="240" w:line="480" w:lineRule="auto"/>
        <w:jc w:val="lowKashida"/>
        <w:rPr>
          <w:rFonts w:ascii="Times New Roman" w:hAnsi="Times New Roman"/>
          <w:color w:val="000000"/>
          <w:lang w:eastAsia="en-GB"/>
        </w:rPr>
      </w:pPr>
    </w:p>
    <w:p w14:paraId="3B83EA5A" w14:textId="77777777" w:rsidR="00A339CB" w:rsidRDefault="00A339CB" w:rsidP="0045675C">
      <w:pPr>
        <w:spacing w:after="240" w:line="480" w:lineRule="auto"/>
        <w:jc w:val="lowKashida"/>
        <w:rPr>
          <w:rFonts w:ascii="Times New Roman" w:hAnsi="Times New Roman"/>
          <w:color w:val="000000"/>
          <w:lang w:eastAsia="en-GB"/>
        </w:rPr>
      </w:pPr>
    </w:p>
    <w:p w14:paraId="0E4A4E49" w14:textId="77777777" w:rsidR="00A339CB" w:rsidRDefault="00A339CB" w:rsidP="0045675C">
      <w:pPr>
        <w:spacing w:after="240" w:line="480" w:lineRule="auto"/>
        <w:jc w:val="lowKashida"/>
        <w:rPr>
          <w:rFonts w:ascii="Times New Roman" w:hAnsi="Times New Roman"/>
          <w:color w:val="000000"/>
          <w:lang w:eastAsia="en-GB"/>
        </w:rPr>
      </w:pPr>
    </w:p>
    <w:p w14:paraId="3A95210F" w14:textId="77777777" w:rsidR="00A339CB" w:rsidRDefault="00A339CB" w:rsidP="0045675C">
      <w:pPr>
        <w:spacing w:after="240" w:line="480" w:lineRule="auto"/>
        <w:jc w:val="lowKashida"/>
        <w:rPr>
          <w:rFonts w:ascii="Times New Roman" w:hAnsi="Times New Roman"/>
          <w:color w:val="000000"/>
          <w:lang w:eastAsia="en-GB"/>
        </w:rPr>
      </w:pPr>
    </w:p>
    <w:p w14:paraId="65563FB3" w14:textId="77777777" w:rsidR="00A339CB" w:rsidRDefault="00A339CB" w:rsidP="0045675C">
      <w:pPr>
        <w:spacing w:after="240" w:line="480" w:lineRule="auto"/>
        <w:jc w:val="lowKashida"/>
        <w:rPr>
          <w:rFonts w:ascii="Times New Roman" w:hAnsi="Times New Roman"/>
          <w:color w:val="000000"/>
          <w:lang w:eastAsia="en-GB"/>
        </w:rPr>
      </w:pPr>
    </w:p>
    <w:p w14:paraId="1C0C15CB" w14:textId="77777777" w:rsidR="00A339CB" w:rsidRDefault="00A339CB" w:rsidP="0045675C">
      <w:pPr>
        <w:spacing w:after="240" w:line="480" w:lineRule="auto"/>
        <w:jc w:val="lowKashida"/>
        <w:rPr>
          <w:rFonts w:ascii="Times New Roman" w:hAnsi="Times New Roman"/>
          <w:color w:val="000000"/>
          <w:lang w:eastAsia="en-GB"/>
        </w:rPr>
      </w:pPr>
    </w:p>
    <w:p w14:paraId="68DBA466" w14:textId="77777777" w:rsidR="00A339CB" w:rsidRPr="0045675C" w:rsidRDefault="00A339CB" w:rsidP="0045675C">
      <w:pPr>
        <w:spacing w:after="240" w:line="480" w:lineRule="auto"/>
        <w:jc w:val="lowKashida"/>
        <w:rPr>
          <w:rFonts w:ascii="Times New Roman" w:hAnsi="Times New Roman"/>
          <w:color w:val="000000"/>
          <w:lang w:eastAsia="en-GB"/>
        </w:rPr>
      </w:pPr>
    </w:p>
    <w:tbl>
      <w:tblPr>
        <w:tblStyle w:val="TableGrid"/>
        <w:tblpPr w:leftFromText="180" w:rightFromText="180" w:vertAnchor="text" w:horzAnchor="margin" w:tblpX="-20" w:tblpY="417"/>
        <w:tblW w:w="9067" w:type="dxa"/>
        <w:tblLook w:val="04A0" w:firstRow="1" w:lastRow="0" w:firstColumn="1" w:lastColumn="0" w:noHBand="0" w:noVBand="1"/>
      </w:tblPr>
      <w:tblGrid>
        <w:gridCol w:w="6516"/>
        <w:gridCol w:w="2551"/>
      </w:tblGrid>
      <w:tr w:rsidR="0045675C" w:rsidRPr="005A6350" w14:paraId="5673EBE1" w14:textId="77777777" w:rsidTr="00F308B6">
        <w:trPr>
          <w:trHeight w:val="255"/>
        </w:trPr>
        <w:tc>
          <w:tcPr>
            <w:tcW w:w="6516" w:type="dxa"/>
          </w:tcPr>
          <w:p w14:paraId="06660ED2" w14:textId="29DCD63A"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b/>
                <w:bCs/>
                <w:color w:val="212121"/>
                <w:shd w:val="clear" w:color="auto" w:fill="FFFFFF"/>
                <w:lang w:eastAsia="en-US"/>
              </w:rPr>
              <w:lastRenderedPageBreak/>
              <w:t>Characteristics, n (%) unless specified otherwise</w:t>
            </w:r>
          </w:p>
        </w:tc>
        <w:tc>
          <w:tcPr>
            <w:tcW w:w="2551" w:type="dxa"/>
          </w:tcPr>
          <w:p w14:paraId="14533062"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b/>
                <w:bCs/>
                <w:color w:val="212121"/>
                <w:shd w:val="clear" w:color="auto" w:fill="FFFFFF"/>
                <w:lang w:eastAsia="en-US"/>
              </w:rPr>
              <w:t>Patients n=259</w:t>
            </w:r>
          </w:p>
        </w:tc>
      </w:tr>
      <w:tr w:rsidR="0045675C" w:rsidRPr="005A6350" w14:paraId="307FAE1C" w14:textId="77777777" w:rsidTr="00F308B6">
        <w:trPr>
          <w:trHeight w:val="255"/>
        </w:trPr>
        <w:tc>
          <w:tcPr>
            <w:tcW w:w="6516" w:type="dxa"/>
          </w:tcPr>
          <w:p w14:paraId="382CED22" w14:textId="77777777" w:rsidR="0045675C" w:rsidRPr="005A6350" w:rsidRDefault="0045675C" w:rsidP="00F308B6">
            <w:pPr>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Male</w:t>
            </w:r>
          </w:p>
        </w:tc>
        <w:tc>
          <w:tcPr>
            <w:tcW w:w="2551" w:type="dxa"/>
          </w:tcPr>
          <w:p w14:paraId="2E91F563"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180 (69.5%)</w:t>
            </w:r>
          </w:p>
        </w:tc>
      </w:tr>
      <w:tr w:rsidR="0045675C" w:rsidRPr="005A6350" w14:paraId="75DB5852" w14:textId="77777777" w:rsidTr="00F308B6">
        <w:trPr>
          <w:trHeight w:val="255"/>
        </w:trPr>
        <w:tc>
          <w:tcPr>
            <w:tcW w:w="6516" w:type="dxa"/>
          </w:tcPr>
          <w:p w14:paraId="2D47252A" w14:textId="77777777" w:rsidR="0045675C" w:rsidRPr="005A6350" w:rsidRDefault="0045675C" w:rsidP="00F308B6">
            <w:pPr>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Female</w:t>
            </w:r>
          </w:p>
        </w:tc>
        <w:tc>
          <w:tcPr>
            <w:tcW w:w="2551" w:type="dxa"/>
          </w:tcPr>
          <w:p w14:paraId="1D69908E"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79 (30.5%)</w:t>
            </w:r>
          </w:p>
        </w:tc>
      </w:tr>
      <w:tr w:rsidR="0045675C" w:rsidRPr="005A6350" w14:paraId="5C1086BF" w14:textId="77777777" w:rsidTr="00F308B6">
        <w:trPr>
          <w:trHeight w:val="255"/>
        </w:trPr>
        <w:tc>
          <w:tcPr>
            <w:tcW w:w="6516" w:type="dxa"/>
          </w:tcPr>
          <w:p w14:paraId="7AD83F97" w14:textId="77777777" w:rsidR="0045675C" w:rsidRPr="005A6350" w:rsidRDefault="0045675C" w:rsidP="00F308B6">
            <w:pPr>
              <w:pStyle w:val="NormalWeb"/>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Age, mean ±standard deviation (SD), years</w:t>
            </w:r>
          </w:p>
        </w:tc>
        <w:tc>
          <w:tcPr>
            <w:tcW w:w="2551" w:type="dxa"/>
          </w:tcPr>
          <w:p w14:paraId="550C8328"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57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13.6</w:t>
            </w:r>
          </w:p>
        </w:tc>
      </w:tr>
      <w:tr w:rsidR="0045675C" w:rsidRPr="005A6350" w14:paraId="19A72F5A" w14:textId="77777777" w:rsidTr="00F308B6">
        <w:trPr>
          <w:trHeight w:val="255"/>
        </w:trPr>
        <w:tc>
          <w:tcPr>
            <w:tcW w:w="9067" w:type="dxa"/>
            <w:gridSpan w:val="2"/>
          </w:tcPr>
          <w:p w14:paraId="010E38D7" w14:textId="77777777" w:rsidR="0045675C" w:rsidRPr="005A6350" w:rsidRDefault="0045675C" w:rsidP="00F308B6">
            <w:pPr>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Smoking status</w:t>
            </w:r>
          </w:p>
        </w:tc>
      </w:tr>
      <w:tr w:rsidR="0045675C" w:rsidRPr="005A6350" w14:paraId="3A499AF3" w14:textId="77777777" w:rsidTr="00F308B6">
        <w:trPr>
          <w:trHeight w:val="255"/>
        </w:trPr>
        <w:tc>
          <w:tcPr>
            <w:tcW w:w="6516" w:type="dxa"/>
          </w:tcPr>
          <w:p w14:paraId="3DD05FB8"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None-smoker </w:t>
            </w:r>
          </w:p>
        </w:tc>
        <w:tc>
          <w:tcPr>
            <w:tcW w:w="2551" w:type="dxa"/>
          </w:tcPr>
          <w:p w14:paraId="7DF4FAE2"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13 (5%)</w:t>
            </w:r>
          </w:p>
        </w:tc>
      </w:tr>
      <w:tr w:rsidR="0045675C" w:rsidRPr="005A6350" w14:paraId="343C271E" w14:textId="77777777" w:rsidTr="00F308B6">
        <w:trPr>
          <w:trHeight w:val="255"/>
        </w:trPr>
        <w:tc>
          <w:tcPr>
            <w:tcW w:w="6516" w:type="dxa"/>
          </w:tcPr>
          <w:p w14:paraId="34CA3704"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Smoker </w:t>
            </w:r>
          </w:p>
        </w:tc>
        <w:tc>
          <w:tcPr>
            <w:tcW w:w="2551" w:type="dxa"/>
          </w:tcPr>
          <w:p w14:paraId="4CAD6D05"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11(4.2%)</w:t>
            </w:r>
          </w:p>
        </w:tc>
      </w:tr>
      <w:tr w:rsidR="0045675C" w:rsidRPr="005A6350" w14:paraId="077D39A9" w14:textId="77777777" w:rsidTr="00F308B6">
        <w:trPr>
          <w:trHeight w:val="255"/>
        </w:trPr>
        <w:tc>
          <w:tcPr>
            <w:tcW w:w="6516" w:type="dxa"/>
          </w:tcPr>
          <w:p w14:paraId="02B57CA0"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Ex-smoker</w:t>
            </w:r>
          </w:p>
        </w:tc>
        <w:tc>
          <w:tcPr>
            <w:tcW w:w="2551" w:type="dxa"/>
          </w:tcPr>
          <w:p w14:paraId="077AA79F"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26(10%)</w:t>
            </w:r>
          </w:p>
        </w:tc>
      </w:tr>
      <w:tr w:rsidR="0045675C" w:rsidRPr="005A6350" w14:paraId="7A681741" w14:textId="77777777" w:rsidTr="00F308B6">
        <w:trPr>
          <w:trHeight w:val="255"/>
        </w:trPr>
        <w:tc>
          <w:tcPr>
            <w:tcW w:w="9067" w:type="dxa"/>
            <w:gridSpan w:val="2"/>
          </w:tcPr>
          <w:p w14:paraId="6A19CA05" w14:textId="77777777" w:rsidR="0045675C" w:rsidRPr="005A6350" w:rsidRDefault="0045675C" w:rsidP="00F308B6">
            <w:pPr>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New York Heart Association Class</w:t>
            </w:r>
          </w:p>
        </w:tc>
      </w:tr>
      <w:tr w:rsidR="0045675C" w:rsidRPr="005A6350" w14:paraId="7F03FBAE" w14:textId="77777777" w:rsidTr="00F308B6">
        <w:trPr>
          <w:trHeight w:val="255"/>
        </w:trPr>
        <w:tc>
          <w:tcPr>
            <w:tcW w:w="6516" w:type="dxa"/>
          </w:tcPr>
          <w:p w14:paraId="06511213"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I</w:t>
            </w:r>
          </w:p>
        </w:tc>
        <w:tc>
          <w:tcPr>
            <w:tcW w:w="2551" w:type="dxa"/>
          </w:tcPr>
          <w:p w14:paraId="6F2F274F"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58 (22.4%)</w:t>
            </w:r>
          </w:p>
        </w:tc>
      </w:tr>
      <w:tr w:rsidR="0045675C" w:rsidRPr="005A6350" w14:paraId="46679C27" w14:textId="77777777" w:rsidTr="00F308B6">
        <w:trPr>
          <w:trHeight w:val="255"/>
        </w:trPr>
        <w:tc>
          <w:tcPr>
            <w:tcW w:w="6516" w:type="dxa"/>
          </w:tcPr>
          <w:p w14:paraId="56DB3753"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II</w:t>
            </w:r>
          </w:p>
        </w:tc>
        <w:tc>
          <w:tcPr>
            <w:tcW w:w="2551" w:type="dxa"/>
          </w:tcPr>
          <w:p w14:paraId="32E64165"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81(31.3%)</w:t>
            </w:r>
          </w:p>
        </w:tc>
      </w:tr>
      <w:tr w:rsidR="0045675C" w:rsidRPr="005A6350" w14:paraId="04AC725B" w14:textId="77777777" w:rsidTr="00F308B6">
        <w:trPr>
          <w:trHeight w:val="255"/>
        </w:trPr>
        <w:tc>
          <w:tcPr>
            <w:tcW w:w="6516" w:type="dxa"/>
          </w:tcPr>
          <w:p w14:paraId="0FDE638E"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III</w:t>
            </w:r>
          </w:p>
        </w:tc>
        <w:tc>
          <w:tcPr>
            <w:tcW w:w="2551" w:type="dxa"/>
          </w:tcPr>
          <w:p w14:paraId="619DFAD4"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21 (8.1%)</w:t>
            </w:r>
          </w:p>
        </w:tc>
      </w:tr>
      <w:tr w:rsidR="0045675C" w:rsidRPr="005A6350" w14:paraId="302DCBEF" w14:textId="77777777" w:rsidTr="00F308B6">
        <w:trPr>
          <w:trHeight w:val="255"/>
        </w:trPr>
        <w:tc>
          <w:tcPr>
            <w:tcW w:w="6516" w:type="dxa"/>
          </w:tcPr>
          <w:p w14:paraId="66ABD0A4"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IV</w:t>
            </w:r>
          </w:p>
        </w:tc>
        <w:tc>
          <w:tcPr>
            <w:tcW w:w="2551" w:type="dxa"/>
          </w:tcPr>
          <w:p w14:paraId="68701DA2"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2 (0.8%)</w:t>
            </w:r>
          </w:p>
        </w:tc>
      </w:tr>
      <w:tr w:rsidR="0045675C" w:rsidRPr="005A6350" w14:paraId="7FC200B8" w14:textId="77777777" w:rsidTr="00F308B6">
        <w:trPr>
          <w:trHeight w:val="255"/>
        </w:trPr>
        <w:tc>
          <w:tcPr>
            <w:tcW w:w="6516" w:type="dxa"/>
          </w:tcPr>
          <w:p w14:paraId="67F561DE" w14:textId="77777777" w:rsidR="0045675C" w:rsidRPr="005A6350" w:rsidRDefault="0045675C" w:rsidP="00F308B6">
            <w:pPr>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Heart Rate, mean ±SD, beats per minute </w:t>
            </w:r>
          </w:p>
        </w:tc>
        <w:tc>
          <w:tcPr>
            <w:tcW w:w="2551" w:type="dxa"/>
          </w:tcPr>
          <w:p w14:paraId="4BB87DE1" w14:textId="77777777" w:rsidR="0045675C" w:rsidRPr="005A6350" w:rsidRDefault="0045675C" w:rsidP="00F308B6">
            <w:pPr>
              <w:jc w:val="both"/>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75.32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14.29</w:t>
            </w:r>
          </w:p>
        </w:tc>
      </w:tr>
      <w:tr w:rsidR="0045675C" w:rsidRPr="005A6350" w14:paraId="061B7A1D" w14:textId="77777777" w:rsidTr="00F308B6">
        <w:trPr>
          <w:trHeight w:val="255"/>
        </w:trPr>
        <w:tc>
          <w:tcPr>
            <w:tcW w:w="9067" w:type="dxa"/>
            <w:gridSpan w:val="2"/>
          </w:tcPr>
          <w:p w14:paraId="50A286D5"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Blood Pressure (millimetres of mercury, mmHg)</w:t>
            </w:r>
          </w:p>
        </w:tc>
      </w:tr>
      <w:tr w:rsidR="0045675C" w:rsidRPr="005A6350" w14:paraId="2D4F0E5A" w14:textId="77777777" w:rsidTr="00F308B6">
        <w:trPr>
          <w:trHeight w:val="255"/>
        </w:trPr>
        <w:tc>
          <w:tcPr>
            <w:tcW w:w="6516" w:type="dxa"/>
          </w:tcPr>
          <w:p w14:paraId="6728711E"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Systolic blood pressure, mean ±SD, mmHg</w:t>
            </w:r>
          </w:p>
        </w:tc>
        <w:tc>
          <w:tcPr>
            <w:tcW w:w="2551" w:type="dxa"/>
          </w:tcPr>
          <w:p w14:paraId="158869C9"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132.34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22.49</w:t>
            </w:r>
          </w:p>
        </w:tc>
      </w:tr>
      <w:tr w:rsidR="0045675C" w:rsidRPr="005A6350" w14:paraId="49ABD6ED" w14:textId="77777777" w:rsidTr="00F308B6">
        <w:trPr>
          <w:trHeight w:val="255"/>
        </w:trPr>
        <w:tc>
          <w:tcPr>
            <w:tcW w:w="6516" w:type="dxa"/>
          </w:tcPr>
          <w:p w14:paraId="4CE64D5D" w14:textId="77777777" w:rsidR="0045675C" w:rsidRPr="005A6350" w:rsidRDefault="0045675C" w:rsidP="00F308B6">
            <w:pPr>
              <w:ind w:left="720"/>
              <w:jc w:val="both"/>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Diastolic blood pressure, mean ±SD, mmHg</w:t>
            </w:r>
          </w:p>
        </w:tc>
        <w:tc>
          <w:tcPr>
            <w:tcW w:w="2551" w:type="dxa"/>
          </w:tcPr>
          <w:p w14:paraId="3A32CB3E"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76.92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15.6</w:t>
            </w:r>
          </w:p>
        </w:tc>
      </w:tr>
      <w:tr w:rsidR="0045675C" w:rsidRPr="005A6350" w14:paraId="0660100C" w14:textId="77777777" w:rsidTr="00F308B6">
        <w:trPr>
          <w:trHeight w:val="255"/>
        </w:trPr>
        <w:tc>
          <w:tcPr>
            <w:tcW w:w="9067" w:type="dxa"/>
            <w:gridSpan w:val="2"/>
          </w:tcPr>
          <w:p w14:paraId="60610DEC"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Ejection Fraction </w:t>
            </w:r>
          </w:p>
        </w:tc>
      </w:tr>
      <w:tr w:rsidR="0045675C" w:rsidRPr="005A6350" w14:paraId="005C5BA3" w14:textId="77777777" w:rsidTr="00F308B6">
        <w:trPr>
          <w:trHeight w:val="255"/>
        </w:trPr>
        <w:tc>
          <w:tcPr>
            <w:tcW w:w="6516" w:type="dxa"/>
          </w:tcPr>
          <w:p w14:paraId="2E5452C2" w14:textId="0E2F6EC3" w:rsidR="0045675C" w:rsidRPr="005A6350" w:rsidRDefault="0045675C" w:rsidP="00F308B6">
            <w:pPr>
              <w:ind w:left="720"/>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Less than 35%</w:t>
            </w:r>
          </w:p>
        </w:tc>
        <w:tc>
          <w:tcPr>
            <w:tcW w:w="2551" w:type="dxa"/>
          </w:tcPr>
          <w:p w14:paraId="73F7B15E"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194 (75%)</w:t>
            </w:r>
          </w:p>
        </w:tc>
      </w:tr>
      <w:tr w:rsidR="0045675C" w:rsidRPr="005A6350" w14:paraId="4D1345DC" w14:textId="77777777" w:rsidTr="00F308B6">
        <w:trPr>
          <w:trHeight w:val="255"/>
        </w:trPr>
        <w:tc>
          <w:tcPr>
            <w:tcW w:w="6516" w:type="dxa"/>
          </w:tcPr>
          <w:p w14:paraId="723432AF" w14:textId="77777777" w:rsidR="0045675C" w:rsidRPr="005A6350" w:rsidRDefault="0045675C" w:rsidP="00F308B6">
            <w:pPr>
              <w:ind w:left="720"/>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35% and more</w:t>
            </w:r>
          </w:p>
        </w:tc>
        <w:tc>
          <w:tcPr>
            <w:tcW w:w="2551" w:type="dxa"/>
          </w:tcPr>
          <w:p w14:paraId="578965CD"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65 (25%)</w:t>
            </w:r>
          </w:p>
        </w:tc>
      </w:tr>
      <w:tr w:rsidR="0045675C" w:rsidRPr="005A6350" w14:paraId="0F36B323" w14:textId="77777777" w:rsidTr="00F308B6">
        <w:trPr>
          <w:trHeight w:val="255"/>
        </w:trPr>
        <w:tc>
          <w:tcPr>
            <w:tcW w:w="6516" w:type="dxa"/>
          </w:tcPr>
          <w:p w14:paraId="776BE156"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Serum Creatinine, mean ±SD, micromoles/litre</w:t>
            </w:r>
          </w:p>
        </w:tc>
        <w:tc>
          <w:tcPr>
            <w:tcW w:w="2551" w:type="dxa"/>
          </w:tcPr>
          <w:p w14:paraId="00B086F9"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95.44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28.49</w:t>
            </w:r>
          </w:p>
        </w:tc>
      </w:tr>
      <w:tr w:rsidR="0045675C" w:rsidRPr="005A6350" w14:paraId="6FBCACB2" w14:textId="77777777" w:rsidTr="00F308B6">
        <w:trPr>
          <w:trHeight w:val="255"/>
        </w:trPr>
        <w:tc>
          <w:tcPr>
            <w:tcW w:w="6516" w:type="dxa"/>
          </w:tcPr>
          <w:p w14:paraId="4082ED6E"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Haemoglobin, mean ±SD, grams/decilitre</w:t>
            </w:r>
          </w:p>
        </w:tc>
        <w:tc>
          <w:tcPr>
            <w:tcW w:w="2551" w:type="dxa"/>
          </w:tcPr>
          <w:p w14:paraId="79DB5E46"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13.48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4.09</w:t>
            </w:r>
          </w:p>
        </w:tc>
      </w:tr>
      <w:tr w:rsidR="0045675C" w:rsidRPr="005A6350" w14:paraId="6A4DC62B" w14:textId="77777777" w:rsidTr="00F308B6">
        <w:trPr>
          <w:trHeight w:val="255"/>
        </w:trPr>
        <w:tc>
          <w:tcPr>
            <w:tcW w:w="6516" w:type="dxa"/>
          </w:tcPr>
          <w:p w14:paraId="343A1FE0" w14:textId="77777777" w:rsidR="0045675C" w:rsidRPr="005A6350" w:rsidRDefault="0045675C" w:rsidP="00F308B6">
            <w:pPr>
              <w:rPr>
                <w:rFonts w:asciiTheme="majorBidi" w:hAnsiTheme="majorBidi" w:cstheme="majorBidi"/>
                <w:b/>
                <w:bCs/>
                <w:color w:val="212121"/>
                <w:shd w:val="clear" w:color="auto" w:fill="FFFFFF"/>
                <w:lang w:eastAsia="en-US"/>
              </w:rPr>
            </w:pPr>
            <w:r w:rsidRPr="005A6350">
              <w:rPr>
                <w:rFonts w:asciiTheme="majorBidi" w:hAnsiTheme="majorBidi" w:cstheme="majorBidi"/>
                <w:color w:val="212121"/>
                <w:shd w:val="clear" w:color="auto" w:fill="FFFFFF"/>
                <w:lang w:eastAsia="en-US"/>
              </w:rPr>
              <w:t>Time since first Heart Failure diagnosis, mean ±SD, years</w:t>
            </w:r>
          </w:p>
        </w:tc>
        <w:tc>
          <w:tcPr>
            <w:tcW w:w="2551" w:type="dxa"/>
          </w:tcPr>
          <w:p w14:paraId="34E5ADEA" w14:textId="77777777" w:rsidR="0045675C" w:rsidRPr="005A6350" w:rsidRDefault="0045675C" w:rsidP="00F308B6">
            <w:pPr>
              <w:rPr>
                <w:rFonts w:asciiTheme="majorBidi" w:hAnsiTheme="majorBidi" w:cstheme="majorBidi"/>
                <w:color w:val="212121"/>
                <w:shd w:val="clear" w:color="auto" w:fill="FFFFFF"/>
                <w:lang w:eastAsia="en-US"/>
              </w:rPr>
            </w:pPr>
            <w:r w:rsidRPr="005A6350">
              <w:rPr>
                <w:rFonts w:asciiTheme="majorBidi" w:hAnsiTheme="majorBidi" w:cstheme="majorBidi"/>
                <w:color w:val="212121"/>
                <w:shd w:val="clear" w:color="auto" w:fill="FFFFFF"/>
                <w:lang w:eastAsia="en-US"/>
              </w:rPr>
              <w:t xml:space="preserve">4.45 </w:t>
            </w:r>
            <w:r w:rsidRPr="005A6350">
              <w:rPr>
                <w:rFonts w:asciiTheme="majorBidi" w:hAnsiTheme="majorBidi" w:cstheme="majorBidi"/>
                <w:color w:val="212121"/>
                <w:shd w:val="clear" w:color="auto" w:fill="FFFFFF"/>
                <w:lang w:eastAsia="en-US"/>
              </w:rPr>
              <w:sym w:font="Symbol" w:char="F0B1"/>
            </w:r>
            <w:r w:rsidRPr="005A6350">
              <w:rPr>
                <w:rFonts w:asciiTheme="majorBidi" w:hAnsiTheme="majorBidi" w:cstheme="majorBidi"/>
                <w:color w:val="212121"/>
                <w:shd w:val="clear" w:color="auto" w:fill="FFFFFF"/>
                <w:lang w:eastAsia="en-US"/>
              </w:rPr>
              <w:t>3.33</w:t>
            </w:r>
          </w:p>
        </w:tc>
      </w:tr>
      <w:tr w:rsidR="0045675C" w:rsidRPr="005A6350" w14:paraId="6CE859DC" w14:textId="77777777" w:rsidTr="00F308B6">
        <w:trPr>
          <w:trHeight w:val="255"/>
        </w:trPr>
        <w:tc>
          <w:tcPr>
            <w:tcW w:w="9067" w:type="dxa"/>
            <w:gridSpan w:val="2"/>
          </w:tcPr>
          <w:p w14:paraId="44B8497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Co-morbidities</w:t>
            </w:r>
          </w:p>
        </w:tc>
      </w:tr>
      <w:tr w:rsidR="0045675C" w:rsidRPr="005A6350" w14:paraId="5E109ADE" w14:textId="77777777" w:rsidTr="00F308B6">
        <w:trPr>
          <w:trHeight w:val="255"/>
        </w:trPr>
        <w:tc>
          <w:tcPr>
            <w:tcW w:w="6516" w:type="dxa"/>
          </w:tcPr>
          <w:p w14:paraId="28CC4D20"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Asthma/Chronic obstruction pulmonary disease</w:t>
            </w:r>
          </w:p>
        </w:tc>
        <w:tc>
          <w:tcPr>
            <w:tcW w:w="2551" w:type="dxa"/>
          </w:tcPr>
          <w:p w14:paraId="40B7965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12 (4.6%)</w:t>
            </w:r>
          </w:p>
        </w:tc>
      </w:tr>
      <w:tr w:rsidR="0045675C" w:rsidRPr="005A6350" w14:paraId="3D83B300" w14:textId="77777777" w:rsidTr="00F308B6">
        <w:trPr>
          <w:trHeight w:val="255"/>
        </w:trPr>
        <w:tc>
          <w:tcPr>
            <w:tcW w:w="6516" w:type="dxa"/>
          </w:tcPr>
          <w:p w14:paraId="3E12271E"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Chronic kidney disease </w:t>
            </w:r>
          </w:p>
        </w:tc>
        <w:tc>
          <w:tcPr>
            <w:tcW w:w="2551" w:type="dxa"/>
          </w:tcPr>
          <w:p w14:paraId="59737606"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31(12%)</w:t>
            </w:r>
          </w:p>
        </w:tc>
      </w:tr>
      <w:tr w:rsidR="0045675C" w:rsidRPr="005A6350" w14:paraId="72C9F279" w14:textId="77777777" w:rsidTr="00F308B6">
        <w:trPr>
          <w:trHeight w:val="255"/>
        </w:trPr>
        <w:tc>
          <w:tcPr>
            <w:tcW w:w="6516" w:type="dxa"/>
          </w:tcPr>
          <w:p w14:paraId="0076D348"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Hypertension </w:t>
            </w:r>
          </w:p>
        </w:tc>
        <w:tc>
          <w:tcPr>
            <w:tcW w:w="2551" w:type="dxa"/>
          </w:tcPr>
          <w:p w14:paraId="6994212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109(42.1%)</w:t>
            </w:r>
          </w:p>
        </w:tc>
      </w:tr>
      <w:tr w:rsidR="0045675C" w:rsidRPr="005A6350" w14:paraId="3971FB41" w14:textId="77777777" w:rsidTr="00F308B6">
        <w:trPr>
          <w:trHeight w:val="255"/>
        </w:trPr>
        <w:tc>
          <w:tcPr>
            <w:tcW w:w="6516" w:type="dxa"/>
          </w:tcPr>
          <w:p w14:paraId="4867EE90"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Diabetes Mellitus </w:t>
            </w:r>
          </w:p>
        </w:tc>
        <w:tc>
          <w:tcPr>
            <w:tcW w:w="2551" w:type="dxa"/>
          </w:tcPr>
          <w:p w14:paraId="5637E5A6"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91 (35.1%)</w:t>
            </w:r>
          </w:p>
        </w:tc>
      </w:tr>
      <w:tr w:rsidR="0045675C" w:rsidRPr="005A6350" w14:paraId="45B216EB" w14:textId="77777777" w:rsidTr="00F308B6">
        <w:trPr>
          <w:trHeight w:val="255"/>
        </w:trPr>
        <w:tc>
          <w:tcPr>
            <w:tcW w:w="6516" w:type="dxa"/>
          </w:tcPr>
          <w:p w14:paraId="64C0C04E" w14:textId="6C1669D1"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Anaemia</w:t>
            </w:r>
          </w:p>
        </w:tc>
        <w:tc>
          <w:tcPr>
            <w:tcW w:w="2551" w:type="dxa"/>
          </w:tcPr>
          <w:p w14:paraId="519E6C6B"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3 (1.2%)</w:t>
            </w:r>
          </w:p>
        </w:tc>
      </w:tr>
      <w:tr w:rsidR="0045675C" w:rsidRPr="005A6350" w14:paraId="5BA77011" w14:textId="77777777" w:rsidTr="00F308B6">
        <w:trPr>
          <w:trHeight w:val="255"/>
        </w:trPr>
        <w:tc>
          <w:tcPr>
            <w:tcW w:w="6516" w:type="dxa"/>
          </w:tcPr>
          <w:p w14:paraId="5C260B3D"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Atrial Fibrillation </w:t>
            </w:r>
          </w:p>
        </w:tc>
        <w:tc>
          <w:tcPr>
            <w:tcW w:w="2551" w:type="dxa"/>
          </w:tcPr>
          <w:p w14:paraId="3A8A0325"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27 (10.4%)</w:t>
            </w:r>
          </w:p>
        </w:tc>
      </w:tr>
      <w:tr w:rsidR="0045675C" w:rsidRPr="005A6350" w14:paraId="2F4BD7F5" w14:textId="77777777" w:rsidTr="00F308B6">
        <w:trPr>
          <w:trHeight w:val="255"/>
        </w:trPr>
        <w:tc>
          <w:tcPr>
            <w:tcW w:w="6516" w:type="dxa"/>
          </w:tcPr>
          <w:p w14:paraId="41831CE9" w14:textId="3592E7EA"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Coronary artery disease </w:t>
            </w:r>
          </w:p>
        </w:tc>
        <w:tc>
          <w:tcPr>
            <w:tcW w:w="2551" w:type="dxa"/>
          </w:tcPr>
          <w:p w14:paraId="5DF8DD3A"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47 (18.1%)</w:t>
            </w:r>
          </w:p>
        </w:tc>
      </w:tr>
      <w:tr w:rsidR="0045675C" w:rsidRPr="005A6350" w14:paraId="475A521A" w14:textId="77777777" w:rsidTr="00F308B6">
        <w:trPr>
          <w:trHeight w:val="255"/>
        </w:trPr>
        <w:tc>
          <w:tcPr>
            <w:tcW w:w="6516" w:type="dxa"/>
          </w:tcPr>
          <w:p w14:paraId="0BA89C56"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Stroke/ Transient ischemic attack </w:t>
            </w:r>
          </w:p>
        </w:tc>
        <w:tc>
          <w:tcPr>
            <w:tcW w:w="2551" w:type="dxa"/>
          </w:tcPr>
          <w:p w14:paraId="5E8249E9"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3 (1.2%)</w:t>
            </w:r>
          </w:p>
        </w:tc>
      </w:tr>
      <w:tr w:rsidR="0045675C" w:rsidRPr="005A6350" w14:paraId="20D59258" w14:textId="77777777" w:rsidTr="00F308B6">
        <w:trPr>
          <w:trHeight w:val="255"/>
        </w:trPr>
        <w:tc>
          <w:tcPr>
            <w:tcW w:w="6516" w:type="dxa"/>
          </w:tcPr>
          <w:p w14:paraId="6F0C7CD8"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Left bundle branch block </w:t>
            </w:r>
          </w:p>
        </w:tc>
        <w:tc>
          <w:tcPr>
            <w:tcW w:w="2551" w:type="dxa"/>
          </w:tcPr>
          <w:p w14:paraId="4D1E5CA9"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26 (10%)</w:t>
            </w:r>
          </w:p>
        </w:tc>
      </w:tr>
      <w:tr w:rsidR="0045675C" w:rsidRPr="005A6350" w14:paraId="4717471E" w14:textId="77777777" w:rsidTr="00F308B6">
        <w:trPr>
          <w:trHeight w:val="255"/>
        </w:trPr>
        <w:tc>
          <w:tcPr>
            <w:tcW w:w="6516" w:type="dxa"/>
          </w:tcPr>
          <w:p w14:paraId="3C5BF05E"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Ischemic Cardiomyopathy </w:t>
            </w:r>
          </w:p>
        </w:tc>
        <w:tc>
          <w:tcPr>
            <w:tcW w:w="2551" w:type="dxa"/>
          </w:tcPr>
          <w:p w14:paraId="2E211B0B"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27 (10.4%)</w:t>
            </w:r>
          </w:p>
        </w:tc>
      </w:tr>
      <w:tr w:rsidR="0045675C" w:rsidRPr="005A6350" w14:paraId="1DE6B0E6" w14:textId="77777777" w:rsidTr="00F308B6">
        <w:trPr>
          <w:trHeight w:val="255"/>
        </w:trPr>
        <w:tc>
          <w:tcPr>
            <w:tcW w:w="6516" w:type="dxa"/>
          </w:tcPr>
          <w:p w14:paraId="631026BC"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Dilated Cardiomyopathy</w:t>
            </w:r>
          </w:p>
        </w:tc>
        <w:tc>
          <w:tcPr>
            <w:tcW w:w="2551" w:type="dxa"/>
          </w:tcPr>
          <w:p w14:paraId="7DAAD628"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85 (32.8%)</w:t>
            </w:r>
          </w:p>
        </w:tc>
      </w:tr>
      <w:tr w:rsidR="0045675C" w:rsidRPr="005A6350" w14:paraId="7342B51F" w14:textId="77777777" w:rsidTr="00F308B6">
        <w:trPr>
          <w:trHeight w:val="255"/>
        </w:trPr>
        <w:tc>
          <w:tcPr>
            <w:tcW w:w="6516" w:type="dxa"/>
          </w:tcPr>
          <w:p w14:paraId="361D1E7A"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Others</w:t>
            </w:r>
          </w:p>
        </w:tc>
        <w:tc>
          <w:tcPr>
            <w:tcW w:w="2551" w:type="dxa"/>
          </w:tcPr>
          <w:p w14:paraId="16270DA2"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218 (84.2%)</w:t>
            </w:r>
          </w:p>
        </w:tc>
      </w:tr>
      <w:tr w:rsidR="0045675C" w:rsidRPr="005A6350" w14:paraId="59DE4B5A" w14:textId="77777777" w:rsidTr="00F308B6">
        <w:trPr>
          <w:trHeight w:val="255"/>
        </w:trPr>
        <w:tc>
          <w:tcPr>
            <w:tcW w:w="9067" w:type="dxa"/>
            <w:gridSpan w:val="2"/>
          </w:tcPr>
          <w:p w14:paraId="612B6C15"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Pharmacological treatment and devices</w:t>
            </w:r>
          </w:p>
        </w:tc>
      </w:tr>
      <w:tr w:rsidR="0045675C" w:rsidRPr="005A6350" w14:paraId="15148FEF" w14:textId="77777777" w:rsidTr="00F308B6">
        <w:trPr>
          <w:trHeight w:val="255"/>
        </w:trPr>
        <w:tc>
          <w:tcPr>
            <w:tcW w:w="6516" w:type="dxa"/>
          </w:tcPr>
          <w:p w14:paraId="3FFDA0D9"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Amiodarone</w:t>
            </w:r>
          </w:p>
        </w:tc>
        <w:tc>
          <w:tcPr>
            <w:tcW w:w="2551" w:type="dxa"/>
          </w:tcPr>
          <w:p w14:paraId="001086EB"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14 (5.4%)</w:t>
            </w:r>
          </w:p>
        </w:tc>
      </w:tr>
      <w:tr w:rsidR="0045675C" w:rsidRPr="005A6350" w14:paraId="776B581E" w14:textId="77777777" w:rsidTr="00F308B6">
        <w:trPr>
          <w:trHeight w:val="255"/>
        </w:trPr>
        <w:tc>
          <w:tcPr>
            <w:tcW w:w="6516" w:type="dxa"/>
          </w:tcPr>
          <w:p w14:paraId="50E27DE5"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Antidiabetics</w:t>
            </w:r>
          </w:p>
        </w:tc>
        <w:tc>
          <w:tcPr>
            <w:tcW w:w="2551" w:type="dxa"/>
          </w:tcPr>
          <w:p w14:paraId="1C0498EC"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83 (32%)</w:t>
            </w:r>
          </w:p>
        </w:tc>
      </w:tr>
      <w:tr w:rsidR="0045675C" w:rsidRPr="005A6350" w14:paraId="6C4F11F3" w14:textId="77777777" w:rsidTr="00F308B6">
        <w:trPr>
          <w:trHeight w:val="255"/>
        </w:trPr>
        <w:tc>
          <w:tcPr>
            <w:tcW w:w="6516" w:type="dxa"/>
          </w:tcPr>
          <w:p w14:paraId="6C20748D"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Anticoagulants</w:t>
            </w:r>
          </w:p>
        </w:tc>
        <w:tc>
          <w:tcPr>
            <w:tcW w:w="2551" w:type="dxa"/>
          </w:tcPr>
          <w:p w14:paraId="34243697"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53 (20.5%)</w:t>
            </w:r>
          </w:p>
        </w:tc>
      </w:tr>
      <w:tr w:rsidR="0045675C" w:rsidRPr="005A6350" w14:paraId="48E594D4" w14:textId="77777777" w:rsidTr="00F308B6">
        <w:trPr>
          <w:trHeight w:val="255"/>
        </w:trPr>
        <w:tc>
          <w:tcPr>
            <w:tcW w:w="6516" w:type="dxa"/>
          </w:tcPr>
          <w:p w14:paraId="307081FA"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Antiplatelets</w:t>
            </w:r>
          </w:p>
        </w:tc>
        <w:tc>
          <w:tcPr>
            <w:tcW w:w="2551" w:type="dxa"/>
          </w:tcPr>
          <w:p w14:paraId="67372078"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113 (43.6%)</w:t>
            </w:r>
          </w:p>
        </w:tc>
      </w:tr>
      <w:tr w:rsidR="0045675C" w:rsidRPr="005A6350" w14:paraId="6ACB83BA" w14:textId="77777777" w:rsidTr="00F308B6">
        <w:trPr>
          <w:trHeight w:val="255"/>
        </w:trPr>
        <w:tc>
          <w:tcPr>
            <w:tcW w:w="6516" w:type="dxa"/>
          </w:tcPr>
          <w:p w14:paraId="2A8B5EC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Calcium channel blockers </w:t>
            </w:r>
          </w:p>
        </w:tc>
        <w:tc>
          <w:tcPr>
            <w:tcW w:w="2551" w:type="dxa"/>
          </w:tcPr>
          <w:p w14:paraId="3FC10437"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17 (6.6%)</w:t>
            </w:r>
          </w:p>
        </w:tc>
      </w:tr>
      <w:tr w:rsidR="0045675C" w:rsidRPr="005A6350" w14:paraId="234CF08C" w14:textId="77777777" w:rsidTr="00F308B6">
        <w:trPr>
          <w:trHeight w:val="255"/>
        </w:trPr>
        <w:tc>
          <w:tcPr>
            <w:tcW w:w="6516" w:type="dxa"/>
          </w:tcPr>
          <w:p w14:paraId="1C8956EE"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Diuretics </w:t>
            </w:r>
          </w:p>
        </w:tc>
        <w:tc>
          <w:tcPr>
            <w:tcW w:w="2551" w:type="dxa"/>
          </w:tcPr>
          <w:p w14:paraId="5BD8B2B7"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203 (78.4%)</w:t>
            </w:r>
          </w:p>
        </w:tc>
      </w:tr>
      <w:tr w:rsidR="0045675C" w:rsidRPr="005A6350" w14:paraId="17E8EDD0" w14:textId="77777777" w:rsidTr="00F308B6">
        <w:trPr>
          <w:trHeight w:val="255"/>
        </w:trPr>
        <w:tc>
          <w:tcPr>
            <w:tcW w:w="6516" w:type="dxa"/>
          </w:tcPr>
          <w:p w14:paraId="59B4EB12"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Digoxin </w:t>
            </w:r>
          </w:p>
        </w:tc>
        <w:tc>
          <w:tcPr>
            <w:tcW w:w="2551" w:type="dxa"/>
          </w:tcPr>
          <w:p w14:paraId="0CAB04E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7 (2.7%)</w:t>
            </w:r>
          </w:p>
        </w:tc>
      </w:tr>
      <w:tr w:rsidR="0045675C" w:rsidRPr="005A6350" w14:paraId="457160B7" w14:textId="77777777" w:rsidTr="00F308B6">
        <w:trPr>
          <w:trHeight w:val="255"/>
        </w:trPr>
        <w:tc>
          <w:tcPr>
            <w:tcW w:w="6516" w:type="dxa"/>
          </w:tcPr>
          <w:p w14:paraId="5DF805C0"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Nitrate</w:t>
            </w:r>
          </w:p>
        </w:tc>
        <w:tc>
          <w:tcPr>
            <w:tcW w:w="2551" w:type="dxa"/>
          </w:tcPr>
          <w:p w14:paraId="0F0171A4"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37 (14.3%)</w:t>
            </w:r>
          </w:p>
        </w:tc>
      </w:tr>
      <w:tr w:rsidR="0045675C" w:rsidRPr="005A6350" w14:paraId="57F9C224" w14:textId="77777777" w:rsidTr="00F308B6">
        <w:trPr>
          <w:trHeight w:val="255"/>
        </w:trPr>
        <w:tc>
          <w:tcPr>
            <w:tcW w:w="6516" w:type="dxa"/>
          </w:tcPr>
          <w:p w14:paraId="299838E7"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Statins</w:t>
            </w:r>
          </w:p>
        </w:tc>
        <w:tc>
          <w:tcPr>
            <w:tcW w:w="2551" w:type="dxa"/>
          </w:tcPr>
          <w:p w14:paraId="4FCBC963"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147 (56.8%)</w:t>
            </w:r>
          </w:p>
        </w:tc>
      </w:tr>
      <w:tr w:rsidR="0045675C" w:rsidRPr="005A6350" w14:paraId="1C2877B8" w14:textId="77777777" w:rsidTr="00F308B6">
        <w:trPr>
          <w:trHeight w:val="255"/>
        </w:trPr>
        <w:tc>
          <w:tcPr>
            <w:tcW w:w="6516" w:type="dxa"/>
          </w:tcPr>
          <w:p w14:paraId="2399BD7D"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Cardiac resynchronisation therapy </w:t>
            </w:r>
          </w:p>
        </w:tc>
        <w:tc>
          <w:tcPr>
            <w:tcW w:w="2551" w:type="dxa"/>
          </w:tcPr>
          <w:p w14:paraId="5C073927"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21 (8.1%)</w:t>
            </w:r>
          </w:p>
        </w:tc>
      </w:tr>
      <w:tr w:rsidR="0045675C" w:rsidRPr="005A6350" w14:paraId="5190ABDB" w14:textId="77777777" w:rsidTr="00F308B6">
        <w:trPr>
          <w:trHeight w:val="255"/>
        </w:trPr>
        <w:tc>
          <w:tcPr>
            <w:tcW w:w="6516" w:type="dxa"/>
          </w:tcPr>
          <w:p w14:paraId="57858C8F"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 xml:space="preserve">Implantable cardioverter defibrillator </w:t>
            </w:r>
          </w:p>
        </w:tc>
        <w:tc>
          <w:tcPr>
            <w:tcW w:w="2551" w:type="dxa"/>
          </w:tcPr>
          <w:p w14:paraId="396E2510" w14:textId="77777777" w:rsidR="0045675C" w:rsidRPr="005A6350" w:rsidRDefault="0045675C" w:rsidP="00F308B6">
            <w:pPr>
              <w:rPr>
                <w:rFonts w:asciiTheme="majorBidi" w:hAnsiTheme="majorBidi" w:cstheme="majorBidi"/>
                <w:color w:val="212121"/>
                <w:shd w:val="clear" w:color="auto" w:fill="FFFFFF"/>
              </w:rPr>
            </w:pPr>
            <w:r w:rsidRPr="005A6350">
              <w:rPr>
                <w:rFonts w:asciiTheme="majorBidi" w:hAnsiTheme="majorBidi" w:cstheme="majorBidi"/>
                <w:color w:val="212121"/>
                <w:shd w:val="clear" w:color="auto" w:fill="FFFFFF"/>
                <w:lang w:eastAsia="en-US"/>
              </w:rPr>
              <w:t>23 (8.9%)</w:t>
            </w:r>
          </w:p>
        </w:tc>
      </w:tr>
    </w:tbl>
    <w:p w14:paraId="1D9C51C9" w14:textId="10FA4F4F" w:rsidR="0010502E" w:rsidRDefault="0010502E" w:rsidP="0010502E">
      <w:pPr>
        <w:spacing w:after="240" w:line="480" w:lineRule="auto"/>
        <w:jc w:val="lowKashida"/>
        <w:rPr>
          <w:rFonts w:ascii="Times New Roman" w:hAnsi="Times New Roman"/>
          <w:color w:val="000000"/>
          <w:lang w:eastAsia="en-GB"/>
        </w:rPr>
      </w:pPr>
      <w:r w:rsidRPr="00EB54AD">
        <w:rPr>
          <w:rFonts w:asciiTheme="majorBidi" w:hAnsiTheme="majorBidi" w:cstheme="majorBidi"/>
          <w:noProof/>
          <w:color w:val="212121"/>
          <w:shd w:val="clear" w:color="auto" w:fill="FFFFFF"/>
        </w:rPr>
        <mc:AlternateContent>
          <mc:Choice Requires="wps">
            <w:drawing>
              <wp:anchor distT="0" distB="0" distL="114300" distR="114300" simplePos="0" relativeHeight="251659264" behindDoc="0" locked="0" layoutInCell="1" allowOverlap="1" wp14:anchorId="56B1E06C" wp14:editId="0B03AF67">
                <wp:simplePos x="0" y="0"/>
                <wp:positionH relativeFrom="column">
                  <wp:posOffset>-5080</wp:posOffset>
                </wp:positionH>
                <wp:positionV relativeFrom="paragraph">
                  <wp:posOffset>-183515</wp:posOffset>
                </wp:positionV>
                <wp:extent cx="4307840" cy="270510"/>
                <wp:effectExtent l="0" t="0" r="0" b="0"/>
                <wp:wrapNone/>
                <wp:docPr id="4" name="Text Box 4"/>
                <wp:cNvGraphicFramePr/>
                <a:graphic xmlns:a="http://schemas.openxmlformats.org/drawingml/2006/main">
                  <a:graphicData uri="http://schemas.microsoft.com/office/word/2010/wordprocessingShape">
                    <wps:wsp>
                      <wps:cNvSpPr txBox="1"/>
                      <wps:spPr>
                        <a:xfrm>
                          <a:off x="0" y="0"/>
                          <a:ext cx="4307840" cy="270510"/>
                        </a:xfrm>
                        <a:prstGeom prst="rect">
                          <a:avLst/>
                        </a:prstGeom>
                        <a:noFill/>
                        <a:ln w="6350">
                          <a:noFill/>
                        </a:ln>
                      </wps:spPr>
                      <wps:txbx>
                        <w:txbxContent>
                          <w:p w14:paraId="19F175CA" w14:textId="77777777" w:rsidR="0045675C" w:rsidRPr="00FE0F35" w:rsidRDefault="0045675C" w:rsidP="0045675C">
                            <w:pPr>
                              <w:rPr>
                                <w:rFonts w:asciiTheme="majorBidi" w:hAnsiTheme="majorBidi" w:cstheme="majorBidi"/>
                                <w:b/>
                                <w:bCs/>
                              </w:rPr>
                            </w:pPr>
                            <w:r w:rsidRPr="00FE0F35">
                              <w:rPr>
                                <w:rFonts w:asciiTheme="majorBidi" w:hAnsiTheme="majorBidi" w:cstheme="majorBidi"/>
                                <w:b/>
                                <w:bCs/>
                                <w:color w:val="000000"/>
                              </w:rPr>
                              <w:t xml:space="preserve">Table </w:t>
                            </w:r>
                            <w:r>
                              <w:rPr>
                                <w:rFonts w:asciiTheme="majorBidi" w:hAnsiTheme="majorBidi" w:cstheme="majorBidi"/>
                                <w:b/>
                                <w:bCs/>
                                <w:color w:val="000000"/>
                              </w:rPr>
                              <w:t>1</w:t>
                            </w:r>
                            <w:r w:rsidRPr="00FE0F35">
                              <w:rPr>
                                <w:rFonts w:asciiTheme="majorBidi" w:hAnsiTheme="majorBidi" w:cstheme="majorBidi"/>
                                <w:b/>
                                <w:bCs/>
                                <w:color w:val="000000"/>
                              </w:rPr>
                              <w:t xml:space="preserve">. </w:t>
                            </w:r>
                            <w:r>
                              <w:rPr>
                                <w:rFonts w:asciiTheme="majorBidi" w:hAnsiTheme="majorBidi" w:cstheme="majorBidi"/>
                                <w:b/>
                                <w:bCs/>
                                <w:color w:val="000000"/>
                              </w:rPr>
                              <w:t>Demographic and clinical c</w:t>
                            </w:r>
                            <w:r w:rsidRPr="00FE0F35">
                              <w:rPr>
                                <w:rFonts w:asciiTheme="majorBidi" w:hAnsiTheme="majorBidi" w:cstheme="majorBidi"/>
                                <w:b/>
                                <w:bCs/>
                                <w:color w:val="000000"/>
                              </w:rPr>
                              <w:t xml:space="preserve">haracteristics of study population.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1E06C" id="_x0000_t202" coordsize="21600,21600" o:spt="202" path="m,l,21600r21600,l21600,xe">
                <v:stroke joinstyle="miter"/>
                <v:path gradientshapeok="t" o:connecttype="rect"/>
              </v:shapetype>
              <v:shape id="Text Box 4" o:spid="_x0000_s1026" type="#_x0000_t202" style="position:absolute;left:0;text-align:left;margin-left:-.4pt;margin-top:-14.45pt;width:339.2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" filled="f" stroked="f" strokeweight=".5pt">
                <v:textbox>
                  <w:txbxContent>
                    <w:p w14:paraId="19F175CA" w14:textId="77777777" w:rsidR="0045675C" w:rsidRPr="00FE0F35" w:rsidRDefault="0045675C" w:rsidP="0045675C">
                      <w:pPr>
                        <w:rPr>
                          <w:rFonts w:asciiTheme="majorBidi" w:hAnsiTheme="majorBidi" w:cstheme="majorBidi"/>
                          <w:b/>
                          <w:bCs/>
                        </w:rPr>
                      </w:pPr>
                      <w:r w:rsidRPr="00FE0F35">
                        <w:rPr>
                          <w:rFonts w:asciiTheme="majorBidi" w:hAnsiTheme="majorBidi" w:cstheme="majorBidi"/>
                          <w:b/>
                          <w:bCs/>
                          <w:color w:val="000000"/>
                        </w:rPr>
                        <w:t xml:space="preserve">Table </w:t>
                      </w:r>
                      <w:r>
                        <w:rPr>
                          <w:rFonts w:asciiTheme="majorBidi" w:hAnsiTheme="majorBidi" w:cstheme="majorBidi"/>
                          <w:b/>
                          <w:bCs/>
                          <w:color w:val="000000"/>
                        </w:rPr>
                        <w:t>1</w:t>
                      </w:r>
                      <w:r w:rsidRPr="00FE0F35">
                        <w:rPr>
                          <w:rFonts w:asciiTheme="majorBidi" w:hAnsiTheme="majorBidi" w:cstheme="majorBidi"/>
                          <w:b/>
                          <w:bCs/>
                          <w:color w:val="000000"/>
                        </w:rPr>
                        <w:t xml:space="preserve">. </w:t>
                      </w:r>
                      <w:r>
                        <w:rPr>
                          <w:rFonts w:asciiTheme="majorBidi" w:hAnsiTheme="majorBidi" w:cstheme="majorBidi"/>
                          <w:b/>
                          <w:bCs/>
                          <w:color w:val="000000"/>
                        </w:rPr>
                        <w:t>Demographic and clinical c</w:t>
                      </w:r>
                      <w:r w:rsidRPr="00FE0F35">
                        <w:rPr>
                          <w:rFonts w:asciiTheme="majorBidi" w:hAnsiTheme="majorBidi" w:cstheme="majorBidi"/>
                          <w:b/>
                          <w:bCs/>
                          <w:color w:val="000000"/>
                        </w:rPr>
                        <w:t xml:space="preserve">haracteristics of study population. </w:t>
                      </w:r>
                    </w:p>
                  </w:txbxContent>
                </v:textbox>
              </v:shape>
            </w:pict>
          </mc:Fallback>
        </mc:AlternateContent>
      </w:r>
    </w:p>
    <w:p w14:paraId="29FB7185" w14:textId="77777777" w:rsidR="0010502E" w:rsidRDefault="0010502E" w:rsidP="0045675C">
      <w:pPr>
        <w:spacing w:after="240" w:line="480" w:lineRule="auto"/>
        <w:jc w:val="lowKashida"/>
        <w:rPr>
          <w:rFonts w:ascii="Times New Roman" w:hAnsi="Times New Roman"/>
          <w:color w:val="000000"/>
          <w:lang w:eastAsia="en-GB"/>
        </w:rPr>
      </w:pPr>
    </w:p>
    <w:p w14:paraId="33488A69" w14:textId="2B27E1FB" w:rsidR="0045675C" w:rsidRDefault="003B65E4" w:rsidP="0045675C">
      <w:pPr>
        <w:spacing w:after="240" w:line="480" w:lineRule="auto"/>
        <w:jc w:val="lowKashida"/>
        <w:rPr>
          <w:rFonts w:ascii="Times New Roman" w:hAnsi="Times New Roman"/>
          <w:color w:val="000000"/>
          <w:lang w:eastAsia="en-GB"/>
        </w:rPr>
      </w:pPr>
      <w:r w:rsidRPr="003B65E4">
        <w:rPr>
          <w:rFonts w:ascii="Times New Roman" w:hAnsi="Times New Roman"/>
          <w:color w:val="000000"/>
          <w:lang w:eastAsia="en-GB"/>
        </w:rPr>
        <w:t xml:space="preserve">As shown in Figure 1, 71% of the overall population had good class adherence (i.e., received all the recommended medications for their individual profile in doses ≥50% of the target dose), 22% moderate </w:t>
      </w:r>
      <w:r w:rsidRPr="003B65E4">
        <w:rPr>
          <w:rFonts w:ascii="Times New Roman" w:hAnsi="Times New Roman"/>
          <w:color w:val="000000"/>
          <w:lang w:eastAsia="en-GB"/>
        </w:rPr>
        <w:lastRenderedPageBreak/>
        <w:t xml:space="preserve">(more than half of the recommended medications in doses ≥50% of target dose) and 7% poor (less than half the recommended medications and/or in doses &lt;50% of target dose). With regards to target dose attainment, a total of 46% (119/259), 41% (106/259), 96% (246/259), and 100% (67/67) of the patients were prescribed ≥50% of the target dose for BBs, ACEI/ARB/ARNI, MRAs and ivabradine respectively. At the same time, 33% (84/259), 24% (59/259), and 1% (2/259) of patients were </w:t>
      </w:r>
      <w:r w:rsidR="0010502E" w:rsidRPr="00F217FD">
        <w:rPr>
          <w:rFonts w:asciiTheme="majorBidi" w:hAnsiTheme="majorBidi" w:cstheme="majorBidi"/>
          <w:noProof/>
          <w:color w:val="212121"/>
          <w:shd w:val="clear" w:color="auto" w:fill="FFFFFF"/>
        </w:rPr>
        <w:drawing>
          <wp:anchor distT="0" distB="0" distL="114300" distR="114300" simplePos="0" relativeHeight="251669504" behindDoc="1" locked="0" layoutInCell="1" allowOverlap="1" wp14:anchorId="4AEFCC3D" wp14:editId="4499FE2A">
            <wp:simplePos x="0" y="0"/>
            <wp:positionH relativeFrom="margin">
              <wp:posOffset>279400</wp:posOffset>
            </wp:positionH>
            <wp:positionV relativeFrom="margin">
              <wp:posOffset>1952625</wp:posOffset>
            </wp:positionV>
            <wp:extent cx="4089400" cy="2628900"/>
            <wp:effectExtent l="0" t="0" r="0" b="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3B65E4">
        <w:rPr>
          <w:rFonts w:ascii="Times New Roman" w:hAnsi="Times New Roman"/>
          <w:color w:val="000000"/>
          <w:lang w:eastAsia="en-GB"/>
        </w:rPr>
        <w:t xml:space="preserve">prescribed 100% of the target dose for BBs, ACEI/ARB/ARNI, and MRAs, respectively Figure 2. </w:t>
      </w:r>
    </w:p>
    <w:p w14:paraId="3A1FC13D" w14:textId="045AD19B" w:rsidR="0010502E" w:rsidRPr="003B65E4" w:rsidRDefault="0010502E" w:rsidP="0045675C">
      <w:pPr>
        <w:spacing w:after="240" w:line="480" w:lineRule="auto"/>
        <w:jc w:val="lowKashida"/>
        <w:rPr>
          <w:rFonts w:ascii="Times New Roman" w:hAnsi="Times New Roman"/>
          <w:color w:val="000000"/>
          <w:lang w:eastAsia="en-GB"/>
        </w:rPr>
      </w:pPr>
    </w:p>
    <w:p w14:paraId="41D7C19C" w14:textId="7E08FC94" w:rsidR="0045675C" w:rsidRDefault="0045675C" w:rsidP="003B65E4">
      <w:pPr>
        <w:spacing w:after="240" w:line="480" w:lineRule="auto"/>
        <w:jc w:val="both"/>
        <w:rPr>
          <w:rFonts w:ascii="Times New Roman" w:hAnsi="Times New Roman"/>
          <w:color w:val="000000"/>
          <w:lang w:eastAsia="en-GB"/>
        </w:rPr>
      </w:pPr>
    </w:p>
    <w:p w14:paraId="53644747" w14:textId="171EE8FF" w:rsidR="0045675C" w:rsidRDefault="0045675C" w:rsidP="003B65E4">
      <w:pPr>
        <w:spacing w:after="240" w:line="480" w:lineRule="auto"/>
        <w:jc w:val="both"/>
        <w:rPr>
          <w:rFonts w:ascii="Times New Roman" w:hAnsi="Times New Roman"/>
          <w:color w:val="000000"/>
          <w:lang w:eastAsia="en-GB"/>
        </w:rPr>
      </w:pPr>
    </w:p>
    <w:p w14:paraId="6B76341B" w14:textId="77777777" w:rsidR="0045675C" w:rsidRDefault="0045675C" w:rsidP="003B65E4">
      <w:pPr>
        <w:spacing w:after="240" w:line="480" w:lineRule="auto"/>
        <w:jc w:val="both"/>
        <w:rPr>
          <w:rFonts w:ascii="Times New Roman" w:hAnsi="Times New Roman"/>
          <w:color w:val="000000"/>
          <w:lang w:eastAsia="en-GB"/>
        </w:rPr>
      </w:pPr>
    </w:p>
    <w:p w14:paraId="665C4A4D" w14:textId="4484C7EE" w:rsidR="0045675C" w:rsidRDefault="0045675C" w:rsidP="003B65E4">
      <w:pPr>
        <w:spacing w:after="240" w:line="480" w:lineRule="auto"/>
        <w:jc w:val="both"/>
        <w:rPr>
          <w:rFonts w:ascii="Times New Roman" w:hAnsi="Times New Roman"/>
          <w:color w:val="000000"/>
          <w:lang w:eastAsia="en-GB"/>
        </w:rPr>
      </w:pPr>
    </w:p>
    <w:p w14:paraId="4E94ABE4" w14:textId="59B4B0EE" w:rsidR="0045675C" w:rsidRDefault="0010502E" w:rsidP="003B65E4">
      <w:pPr>
        <w:spacing w:after="240" w:line="480" w:lineRule="auto"/>
        <w:jc w:val="both"/>
        <w:rPr>
          <w:rFonts w:ascii="Times New Roman" w:hAnsi="Times New Roman"/>
          <w:color w:val="000000"/>
          <w:lang w:eastAsia="en-GB"/>
        </w:rPr>
      </w:pPr>
      <w:r w:rsidRPr="00F217FD">
        <w:rPr>
          <w:rFonts w:asciiTheme="majorBidi" w:hAnsiTheme="majorBidi" w:cstheme="majorBidi"/>
          <w:noProof/>
          <w:color w:val="212121"/>
          <w:shd w:val="clear" w:color="auto" w:fill="FFFFFF"/>
        </w:rPr>
        <mc:AlternateContent>
          <mc:Choice Requires="wps">
            <w:drawing>
              <wp:anchor distT="0" distB="0" distL="114300" distR="114300" simplePos="0" relativeHeight="251662336" behindDoc="0" locked="0" layoutInCell="1" allowOverlap="1" wp14:anchorId="0DB81181" wp14:editId="542016B8">
                <wp:simplePos x="0" y="0"/>
                <wp:positionH relativeFrom="column">
                  <wp:posOffset>0</wp:posOffset>
                </wp:positionH>
                <wp:positionV relativeFrom="paragraph">
                  <wp:posOffset>128905</wp:posOffset>
                </wp:positionV>
                <wp:extent cx="6134100" cy="93091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134100" cy="930910"/>
                        </a:xfrm>
                        <a:prstGeom prst="rect">
                          <a:avLst/>
                        </a:prstGeom>
                        <a:noFill/>
                        <a:ln w="6350">
                          <a:noFill/>
                        </a:ln>
                      </wps:spPr>
                      <wps:txbx>
                        <w:txbxContent>
                          <w:p w14:paraId="00F29A04" w14:textId="77777777" w:rsidR="0045675C" w:rsidRDefault="0045675C" w:rsidP="0045675C">
                            <w:pPr>
                              <w:spacing w:after="240" w:line="276" w:lineRule="auto"/>
                              <w:rPr>
                                <w:rFonts w:asciiTheme="majorBidi" w:hAnsiTheme="majorBidi" w:cstheme="majorBidi"/>
                                <w:b/>
                                <w:bCs/>
                                <w:color w:val="000000"/>
                              </w:rPr>
                            </w:pPr>
                            <w:r w:rsidRPr="00FE0F35">
                              <w:rPr>
                                <w:rFonts w:asciiTheme="majorBidi" w:hAnsiTheme="majorBidi" w:cstheme="majorBidi"/>
                                <w:b/>
                                <w:bCs/>
                                <w:color w:val="000000"/>
                              </w:rPr>
                              <w:t xml:space="preserve">Figure </w:t>
                            </w:r>
                            <w:r>
                              <w:rPr>
                                <w:rFonts w:asciiTheme="majorBidi" w:hAnsiTheme="majorBidi" w:cstheme="majorBidi"/>
                                <w:b/>
                                <w:bCs/>
                                <w:color w:val="000000"/>
                              </w:rPr>
                              <w:t>1</w:t>
                            </w:r>
                            <w:r w:rsidRPr="00FE0F35">
                              <w:rPr>
                                <w:rFonts w:asciiTheme="majorBidi" w:hAnsiTheme="majorBidi" w:cstheme="majorBidi"/>
                                <w:b/>
                                <w:bCs/>
                                <w:color w:val="000000"/>
                              </w:rPr>
                              <w:t>. Global guideline adherence score</w:t>
                            </w:r>
                            <w:r>
                              <w:rPr>
                                <w:rFonts w:asciiTheme="majorBidi" w:hAnsiTheme="majorBidi" w:cstheme="majorBidi"/>
                                <w:b/>
                                <w:bCs/>
                                <w:color w:val="000000"/>
                              </w:rPr>
                              <w:t xml:space="preserve"> at NHC, Oman</w:t>
                            </w:r>
                            <w:r w:rsidRPr="00FE0F35">
                              <w:rPr>
                                <w:rFonts w:asciiTheme="majorBidi" w:hAnsiTheme="majorBidi" w:cstheme="majorBidi"/>
                                <w:b/>
                                <w:bCs/>
                                <w:color w:val="000000"/>
                              </w:rPr>
                              <w:t xml:space="preserve">. </w:t>
                            </w:r>
                          </w:p>
                          <w:p w14:paraId="760B43F2" w14:textId="77777777" w:rsidR="0045675C" w:rsidRPr="007D3356" w:rsidRDefault="0045675C" w:rsidP="0045675C">
                            <w:pPr>
                              <w:spacing w:after="240" w:line="276" w:lineRule="auto"/>
                              <w:jc w:val="both"/>
                              <w:rPr>
                                <w:rFonts w:asciiTheme="majorBidi" w:hAnsiTheme="majorBidi" w:cstheme="majorBidi"/>
                                <w:color w:val="212121"/>
                                <w:sz w:val="16"/>
                                <w:szCs w:val="16"/>
                                <w:shd w:val="clear" w:color="auto" w:fill="FFFFFF"/>
                              </w:rPr>
                            </w:pPr>
                            <w:r w:rsidRPr="007D3356">
                              <w:rPr>
                                <w:rFonts w:asciiTheme="majorBidi" w:hAnsiTheme="majorBidi" w:cstheme="majorBidi"/>
                                <w:color w:val="000000"/>
                                <w:sz w:val="16"/>
                                <w:szCs w:val="16"/>
                              </w:rPr>
                              <w:t xml:space="preserve">NHC, National Heart Centre; </w:t>
                            </w:r>
                            <w:r w:rsidRPr="007D3356">
                              <w:rPr>
                                <w:rFonts w:asciiTheme="majorBidi" w:hAnsiTheme="majorBidi" w:cstheme="majorBidi"/>
                                <w:color w:val="212121"/>
                                <w:sz w:val="16"/>
                                <w:szCs w:val="16"/>
                                <w:shd w:val="clear" w:color="auto" w:fill="FFFFFF"/>
                              </w:rPr>
                              <w:t>Good adherence, defined as</w:t>
                            </w:r>
                            <w:r w:rsidRPr="007D3356">
                              <w:rPr>
                                <w:rFonts w:ascii="Cambria" w:hAnsi="Cambria"/>
                                <w:color w:val="333333"/>
                                <w:sz w:val="16"/>
                                <w:szCs w:val="16"/>
                                <w:shd w:val="clear" w:color="auto" w:fill="FFFCF0"/>
                              </w:rPr>
                              <w:t xml:space="preserve"> </w:t>
                            </w:r>
                            <w:r w:rsidRPr="007D3356">
                              <w:rPr>
                                <w:rFonts w:asciiTheme="majorBidi" w:hAnsiTheme="majorBidi" w:cstheme="majorBidi"/>
                                <w:color w:val="212121"/>
                                <w:sz w:val="16"/>
                                <w:szCs w:val="16"/>
                                <w:shd w:val="clear" w:color="auto" w:fill="FFFFFF"/>
                              </w:rPr>
                              <w:t>use of all indicated medications in doses ≥50% of the target dose; moderate adherence defined as use of more than half of the medications in doses ≥50% of the target dose</w:t>
                            </w:r>
                            <w:r>
                              <w:rPr>
                                <w:rFonts w:asciiTheme="majorBidi" w:hAnsiTheme="majorBidi" w:cstheme="majorBidi"/>
                                <w:color w:val="212121"/>
                                <w:sz w:val="16"/>
                                <w:szCs w:val="16"/>
                                <w:shd w:val="clear" w:color="auto" w:fill="FFFFFF"/>
                              </w:rPr>
                              <w:t xml:space="preserve">; </w:t>
                            </w:r>
                            <w:r w:rsidRPr="007D3356">
                              <w:rPr>
                                <w:rFonts w:asciiTheme="majorBidi" w:hAnsiTheme="majorBidi" w:cstheme="majorBidi"/>
                                <w:color w:val="212121"/>
                                <w:sz w:val="16"/>
                                <w:szCs w:val="16"/>
                                <w:shd w:val="clear" w:color="auto" w:fill="FFFFFF"/>
                              </w:rPr>
                              <w:t>poor adherence defined as</w:t>
                            </w:r>
                            <w:r w:rsidRPr="007D3356">
                              <w:rPr>
                                <w:rFonts w:ascii="Cambria" w:hAnsi="Cambria"/>
                                <w:color w:val="333333"/>
                                <w:sz w:val="16"/>
                                <w:szCs w:val="16"/>
                                <w:shd w:val="clear" w:color="auto" w:fill="FFFCF0"/>
                              </w:rPr>
                              <w:t xml:space="preserve"> </w:t>
                            </w:r>
                            <w:r w:rsidRPr="007D3356">
                              <w:rPr>
                                <w:rFonts w:asciiTheme="majorBidi" w:hAnsiTheme="majorBidi" w:cstheme="majorBidi"/>
                                <w:color w:val="212121"/>
                                <w:sz w:val="16"/>
                                <w:szCs w:val="16"/>
                                <w:shd w:val="clear" w:color="auto" w:fill="FFFFFF"/>
                              </w:rPr>
                              <w:t xml:space="preserve">and use of less than half the recommended medications and/or in doses &lt;50% of target dose.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81181" id="Text Box 27" o:spid="_x0000_s1027" type="#_x0000_t202" style="position:absolute;left:0;text-align:left;margin-left:0;margin-top:10.15pt;width:483pt;height:7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" filled="f" stroked="f" strokeweight=".5pt">
                <v:textbox>
                  <w:txbxContent>
                    <w:p w14:paraId="00F29A04" w14:textId="77777777" w:rsidR="0045675C" w:rsidRDefault="0045675C" w:rsidP="0045675C">
                      <w:pPr>
                        <w:spacing w:after="240" w:line="276" w:lineRule="auto"/>
                        <w:rPr>
                          <w:rFonts w:asciiTheme="majorBidi" w:hAnsiTheme="majorBidi" w:cstheme="majorBidi"/>
                          <w:b/>
                          <w:bCs/>
                          <w:color w:val="000000"/>
                        </w:rPr>
                      </w:pPr>
                      <w:r w:rsidRPr="00FE0F35">
                        <w:rPr>
                          <w:rFonts w:asciiTheme="majorBidi" w:hAnsiTheme="majorBidi" w:cstheme="majorBidi"/>
                          <w:b/>
                          <w:bCs/>
                          <w:color w:val="000000"/>
                        </w:rPr>
                        <w:t xml:space="preserve">Figure </w:t>
                      </w:r>
                      <w:r>
                        <w:rPr>
                          <w:rFonts w:asciiTheme="majorBidi" w:hAnsiTheme="majorBidi" w:cstheme="majorBidi"/>
                          <w:b/>
                          <w:bCs/>
                          <w:color w:val="000000"/>
                        </w:rPr>
                        <w:t>1</w:t>
                      </w:r>
                      <w:r w:rsidRPr="00FE0F35">
                        <w:rPr>
                          <w:rFonts w:asciiTheme="majorBidi" w:hAnsiTheme="majorBidi" w:cstheme="majorBidi"/>
                          <w:b/>
                          <w:bCs/>
                          <w:color w:val="000000"/>
                        </w:rPr>
                        <w:t>. Global guideline adherence score</w:t>
                      </w:r>
                      <w:r>
                        <w:rPr>
                          <w:rFonts w:asciiTheme="majorBidi" w:hAnsiTheme="majorBidi" w:cstheme="majorBidi"/>
                          <w:b/>
                          <w:bCs/>
                          <w:color w:val="000000"/>
                        </w:rPr>
                        <w:t xml:space="preserve"> at NHC, Oman</w:t>
                      </w:r>
                      <w:r w:rsidRPr="00FE0F35">
                        <w:rPr>
                          <w:rFonts w:asciiTheme="majorBidi" w:hAnsiTheme="majorBidi" w:cstheme="majorBidi"/>
                          <w:b/>
                          <w:bCs/>
                          <w:color w:val="000000"/>
                        </w:rPr>
                        <w:t xml:space="preserve">. </w:t>
                      </w:r>
                    </w:p>
                    <w:p w14:paraId="760B43F2" w14:textId="77777777" w:rsidR="0045675C" w:rsidRPr="007D3356" w:rsidRDefault="0045675C" w:rsidP="0045675C">
                      <w:pPr>
                        <w:spacing w:after="240" w:line="276" w:lineRule="auto"/>
                        <w:jc w:val="both"/>
                        <w:rPr>
                          <w:rFonts w:asciiTheme="majorBidi" w:hAnsiTheme="majorBidi" w:cstheme="majorBidi"/>
                          <w:color w:val="212121"/>
                          <w:sz w:val="16"/>
                          <w:szCs w:val="16"/>
                          <w:shd w:val="clear" w:color="auto" w:fill="FFFFFF"/>
                        </w:rPr>
                      </w:pPr>
                      <w:r w:rsidRPr="007D3356">
                        <w:rPr>
                          <w:rFonts w:asciiTheme="majorBidi" w:hAnsiTheme="majorBidi" w:cstheme="majorBidi"/>
                          <w:color w:val="000000"/>
                          <w:sz w:val="16"/>
                          <w:szCs w:val="16"/>
                        </w:rPr>
                        <w:t xml:space="preserve">NHC, National Heart Centre; </w:t>
                      </w:r>
                      <w:r w:rsidRPr="007D3356">
                        <w:rPr>
                          <w:rFonts w:asciiTheme="majorBidi" w:hAnsiTheme="majorBidi" w:cstheme="majorBidi"/>
                          <w:color w:val="212121"/>
                          <w:sz w:val="16"/>
                          <w:szCs w:val="16"/>
                          <w:shd w:val="clear" w:color="auto" w:fill="FFFFFF"/>
                        </w:rPr>
                        <w:t>Good adherence, defined as</w:t>
                      </w:r>
                      <w:r w:rsidRPr="007D3356">
                        <w:rPr>
                          <w:rFonts w:ascii="Cambria" w:hAnsi="Cambria"/>
                          <w:color w:val="333333"/>
                          <w:sz w:val="16"/>
                          <w:szCs w:val="16"/>
                          <w:shd w:val="clear" w:color="auto" w:fill="FFFCF0"/>
                        </w:rPr>
                        <w:t xml:space="preserve"> </w:t>
                      </w:r>
                      <w:r w:rsidRPr="007D3356">
                        <w:rPr>
                          <w:rFonts w:asciiTheme="majorBidi" w:hAnsiTheme="majorBidi" w:cstheme="majorBidi"/>
                          <w:color w:val="212121"/>
                          <w:sz w:val="16"/>
                          <w:szCs w:val="16"/>
                          <w:shd w:val="clear" w:color="auto" w:fill="FFFFFF"/>
                        </w:rPr>
                        <w:t>use of all indicated medications in doses ≥50% of the target dose; moderate adherence defined as use of more than half of the medications in doses ≥50% of the target dose</w:t>
                      </w:r>
                      <w:r>
                        <w:rPr>
                          <w:rFonts w:asciiTheme="majorBidi" w:hAnsiTheme="majorBidi" w:cstheme="majorBidi"/>
                          <w:color w:val="212121"/>
                          <w:sz w:val="16"/>
                          <w:szCs w:val="16"/>
                          <w:shd w:val="clear" w:color="auto" w:fill="FFFFFF"/>
                        </w:rPr>
                        <w:t xml:space="preserve">; </w:t>
                      </w:r>
                      <w:r w:rsidRPr="007D3356">
                        <w:rPr>
                          <w:rFonts w:asciiTheme="majorBidi" w:hAnsiTheme="majorBidi" w:cstheme="majorBidi"/>
                          <w:color w:val="212121"/>
                          <w:sz w:val="16"/>
                          <w:szCs w:val="16"/>
                          <w:shd w:val="clear" w:color="auto" w:fill="FFFFFF"/>
                        </w:rPr>
                        <w:t>poor adherence defined as</w:t>
                      </w:r>
                      <w:r w:rsidRPr="007D3356">
                        <w:rPr>
                          <w:rFonts w:ascii="Cambria" w:hAnsi="Cambria"/>
                          <w:color w:val="333333"/>
                          <w:sz w:val="16"/>
                          <w:szCs w:val="16"/>
                          <w:shd w:val="clear" w:color="auto" w:fill="FFFCF0"/>
                        </w:rPr>
                        <w:t xml:space="preserve"> </w:t>
                      </w:r>
                      <w:r w:rsidRPr="007D3356">
                        <w:rPr>
                          <w:rFonts w:asciiTheme="majorBidi" w:hAnsiTheme="majorBidi" w:cstheme="majorBidi"/>
                          <w:color w:val="212121"/>
                          <w:sz w:val="16"/>
                          <w:szCs w:val="16"/>
                          <w:shd w:val="clear" w:color="auto" w:fill="FFFFFF"/>
                        </w:rPr>
                        <w:t xml:space="preserve">and use of less than half the recommended medications and/or in doses &lt;50% of target dose. </w:t>
                      </w:r>
                    </w:p>
                  </w:txbxContent>
                </v:textbox>
              </v:shape>
            </w:pict>
          </mc:Fallback>
        </mc:AlternateContent>
      </w:r>
    </w:p>
    <w:p w14:paraId="7F1FB08D" w14:textId="28670879" w:rsidR="0045675C" w:rsidRDefault="0045675C" w:rsidP="003B65E4">
      <w:pPr>
        <w:spacing w:after="240" w:line="480" w:lineRule="auto"/>
        <w:jc w:val="both"/>
        <w:rPr>
          <w:rFonts w:ascii="Times New Roman" w:hAnsi="Times New Roman"/>
          <w:color w:val="000000"/>
          <w:lang w:eastAsia="en-GB"/>
        </w:rPr>
      </w:pPr>
    </w:p>
    <w:p w14:paraId="08F8B9DA" w14:textId="282A3AAB" w:rsidR="0045675C" w:rsidRDefault="0010502E" w:rsidP="003B65E4">
      <w:pPr>
        <w:spacing w:after="240" w:line="480" w:lineRule="auto"/>
        <w:jc w:val="both"/>
        <w:rPr>
          <w:rFonts w:ascii="Times New Roman" w:hAnsi="Times New Roman"/>
          <w:color w:val="000000"/>
          <w:lang w:eastAsia="en-GB"/>
        </w:rPr>
      </w:pPr>
      <w:r w:rsidRPr="00F217FD">
        <w:rPr>
          <w:rFonts w:asciiTheme="majorBidi" w:hAnsiTheme="majorBidi" w:cstheme="majorBidi"/>
          <w:noProof/>
          <w:color w:val="212121"/>
          <w:shd w:val="clear" w:color="auto" w:fill="FFFFFF"/>
        </w:rPr>
        <w:drawing>
          <wp:anchor distT="0" distB="0" distL="114300" distR="114300" simplePos="0" relativeHeight="251664384" behindDoc="1" locked="0" layoutInCell="1" allowOverlap="1" wp14:anchorId="0F38B02B" wp14:editId="3737B0E6">
            <wp:simplePos x="0" y="0"/>
            <wp:positionH relativeFrom="column">
              <wp:posOffset>2540</wp:posOffset>
            </wp:positionH>
            <wp:positionV relativeFrom="paragraph">
              <wp:posOffset>337820</wp:posOffset>
            </wp:positionV>
            <wp:extent cx="5753100" cy="2675255"/>
            <wp:effectExtent l="0" t="0" r="12700" b="17145"/>
            <wp:wrapTight wrapText="bothSides">
              <wp:wrapPolygon edited="0">
                <wp:start x="0" y="0"/>
                <wp:lineTo x="0" y="21636"/>
                <wp:lineTo x="21600" y="21636"/>
                <wp:lineTo x="21600" y="0"/>
                <wp:lineTo x="0" y="0"/>
              </wp:wrapPolygon>
            </wp:wrapTight>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252E38F4" w14:textId="4E3A2856" w:rsidR="0045675C" w:rsidRDefault="0045675C" w:rsidP="003B65E4">
      <w:pPr>
        <w:spacing w:after="240" w:line="480" w:lineRule="auto"/>
        <w:jc w:val="both"/>
        <w:rPr>
          <w:rFonts w:ascii="Times New Roman" w:hAnsi="Times New Roman"/>
          <w:color w:val="000000"/>
          <w:lang w:eastAsia="en-GB"/>
        </w:rPr>
      </w:pPr>
      <w:r w:rsidRPr="00F217FD">
        <w:rPr>
          <w:rFonts w:asciiTheme="majorBidi" w:hAnsiTheme="majorBidi" w:cstheme="majorBidi"/>
          <w:noProof/>
          <w:color w:val="212121"/>
          <w:shd w:val="clear" w:color="auto" w:fill="FFFFFF"/>
        </w:rPr>
        <mc:AlternateContent>
          <mc:Choice Requires="wps">
            <w:drawing>
              <wp:anchor distT="0" distB="0" distL="114300" distR="114300" simplePos="0" relativeHeight="251665408" behindDoc="0" locked="0" layoutInCell="1" allowOverlap="1" wp14:anchorId="65C17414" wp14:editId="53ABCF34">
                <wp:simplePos x="0" y="0"/>
                <wp:positionH relativeFrom="column">
                  <wp:posOffset>-88900</wp:posOffset>
                </wp:positionH>
                <wp:positionV relativeFrom="paragraph">
                  <wp:posOffset>2805430</wp:posOffset>
                </wp:positionV>
                <wp:extent cx="5943600" cy="762000"/>
                <wp:effectExtent l="0" t="0" r="0" b="0"/>
                <wp:wrapNone/>
                <wp:docPr id="8" name="Text Box 8"/>
                <wp:cNvGraphicFramePr/>
                <a:graphic xmlns:a="http://schemas.openxmlformats.org/drawingml/2006/main">
                  <a:graphicData uri="http://schemas.microsoft.com/office/word/2010/wordprocessingShape">
                    <wps:wsp>
                      <wps:cNvSpPr txBox="1"/>
                      <wps:spPr>
                        <a:xfrm>
                          <a:off x="0" y="0"/>
                          <a:ext cx="5943600" cy="762000"/>
                        </a:xfrm>
                        <a:prstGeom prst="rect">
                          <a:avLst/>
                        </a:prstGeom>
                        <a:noFill/>
                        <a:ln w="6350">
                          <a:noFill/>
                        </a:ln>
                      </wps:spPr>
                      <wps:txbx>
                        <w:txbxContent>
                          <w:p w14:paraId="369DD37B" w14:textId="77777777" w:rsidR="0045675C" w:rsidRDefault="0045675C" w:rsidP="0045675C">
                            <w:pPr>
                              <w:spacing w:after="240"/>
                              <w:rPr>
                                <w:rFonts w:asciiTheme="majorBidi" w:hAnsiTheme="majorBidi" w:cstheme="majorBidi"/>
                                <w:b/>
                                <w:bCs/>
                                <w:color w:val="000000"/>
                              </w:rPr>
                            </w:pPr>
                            <w:r w:rsidRPr="00F217FD">
                              <w:rPr>
                                <w:rFonts w:asciiTheme="majorBidi" w:hAnsiTheme="majorBidi" w:cstheme="majorBidi"/>
                                <w:b/>
                                <w:bCs/>
                                <w:color w:val="000000"/>
                              </w:rPr>
                              <w:t xml:space="preserve">Figure </w:t>
                            </w:r>
                            <w:r>
                              <w:rPr>
                                <w:rFonts w:asciiTheme="majorBidi" w:hAnsiTheme="majorBidi" w:cstheme="majorBidi"/>
                                <w:b/>
                                <w:bCs/>
                                <w:color w:val="000000"/>
                              </w:rPr>
                              <w:t>2</w:t>
                            </w:r>
                            <w:r w:rsidRPr="00F217FD">
                              <w:rPr>
                                <w:rFonts w:asciiTheme="majorBidi" w:hAnsiTheme="majorBidi" w:cstheme="majorBidi"/>
                                <w:b/>
                                <w:bCs/>
                                <w:color w:val="000000"/>
                              </w:rPr>
                              <w:t xml:space="preserve">. </w:t>
                            </w:r>
                            <w:r>
                              <w:rPr>
                                <w:rFonts w:asciiTheme="majorBidi" w:hAnsiTheme="majorBidi" w:cstheme="majorBidi"/>
                                <w:b/>
                                <w:bCs/>
                                <w:color w:val="000000"/>
                              </w:rPr>
                              <w:t xml:space="preserve">The proportion of </w:t>
                            </w:r>
                            <w:r w:rsidRPr="00F217FD">
                              <w:rPr>
                                <w:rFonts w:asciiTheme="majorBidi" w:hAnsiTheme="majorBidi" w:cstheme="majorBidi"/>
                                <w:b/>
                                <w:bCs/>
                                <w:color w:val="000000"/>
                              </w:rPr>
                              <w:t xml:space="preserve">GDMT </w:t>
                            </w:r>
                            <w:r w:rsidRPr="00F217FD">
                              <w:rPr>
                                <w:rFonts w:asciiTheme="majorBidi" w:hAnsiTheme="majorBidi" w:cstheme="majorBidi"/>
                                <w:b/>
                                <w:bCs/>
                                <w:color w:val="000000" w:themeColor="text1"/>
                                <w:shd w:val="clear" w:color="auto" w:fill="FFFFFF"/>
                              </w:rPr>
                              <w:t>dose attainment</w:t>
                            </w:r>
                            <w:r>
                              <w:rPr>
                                <w:rFonts w:asciiTheme="majorBidi" w:hAnsiTheme="majorBidi" w:cstheme="majorBidi"/>
                                <w:b/>
                                <w:bCs/>
                                <w:color w:val="000000"/>
                              </w:rPr>
                              <w:t xml:space="preserve"> </w:t>
                            </w:r>
                          </w:p>
                          <w:p w14:paraId="5FC6E3C2" w14:textId="77777777" w:rsidR="0045675C" w:rsidRPr="0041637B" w:rsidRDefault="0045675C" w:rsidP="0045675C">
                            <w:pPr>
                              <w:spacing w:after="240"/>
                              <w:rPr>
                                <w:rFonts w:asciiTheme="majorBidi" w:hAnsiTheme="majorBidi" w:cstheme="majorBidi"/>
                                <w:b/>
                                <w:bCs/>
                                <w:color w:val="000000"/>
                                <w:sz w:val="16"/>
                                <w:szCs w:val="16"/>
                              </w:rPr>
                            </w:pPr>
                            <w:r w:rsidRPr="0041637B">
                              <w:rPr>
                                <w:rFonts w:asciiTheme="majorBidi" w:hAnsiTheme="majorBidi" w:cstheme="majorBidi"/>
                                <w:color w:val="212121"/>
                                <w:sz w:val="16"/>
                                <w:szCs w:val="16"/>
                                <w:shd w:val="clear" w:color="auto" w:fill="FFFFFF"/>
                              </w:rPr>
                              <w:t>GDMT, guideline-directed medical therapy; BBs, β-blockers; ACEIs, angiotensin-converting enzyme inhibitors; ARBs, angiotensin receptor blockers; ARNIs, angiotensin receptor–neprilysin inhibitors, and MRAs, mineralocorticoid receptor antagonists</w:t>
                            </w:r>
                            <w:r>
                              <w:rPr>
                                <w:rFonts w:asciiTheme="majorBidi" w:hAnsiTheme="majorBidi" w:cstheme="majorBidi"/>
                                <w:color w:val="212121"/>
                                <w:sz w:val="16"/>
                                <w:szCs w:val="16"/>
                                <w:shd w:val="clear" w:color="auto" w:fill="FFFFFF"/>
                              </w:rPr>
                              <w:t xml:space="preserve">. </w:t>
                            </w:r>
                          </w:p>
                          <w:p w14:paraId="6C1C6DA7" w14:textId="77777777" w:rsidR="0045675C" w:rsidRPr="00F217FD" w:rsidRDefault="0045675C" w:rsidP="0045675C">
                            <w:pPr>
                              <w:jc w:val="both"/>
                              <w:rPr>
                                <w:rFonts w:asciiTheme="majorBidi" w:hAnsiTheme="majorBidi" w:cstheme="majorBidi"/>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17414" id="Text Box 8" o:spid="_x0000_s1028" type="#_x0000_t202" style="position:absolute;left:0;text-align:left;margin-left:-7pt;margin-top:220.9pt;width:468pt;height:6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" filled="f" stroked="f" strokeweight=".5pt">
                <v:textbox>
                  <w:txbxContent>
                    <w:p w14:paraId="369DD37B" w14:textId="77777777" w:rsidR="0045675C" w:rsidRDefault="0045675C" w:rsidP="0045675C">
                      <w:pPr>
                        <w:spacing w:after="240"/>
                        <w:rPr>
                          <w:rFonts w:asciiTheme="majorBidi" w:hAnsiTheme="majorBidi" w:cstheme="majorBidi"/>
                          <w:b/>
                          <w:bCs/>
                          <w:color w:val="000000"/>
                        </w:rPr>
                      </w:pPr>
                      <w:r w:rsidRPr="00F217FD">
                        <w:rPr>
                          <w:rFonts w:asciiTheme="majorBidi" w:hAnsiTheme="majorBidi" w:cstheme="majorBidi"/>
                          <w:b/>
                          <w:bCs/>
                          <w:color w:val="000000"/>
                        </w:rPr>
                        <w:t xml:space="preserve">Figure </w:t>
                      </w:r>
                      <w:r>
                        <w:rPr>
                          <w:rFonts w:asciiTheme="majorBidi" w:hAnsiTheme="majorBidi" w:cstheme="majorBidi"/>
                          <w:b/>
                          <w:bCs/>
                          <w:color w:val="000000"/>
                        </w:rPr>
                        <w:t>2</w:t>
                      </w:r>
                      <w:r w:rsidRPr="00F217FD">
                        <w:rPr>
                          <w:rFonts w:asciiTheme="majorBidi" w:hAnsiTheme="majorBidi" w:cstheme="majorBidi"/>
                          <w:b/>
                          <w:bCs/>
                          <w:color w:val="000000"/>
                        </w:rPr>
                        <w:t xml:space="preserve">. </w:t>
                      </w:r>
                      <w:r>
                        <w:rPr>
                          <w:rFonts w:asciiTheme="majorBidi" w:hAnsiTheme="majorBidi" w:cstheme="majorBidi"/>
                          <w:b/>
                          <w:bCs/>
                          <w:color w:val="000000"/>
                        </w:rPr>
                        <w:t xml:space="preserve">The proportion of </w:t>
                      </w:r>
                      <w:r w:rsidRPr="00F217FD">
                        <w:rPr>
                          <w:rFonts w:asciiTheme="majorBidi" w:hAnsiTheme="majorBidi" w:cstheme="majorBidi"/>
                          <w:b/>
                          <w:bCs/>
                          <w:color w:val="000000"/>
                        </w:rPr>
                        <w:t xml:space="preserve">GDMT </w:t>
                      </w:r>
                      <w:r w:rsidRPr="00F217FD">
                        <w:rPr>
                          <w:rFonts w:asciiTheme="majorBidi" w:hAnsiTheme="majorBidi" w:cstheme="majorBidi"/>
                          <w:b/>
                          <w:bCs/>
                          <w:color w:val="000000" w:themeColor="text1"/>
                          <w:shd w:val="clear" w:color="auto" w:fill="FFFFFF"/>
                        </w:rPr>
                        <w:t>dose attainment</w:t>
                      </w:r>
                      <w:r>
                        <w:rPr>
                          <w:rFonts w:asciiTheme="majorBidi" w:hAnsiTheme="majorBidi" w:cstheme="majorBidi"/>
                          <w:b/>
                          <w:bCs/>
                          <w:color w:val="000000"/>
                        </w:rPr>
                        <w:t xml:space="preserve"> </w:t>
                      </w:r>
                    </w:p>
                    <w:p w14:paraId="5FC6E3C2" w14:textId="77777777" w:rsidR="0045675C" w:rsidRPr="0041637B" w:rsidRDefault="0045675C" w:rsidP="0045675C">
                      <w:pPr>
                        <w:spacing w:after="240"/>
                        <w:rPr>
                          <w:rFonts w:asciiTheme="majorBidi" w:hAnsiTheme="majorBidi" w:cstheme="majorBidi"/>
                          <w:b/>
                          <w:bCs/>
                          <w:color w:val="000000"/>
                          <w:sz w:val="16"/>
                          <w:szCs w:val="16"/>
                        </w:rPr>
                      </w:pPr>
                      <w:r w:rsidRPr="0041637B">
                        <w:rPr>
                          <w:rFonts w:asciiTheme="majorBidi" w:hAnsiTheme="majorBidi" w:cstheme="majorBidi"/>
                          <w:color w:val="212121"/>
                          <w:sz w:val="16"/>
                          <w:szCs w:val="16"/>
                          <w:shd w:val="clear" w:color="auto" w:fill="FFFFFF"/>
                        </w:rPr>
                        <w:t>GDMT, guideline-directed medical therapy; BBs, β-blockers; ACEIs, angiotensin-converting enzyme inhibitors; ARBs, angiotensin receptor blockers; ARNIs, angiotensin receptor–neprilysin inhibitors, and MRAs, mineralocorticoid receptor antagonists</w:t>
                      </w:r>
                      <w:r>
                        <w:rPr>
                          <w:rFonts w:asciiTheme="majorBidi" w:hAnsiTheme="majorBidi" w:cstheme="majorBidi"/>
                          <w:color w:val="212121"/>
                          <w:sz w:val="16"/>
                          <w:szCs w:val="16"/>
                          <w:shd w:val="clear" w:color="auto" w:fill="FFFFFF"/>
                        </w:rPr>
                        <w:t xml:space="preserve">. </w:t>
                      </w:r>
                    </w:p>
                    <w:p w14:paraId="6C1C6DA7" w14:textId="77777777" w:rsidR="0045675C" w:rsidRPr="00F217FD" w:rsidRDefault="0045675C" w:rsidP="0045675C">
                      <w:pPr>
                        <w:jc w:val="both"/>
                        <w:rPr>
                          <w:rFonts w:asciiTheme="majorBidi" w:hAnsiTheme="majorBidi" w:cstheme="majorBidi"/>
                          <w:sz w:val="21"/>
                          <w:szCs w:val="21"/>
                        </w:rPr>
                      </w:pPr>
                    </w:p>
                  </w:txbxContent>
                </v:textbox>
              </v:shape>
            </w:pict>
          </mc:Fallback>
        </mc:AlternateContent>
      </w:r>
    </w:p>
    <w:p w14:paraId="69A1C3AA" w14:textId="212A5063" w:rsidR="0045675C" w:rsidRDefault="0045675C" w:rsidP="003B65E4">
      <w:pPr>
        <w:spacing w:after="240" w:line="480" w:lineRule="auto"/>
        <w:jc w:val="both"/>
        <w:rPr>
          <w:rFonts w:ascii="Times New Roman" w:hAnsi="Times New Roman"/>
          <w:color w:val="000000"/>
          <w:lang w:eastAsia="en-GB"/>
        </w:rPr>
      </w:pPr>
    </w:p>
    <w:p w14:paraId="75C7D8B2" w14:textId="1047C071" w:rsidR="003B65E4" w:rsidRDefault="0010502E" w:rsidP="003B65E4">
      <w:pPr>
        <w:spacing w:after="240" w:line="480" w:lineRule="auto"/>
        <w:jc w:val="both"/>
        <w:rPr>
          <w:rFonts w:ascii="Times New Roman" w:hAnsi="Times New Roman"/>
          <w:color w:val="000000"/>
          <w:lang w:eastAsia="en-GB"/>
        </w:rPr>
      </w:pPr>
      <w:r w:rsidRPr="00F217FD">
        <w:rPr>
          <w:rFonts w:asciiTheme="majorBidi" w:hAnsiTheme="majorBidi" w:cstheme="majorBidi"/>
          <w:noProof/>
          <w:color w:val="212121"/>
          <w:shd w:val="clear" w:color="auto" w:fill="FFFFFF"/>
        </w:rPr>
        <w:lastRenderedPageBreak/>
        <mc:AlternateContent>
          <mc:Choice Requires="wps">
            <w:drawing>
              <wp:anchor distT="0" distB="0" distL="114300" distR="114300" simplePos="0" relativeHeight="251667456" behindDoc="0" locked="0" layoutInCell="1" allowOverlap="1" wp14:anchorId="05418FFB" wp14:editId="77B1A30D">
                <wp:simplePos x="0" y="0"/>
                <wp:positionH relativeFrom="column">
                  <wp:posOffset>-101600</wp:posOffset>
                </wp:positionH>
                <wp:positionV relativeFrom="paragraph">
                  <wp:posOffset>2532380</wp:posOffset>
                </wp:positionV>
                <wp:extent cx="6045200" cy="4572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045200" cy="457200"/>
                        </a:xfrm>
                        <a:prstGeom prst="rect">
                          <a:avLst/>
                        </a:prstGeom>
                        <a:noFill/>
                        <a:ln w="6350">
                          <a:noFill/>
                        </a:ln>
                      </wps:spPr>
                      <wps:txbx>
                        <w:txbxContent>
                          <w:p w14:paraId="143140BD" w14:textId="77777777" w:rsidR="0045675C" w:rsidRPr="00F217FD" w:rsidRDefault="0045675C" w:rsidP="0045675C">
                            <w:pPr>
                              <w:rPr>
                                <w:rFonts w:asciiTheme="majorBidi" w:hAnsiTheme="majorBidi" w:cstheme="majorBidi"/>
                                <w:b/>
                                <w:bCs/>
                                <w:color w:val="000000"/>
                              </w:rPr>
                            </w:pPr>
                            <w:r w:rsidRPr="00F217FD">
                              <w:rPr>
                                <w:rFonts w:asciiTheme="majorBidi" w:hAnsiTheme="majorBidi" w:cstheme="majorBidi"/>
                                <w:b/>
                                <w:bCs/>
                                <w:color w:val="000000"/>
                              </w:rPr>
                              <w:t xml:space="preserve">Table </w:t>
                            </w:r>
                            <w:r>
                              <w:rPr>
                                <w:rFonts w:asciiTheme="majorBidi" w:hAnsiTheme="majorBidi" w:cstheme="majorBidi"/>
                                <w:b/>
                                <w:bCs/>
                                <w:color w:val="000000"/>
                              </w:rPr>
                              <w:t>2</w:t>
                            </w:r>
                            <w:r w:rsidRPr="00F217FD">
                              <w:rPr>
                                <w:rFonts w:asciiTheme="majorBidi" w:hAnsiTheme="majorBidi" w:cstheme="majorBidi"/>
                                <w:b/>
                                <w:bCs/>
                                <w:color w:val="000000"/>
                              </w:rPr>
                              <w:t xml:space="preserve">. Simple logistic regression model results of association between patient-level factors and sub-optimisation (&lt;50%) of BBs, ACEI/ARB/ARNI and MRAs.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18FFB" id="Text Box 15" o:spid="_x0000_s1029" type="#_x0000_t202" style="position:absolute;left:0;text-align:left;margin-left:-8pt;margin-top:199.4pt;width:47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" filled="f" stroked="f" strokeweight=".5pt">
                <v:textbox>
                  <w:txbxContent>
                    <w:p w14:paraId="143140BD" w14:textId="77777777" w:rsidR="0045675C" w:rsidRPr="00F217FD" w:rsidRDefault="0045675C" w:rsidP="0045675C">
                      <w:pPr>
                        <w:rPr>
                          <w:rFonts w:asciiTheme="majorBidi" w:hAnsiTheme="majorBidi" w:cstheme="majorBidi"/>
                          <w:b/>
                          <w:bCs/>
                          <w:color w:val="000000"/>
                        </w:rPr>
                      </w:pPr>
                      <w:r w:rsidRPr="00F217FD">
                        <w:rPr>
                          <w:rFonts w:asciiTheme="majorBidi" w:hAnsiTheme="majorBidi" w:cstheme="majorBidi"/>
                          <w:b/>
                          <w:bCs/>
                          <w:color w:val="000000"/>
                        </w:rPr>
                        <w:t xml:space="preserve">Table </w:t>
                      </w:r>
                      <w:r>
                        <w:rPr>
                          <w:rFonts w:asciiTheme="majorBidi" w:hAnsiTheme="majorBidi" w:cstheme="majorBidi"/>
                          <w:b/>
                          <w:bCs/>
                          <w:color w:val="000000"/>
                        </w:rPr>
                        <w:t>2</w:t>
                      </w:r>
                      <w:r w:rsidRPr="00F217FD">
                        <w:rPr>
                          <w:rFonts w:asciiTheme="majorBidi" w:hAnsiTheme="majorBidi" w:cstheme="majorBidi"/>
                          <w:b/>
                          <w:bCs/>
                          <w:color w:val="000000"/>
                        </w:rPr>
                        <w:t xml:space="preserve">. Simple logistic regression model results of association between patient-level factors and sub-optimisation (&lt;50%) of BBs, ACEI/ARB/ARNI and MRAs. </w:t>
                      </w:r>
                    </w:p>
                  </w:txbxContent>
                </v:textbox>
              </v:shape>
            </w:pict>
          </mc:Fallback>
        </mc:AlternateContent>
      </w:r>
      <w:r w:rsidR="003B65E4" w:rsidRPr="003B65E4">
        <w:rPr>
          <w:rFonts w:ascii="Times New Roman" w:hAnsi="Times New Roman"/>
          <w:color w:val="000000"/>
          <w:lang w:eastAsia="en-GB"/>
        </w:rPr>
        <w:t xml:space="preserve">Univariant analyses of the variables associated with the sub-optimisation </w:t>
      </w:r>
      <w:bookmarkStart w:id="0" w:name="OLE_LINK3"/>
      <w:bookmarkStart w:id="1" w:name="OLE_LINK4"/>
      <w:r w:rsidR="003B65E4" w:rsidRPr="003B65E4">
        <w:rPr>
          <w:rFonts w:ascii="Times New Roman" w:hAnsi="Times New Roman"/>
          <w:color w:val="000000"/>
          <w:lang w:eastAsia="en-GB"/>
        </w:rPr>
        <w:t xml:space="preserve">(&lt;50%) </w:t>
      </w:r>
      <w:bookmarkEnd w:id="0"/>
      <w:bookmarkEnd w:id="1"/>
      <w:r w:rsidR="003B65E4" w:rsidRPr="003B65E4">
        <w:rPr>
          <w:rFonts w:ascii="Times New Roman" w:hAnsi="Times New Roman"/>
          <w:color w:val="000000"/>
          <w:lang w:eastAsia="en-GB"/>
        </w:rPr>
        <w:t>of BBs, ACEI/ARB/ARNI, and MRAs are displayed in Table 2. According to univariant analysis, there was a significate association between the sub-optimal dose of BB and HT (odd ratio [OR]: 2.64; 95% confidence interval [CI]: 1.36 to 5.13; P=0.004). Also, patients with ACEI/ARB/ARNI and with DCM (OR: 2.1; 95% CI 1.18 to 3.75; P=0.012), and CAD (OR: 0.45; 95% CI 0.24 to 0.86; P=0.015) had a greater likelihood of being sub-optimised. Finally, sub-optimisation of MRAs was associated with older age (OR: 7.51; 95% CI 1.93 to 29.16; P=0.004), patients with a history of CKD (OR: 10.70; 95% CI 3.05 to 37.6; P=0.001), and with history of HT (OR: 3.88; 95% CI 1.01 to 14.98; P=0.04).</w:t>
      </w:r>
    </w:p>
    <w:p w14:paraId="5582C0F4" w14:textId="36CA7719" w:rsidR="0045675C" w:rsidRPr="003B65E4" w:rsidRDefault="0045675C" w:rsidP="003B65E4">
      <w:pPr>
        <w:spacing w:after="240" w:line="480" w:lineRule="auto"/>
        <w:jc w:val="both"/>
        <w:rPr>
          <w:rFonts w:ascii="Times New Roman" w:hAnsi="Times New Roman"/>
          <w:color w:val="000000"/>
          <w:lang w:eastAsia="en-GB"/>
        </w:rPr>
      </w:pPr>
    </w:p>
    <w:tbl>
      <w:tblPr>
        <w:tblStyle w:val="TableGrid"/>
        <w:tblpPr w:leftFromText="180" w:rightFromText="180" w:vertAnchor="text" w:horzAnchor="margin" w:tblpY="-106"/>
        <w:tblW w:w="9924" w:type="dxa"/>
        <w:tblLayout w:type="fixed"/>
        <w:tblLook w:val="04A0" w:firstRow="1" w:lastRow="0" w:firstColumn="1" w:lastColumn="0" w:noHBand="0" w:noVBand="1"/>
      </w:tblPr>
      <w:tblGrid>
        <w:gridCol w:w="2259"/>
        <w:gridCol w:w="1711"/>
        <w:gridCol w:w="851"/>
        <w:gridCol w:w="1701"/>
        <w:gridCol w:w="850"/>
        <w:gridCol w:w="1701"/>
        <w:gridCol w:w="851"/>
      </w:tblGrid>
      <w:tr w:rsidR="0045675C" w:rsidRPr="005A6350" w14:paraId="6CCF6185" w14:textId="77777777" w:rsidTr="00F308B6">
        <w:tc>
          <w:tcPr>
            <w:tcW w:w="2259" w:type="dxa"/>
            <w:vMerge w:val="restart"/>
          </w:tcPr>
          <w:p w14:paraId="42FFFEA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Variables</w:t>
            </w:r>
          </w:p>
        </w:tc>
        <w:tc>
          <w:tcPr>
            <w:tcW w:w="2562" w:type="dxa"/>
            <w:gridSpan w:val="2"/>
          </w:tcPr>
          <w:p w14:paraId="71D9345E"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BBs</w:t>
            </w:r>
          </w:p>
        </w:tc>
        <w:tc>
          <w:tcPr>
            <w:tcW w:w="2551" w:type="dxa"/>
            <w:gridSpan w:val="2"/>
          </w:tcPr>
          <w:p w14:paraId="34BAE2F9"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ACEI/ARB/ARNI</w:t>
            </w:r>
          </w:p>
        </w:tc>
        <w:tc>
          <w:tcPr>
            <w:tcW w:w="2552" w:type="dxa"/>
            <w:gridSpan w:val="2"/>
          </w:tcPr>
          <w:p w14:paraId="00A248CC"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MRAs</w:t>
            </w:r>
          </w:p>
        </w:tc>
      </w:tr>
      <w:tr w:rsidR="0045675C" w:rsidRPr="005A6350" w14:paraId="1FA55529" w14:textId="77777777" w:rsidTr="00F308B6">
        <w:tc>
          <w:tcPr>
            <w:tcW w:w="2259" w:type="dxa"/>
            <w:vMerge/>
          </w:tcPr>
          <w:p w14:paraId="6ADD19FC" w14:textId="77777777" w:rsidR="0045675C" w:rsidRPr="005A6350" w:rsidRDefault="0045675C" w:rsidP="00F308B6">
            <w:pPr>
              <w:rPr>
                <w:rFonts w:asciiTheme="majorBidi" w:hAnsiTheme="majorBidi" w:cstheme="majorBidi"/>
                <w:color w:val="212121"/>
                <w:sz w:val="18"/>
                <w:szCs w:val="18"/>
                <w:shd w:val="clear" w:color="auto" w:fill="FFFFFF"/>
                <w:lang w:eastAsia="en-US"/>
              </w:rPr>
            </w:pPr>
          </w:p>
        </w:tc>
        <w:tc>
          <w:tcPr>
            <w:tcW w:w="1711" w:type="dxa"/>
          </w:tcPr>
          <w:p w14:paraId="3F3AC8D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OR (95% CI)</w:t>
            </w:r>
          </w:p>
        </w:tc>
        <w:tc>
          <w:tcPr>
            <w:tcW w:w="851" w:type="dxa"/>
          </w:tcPr>
          <w:p w14:paraId="4D38AAEA"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P-value</w:t>
            </w:r>
          </w:p>
        </w:tc>
        <w:tc>
          <w:tcPr>
            <w:tcW w:w="1701" w:type="dxa"/>
          </w:tcPr>
          <w:p w14:paraId="1201AAAD"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OR (95% CI)</w:t>
            </w:r>
          </w:p>
        </w:tc>
        <w:tc>
          <w:tcPr>
            <w:tcW w:w="850" w:type="dxa"/>
          </w:tcPr>
          <w:p w14:paraId="64FD7641"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P-value</w:t>
            </w:r>
          </w:p>
        </w:tc>
        <w:tc>
          <w:tcPr>
            <w:tcW w:w="1701" w:type="dxa"/>
          </w:tcPr>
          <w:p w14:paraId="6AAE796C"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OR (95% CI)</w:t>
            </w:r>
          </w:p>
        </w:tc>
        <w:tc>
          <w:tcPr>
            <w:tcW w:w="851" w:type="dxa"/>
          </w:tcPr>
          <w:p w14:paraId="42750DF5" w14:textId="77777777" w:rsidR="0045675C" w:rsidRPr="005A6350" w:rsidRDefault="0045675C" w:rsidP="00F308B6">
            <w:pPr>
              <w:jc w:val="cente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P-value</w:t>
            </w:r>
          </w:p>
        </w:tc>
      </w:tr>
      <w:tr w:rsidR="0045675C" w:rsidRPr="005A6350" w14:paraId="7E3000BD" w14:textId="77777777" w:rsidTr="00F308B6">
        <w:trPr>
          <w:trHeight w:val="283"/>
        </w:trPr>
        <w:tc>
          <w:tcPr>
            <w:tcW w:w="2259" w:type="dxa"/>
          </w:tcPr>
          <w:p w14:paraId="24C0C19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Age per 5 years increase</w:t>
            </w:r>
          </w:p>
        </w:tc>
        <w:tc>
          <w:tcPr>
            <w:tcW w:w="1711" w:type="dxa"/>
          </w:tcPr>
          <w:p w14:paraId="11D074F6"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0.98(0.51-1.88)</w:t>
            </w:r>
          </w:p>
        </w:tc>
        <w:tc>
          <w:tcPr>
            <w:tcW w:w="851" w:type="dxa"/>
          </w:tcPr>
          <w:p w14:paraId="0523BB71"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0.942</w:t>
            </w:r>
          </w:p>
        </w:tc>
        <w:tc>
          <w:tcPr>
            <w:tcW w:w="1701" w:type="dxa"/>
          </w:tcPr>
          <w:p w14:paraId="46DA88C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0.56(0.32-0.98)</w:t>
            </w:r>
          </w:p>
        </w:tc>
        <w:tc>
          <w:tcPr>
            <w:tcW w:w="850" w:type="dxa"/>
          </w:tcPr>
          <w:p w14:paraId="48BD68D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0.042</w:t>
            </w:r>
          </w:p>
        </w:tc>
        <w:tc>
          <w:tcPr>
            <w:tcW w:w="1701" w:type="dxa"/>
          </w:tcPr>
          <w:p w14:paraId="256C15AA"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7.51(1.93-29.16)</w:t>
            </w:r>
          </w:p>
        </w:tc>
        <w:tc>
          <w:tcPr>
            <w:tcW w:w="851" w:type="dxa"/>
          </w:tcPr>
          <w:p w14:paraId="3E87E38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0.004</w:t>
            </w:r>
          </w:p>
        </w:tc>
      </w:tr>
      <w:tr w:rsidR="0045675C" w:rsidRPr="005A6350" w14:paraId="01613F26" w14:textId="77777777" w:rsidTr="00F308B6">
        <w:trPr>
          <w:trHeight w:val="283"/>
        </w:trPr>
        <w:tc>
          <w:tcPr>
            <w:tcW w:w="2259" w:type="dxa"/>
          </w:tcPr>
          <w:p w14:paraId="12993EEF"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Female vs male</w:t>
            </w:r>
          </w:p>
        </w:tc>
        <w:tc>
          <w:tcPr>
            <w:tcW w:w="1711" w:type="dxa"/>
          </w:tcPr>
          <w:p w14:paraId="1C101C6F"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1.26(0.65-2.44)</w:t>
            </w:r>
          </w:p>
        </w:tc>
        <w:tc>
          <w:tcPr>
            <w:tcW w:w="851" w:type="dxa"/>
          </w:tcPr>
          <w:p w14:paraId="311F9E5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0.496</w:t>
            </w:r>
          </w:p>
        </w:tc>
        <w:tc>
          <w:tcPr>
            <w:tcW w:w="1701" w:type="dxa"/>
          </w:tcPr>
          <w:p w14:paraId="250A95E0"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1.09(0.63-1.90)</w:t>
            </w:r>
          </w:p>
        </w:tc>
        <w:tc>
          <w:tcPr>
            <w:tcW w:w="850" w:type="dxa"/>
          </w:tcPr>
          <w:p w14:paraId="2224682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0.765</w:t>
            </w:r>
          </w:p>
        </w:tc>
        <w:tc>
          <w:tcPr>
            <w:tcW w:w="1701" w:type="dxa"/>
          </w:tcPr>
          <w:p w14:paraId="69BD49DB"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1.96(0.58-6.62)</w:t>
            </w:r>
          </w:p>
        </w:tc>
        <w:tc>
          <w:tcPr>
            <w:tcW w:w="851" w:type="dxa"/>
          </w:tcPr>
          <w:p w14:paraId="1DC749A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0.279</w:t>
            </w:r>
          </w:p>
        </w:tc>
      </w:tr>
      <w:tr w:rsidR="0045675C" w:rsidRPr="005A6350" w14:paraId="7A859BE2" w14:textId="77777777" w:rsidTr="00F308B6">
        <w:trPr>
          <w:trHeight w:val="283"/>
        </w:trPr>
        <w:tc>
          <w:tcPr>
            <w:tcW w:w="2259" w:type="dxa"/>
          </w:tcPr>
          <w:p w14:paraId="0AC0401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EF per 5% increase</w:t>
            </w:r>
          </w:p>
        </w:tc>
        <w:tc>
          <w:tcPr>
            <w:tcW w:w="1711" w:type="dxa"/>
          </w:tcPr>
          <w:p w14:paraId="0C6871E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0.89(0.49-1.62)</w:t>
            </w:r>
          </w:p>
        </w:tc>
        <w:tc>
          <w:tcPr>
            <w:tcW w:w="851" w:type="dxa"/>
          </w:tcPr>
          <w:p w14:paraId="1DE76AD4"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0.707</w:t>
            </w:r>
          </w:p>
        </w:tc>
        <w:tc>
          <w:tcPr>
            <w:tcW w:w="1701" w:type="dxa"/>
          </w:tcPr>
          <w:p w14:paraId="51F9FB0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1.16(0.70-1.94)</w:t>
            </w:r>
          </w:p>
        </w:tc>
        <w:tc>
          <w:tcPr>
            <w:tcW w:w="850" w:type="dxa"/>
          </w:tcPr>
          <w:p w14:paraId="7E21147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0.560</w:t>
            </w:r>
          </w:p>
        </w:tc>
        <w:tc>
          <w:tcPr>
            <w:tcW w:w="1701" w:type="dxa"/>
          </w:tcPr>
          <w:p w14:paraId="561B59F2"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0.53(0.15-1.85)</w:t>
            </w:r>
          </w:p>
        </w:tc>
        <w:tc>
          <w:tcPr>
            <w:tcW w:w="851" w:type="dxa"/>
          </w:tcPr>
          <w:p w14:paraId="725679A5"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0.317</w:t>
            </w:r>
          </w:p>
        </w:tc>
      </w:tr>
      <w:tr w:rsidR="0045675C" w:rsidRPr="005A6350" w14:paraId="11BAA4EE" w14:textId="77777777" w:rsidTr="00F308B6">
        <w:trPr>
          <w:trHeight w:val="283"/>
        </w:trPr>
        <w:tc>
          <w:tcPr>
            <w:tcW w:w="2259" w:type="dxa"/>
          </w:tcPr>
          <w:p w14:paraId="72BA317F"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NYHA III-IV vs I-II</w:t>
            </w:r>
          </w:p>
        </w:tc>
        <w:tc>
          <w:tcPr>
            <w:tcW w:w="1711" w:type="dxa"/>
          </w:tcPr>
          <w:p w14:paraId="6C09D3D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1.27(0.40-4.05)</w:t>
            </w:r>
          </w:p>
        </w:tc>
        <w:tc>
          <w:tcPr>
            <w:tcW w:w="851" w:type="dxa"/>
          </w:tcPr>
          <w:p w14:paraId="5010BEF0"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0.685</w:t>
            </w:r>
          </w:p>
        </w:tc>
        <w:tc>
          <w:tcPr>
            <w:tcW w:w="1701" w:type="dxa"/>
          </w:tcPr>
          <w:p w14:paraId="2D79E351"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1.86(0.64-5.36)</w:t>
            </w:r>
          </w:p>
        </w:tc>
        <w:tc>
          <w:tcPr>
            <w:tcW w:w="850" w:type="dxa"/>
          </w:tcPr>
          <w:p w14:paraId="38126402"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0.254</w:t>
            </w:r>
          </w:p>
        </w:tc>
        <w:tc>
          <w:tcPr>
            <w:tcW w:w="1701" w:type="dxa"/>
          </w:tcPr>
          <w:p w14:paraId="34936271"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0.72(0.09-6.01)</w:t>
            </w:r>
          </w:p>
        </w:tc>
        <w:tc>
          <w:tcPr>
            <w:tcW w:w="851" w:type="dxa"/>
          </w:tcPr>
          <w:p w14:paraId="153447F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0.763</w:t>
            </w:r>
          </w:p>
        </w:tc>
      </w:tr>
      <w:tr w:rsidR="0045675C" w:rsidRPr="005A6350" w14:paraId="08FA3F56" w14:textId="77777777" w:rsidTr="00F308B6">
        <w:trPr>
          <w:trHeight w:val="283"/>
        </w:trPr>
        <w:tc>
          <w:tcPr>
            <w:tcW w:w="2259" w:type="dxa"/>
          </w:tcPr>
          <w:p w14:paraId="40560724"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ICM </w:t>
            </w:r>
          </w:p>
        </w:tc>
        <w:tc>
          <w:tcPr>
            <w:tcW w:w="1711" w:type="dxa"/>
          </w:tcPr>
          <w:p w14:paraId="3F5CD14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0.96(0.37-2.51)</w:t>
            </w:r>
          </w:p>
        </w:tc>
        <w:tc>
          <w:tcPr>
            <w:tcW w:w="851" w:type="dxa"/>
          </w:tcPr>
          <w:p w14:paraId="66D4C15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0.936</w:t>
            </w:r>
          </w:p>
        </w:tc>
        <w:tc>
          <w:tcPr>
            <w:tcW w:w="1701" w:type="dxa"/>
          </w:tcPr>
          <w:p w14:paraId="0B0B1EA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0.56(0.25-1.24)</w:t>
            </w:r>
          </w:p>
        </w:tc>
        <w:tc>
          <w:tcPr>
            <w:tcW w:w="850" w:type="dxa"/>
          </w:tcPr>
          <w:p w14:paraId="44A47910"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0.152</w:t>
            </w:r>
          </w:p>
        </w:tc>
        <w:tc>
          <w:tcPr>
            <w:tcW w:w="1701" w:type="dxa"/>
          </w:tcPr>
          <w:p w14:paraId="74C526B6"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3.50(0.87-14.08)</w:t>
            </w:r>
          </w:p>
        </w:tc>
        <w:tc>
          <w:tcPr>
            <w:tcW w:w="851" w:type="dxa"/>
          </w:tcPr>
          <w:p w14:paraId="4A6B1465"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0.078</w:t>
            </w:r>
          </w:p>
        </w:tc>
      </w:tr>
      <w:tr w:rsidR="0045675C" w:rsidRPr="005A6350" w14:paraId="1B59BD31" w14:textId="77777777" w:rsidTr="00F308B6">
        <w:trPr>
          <w:trHeight w:val="283"/>
        </w:trPr>
        <w:tc>
          <w:tcPr>
            <w:tcW w:w="2259" w:type="dxa"/>
          </w:tcPr>
          <w:p w14:paraId="035C752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DCM </w:t>
            </w:r>
          </w:p>
        </w:tc>
        <w:tc>
          <w:tcPr>
            <w:tcW w:w="1711" w:type="dxa"/>
          </w:tcPr>
          <w:p w14:paraId="0D07016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0.94(0.50-1.76)</w:t>
            </w:r>
          </w:p>
        </w:tc>
        <w:tc>
          <w:tcPr>
            <w:tcW w:w="851" w:type="dxa"/>
          </w:tcPr>
          <w:p w14:paraId="60CDBB0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0.842</w:t>
            </w:r>
          </w:p>
        </w:tc>
        <w:tc>
          <w:tcPr>
            <w:tcW w:w="1701" w:type="dxa"/>
          </w:tcPr>
          <w:p w14:paraId="4F8C3FD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2.10(1.18-3.75)</w:t>
            </w:r>
          </w:p>
        </w:tc>
        <w:tc>
          <w:tcPr>
            <w:tcW w:w="850" w:type="dxa"/>
          </w:tcPr>
          <w:p w14:paraId="5279646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0.012</w:t>
            </w:r>
          </w:p>
        </w:tc>
        <w:tc>
          <w:tcPr>
            <w:tcW w:w="1701" w:type="dxa"/>
          </w:tcPr>
          <w:p w14:paraId="160DD30F"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0.20(0.03-1.55)</w:t>
            </w:r>
          </w:p>
        </w:tc>
        <w:tc>
          <w:tcPr>
            <w:tcW w:w="851" w:type="dxa"/>
          </w:tcPr>
          <w:p w14:paraId="2B66A1CB"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0.122</w:t>
            </w:r>
          </w:p>
        </w:tc>
      </w:tr>
      <w:tr w:rsidR="0045675C" w:rsidRPr="005A6350" w14:paraId="56FE6385" w14:textId="77777777" w:rsidTr="00F308B6">
        <w:trPr>
          <w:trHeight w:val="283"/>
        </w:trPr>
        <w:tc>
          <w:tcPr>
            <w:tcW w:w="2259" w:type="dxa"/>
          </w:tcPr>
          <w:p w14:paraId="5CBBCF7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CKD </w:t>
            </w:r>
          </w:p>
        </w:tc>
        <w:tc>
          <w:tcPr>
            <w:tcW w:w="1711" w:type="dxa"/>
          </w:tcPr>
          <w:p w14:paraId="2C134A85"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1.50(0.55-4.10)</w:t>
            </w:r>
          </w:p>
        </w:tc>
        <w:tc>
          <w:tcPr>
            <w:tcW w:w="851" w:type="dxa"/>
          </w:tcPr>
          <w:p w14:paraId="7B1EA9E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0.431</w:t>
            </w:r>
          </w:p>
        </w:tc>
        <w:tc>
          <w:tcPr>
            <w:tcW w:w="1701" w:type="dxa"/>
          </w:tcPr>
          <w:p w14:paraId="6269F29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0.73(0.34-1.58)</w:t>
            </w:r>
          </w:p>
        </w:tc>
        <w:tc>
          <w:tcPr>
            <w:tcW w:w="850" w:type="dxa"/>
          </w:tcPr>
          <w:p w14:paraId="158C70B0"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0.428</w:t>
            </w:r>
          </w:p>
        </w:tc>
        <w:tc>
          <w:tcPr>
            <w:tcW w:w="1701" w:type="dxa"/>
          </w:tcPr>
          <w:p w14:paraId="47CBBDA5"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10.70(3.05-37.6)</w:t>
            </w:r>
          </w:p>
        </w:tc>
        <w:tc>
          <w:tcPr>
            <w:tcW w:w="851" w:type="dxa"/>
          </w:tcPr>
          <w:p w14:paraId="6E37352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0.001</w:t>
            </w:r>
          </w:p>
        </w:tc>
      </w:tr>
      <w:tr w:rsidR="0045675C" w:rsidRPr="005A6350" w14:paraId="53977022" w14:textId="77777777" w:rsidTr="00F308B6">
        <w:trPr>
          <w:trHeight w:val="283"/>
        </w:trPr>
        <w:tc>
          <w:tcPr>
            <w:tcW w:w="2259" w:type="dxa"/>
          </w:tcPr>
          <w:p w14:paraId="783CBD0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HT </w:t>
            </w:r>
          </w:p>
        </w:tc>
        <w:tc>
          <w:tcPr>
            <w:tcW w:w="1711" w:type="dxa"/>
          </w:tcPr>
          <w:p w14:paraId="4D2DB6D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2.64(1.36-5.13)</w:t>
            </w:r>
          </w:p>
        </w:tc>
        <w:tc>
          <w:tcPr>
            <w:tcW w:w="851" w:type="dxa"/>
          </w:tcPr>
          <w:p w14:paraId="6DCB967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0.004</w:t>
            </w:r>
          </w:p>
        </w:tc>
        <w:tc>
          <w:tcPr>
            <w:tcW w:w="1701" w:type="dxa"/>
          </w:tcPr>
          <w:p w14:paraId="36593172"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1.05(0.63-1.76)</w:t>
            </w:r>
          </w:p>
        </w:tc>
        <w:tc>
          <w:tcPr>
            <w:tcW w:w="850" w:type="dxa"/>
          </w:tcPr>
          <w:p w14:paraId="16CABBF5"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0.850</w:t>
            </w:r>
          </w:p>
        </w:tc>
        <w:tc>
          <w:tcPr>
            <w:tcW w:w="1701" w:type="dxa"/>
          </w:tcPr>
          <w:p w14:paraId="7A995BC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3.88(1.01-14.98)</w:t>
            </w:r>
          </w:p>
        </w:tc>
        <w:tc>
          <w:tcPr>
            <w:tcW w:w="851" w:type="dxa"/>
          </w:tcPr>
          <w:p w14:paraId="6863B15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0.049</w:t>
            </w:r>
          </w:p>
        </w:tc>
      </w:tr>
      <w:tr w:rsidR="0045675C" w:rsidRPr="005A6350" w14:paraId="637BAF2E" w14:textId="77777777" w:rsidTr="00F308B6">
        <w:trPr>
          <w:trHeight w:val="283"/>
        </w:trPr>
        <w:tc>
          <w:tcPr>
            <w:tcW w:w="2259" w:type="dxa"/>
          </w:tcPr>
          <w:p w14:paraId="73B5A92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DM </w:t>
            </w:r>
          </w:p>
        </w:tc>
        <w:tc>
          <w:tcPr>
            <w:tcW w:w="1711" w:type="dxa"/>
          </w:tcPr>
          <w:p w14:paraId="1B275773"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1.19(0.63-2.23)</w:t>
            </w:r>
          </w:p>
        </w:tc>
        <w:tc>
          <w:tcPr>
            <w:tcW w:w="851" w:type="dxa"/>
          </w:tcPr>
          <w:p w14:paraId="4F528A41"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0.596</w:t>
            </w:r>
          </w:p>
        </w:tc>
        <w:tc>
          <w:tcPr>
            <w:tcW w:w="1701" w:type="dxa"/>
          </w:tcPr>
          <w:p w14:paraId="2C8EB14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0.61(0.36-1.04)</w:t>
            </w:r>
          </w:p>
        </w:tc>
        <w:tc>
          <w:tcPr>
            <w:tcW w:w="850" w:type="dxa"/>
          </w:tcPr>
          <w:p w14:paraId="793416E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0.070</w:t>
            </w:r>
          </w:p>
        </w:tc>
        <w:tc>
          <w:tcPr>
            <w:tcW w:w="1701" w:type="dxa"/>
          </w:tcPr>
          <w:p w14:paraId="5E5FB6D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3.42(0.97-12.00)</w:t>
            </w:r>
          </w:p>
        </w:tc>
        <w:tc>
          <w:tcPr>
            <w:tcW w:w="851" w:type="dxa"/>
          </w:tcPr>
          <w:p w14:paraId="18F754C4"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0.055</w:t>
            </w:r>
          </w:p>
        </w:tc>
      </w:tr>
      <w:tr w:rsidR="0045675C" w:rsidRPr="005A6350" w14:paraId="590EDFD1" w14:textId="77777777" w:rsidTr="00F308B6">
        <w:trPr>
          <w:trHeight w:val="283"/>
        </w:trPr>
        <w:tc>
          <w:tcPr>
            <w:tcW w:w="2259" w:type="dxa"/>
          </w:tcPr>
          <w:p w14:paraId="1AFC589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AF </w:t>
            </w:r>
          </w:p>
        </w:tc>
        <w:tc>
          <w:tcPr>
            <w:tcW w:w="1711" w:type="dxa"/>
          </w:tcPr>
          <w:p w14:paraId="5DDF93B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1.24(0.45-3.44)</w:t>
            </w:r>
          </w:p>
        </w:tc>
        <w:tc>
          <w:tcPr>
            <w:tcW w:w="851" w:type="dxa"/>
          </w:tcPr>
          <w:p w14:paraId="65338F4D"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0.679</w:t>
            </w:r>
          </w:p>
        </w:tc>
        <w:tc>
          <w:tcPr>
            <w:tcW w:w="1701" w:type="dxa"/>
          </w:tcPr>
          <w:p w14:paraId="060D6E6B"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1.35(0.57-3.21)</w:t>
            </w:r>
          </w:p>
        </w:tc>
        <w:tc>
          <w:tcPr>
            <w:tcW w:w="850" w:type="dxa"/>
          </w:tcPr>
          <w:p w14:paraId="4C51B27F"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0.500</w:t>
            </w:r>
          </w:p>
        </w:tc>
        <w:tc>
          <w:tcPr>
            <w:tcW w:w="1701" w:type="dxa"/>
          </w:tcPr>
          <w:p w14:paraId="753991BE"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0.86(0.11-6.94)</w:t>
            </w:r>
          </w:p>
        </w:tc>
        <w:tc>
          <w:tcPr>
            <w:tcW w:w="851" w:type="dxa"/>
          </w:tcPr>
          <w:p w14:paraId="3C991D89"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0.883</w:t>
            </w:r>
          </w:p>
        </w:tc>
      </w:tr>
      <w:tr w:rsidR="0045675C" w:rsidRPr="005A6350" w14:paraId="465AADA5" w14:textId="77777777" w:rsidTr="00F308B6">
        <w:trPr>
          <w:trHeight w:val="283"/>
        </w:trPr>
        <w:tc>
          <w:tcPr>
            <w:tcW w:w="2259" w:type="dxa"/>
          </w:tcPr>
          <w:p w14:paraId="2AAD46F8"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 xml:space="preserve">CAD </w:t>
            </w:r>
          </w:p>
        </w:tc>
        <w:tc>
          <w:tcPr>
            <w:tcW w:w="1711" w:type="dxa"/>
          </w:tcPr>
          <w:p w14:paraId="54885D1A"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0.88(0.42-1.87)</w:t>
            </w:r>
          </w:p>
        </w:tc>
        <w:tc>
          <w:tcPr>
            <w:tcW w:w="851" w:type="dxa"/>
          </w:tcPr>
          <w:p w14:paraId="0E689374"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0.743</w:t>
            </w:r>
          </w:p>
        </w:tc>
        <w:tc>
          <w:tcPr>
            <w:tcW w:w="1701" w:type="dxa"/>
          </w:tcPr>
          <w:p w14:paraId="5CED76EC"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0.45(0.24-0.86)</w:t>
            </w:r>
          </w:p>
        </w:tc>
        <w:tc>
          <w:tcPr>
            <w:tcW w:w="850" w:type="dxa"/>
          </w:tcPr>
          <w:p w14:paraId="1CF814E7"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0.015</w:t>
            </w:r>
          </w:p>
        </w:tc>
        <w:tc>
          <w:tcPr>
            <w:tcW w:w="1701" w:type="dxa"/>
          </w:tcPr>
          <w:p w14:paraId="74469B3C"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1.74(0.44-6.82)</w:t>
            </w:r>
          </w:p>
        </w:tc>
        <w:tc>
          <w:tcPr>
            <w:tcW w:w="851" w:type="dxa"/>
          </w:tcPr>
          <w:p w14:paraId="53BE4B46"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0.428</w:t>
            </w:r>
          </w:p>
        </w:tc>
      </w:tr>
      <w:tr w:rsidR="0045675C" w:rsidRPr="005A6350" w14:paraId="1738D237" w14:textId="77777777" w:rsidTr="00F308B6">
        <w:trPr>
          <w:trHeight w:val="401"/>
        </w:trPr>
        <w:tc>
          <w:tcPr>
            <w:tcW w:w="9924" w:type="dxa"/>
            <w:gridSpan w:val="7"/>
          </w:tcPr>
          <w:p w14:paraId="1FC47E64" w14:textId="77777777" w:rsidR="0045675C" w:rsidRPr="005A6350" w:rsidRDefault="0045675C" w:rsidP="00F308B6">
            <w:pPr>
              <w:rPr>
                <w:rFonts w:asciiTheme="majorBidi" w:hAnsiTheme="majorBidi" w:cstheme="majorBidi"/>
                <w:color w:val="212121"/>
                <w:sz w:val="18"/>
                <w:szCs w:val="18"/>
                <w:shd w:val="clear" w:color="auto" w:fill="FFFFFF"/>
                <w:lang w:eastAsia="en-US"/>
              </w:rPr>
            </w:pPr>
            <w:r w:rsidRPr="005A6350">
              <w:rPr>
                <w:rFonts w:asciiTheme="majorBidi" w:hAnsiTheme="majorBidi" w:cstheme="majorBidi"/>
                <w:color w:val="212121"/>
                <w:sz w:val="18"/>
                <w:szCs w:val="18"/>
                <w:shd w:val="clear" w:color="auto" w:fill="FFFFFF"/>
                <w:lang w:eastAsia="en-US"/>
              </w:rPr>
              <w:t>Abbreviations: β-blockers (BBs), Angiotensin-converting enzyme inhibitors (ACEIs), Angiotensin receptor blockers (ARBs), Angiotensin receptor–neprilysin inhibitors (ARNIs), Mineralocorticoid receptor antagonists (MRAs), Odd Ratio (OR), Confidence Interval (CI), Probability value (P-value), Ejection Fraction (EF), New York Heart Association (NYHA), Ischemic Cardiomyopathy (ICM), Dilated Cardiomyopathy (DCM), Chronic Kidney Disease (CKD), Hypertension (HT), Diabetes Mellitus (DM), Atrial Fibrillation (AF), Coronary Artery Disease (CAD).</w:t>
            </w:r>
          </w:p>
          <w:p w14:paraId="503187F0" w14:textId="77777777" w:rsidR="0045675C" w:rsidRPr="005A6350" w:rsidRDefault="0045675C" w:rsidP="00F308B6">
            <w:pPr>
              <w:rPr>
                <w:rFonts w:asciiTheme="majorBidi" w:hAnsiTheme="majorBidi" w:cstheme="majorBidi"/>
                <w:color w:val="212121"/>
                <w:sz w:val="18"/>
                <w:szCs w:val="18"/>
                <w:shd w:val="clear" w:color="auto" w:fill="FFFFFF"/>
                <w:lang w:eastAsia="en-US"/>
              </w:rPr>
            </w:pPr>
          </w:p>
        </w:tc>
      </w:tr>
    </w:tbl>
    <w:p w14:paraId="5F3FA199" w14:textId="77777777" w:rsidR="0010502E" w:rsidRDefault="0010502E" w:rsidP="003B65E4">
      <w:pPr>
        <w:spacing w:line="480" w:lineRule="auto"/>
        <w:jc w:val="both"/>
        <w:rPr>
          <w:rFonts w:ascii="Times New Roman" w:hAnsi="Times New Roman"/>
          <w:b/>
          <w:bCs/>
          <w:color w:val="000000" w:themeColor="text1"/>
          <w:lang w:eastAsia="en-GB"/>
        </w:rPr>
      </w:pPr>
    </w:p>
    <w:p w14:paraId="3B7C88C6"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657B3C65"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09405564"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3EF92F2E"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5784FACB"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520210EB"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7A70C467"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4B4AE6DB"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4455FF60"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5DEE8B14" w14:textId="13873056" w:rsidR="0010502E" w:rsidRDefault="003B65E4" w:rsidP="0010502E">
      <w:pPr>
        <w:spacing w:line="480" w:lineRule="auto"/>
        <w:jc w:val="both"/>
        <w:rPr>
          <w:rFonts w:ascii="Times New Roman" w:hAnsi="Times New Roman"/>
          <w:b/>
          <w:bCs/>
          <w:color w:val="215E99" w:themeColor="text2" w:themeTint="BF"/>
          <w:u w:val="single"/>
          <w:lang w:eastAsia="en-GB"/>
        </w:rPr>
      </w:pPr>
      <w:r w:rsidRPr="0010502E">
        <w:rPr>
          <w:rFonts w:ascii="Times New Roman" w:hAnsi="Times New Roman"/>
          <w:b/>
          <w:bCs/>
          <w:color w:val="215E99" w:themeColor="text2" w:themeTint="BF"/>
          <w:u w:val="single"/>
          <w:lang w:eastAsia="en-GB"/>
        </w:rPr>
        <w:lastRenderedPageBreak/>
        <w:t xml:space="preserve">Discussion </w:t>
      </w:r>
    </w:p>
    <w:p w14:paraId="5F7AEB4F" w14:textId="139F3630" w:rsidR="00251B0D" w:rsidRPr="0010502E" w:rsidRDefault="003B65E4" w:rsidP="0010502E">
      <w:pPr>
        <w:spacing w:line="480" w:lineRule="auto"/>
        <w:jc w:val="both"/>
        <w:rPr>
          <w:rFonts w:ascii="Times New Roman" w:hAnsi="Times New Roman"/>
          <w:b/>
          <w:bCs/>
          <w:color w:val="215E99" w:themeColor="text2" w:themeTint="BF"/>
          <w:u w:val="single"/>
          <w:lang w:eastAsia="en-GB"/>
        </w:rPr>
      </w:pPr>
      <w:r w:rsidRPr="003B65E4">
        <w:rPr>
          <w:rFonts w:ascii="Times New Roman" w:hAnsi="Times New Roman"/>
          <w:color w:val="000000"/>
          <w:lang w:eastAsia="en-GB"/>
        </w:rPr>
        <w:t>In this study, adherence to guideline-recommended HF medications was similar to the one conducted in Poland by Opolski et al. (2017), which had a similar care setting as the NHC, and used the same method [1</w:t>
      </w:r>
      <w:r w:rsidR="00AE32DE">
        <w:rPr>
          <w:rFonts w:ascii="Times New Roman" w:hAnsi="Times New Roman"/>
          <w:color w:val="000000"/>
          <w:lang w:eastAsia="en-GB"/>
        </w:rPr>
        <w:t>6</w:t>
      </w:r>
      <w:r w:rsidRPr="003B65E4">
        <w:rPr>
          <w:rFonts w:ascii="Times New Roman" w:hAnsi="Times New Roman"/>
          <w:color w:val="000000"/>
          <w:lang w:eastAsia="en-GB"/>
        </w:rPr>
        <w:t>]. However, a study by Komajda et al. (2016), revealed slightly lower adherence rates, including 67% good, 25% moderate, and 8% poor [1</w:t>
      </w:r>
      <w:r w:rsidR="00AE32DE">
        <w:rPr>
          <w:rFonts w:ascii="Times New Roman" w:hAnsi="Times New Roman"/>
          <w:color w:val="000000"/>
          <w:lang w:eastAsia="en-GB"/>
        </w:rPr>
        <w:t>4</w:t>
      </w:r>
      <w:r w:rsidRPr="003B65E4">
        <w:rPr>
          <w:rFonts w:ascii="Times New Roman" w:hAnsi="Times New Roman"/>
          <w:color w:val="000000"/>
          <w:lang w:eastAsia="en-GB"/>
        </w:rPr>
        <w:t xml:space="preserve">]. </w:t>
      </w:r>
      <w:r w:rsidR="00764F48">
        <w:rPr>
          <w:rFonts w:ascii="Georgia" w:hAnsi="Georgia"/>
          <w:color w:val="1F1F1F"/>
        </w:rPr>
        <w:t xml:space="preserve">One potential explanation for this trend is </w:t>
      </w:r>
      <w:r w:rsidR="00764F48" w:rsidRPr="003B65E4">
        <w:rPr>
          <w:rFonts w:ascii="Times New Roman" w:hAnsi="Times New Roman"/>
          <w:color w:val="000000"/>
          <w:lang w:eastAsia="en-GB"/>
        </w:rPr>
        <w:t>timing of the studies (2016 versus 2022)</w:t>
      </w:r>
      <w:r w:rsidR="00764F48">
        <w:rPr>
          <w:rFonts w:ascii="Times New Roman" w:hAnsi="Times New Roman"/>
          <w:color w:val="000000"/>
          <w:lang w:eastAsia="en-GB"/>
        </w:rPr>
        <w:t xml:space="preserve">. </w:t>
      </w:r>
      <w:r w:rsidRPr="003B65E4">
        <w:rPr>
          <w:rFonts w:ascii="Times New Roman" w:hAnsi="Times New Roman"/>
          <w:color w:val="000000"/>
          <w:lang w:eastAsia="en-GB"/>
        </w:rPr>
        <w:t>According to the Institute of Medicine report, new evidence is delayed for a long time in integrating into clinical practice, and guideline-directed care is not delivered uniformly [1</w:t>
      </w:r>
      <w:r w:rsidR="00AE32DE">
        <w:rPr>
          <w:rFonts w:ascii="Times New Roman" w:hAnsi="Times New Roman"/>
          <w:color w:val="000000"/>
          <w:lang w:eastAsia="en-GB"/>
        </w:rPr>
        <w:t>7</w:t>
      </w:r>
      <w:r w:rsidRPr="003B65E4">
        <w:rPr>
          <w:rFonts w:ascii="Times New Roman" w:hAnsi="Times New Roman"/>
          <w:color w:val="000000"/>
          <w:lang w:eastAsia="en-GB"/>
        </w:rPr>
        <w:t xml:space="preserve">]. Globally, the average time between the publication of trial results and widespread uptake is 17 </w:t>
      </w:r>
      <w:r w:rsidRPr="00066CE5">
        <w:rPr>
          <w:rFonts w:ascii="Times New Roman" w:hAnsi="Times New Roman"/>
          <w:color w:val="000000" w:themeColor="text1"/>
          <w:lang w:eastAsia="en-GB"/>
        </w:rPr>
        <w:t>years [1</w:t>
      </w:r>
      <w:r w:rsidR="00AE32DE">
        <w:rPr>
          <w:rFonts w:ascii="Times New Roman" w:hAnsi="Times New Roman"/>
          <w:color w:val="000000" w:themeColor="text1"/>
          <w:lang w:eastAsia="en-GB"/>
        </w:rPr>
        <w:t>8</w:t>
      </w:r>
      <w:r w:rsidRPr="00066CE5">
        <w:rPr>
          <w:rFonts w:ascii="Times New Roman" w:hAnsi="Times New Roman"/>
          <w:color w:val="000000" w:themeColor="text1"/>
          <w:lang w:eastAsia="en-GB"/>
        </w:rPr>
        <w:t xml:space="preserve">]. </w:t>
      </w:r>
      <w:r w:rsidRPr="003B65E4">
        <w:rPr>
          <w:rFonts w:ascii="Times New Roman" w:hAnsi="Times New Roman"/>
          <w:color w:val="000000"/>
          <w:lang w:eastAsia="en-GB"/>
        </w:rPr>
        <w:t>Additionally, the current study demonstrated greater enhancement of GDMT optimisation (≥50% of target dose) within each drug class than that found in other studies published from Oman. A study carried out by Hanbali et al. (2020) at a tertiary educational healthcare institution in Oman, found that only 56% and 42% of patients received ≥50% of the BB and ACE/ARB target doses, respectively [</w:t>
      </w:r>
      <w:r w:rsidR="002C0D4A">
        <w:rPr>
          <w:rFonts w:ascii="Times New Roman" w:hAnsi="Times New Roman"/>
          <w:color w:val="000000"/>
          <w:lang w:eastAsia="en-GB"/>
        </w:rPr>
        <w:t>1</w:t>
      </w:r>
      <w:r w:rsidR="00AE32DE">
        <w:rPr>
          <w:rFonts w:ascii="Times New Roman" w:hAnsi="Times New Roman"/>
          <w:color w:val="000000"/>
          <w:lang w:eastAsia="en-GB"/>
        </w:rPr>
        <w:t>9</w:t>
      </w:r>
      <w:r w:rsidRPr="003B65E4">
        <w:rPr>
          <w:rFonts w:ascii="Times New Roman" w:hAnsi="Times New Roman"/>
          <w:color w:val="000000"/>
          <w:lang w:eastAsia="en-GB"/>
        </w:rPr>
        <w:t>]. The measure was repeated</w:t>
      </w:r>
      <w:r w:rsidR="003E1583">
        <w:rPr>
          <w:rFonts w:ascii="Times New Roman" w:hAnsi="Times New Roman"/>
          <w:color w:val="000000"/>
          <w:lang w:eastAsia="en-GB"/>
        </w:rPr>
        <w:t xml:space="preserve"> </w:t>
      </w:r>
      <w:r w:rsidRPr="003B65E4">
        <w:rPr>
          <w:rFonts w:ascii="Times New Roman" w:hAnsi="Times New Roman"/>
          <w:color w:val="000000"/>
          <w:lang w:eastAsia="en-GB"/>
        </w:rPr>
        <w:t>by Al-Aghbari et al. (2022) even though patients with intolerances and contraindications to GDMT were excluded from the dose optimisation analysis; only 61% and 44% of patients treated with the BB and ACEs/ARBs reached ≥50% of target doses [</w:t>
      </w:r>
      <w:r w:rsidR="00AE32DE">
        <w:rPr>
          <w:rFonts w:ascii="Times New Roman" w:hAnsi="Times New Roman"/>
          <w:color w:val="000000"/>
          <w:lang w:eastAsia="en-GB"/>
        </w:rPr>
        <w:t>20</w:t>
      </w:r>
      <w:r w:rsidRPr="003B65E4">
        <w:rPr>
          <w:rFonts w:ascii="Times New Roman" w:hAnsi="Times New Roman"/>
          <w:color w:val="000000"/>
          <w:lang w:eastAsia="en-GB"/>
        </w:rPr>
        <w:t xml:space="preserve">]. </w:t>
      </w:r>
      <w:r w:rsidR="00E71CEB" w:rsidRPr="00E71CEB">
        <w:rPr>
          <w:rFonts w:ascii="Times New Roman" w:hAnsi="Times New Roman"/>
          <w:color w:val="000000"/>
          <w:lang w:eastAsia="en-GB"/>
        </w:rPr>
        <w:t>A major difference between the two healthcare settings can be seen in the types of providers (non-specialists, general practitioners versus cardiologists).</w:t>
      </w:r>
      <w:r w:rsidR="00E71CEB">
        <w:rPr>
          <w:rFonts w:ascii="Times New Roman" w:hAnsi="Times New Roman"/>
          <w:color w:val="000000"/>
          <w:lang w:eastAsia="en-GB"/>
        </w:rPr>
        <w:t xml:space="preserve"> The </w:t>
      </w:r>
      <w:r w:rsidR="00E71CEB" w:rsidRPr="003B65E4">
        <w:rPr>
          <w:rFonts w:ascii="Times New Roman" w:hAnsi="Times New Roman"/>
          <w:color w:val="000000"/>
          <w:lang w:eastAsia="en-GB"/>
        </w:rPr>
        <w:t xml:space="preserve">general practitioners are </w:t>
      </w:r>
      <w:r w:rsidR="00E71CEB">
        <w:rPr>
          <w:rFonts w:ascii="Times New Roman" w:hAnsi="Times New Roman"/>
          <w:color w:val="000000"/>
          <w:lang w:eastAsia="en-GB"/>
        </w:rPr>
        <w:t xml:space="preserve">found to be </w:t>
      </w:r>
      <w:r w:rsidR="00E71CEB" w:rsidRPr="003B65E4">
        <w:rPr>
          <w:rFonts w:ascii="Times New Roman" w:hAnsi="Times New Roman"/>
          <w:color w:val="000000"/>
          <w:lang w:eastAsia="en-GB"/>
        </w:rPr>
        <w:t>less likely to adhere to guideline recommendations when prescribing medication or titrating dosage for HF patients, probably due to a lack of awareness regarding the guidelines, focusing more on symptoms relief rather than mortality reduction or fear of intolerance and side effects [</w:t>
      </w:r>
      <w:r w:rsidR="00066CE5">
        <w:rPr>
          <w:rFonts w:ascii="Times New Roman" w:hAnsi="Times New Roman"/>
          <w:color w:val="000000"/>
          <w:lang w:eastAsia="en-GB"/>
        </w:rPr>
        <w:t>2</w:t>
      </w:r>
      <w:r w:rsidR="00AE32DE">
        <w:rPr>
          <w:rFonts w:ascii="Times New Roman" w:hAnsi="Times New Roman"/>
          <w:color w:val="000000"/>
          <w:lang w:eastAsia="en-GB"/>
        </w:rPr>
        <w:t>1</w:t>
      </w:r>
      <w:r w:rsidR="00E71CEB" w:rsidRPr="003B65E4">
        <w:rPr>
          <w:rFonts w:ascii="Times New Roman" w:hAnsi="Times New Roman"/>
          <w:color w:val="000000"/>
          <w:lang w:eastAsia="en-GB"/>
        </w:rPr>
        <w:t>].</w:t>
      </w:r>
      <w:r w:rsidR="00E71CEB">
        <w:rPr>
          <w:rFonts w:ascii="Times New Roman" w:hAnsi="Times New Roman"/>
          <w:color w:val="000000"/>
          <w:lang w:eastAsia="en-GB"/>
        </w:rPr>
        <w:t xml:space="preserve"> </w:t>
      </w:r>
      <w:r w:rsidR="00251B0D" w:rsidRPr="003B65E4">
        <w:rPr>
          <w:rFonts w:ascii="Times New Roman" w:hAnsi="Times New Roman"/>
          <w:color w:val="000000"/>
          <w:lang w:eastAsia="en-GB"/>
        </w:rPr>
        <w:t xml:space="preserve">This study result suggests that when HFrEF patients are being treated by </w:t>
      </w:r>
      <w:r w:rsidR="00251B0D">
        <w:rPr>
          <w:rFonts w:ascii="Times New Roman" w:hAnsi="Times New Roman"/>
          <w:color w:val="000000"/>
          <w:lang w:eastAsia="en-GB"/>
        </w:rPr>
        <w:t>cardiologists</w:t>
      </w:r>
      <w:r w:rsidR="00251B0D" w:rsidRPr="003B65E4">
        <w:rPr>
          <w:rFonts w:ascii="Times New Roman" w:hAnsi="Times New Roman"/>
          <w:color w:val="000000"/>
          <w:lang w:eastAsia="en-GB"/>
        </w:rPr>
        <w:t xml:space="preserve">, there is a high rate of adherence to guidelines and drug class optimisation. </w:t>
      </w:r>
    </w:p>
    <w:p w14:paraId="2B8A3CA0" w14:textId="77777777" w:rsidR="0010502E" w:rsidRDefault="003B65E4" w:rsidP="0010502E">
      <w:pPr>
        <w:spacing w:line="480" w:lineRule="auto"/>
        <w:jc w:val="both"/>
        <w:rPr>
          <w:rFonts w:ascii="Times New Roman" w:hAnsi="Times New Roman"/>
          <w:color w:val="000000"/>
          <w:lang w:eastAsia="en-GB"/>
        </w:rPr>
      </w:pPr>
      <w:r w:rsidRPr="003B65E4">
        <w:rPr>
          <w:rFonts w:ascii="Times New Roman" w:hAnsi="Times New Roman"/>
          <w:color w:val="000000"/>
          <w:lang w:eastAsia="en-GB"/>
        </w:rPr>
        <w:t>In this study, most of the sub-optimisation (&lt;50%) of GDMT was attributed to limited physiological and clinical factors in the patients. Similarly, Ouwerkerk et al. (2017) conducted logistic regression analysis of factors associated with sub-optimal GDMT dosing and found that factors associated with lower ACEI/ARB dosing included female gender, lower body mass index, worse renal function, and higher alkaline phosphatase levels, while older age, a lower heart rate, lower diastolic blood pressure, and signs of pulmonary congestion were associated with lower BB dosing [</w:t>
      </w:r>
      <w:r w:rsidR="00AE32DE">
        <w:rPr>
          <w:rFonts w:ascii="Times New Roman" w:hAnsi="Times New Roman"/>
          <w:color w:val="000000"/>
          <w:lang w:eastAsia="en-GB"/>
        </w:rPr>
        <w:t>9</w:t>
      </w:r>
      <w:r w:rsidRPr="003B65E4">
        <w:rPr>
          <w:rFonts w:ascii="Times New Roman" w:hAnsi="Times New Roman"/>
          <w:color w:val="000000"/>
          <w:lang w:eastAsia="en-GB"/>
        </w:rPr>
        <w:t xml:space="preserve">]. Moreover, Greene et al. (2018) found a lower likelihood of up-titration or initiation of GDMT in patients who were older (BB </w:t>
      </w:r>
      <w:r w:rsidRPr="003B65E4">
        <w:rPr>
          <w:rFonts w:ascii="Times New Roman" w:hAnsi="Times New Roman"/>
          <w:color w:val="000000"/>
          <w:lang w:eastAsia="en-GB"/>
        </w:rPr>
        <w:lastRenderedPageBreak/>
        <w:t>and ARNI), had a history of ventricular tachycardia/fibrillation (BB), had higher EF (ARNI and MRAs), and had hyperlipidaemia (MRAs) [</w:t>
      </w:r>
      <w:r w:rsidR="00AE32DE">
        <w:rPr>
          <w:rFonts w:ascii="Times New Roman" w:hAnsi="Times New Roman"/>
          <w:color w:val="000000"/>
          <w:lang w:eastAsia="en-GB"/>
        </w:rPr>
        <w:t>11</w:t>
      </w:r>
      <w:r w:rsidRPr="003B65E4">
        <w:rPr>
          <w:rFonts w:ascii="Times New Roman" w:hAnsi="Times New Roman"/>
          <w:color w:val="000000"/>
          <w:lang w:eastAsia="en-GB"/>
        </w:rPr>
        <w:t>]. Furthermore, older age has been previously reported to impact adherence, with the perception of frailty contributing to this phenomenon, the “risk-treatment paradox,” where the most severely affected patients with HF are less likely to receive optimal treatment due to perceived frailty [</w:t>
      </w:r>
      <w:r w:rsidR="00AE32DE">
        <w:rPr>
          <w:rFonts w:ascii="Times New Roman" w:hAnsi="Times New Roman"/>
          <w:color w:val="000000"/>
          <w:lang w:eastAsia="en-GB"/>
        </w:rPr>
        <w:t>22</w:t>
      </w:r>
      <w:r w:rsidRPr="003B65E4">
        <w:rPr>
          <w:rFonts w:ascii="Times New Roman" w:hAnsi="Times New Roman"/>
          <w:color w:val="000000"/>
          <w:lang w:eastAsia="en-GB"/>
        </w:rPr>
        <w:t>]. In fragile patients, disproportionate worries about clinical destabilisation can be caused by medication changes, along with lowered expectations of benefits from an appropriate dose of GDMT in a population that is underrepresented in clinical trials, which may explain this phenomenon [2</w:t>
      </w:r>
      <w:r w:rsidR="00AE32DE">
        <w:rPr>
          <w:rFonts w:ascii="Times New Roman" w:hAnsi="Times New Roman"/>
          <w:color w:val="000000"/>
          <w:lang w:eastAsia="en-GB"/>
        </w:rPr>
        <w:t>3</w:t>
      </w:r>
      <w:r w:rsidRPr="003B65E4">
        <w:rPr>
          <w:rFonts w:ascii="Times New Roman" w:hAnsi="Times New Roman"/>
          <w:color w:val="000000"/>
          <w:lang w:eastAsia="en-GB"/>
        </w:rPr>
        <w:t>]. Despite that, elderly patients who do not show signs of fragility or drug intolerance may benefit from target doses of GDMT. According to current guidelines, GDMT should be used and up-titrated regardless of age while considering each patient's unique circumstances and goals of care [</w:t>
      </w:r>
      <w:r w:rsidR="00AE32DE">
        <w:rPr>
          <w:rFonts w:ascii="Times New Roman" w:hAnsi="Times New Roman"/>
          <w:color w:val="000000"/>
          <w:lang w:eastAsia="en-GB"/>
        </w:rPr>
        <w:t>5</w:t>
      </w:r>
      <w:r w:rsidR="00517A79">
        <w:rPr>
          <w:rFonts w:ascii="Times New Roman" w:hAnsi="Times New Roman"/>
          <w:color w:val="000000"/>
          <w:lang w:eastAsia="en-GB"/>
        </w:rPr>
        <w:t>,</w:t>
      </w:r>
      <w:r w:rsidR="00AE32DE">
        <w:rPr>
          <w:rFonts w:ascii="Times New Roman" w:hAnsi="Times New Roman"/>
          <w:color w:val="000000"/>
          <w:lang w:eastAsia="en-GB"/>
        </w:rPr>
        <w:t>7</w:t>
      </w:r>
      <w:r w:rsidRPr="003B65E4">
        <w:rPr>
          <w:rFonts w:ascii="Times New Roman" w:hAnsi="Times New Roman"/>
          <w:color w:val="000000"/>
          <w:lang w:eastAsia="en-GB"/>
        </w:rPr>
        <w:t>,2</w:t>
      </w:r>
      <w:r w:rsidR="00AE32DE">
        <w:rPr>
          <w:rFonts w:ascii="Times New Roman" w:hAnsi="Times New Roman"/>
          <w:color w:val="000000"/>
          <w:lang w:eastAsia="en-GB"/>
        </w:rPr>
        <w:t>4</w:t>
      </w:r>
      <w:r w:rsidRPr="003B65E4">
        <w:rPr>
          <w:rFonts w:ascii="Times New Roman" w:hAnsi="Times New Roman"/>
          <w:color w:val="000000"/>
          <w:lang w:eastAsia="en-GB"/>
        </w:rPr>
        <w:t>]. Studies such as this one and others suggest that co-morbidities and concerns about age-related intolerances are two major factors that influence sub-target dosing HF GDMT, which is consistent with the findings from a recent study on HF guidelines adherence gaps [2</w:t>
      </w:r>
      <w:r w:rsidR="00AE32DE">
        <w:rPr>
          <w:rFonts w:ascii="Times New Roman" w:hAnsi="Times New Roman"/>
          <w:color w:val="000000"/>
          <w:lang w:eastAsia="en-GB"/>
        </w:rPr>
        <w:t>5</w:t>
      </w:r>
      <w:r w:rsidRPr="003B65E4">
        <w:rPr>
          <w:rFonts w:ascii="Times New Roman" w:hAnsi="Times New Roman"/>
          <w:color w:val="000000"/>
          <w:lang w:eastAsia="en-GB"/>
        </w:rPr>
        <w:t>]. In most HFrEF trials, patients with more advanced comorbidities are excluded, and such patients may have a higher failure rate at the target dose. A lack of optimal use of GDMT due to intolerance or comorbidities may place patients at greater risk, so novel approaches that are effective and well-tolerated are needed.</w:t>
      </w:r>
    </w:p>
    <w:p w14:paraId="0CFD27CF" w14:textId="77777777" w:rsidR="0010502E" w:rsidRDefault="003B65E4" w:rsidP="0010502E">
      <w:pPr>
        <w:spacing w:line="480" w:lineRule="auto"/>
        <w:jc w:val="both"/>
        <w:rPr>
          <w:rFonts w:ascii="Times New Roman" w:hAnsi="Times New Roman"/>
          <w:color w:val="000000"/>
          <w:lang w:eastAsia="en-GB"/>
        </w:rPr>
      </w:pPr>
      <w:r w:rsidRPr="003B65E4">
        <w:rPr>
          <w:rFonts w:ascii="Times New Roman" w:hAnsi="Times New Roman"/>
          <w:color w:val="000000"/>
          <w:lang w:eastAsia="en-GB"/>
        </w:rPr>
        <w:t>This study is one of the few to provide insights into prescribing adherence to HF guidelines in specialised ambulatory HF settings in the Gulf region</w:t>
      </w:r>
      <w:r w:rsidR="00983BD5">
        <w:rPr>
          <w:rFonts w:ascii="Times New Roman" w:hAnsi="Times New Roman"/>
          <w:color w:val="000000"/>
          <w:lang w:eastAsia="en-GB"/>
        </w:rPr>
        <w:t xml:space="preserve">. </w:t>
      </w:r>
      <w:r w:rsidRPr="003B65E4">
        <w:rPr>
          <w:rFonts w:ascii="Times New Roman" w:hAnsi="Times New Roman"/>
          <w:color w:val="000000"/>
          <w:lang w:eastAsia="en-GB"/>
        </w:rPr>
        <w:t>However, there are several limitations to this study. Since this is a non-randomised retrospective study, its findings are limited. As this study population has a relatively young age group and a preponderance of males, it may not accurately reflect the profile of HF among older patients. In addition, patients on evidence-based SGLT2I were not included in this study, as this medication became available on the NHC formulary after the study concluded. Furthermore, the study did not evaluate other factors that could affect prescribing adherence (such as physician-related factors and non-medical factors). In view of this, future studies are needed to evaluate the prescribing adherence of GDMT in HFrEF patients' that also examine physician-related factors and non-medical factors.</w:t>
      </w:r>
    </w:p>
    <w:p w14:paraId="64A9220E"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70B160C1"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3D55A114" w14:textId="77777777" w:rsidR="00A339CB" w:rsidRDefault="00A339CB" w:rsidP="0010502E">
      <w:pPr>
        <w:spacing w:line="480" w:lineRule="auto"/>
        <w:jc w:val="both"/>
        <w:rPr>
          <w:rFonts w:ascii="Times New Roman" w:hAnsi="Times New Roman"/>
          <w:b/>
          <w:bCs/>
          <w:color w:val="215E99" w:themeColor="text2" w:themeTint="BF"/>
          <w:u w:val="single"/>
          <w:lang w:eastAsia="en-GB"/>
        </w:rPr>
      </w:pPr>
    </w:p>
    <w:p w14:paraId="4A8A7919" w14:textId="5FD9B084" w:rsidR="0010502E" w:rsidRPr="0010502E" w:rsidRDefault="003B65E4" w:rsidP="0010502E">
      <w:pPr>
        <w:spacing w:line="480" w:lineRule="auto"/>
        <w:jc w:val="both"/>
        <w:rPr>
          <w:rFonts w:ascii="Times New Roman" w:hAnsi="Times New Roman"/>
          <w:color w:val="215E99" w:themeColor="text2" w:themeTint="BF"/>
          <w:u w:val="single"/>
          <w:lang w:eastAsia="en-GB"/>
        </w:rPr>
      </w:pPr>
      <w:r w:rsidRPr="0010502E">
        <w:rPr>
          <w:rFonts w:ascii="Times New Roman" w:hAnsi="Times New Roman"/>
          <w:b/>
          <w:bCs/>
          <w:color w:val="215E99" w:themeColor="text2" w:themeTint="BF"/>
          <w:u w:val="single"/>
          <w:lang w:eastAsia="en-GB"/>
        </w:rPr>
        <w:lastRenderedPageBreak/>
        <w:t xml:space="preserve">Conclusions </w:t>
      </w:r>
    </w:p>
    <w:p w14:paraId="4FA23AB1" w14:textId="2B67DCB3" w:rsidR="003B65E4" w:rsidRDefault="003B65E4" w:rsidP="0010502E">
      <w:pPr>
        <w:spacing w:line="480" w:lineRule="auto"/>
        <w:jc w:val="both"/>
        <w:rPr>
          <w:rFonts w:ascii="Times New Roman" w:hAnsi="Times New Roman"/>
          <w:color w:val="000000"/>
          <w:lang w:eastAsia="en-GB"/>
        </w:rPr>
      </w:pPr>
      <w:r w:rsidRPr="003B65E4">
        <w:rPr>
          <w:rFonts w:ascii="Times New Roman" w:hAnsi="Times New Roman"/>
          <w:color w:val="000000"/>
          <w:lang w:eastAsia="en-GB"/>
        </w:rPr>
        <w:t>Prescribing adherence to recommended GDMT in Oman is similar to that of international studies. In addition, sub-optimisation of GDMT was significantly associated with older age and comorbidities such as hypertension, chronic kidney disease, coronary artery disease, and dilated cardiomyopathy, suggesting that perceived frailty may influence physician decision-making regarding GDMT titration. Consequently, prescribing adherence to guidelines should be assessed according to patients' characteristics as part of patient-centred care since one size does not appear to fit all.</w:t>
      </w:r>
    </w:p>
    <w:p w14:paraId="483845F5" w14:textId="77777777" w:rsidR="00A339CB" w:rsidRDefault="00A339CB" w:rsidP="0010502E">
      <w:pPr>
        <w:spacing w:line="480" w:lineRule="auto"/>
        <w:jc w:val="both"/>
        <w:rPr>
          <w:rFonts w:ascii="Times New Roman" w:hAnsi="Times New Roman"/>
          <w:b/>
          <w:bCs/>
          <w:color w:val="215E99" w:themeColor="text2" w:themeTint="BF"/>
          <w:u w:val="single"/>
        </w:rPr>
      </w:pPr>
    </w:p>
    <w:p w14:paraId="0FE4A1B5" w14:textId="77777777" w:rsidR="00A339CB" w:rsidRDefault="00A339CB" w:rsidP="0010502E">
      <w:pPr>
        <w:spacing w:line="480" w:lineRule="auto"/>
        <w:jc w:val="both"/>
        <w:rPr>
          <w:rFonts w:ascii="Times New Roman" w:hAnsi="Times New Roman"/>
          <w:b/>
          <w:bCs/>
          <w:color w:val="215E99" w:themeColor="text2" w:themeTint="BF"/>
          <w:u w:val="single"/>
        </w:rPr>
      </w:pPr>
    </w:p>
    <w:p w14:paraId="46A35494" w14:textId="77777777" w:rsidR="00A339CB" w:rsidRDefault="00A339CB" w:rsidP="0010502E">
      <w:pPr>
        <w:spacing w:line="480" w:lineRule="auto"/>
        <w:jc w:val="both"/>
        <w:rPr>
          <w:rFonts w:ascii="Times New Roman" w:hAnsi="Times New Roman"/>
          <w:b/>
          <w:bCs/>
          <w:color w:val="215E99" w:themeColor="text2" w:themeTint="BF"/>
          <w:u w:val="single"/>
        </w:rPr>
      </w:pPr>
    </w:p>
    <w:p w14:paraId="6278DBD9" w14:textId="77777777" w:rsidR="00A339CB" w:rsidRDefault="00A339CB" w:rsidP="0010502E">
      <w:pPr>
        <w:spacing w:line="480" w:lineRule="auto"/>
        <w:jc w:val="both"/>
        <w:rPr>
          <w:rFonts w:ascii="Times New Roman" w:hAnsi="Times New Roman"/>
          <w:b/>
          <w:bCs/>
          <w:color w:val="215E99" w:themeColor="text2" w:themeTint="BF"/>
          <w:u w:val="single"/>
        </w:rPr>
      </w:pPr>
    </w:p>
    <w:p w14:paraId="2892CC5B" w14:textId="77777777" w:rsidR="00A339CB" w:rsidRDefault="00A339CB" w:rsidP="0010502E">
      <w:pPr>
        <w:spacing w:line="480" w:lineRule="auto"/>
        <w:jc w:val="both"/>
        <w:rPr>
          <w:rFonts w:ascii="Times New Roman" w:hAnsi="Times New Roman"/>
          <w:b/>
          <w:bCs/>
          <w:color w:val="215E99" w:themeColor="text2" w:themeTint="BF"/>
          <w:u w:val="single"/>
        </w:rPr>
      </w:pPr>
    </w:p>
    <w:p w14:paraId="501A97FD" w14:textId="77777777" w:rsidR="00A339CB" w:rsidRDefault="00A339CB" w:rsidP="0010502E">
      <w:pPr>
        <w:spacing w:line="480" w:lineRule="auto"/>
        <w:jc w:val="both"/>
        <w:rPr>
          <w:rFonts w:ascii="Times New Roman" w:hAnsi="Times New Roman"/>
          <w:b/>
          <w:bCs/>
          <w:color w:val="215E99" w:themeColor="text2" w:themeTint="BF"/>
          <w:u w:val="single"/>
        </w:rPr>
      </w:pPr>
    </w:p>
    <w:p w14:paraId="344CC468" w14:textId="77777777" w:rsidR="00A339CB" w:rsidRDefault="00A339CB" w:rsidP="0010502E">
      <w:pPr>
        <w:spacing w:line="480" w:lineRule="auto"/>
        <w:jc w:val="both"/>
        <w:rPr>
          <w:rFonts w:ascii="Times New Roman" w:hAnsi="Times New Roman"/>
          <w:b/>
          <w:bCs/>
          <w:color w:val="215E99" w:themeColor="text2" w:themeTint="BF"/>
          <w:u w:val="single"/>
        </w:rPr>
      </w:pPr>
    </w:p>
    <w:p w14:paraId="24B66A67" w14:textId="77777777" w:rsidR="00A339CB" w:rsidRDefault="00A339CB" w:rsidP="0010502E">
      <w:pPr>
        <w:spacing w:line="480" w:lineRule="auto"/>
        <w:jc w:val="both"/>
        <w:rPr>
          <w:rFonts w:ascii="Times New Roman" w:hAnsi="Times New Roman"/>
          <w:b/>
          <w:bCs/>
          <w:color w:val="215E99" w:themeColor="text2" w:themeTint="BF"/>
          <w:u w:val="single"/>
        </w:rPr>
      </w:pPr>
    </w:p>
    <w:p w14:paraId="3A52DD72" w14:textId="77777777" w:rsidR="00A339CB" w:rsidRDefault="00A339CB" w:rsidP="0010502E">
      <w:pPr>
        <w:spacing w:line="480" w:lineRule="auto"/>
        <w:jc w:val="both"/>
        <w:rPr>
          <w:rFonts w:ascii="Times New Roman" w:hAnsi="Times New Roman"/>
          <w:b/>
          <w:bCs/>
          <w:color w:val="215E99" w:themeColor="text2" w:themeTint="BF"/>
          <w:u w:val="single"/>
        </w:rPr>
      </w:pPr>
    </w:p>
    <w:p w14:paraId="3F644169" w14:textId="77777777" w:rsidR="00A339CB" w:rsidRDefault="00A339CB" w:rsidP="0010502E">
      <w:pPr>
        <w:spacing w:line="480" w:lineRule="auto"/>
        <w:jc w:val="both"/>
        <w:rPr>
          <w:rFonts w:ascii="Times New Roman" w:hAnsi="Times New Roman"/>
          <w:b/>
          <w:bCs/>
          <w:color w:val="215E99" w:themeColor="text2" w:themeTint="BF"/>
          <w:u w:val="single"/>
        </w:rPr>
      </w:pPr>
    </w:p>
    <w:p w14:paraId="799AD3E8" w14:textId="77777777" w:rsidR="00A339CB" w:rsidRDefault="00A339CB" w:rsidP="0010502E">
      <w:pPr>
        <w:spacing w:line="480" w:lineRule="auto"/>
        <w:jc w:val="both"/>
        <w:rPr>
          <w:rFonts w:ascii="Times New Roman" w:hAnsi="Times New Roman"/>
          <w:b/>
          <w:bCs/>
          <w:color w:val="215E99" w:themeColor="text2" w:themeTint="BF"/>
          <w:u w:val="single"/>
        </w:rPr>
      </w:pPr>
    </w:p>
    <w:p w14:paraId="48EAFA27" w14:textId="77777777" w:rsidR="00A339CB" w:rsidRDefault="00A339CB" w:rsidP="0010502E">
      <w:pPr>
        <w:spacing w:line="480" w:lineRule="auto"/>
        <w:jc w:val="both"/>
        <w:rPr>
          <w:rFonts w:ascii="Times New Roman" w:hAnsi="Times New Roman"/>
          <w:b/>
          <w:bCs/>
          <w:color w:val="215E99" w:themeColor="text2" w:themeTint="BF"/>
          <w:u w:val="single"/>
        </w:rPr>
      </w:pPr>
    </w:p>
    <w:p w14:paraId="7B36D129" w14:textId="77777777" w:rsidR="00A339CB" w:rsidRDefault="00A339CB" w:rsidP="0010502E">
      <w:pPr>
        <w:spacing w:line="480" w:lineRule="auto"/>
        <w:jc w:val="both"/>
        <w:rPr>
          <w:rFonts w:ascii="Times New Roman" w:hAnsi="Times New Roman"/>
          <w:b/>
          <w:bCs/>
          <w:color w:val="215E99" w:themeColor="text2" w:themeTint="BF"/>
          <w:u w:val="single"/>
        </w:rPr>
      </w:pPr>
    </w:p>
    <w:p w14:paraId="6A4DC3B2" w14:textId="77777777" w:rsidR="00A339CB" w:rsidRDefault="00A339CB" w:rsidP="0010502E">
      <w:pPr>
        <w:spacing w:line="480" w:lineRule="auto"/>
        <w:jc w:val="both"/>
        <w:rPr>
          <w:rFonts w:ascii="Times New Roman" w:hAnsi="Times New Roman"/>
          <w:b/>
          <w:bCs/>
          <w:color w:val="215E99" w:themeColor="text2" w:themeTint="BF"/>
          <w:u w:val="single"/>
        </w:rPr>
      </w:pPr>
    </w:p>
    <w:p w14:paraId="340E935F" w14:textId="77777777" w:rsidR="00A339CB" w:rsidRDefault="00A339CB" w:rsidP="0010502E">
      <w:pPr>
        <w:spacing w:line="480" w:lineRule="auto"/>
        <w:jc w:val="both"/>
        <w:rPr>
          <w:rFonts w:ascii="Times New Roman" w:hAnsi="Times New Roman"/>
          <w:b/>
          <w:bCs/>
          <w:color w:val="215E99" w:themeColor="text2" w:themeTint="BF"/>
          <w:u w:val="single"/>
        </w:rPr>
      </w:pPr>
    </w:p>
    <w:p w14:paraId="44F79C5B" w14:textId="77777777" w:rsidR="00A339CB" w:rsidRDefault="00A339CB" w:rsidP="0010502E">
      <w:pPr>
        <w:spacing w:line="480" w:lineRule="auto"/>
        <w:jc w:val="both"/>
        <w:rPr>
          <w:rFonts w:ascii="Times New Roman" w:hAnsi="Times New Roman"/>
          <w:b/>
          <w:bCs/>
          <w:color w:val="215E99" w:themeColor="text2" w:themeTint="BF"/>
          <w:u w:val="single"/>
        </w:rPr>
      </w:pPr>
    </w:p>
    <w:p w14:paraId="3922645E" w14:textId="77777777" w:rsidR="00A339CB" w:rsidRDefault="00A339CB" w:rsidP="0010502E">
      <w:pPr>
        <w:spacing w:line="480" w:lineRule="auto"/>
        <w:jc w:val="both"/>
        <w:rPr>
          <w:rFonts w:ascii="Times New Roman" w:hAnsi="Times New Roman"/>
          <w:b/>
          <w:bCs/>
          <w:color w:val="215E99" w:themeColor="text2" w:themeTint="BF"/>
          <w:u w:val="single"/>
        </w:rPr>
      </w:pPr>
    </w:p>
    <w:p w14:paraId="4EA35A15" w14:textId="77777777" w:rsidR="00A339CB" w:rsidRDefault="00A339CB" w:rsidP="0010502E">
      <w:pPr>
        <w:spacing w:line="480" w:lineRule="auto"/>
        <w:jc w:val="both"/>
        <w:rPr>
          <w:rFonts w:ascii="Times New Roman" w:hAnsi="Times New Roman"/>
          <w:b/>
          <w:bCs/>
          <w:color w:val="215E99" w:themeColor="text2" w:themeTint="BF"/>
          <w:u w:val="single"/>
        </w:rPr>
      </w:pPr>
    </w:p>
    <w:p w14:paraId="4EBE0BC8" w14:textId="77777777" w:rsidR="00A339CB" w:rsidRDefault="00A339CB" w:rsidP="0010502E">
      <w:pPr>
        <w:spacing w:line="480" w:lineRule="auto"/>
        <w:jc w:val="both"/>
        <w:rPr>
          <w:rFonts w:ascii="Times New Roman" w:hAnsi="Times New Roman"/>
          <w:b/>
          <w:bCs/>
          <w:color w:val="215E99" w:themeColor="text2" w:themeTint="BF"/>
          <w:u w:val="single"/>
        </w:rPr>
      </w:pPr>
    </w:p>
    <w:p w14:paraId="2AF64966" w14:textId="77777777" w:rsidR="00A339CB" w:rsidRDefault="00A339CB" w:rsidP="0010502E">
      <w:pPr>
        <w:spacing w:line="480" w:lineRule="auto"/>
        <w:jc w:val="both"/>
        <w:rPr>
          <w:rFonts w:ascii="Times New Roman" w:hAnsi="Times New Roman"/>
          <w:b/>
          <w:bCs/>
          <w:color w:val="215E99" w:themeColor="text2" w:themeTint="BF"/>
          <w:u w:val="single"/>
        </w:rPr>
      </w:pPr>
    </w:p>
    <w:p w14:paraId="22C706C5" w14:textId="77777777" w:rsidR="00A339CB" w:rsidRDefault="00A339CB" w:rsidP="0010502E">
      <w:pPr>
        <w:spacing w:line="480" w:lineRule="auto"/>
        <w:jc w:val="both"/>
        <w:rPr>
          <w:rFonts w:ascii="Times New Roman" w:hAnsi="Times New Roman"/>
          <w:b/>
          <w:bCs/>
          <w:color w:val="215E99" w:themeColor="text2" w:themeTint="BF"/>
          <w:u w:val="single"/>
        </w:rPr>
      </w:pPr>
    </w:p>
    <w:p w14:paraId="770291DA" w14:textId="77777777" w:rsidR="00A339CB" w:rsidRDefault="00A339CB" w:rsidP="0010502E">
      <w:pPr>
        <w:spacing w:line="480" w:lineRule="auto"/>
        <w:jc w:val="both"/>
        <w:rPr>
          <w:rFonts w:ascii="Times New Roman" w:hAnsi="Times New Roman"/>
          <w:b/>
          <w:bCs/>
          <w:color w:val="215E99" w:themeColor="text2" w:themeTint="BF"/>
          <w:u w:val="single"/>
        </w:rPr>
      </w:pPr>
    </w:p>
    <w:p w14:paraId="57633E21" w14:textId="485B70C8" w:rsidR="0010502E" w:rsidRPr="0010502E" w:rsidRDefault="0010502E" w:rsidP="0010502E">
      <w:pPr>
        <w:spacing w:line="480" w:lineRule="auto"/>
        <w:jc w:val="both"/>
        <w:rPr>
          <w:rFonts w:ascii="Times New Roman" w:hAnsi="Times New Roman"/>
          <w:b/>
          <w:bCs/>
          <w:color w:val="215E99" w:themeColor="text2" w:themeTint="BF"/>
          <w:u w:val="single"/>
        </w:rPr>
      </w:pPr>
      <w:r w:rsidRPr="0010502E">
        <w:rPr>
          <w:rFonts w:ascii="Times New Roman" w:hAnsi="Times New Roman"/>
          <w:b/>
          <w:bCs/>
          <w:color w:val="215E99" w:themeColor="text2" w:themeTint="BF"/>
          <w:u w:val="single"/>
        </w:rPr>
        <w:lastRenderedPageBreak/>
        <w:t>Statements &amp; Author Declarations</w:t>
      </w:r>
    </w:p>
    <w:p w14:paraId="3865C477" w14:textId="77777777" w:rsidR="0010502E" w:rsidRPr="0010502E" w:rsidRDefault="0010502E" w:rsidP="0010502E">
      <w:pPr>
        <w:spacing w:line="480" w:lineRule="auto"/>
        <w:jc w:val="both"/>
        <w:rPr>
          <w:rStyle w:val="Strong"/>
          <w:rFonts w:ascii="Times New Roman" w:hAnsi="Times New Roman"/>
          <w:b w:val="0"/>
          <w:bCs w:val="0"/>
          <w:color w:val="212121"/>
          <w:shd w:val="clear" w:color="auto" w:fill="FFFFFF"/>
        </w:rPr>
      </w:pPr>
      <w:r w:rsidRPr="0010502E">
        <w:rPr>
          <w:rFonts w:ascii="Times New Roman" w:hAnsi="Times New Roman"/>
          <w:b/>
          <w:bCs/>
          <w:color w:val="212121"/>
        </w:rPr>
        <w:t xml:space="preserve">Availability of data and material: </w:t>
      </w:r>
      <w:r w:rsidRPr="0010502E">
        <w:rPr>
          <w:rFonts w:ascii="Times New Roman" w:hAnsi="Times New Roman"/>
          <w:color w:val="212121"/>
          <w:shd w:val="clear" w:color="auto" w:fill="FFFFFF"/>
        </w:rPr>
        <w:t>The data that support the findings of this study are available from the corresponding author upon request.</w:t>
      </w:r>
    </w:p>
    <w:p w14:paraId="26AD9387" w14:textId="77777777" w:rsidR="0010502E" w:rsidRPr="0010502E" w:rsidRDefault="0010502E" w:rsidP="0010502E">
      <w:pPr>
        <w:spacing w:line="480" w:lineRule="auto"/>
        <w:jc w:val="both"/>
        <w:rPr>
          <w:rStyle w:val="Strong"/>
          <w:rFonts w:ascii="Times New Roman" w:hAnsi="Times New Roman"/>
          <w:b w:val="0"/>
          <w:bCs w:val="0"/>
          <w:color w:val="212121"/>
        </w:rPr>
      </w:pPr>
      <w:r w:rsidRPr="0010502E">
        <w:rPr>
          <w:rFonts w:ascii="Times New Roman" w:hAnsi="Times New Roman"/>
          <w:b/>
          <w:bCs/>
          <w:color w:val="212121"/>
          <w:shd w:val="clear" w:color="auto" w:fill="FFFFFF"/>
        </w:rPr>
        <w:t>Code availability:</w:t>
      </w:r>
      <w:r w:rsidRPr="0010502E">
        <w:rPr>
          <w:rFonts w:ascii="Times New Roman" w:hAnsi="Times New Roman"/>
          <w:color w:val="212121"/>
          <w:shd w:val="clear" w:color="auto" w:fill="FFFFFF"/>
        </w:rPr>
        <w:t xml:space="preserve"> Not applicable.</w:t>
      </w:r>
    </w:p>
    <w:p w14:paraId="49963B76" w14:textId="77777777" w:rsidR="0010502E" w:rsidRDefault="0010502E" w:rsidP="0010502E">
      <w:pPr>
        <w:spacing w:line="480" w:lineRule="auto"/>
        <w:jc w:val="both"/>
        <w:rPr>
          <w:rFonts w:ascii="Times New Roman" w:hAnsi="Times New Roman"/>
          <w:color w:val="212121"/>
        </w:rPr>
      </w:pPr>
      <w:r w:rsidRPr="0010502E">
        <w:rPr>
          <w:rFonts w:ascii="Times New Roman" w:hAnsi="Times New Roman"/>
          <w:b/>
          <w:bCs/>
          <w:color w:val="212121"/>
        </w:rPr>
        <w:t>Consent for Publication:</w:t>
      </w:r>
      <w:r w:rsidRPr="0010502E">
        <w:rPr>
          <w:rFonts w:ascii="Times New Roman" w:hAnsi="Times New Roman"/>
          <w:b/>
          <w:bCs/>
          <w:color w:val="212121"/>
          <w:shd w:val="clear" w:color="auto" w:fill="FFFFFF"/>
          <w:lang w:eastAsia="en-GB"/>
        </w:rPr>
        <w:t xml:space="preserve"> </w:t>
      </w:r>
      <w:r w:rsidRPr="0010502E">
        <w:rPr>
          <w:rFonts w:ascii="Times New Roman" w:hAnsi="Times New Roman"/>
          <w:color w:val="212121"/>
        </w:rPr>
        <w:t>Not applicable.</w:t>
      </w:r>
    </w:p>
    <w:p w14:paraId="3102B7F7" w14:textId="3473627E" w:rsidR="0010502E" w:rsidRPr="0010502E" w:rsidRDefault="0010502E" w:rsidP="0010502E">
      <w:pPr>
        <w:spacing w:line="480" w:lineRule="auto"/>
        <w:jc w:val="both"/>
        <w:rPr>
          <w:rFonts w:ascii="Times New Roman" w:hAnsi="Times New Roman"/>
          <w:color w:val="212121"/>
        </w:rPr>
      </w:pPr>
      <w:r w:rsidRPr="0010502E">
        <w:rPr>
          <w:rFonts w:ascii="Times New Roman" w:hAnsi="Times New Roman"/>
          <w:b/>
          <w:bCs/>
          <w:color w:val="212121"/>
        </w:rPr>
        <w:t>Funding:</w:t>
      </w:r>
      <w:r w:rsidRPr="0010502E">
        <w:rPr>
          <w:rFonts w:ascii="Times New Roman" w:hAnsi="Times New Roman"/>
          <w:color w:val="212121"/>
        </w:rPr>
        <w:t xml:space="preserve"> </w:t>
      </w:r>
      <w:r w:rsidRPr="0010502E">
        <w:rPr>
          <w:rFonts w:ascii="Times New Roman" w:hAnsi="Times New Roman"/>
          <w:color w:val="212121"/>
          <w:shd w:val="clear" w:color="auto" w:fill="FFFFFF"/>
        </w:rPr>
        <w:t>The authors declare that no funds, grants, or other support were received during the preparation of this manuscript.</w:t>
      </w:r>
    </w:p>
    <w:p w14:paraId="692AE09F" w14:textId="77777777" w:rsidR="0010502E" w:rsidRPr="0010502E" w:rsidRDefault="0010502E" w:rsidP="0010502E">
      <w:pPr>
        <w:spacing w:line="480" w:lineRule="auto"/>
        <w:jc w:val="both"/>
        <w:rPr>
          <w:rFonts w:ascii="Times New Roman" w:hAnsi="Times New Roman"/>
          <w:b/>
          <w:bCs/>
          <w:color w:val="212121"/>
        </w:rPr>
      </w:pPr>
      <w:r w:rsidRPr="0010502E">
        <w:rPr>
          <w:rFonts w:ascii="Times New Roman" w:hAnsi="Times New Roman"/>
          <w:b/>
          <w:bCs/>
          <w:color w:val="212121"/>
          <w:shd w:val="clear" w:color="auto" w:fill="FFFFFF"/>
          <w:lang w:eastAsia="en-GB"/>
        </w:rPr>
        <w:t>Conflict of Interest</w:t>
      </w:r>
      <w:r w:rsidRPr="0010502E">
        <w:rPr>
          <w:rFonts w:ascii="Times New Roman" w:hAnsi="Times New Roman"/>
          <w:b/>
          <w:bCs/>
          <w:color w:val="212121"/>
          <w:shd w:val="clear" w:color="auto" w:fill="FFFFFF"/>
        </w:rPr>
        <w:t xml:space="preserve">: </w:t>
      </w:r>
      <w:r w:rsidRPr="0010502E">
        <w:rPr>
          <w:rFonts w:ascii="Times New Roman" w:hAnsi="Times New Roman"/>
          <w:color w:val="212121"/>
          <w:shd w:val="clear" w:color="auto" w:fill="FFFFFF"/>
          <w:lang w:eastAsia="en-GB"/>
        </w:rPr>
        <w:t>The authors declare no competing interests.</w:t>
      </w:r>
    </w:p>
    <w:p w14:paraId="5458FAAD" w14:textId="5534986B" w:rsidR="0010502E" w:rsidRPr="0010502E" w:rsidRDefault="0010502E" w:rsidP="0010502E">
      <w:pPr>
        <w:spacing w:line="480" w:lineRule="auto"/>
        <w:jc w:val="both"/>
        <w:rPr>
          <w:rFonts w:ascii="Times New Roman" w:hAnsi="Times New Roman"/>
          <w:b/>
          <w:bCs/>
          <w:color w:val="212121"/>
        </w:rPr>
      </w:pPr>
      <w:r w:rsidRPr="0010502E">
        <w:rPr>
          <w:rFonts w:ascii="Times New Roman" w:hAnsi="Times New Roman"/>
          <w:b/>
          <w:bCs/>
          <w:color w:val="212121"/>
        </w:rPr>
        <w:t>Author Contributions:</w:t>
      </w:r>
      <w:r w:rsidRPr="0010502E">
        <w:rPr>
          <w:rFonts w:ascii="Times New Roman" w:hAnsi="Times New Roman"/>
          <w:color w:val="212121"/>
        </w:rPr>
        <w:t xml:space="preserve"> </w:t>
      </w:r>
      <w:r w:rsidRPr="0010502E">
        <w:rPr>
          <w:rFonts w:ascii="Times New Roman" w:hAnsi="Times New Roman"/>
          <w:color w:val="212121"/>
          <w:shd w:val="clear" w:color="auto" w:fill="FFFFFF"/>
        </w:rPr>
        <w:t>MA and LN conceived the research idea and designed the study. MA and GhA conducted preliminary data analyses. MA wrote the initial draft manuscript, but later ALL authors revised and made significant changes to the draft manuscript. All authors discussed the results and approved the final manuscript prior to submission. All named authors meet the International Committee of Medical Journal Editors (ICMJE) criteria for authorship of this article, take responsibility for the integrity of the work as a whole, and have given their approval for this version to be published.</w:t>
      </w:r>
      <w:r w:rsidRPr="0010502E">
        <w:rPr>
          <w:rFonts w:ascii="Times New Roman" w:hAnsi="Times New Roman"/>
          <w:color w:val="212121"/>
        </w:rPr>
        <w:br/>
      </w:r>
      <w:r w:rsidRPr="0010502E">
        <w:rPr>
          <w:rFonts w:ascii="Times New Roman" w:hAnsi="Times New Roman"/>
          <w:b/>
          <w:bCs/>
          <w:color w:val="212121"/>
        </w:rPr>
        <w:t xml:space="preserve">Ethics approval: </w:t>
      </w:r>
      <w:r w:rsidRPr="0010502E">
        <w:rPr>
          <w:rFonts w:ascii="Times New Roman" w:hAnsi="Times New Roman"/>
          <w:color w:val="212121"/>
          <w:shd w:val="clear" w:color="auto" w:fill="FFFFFF"/>
        </w:rPr>
        <w:t>Research approval for this study was granted by the Health Studies and Research Approval Committee at the Ministry of Health in Muscat, Oman (MOH/CSR/22/25991, dated 30 June 2022).</w:t>
      </w:r>
      <w:r w:rsidRPr="0010502E">
        <w:rPr>
          <w:rFonts w:ascii="Times New Roman" w:hAnsi="Times New Roman"/>
        </w:rPr>
        <w:t xml:space="preserve"> </w:t>
      </w:r>
      <w:r w:rsidRPr="0010502E">
        <w:rPr>
          <w:rFonts w:ascii="Times New Roman" w:hAnsi="Times New Roman"/>
          <w:color w:val="212121"/>
          <w:shd w:val="clear" w:color="auto" w:fill="FFFFFF"/>
        </w:rPr>
        <w:t>As this was a thesis project for a master's student, Manal Al Balushi, the first author, Research Ethics Committee approval was also obtained on 18th May 2022 from Robert Gordon University, Aberdeen, United Kingdom.</w:t>
      </w:r>
    </w:p>
    <w:p w14:paraId="2896DA8E" w14:textId="77777777" w:rsidR="0010502E" w:rsidRPr="0010502E" w:rsidRDefault="0010502E" w:rsidP="0010502E">
      <w:pPr>
        <w:spacing w:line="480" w:lineRule="auto"/>
        <w:jc w:val="both"/>
        <w:rPr>
          <w:rFonts w:ascii="Times New Roman" w:hAnsi="Times New Roman"/>
          <w:color w:val="212121"/>
        </w:rPr>
      </w:pPr>
      <w:r w:rsidRPr="0010502E">
        <w:rPr>
          <w:rFonts w:ascii="Times New Roman" w:hAnsi="Times New Roman"/>
          <w:b/>
          <w:bCs/>
          <w:color w:val="212121"/>
        </w:rPr>
        <w:t>Consent to participate:</w:t>
      </w:r>
      <w:r w:rsidRPr="0010502E">
        <w:rPr>
          <w:rFonts w:ascii="Times New Roman" w:hAnsi="Times New Roman"/>
          <w:color w:val="212121"/>
        </w:rPr>
        <w:t xml:space="preserve"> Not applicable.</w:t>
      </w:r>
    </w:p>
    <w:p w14:paraId="311AD06A" w14:textId="77777777" w:rsidR="0010502E" w:rsidRDefault="0010502E" w:rsidP="0010502E">
      <w:pPr>
        <w:spacing w:line="480" w:lineRule="auto"/>
        <w:jc w:val="both"/>
        <w:rPr>
          <w:rFonts w:ascii="Times New Roman" w:hAnsi="Times New Roman"/>
          <w:color w:val="212121"/>
          <w:shd w:val="clear" w:color="auto" w:fill="FFFFFF"/>
        </w:rPr>
      </w:pPr>
      <w:r w:rsidRPr="0010502E">
        <w:rPr>
          <w:rFonts w:ascii="Times New Roman" w:hAnsi="Times New Roman"/>
          <w:b/>
          <w:bCs/>
          <w:color w:val="212121"/>
        </w:rPr>
        <w:t>Acknowledgements:</w:t>
      </w:r>
      <w:r w:rsidRPr="0010502E">
        <w:rPr>
          <w:rFonts w:ascii="Times New Roman" w:hAnsi="Times New Roman"/>
          <w:color w:val="212121"/>
        </w:rPr>
        <w:t xml:space="preserve"> </w:t>
      </w:r>
      <w:r w:rsidRPr="0010502E">
        <w:rPr>
          <w:rFonts w:ascii="Times New Roman" w:hAnsi="Times New Roman"/>
          <w:color w:val="212121"/>
          <w:shd w:val="clear" w:color="auto" w:fill="FFFFFF"/>
        </w:rPr>
        <w:t xml:space="preserve">The authors would like to thank Umkalthoom Al Barwani, consultant pharmacist, (Head of Pharmacy Department, National Heart Centre, Muscat, Oman) as well as pharmacy staffs at the National Heart Centre for their kind contribution in logistically helping out with data capture from the Hospital Information System as well as in reviewing the study findings. </w:t>
      </w:r>
    </w:p>
    <w:p w14:paraId="47489140" w14:textId="77777777" w:rsidR="00A339CB" w:rsidRDefault="00A339CB" w:rsidP="0010502E">
      <w:pPr>
        <w:spacing w:line="480" w:lineRule="auto"/>
        <w:jc w:val="both"/>
        <w:rPr>
          <w:rFonts w:asciiTheme="majorBidi" w:hAnsiTheme="majorBidi" w:cstheme="majorBidi"/>
          <w:b/>
          <w:bCs/>
          <w:color w:val="212121"/>
          <w:u w:val="single"/>
          <w:shd w:val="clear" w:color="auto" w:fill="FFFFFF"/>
        </w:rPr>
      </w:pPr>
    </w:p>
    <w:p w14:paraId="0054D1EC" w14:textId="77777777" w:rsidR="00A339CB" w:rsidRDefault="00A339CB" w:rsidP="0010502E">
      <w:pPr>
        <w:spacing w:line="480" w:lineRule="auto"/>
        <w:jc w:val="both"/>
        <w:rPr>
          <w:rFonts w:asciiTheme="majorBidi" w:hAnsiTheme="majorBidi" w:cstheme="majorBidi"/>
          <w:b/>
          <w:bCs/>
          <w:color w:val="212121"/>
          <w:u w:val="single"/>
          <w:shd w:val="clear" w:color="auto" w:fill="FFFFFF"/>
        </w:rPr>
      </w:pPr>
    </w:p>
    <w:p w14:paraId="2C76D5EA" w14:textId="77777777" w:rsidR="00A339CB" w:rsidRDefault="00A339CB" w:rsidP="0010502E">
      <w:pPr>
        <w:spacing w:line="480" w:lineRule="auto"/>
        <w:jc w:val="both"/>
        <w:rPr>
          <w:rFonts w:asciiTheme="majorBidi" w:hAnsiTheme="majorBidi" w:cstheme="majorBidi"/>
          <w:b/>
          <w:bCs/>
          <w:color w:val="212121"/>
          <w:u w:val="single"/>
          <w:shd w:val="clear" w:color="auto" w:fill="FFFFFF"/>
        </w:rPr>
      </w:pPr>
    </w:p>
    <w:p w14:paraId="255312DD" w14:textId="77777777" w:rsidR="00A339CB" w:rsidRDefault="00A339CB" w:rsidP="0010502E">
      <w:pPr>
        <w:spacing w:line="480" w:lineRule="auto"/>
        <w:jc w:val="both"/>
        <w:rPr>
          <w:rFonts w:asciiTheme="majorBidi" w:hAnsiTheme="majorBidi" w:cstheme="majorBidi"/>
          <w:b/>
          <w:bCs/>
          <w:color w:val="212121"/>
          <w:u w:val="single"/>
          <w:shd w:val="clear" w:color="auto" w:fill="FFFFFF"/>
        </w:rPr>
      </w:pPr>
    </w:p>
    <w:p w14:paraId="5A7D20CF" w14:textId="77777777" w:rsidR="00A339CB" w:rsidRDefault="00A339CB" w:rsidP="0010502E">
      <w:pPr>
        <w:spacing w:line="480" w:lineRule="auto"/>
        <w:jc w:val="both"/>
        <w:rPr>
          <w:rFonts w:asciiTheme="majorBidi" w:hAnsiTheme="majorBidi" w:cstheme="majorBidi"/>
          <w:b/>
          <w:bCs/>
          <w:color w:val="212121"/>
          <w:u w:val="single"/>
          <w:shd w:val="clear" w:color="auto" w:fill="FFFFFF"/>
        </w:rPr>
      </w:pPr>
    </w:p>
    <w:p w14:paraId="1D2261E7" w14:textId="7F076A12" w:rsidR="005169A7" w:rsidRPr="0010502E" w:rsidRDefault="005169A7" w:rsidP="0010502E">
      <w:pPr>
        <w:spacing w:line="480" w:lineRule="auto"/>
        <w:jc w:val="both"/>
        <w:rPr>
          <w:rFonts w:ascii="Times New Roman" w:hAnsi="Times New Roman"/>
          <w:color w:val="212121"/>
          <w:u w:val="single"/>
          <w:shd w:val="clear" w:color="auto" w:fill="FFFFFF"/>
        </w:rPr>
      </w:pPr>
      <w:r w:rsidRPr="0010502E">
        <w:rPr>
          <w:rFonts w:asciiTheme="majorBidi" w:hAnsiTheme="majorBidi" w:cstheme="majorBidi"/>
          <w:b/>
          <w:bCs/>
          <w:color w:val="212121"/>
          <w:u w:val="single"/>
          <w:shd w:val="clear" w:color="auto" w:fill="FFFFFF"/>
        </w:rPr>
        <w:lastRenderedPageBreak/>
        <w:t xml:space="preserve">References </w:t>
      </w:r>
    </w:p>
    <w:p w14:paraId="4B129224" w14:textId="77777777" w:rsidR="005169A7" w:rsidRPr="0010502E" w:rsidRDefault="005169A7" w:rsidP="005169A7">
      <w:pPr>
        <w:pStyle w:val="NormalWeb"/>
        <w:tabs>
          <w:tab w:val="left" w:pos="1276"/>
        </w:tabs>
        <w:jc w:val="both"/>
        <w:rPr>
          <w:rFonts w:asciiTheme="majorBidi" w:hAnsiTheme="majorBidi" w:cstheme="majorBidi"/>
          <w:color w:val="212121"/>
          <w:sz w:val="22"/>
          <w:szCs w:val="22"/>
          <w:shd w:val="clear" w:color="auto" w:fill="FFFFFF"/>
        </w:rPr>
      </w:pPr>
      <w:r w:rsidRPr="0010502E">
        <w:rPr>
          <w:rFonts w:asciiTheme="majorBidi" w:hAnsiTheme="majorBidi" w:cstheme="majorBidi"/>
          <w:color w:val="212121"/>
          <w:sz w:val="22"/>
          <w:szCs w:val="22"/>
          <w:shd w:val="clear" w:color="auto" w:fill="FFFFFF"/>
        </w:rPr>
        <w:t xml:space="preserve">[1] Beggs SAS, McDonagh TA, Gardner RS (2018) Chronic heart failure: epidemiology, investigation and management. Medicine 46(10):594-600. </w:t>
      </w:r>
    </w:p>
    <w:p w14:paraId="227D43E6" w14:textId="77777777" w:rsidR="005169A7" w:rsidRPr="0010502E" w:rsidRDefault="005169A7" w:rsidP="005169A7">
      <w:pPr>
        <w:pStyle w:val="NormalWeb"/>
        <w:tabs>
          <w:tab w:val="left" w:pos="1276"/>
        </w:tabs>
        <w:jc w:val="both"/>
        <w:rPr>
          <w:rFonts w:asciiTheme="majorBidi" w:hAnsiTheme="majorBidi" w:cstheme="majorBidi"/>
          <w:color w:val="212121"/>
          <w:sz w:val="22"/>
          <w:szCs w:val="22"/>
          <w:shd w:val="clear" w:color="auto" w:fill="FFFFFF"/>
        </w:rPr>
      </w:pPr>
      <w:r w:rsidRPr="0010502E">
        <w:rPr>
          <w:rFonts w:asciiTheme="majorBidi" w:hAnsiTheme="majorBidi" w:cstheme="majorBidi"/>
          <w:color w:val="212121"/>
          <w:sz w:val="22"/>
          <w:szCs w:val="22"/>
          <w:shd w:val="clear" w:color="auto" w:fill="FFFFFF"/>
        </w:rPr>
        <w:t>[2] Savarese G, Becher PM, Lund LH, Seferovic P, Rosano GMC, Coats AJS (2023) Global burden of heart failure: a comprehensive and updated review of epidemiology. Cardiovasc Res 18;118(17):3272-3287</w:t>
      </w:r>
    </w:p>
    <w:p w14:paraId="3AA299B5" w14:textId="77777777" w:rsidR="005169A7" w:rsidRPr="0010502E" w:rsidRDefault="005169A7" w:rsidP="005169A7">
      <w:pPr>
        <w:pStyle w:val="NormalWeb"/>
        <w:tabs>
          <w:tab w:val="left" w:pos="1276"/>
        </w:tabs>
        <w:jc w:val="both"/>
        <w:rPr>
          <w:rFonts w:asciiTheme="majorBidi" w:hAnsiTheme="majorBidi" w:cstheme="majorBidi"/>
          <w:color w:val="212121"/>
          <w:sz w:val="22"/>
          <w:szCs w:val="22"/>
          <w:shd w:val="clear" w:color="auto" w:fill="FFFFFF"/>
        </w:rPr>
      </w:pPr>
      <w:r w:rsidRPr="0010502E">
        <w:rPr>
          <w:rFonts w:asciiTheme="majorBidi" w:hAnsiTheme="majorBidi" w:cstheme="majorBidi"/>
          <w:color w:val="000000"/>
          <w:sz w:val="22"/>
          <w:szCs w:val="22"/>
        </w:rPr>
        <w:t xml:space="preserve">[3] </w:t>
      </w:r>
      <w:r w:rsidRPr="0010502E">
        <w:rPr>
          <w:rFonts w:asciiTheme="majorBidi" w:hAnsiTheme="majorBidi" w:cstheme="majorBidi"/>
          <w:color w:val="212121"/>
          <w:sz w:val="22"/>
          <w:szCs w:val="22"/>
          <w:shd w:val="clear" w:color="auto" w:fill="FFFFFF"/>
        </w:rPr>
        <w:t xml:space="preserve">Ezekowitz JA, O'Meara E, McDonald MA, Abrams H, Chan M, Ducharme A, Giannetti N, </w:t>
      </w:r>
      <w:proofErr w:type="spellStart"/>
      <w:r w:rsidRPr="0010502E">
        <w:rPr>
          <w:rFonts w:asciiTheme="majorBidi" w:hAnsiTheme="majorBidi" w:cstheme="majorBidi"/>
          <w:color w:val="212121"/>
          <w:sz w:val="22"/>
          <w:szCs w:val="22"/>
          <w:shd w:val="clear" w:color="auto" w:fill="FFFFFF"/>
        </w:rPr>
        <w:t>Grzeslo</w:t>
      </w:r>
      <w:proofErr w:type="spellEnd"/>
      <w:r w:rsidRPr="0010502E">
        <w:rPr>
          <w:rFonts w:asciiTheme="majorBidi" w:hAnsiTheme="majorBidi" w:cstheme="majorBidi"/>
          <w:color w:val="212121"/>
          <w:sz w:val="22"/>
          <w:szCs w:val="22"/>
          <w:shd w:val="clear" w:color="auto" w:fill="FFFFFF"/>
        </w:rPr>
        <w:t xml:space="preserve"> A, Hamilton PG, Heckman GA, Howlett JG, </w:t>
      </w:r>
      <w:proofErr w:type="spellStart"/>
      <w:r w:rsidRPr="0010502E">
        <w:rPr>
          <w:rFonts w:asciiTheme="majorBidi" w:hAnsiTheme="majorBidi" w:cstheme="majorBidi"/>
          <w:color w:val="212121"/>
          <w:sz w:val="22"/>
          <w:szCs w:val="22"/>
          <w:shd w:val="clear" w:color="auto" w:fill="FFFFFF"/>
        </w:rPr>
        <w:t>Koshman</w:t>
      </w:r>
      <w:proofErr w:type="spellEnd"/>
      <w:r w:rsidRPr="0010502E">
        <w:rPr>
          <w:rFonts w:asciiTheme="majorBidi" w:hAnsiTheme="majorBidi" w:cstheme="majorBidi"/>
          <w:color w:val="212121"/>
          <w:sz w:val="22"/>
          <w:szCs w:val="22"/>
          <w:shd w:val="clear" w:color="auto" w:fill="FFFFFF"/>
        </w:rPr>
        <w:t xml:space="preserve"> SL, Lepage S, McKelvie RS, Moe GW, </w:t>
      </w:r>
      <w:proofErr w:type="spellStart"/>
      <w:r w:rsidRPr="0010502E">
        <w:rPr>
          <w:rFonts w:asciiTheme="majorBidi" w:hAnsiTheme="majorBidi" w:cstheme="majorBidi"/>
          <w:color w:val="212121"/>
          <w:sz w:val="22"/>
          <w:szCs w:val="22"/>
          <w:shd w:val="clear" w:color="auto" w:fill="FFFFFF"/>
        </w:rPr>
        <w:t>Rajda</w:t>
      </w:r>
      <w:proofErr w:type="spellEnd"/>
      <w:r w:rsidRPr="0010502E">
        <w:rPr>
          <w:rFonts w:asciiTheme="majorBidi" w:hAnsiTheme="majorBidi" w:cstheme="majorBidi"/>
          <w:color w:val="212121"/>
          <w:sz w:val="22"/>
          <w:szCs w:val="22"/>
          <w:shd w:val="clear" w:color="auto" w:fill="FFFFFF"/>
        </w:rPr>
        <w:t xml:space="preserve"> M, Swiggum E, Virani SA, </w:t>
      </w:r>
      <w:proofErr w:type="spellStart"/>
      <w:r w:rsidRPr="0010502E">
        <w:rPr>
          <w:rFonts w:asciiTheme="majorBidi" w:hAnsiTheme="majorBidi" w:cstheme="majorBidi"/>
          <w:color w:val="212121"/>
          <w:sz w:val="22"/>
          <w:szCs w:val="22"/>
          <w:shd w:val="clear" w:color="auto" w:fill="FFFFFF"/>
        </w:rPr>
        <w:t>Zieroth</w:t>
      </w:r>
      <w:proofErr w:type="spellEnd"/>
      <w:r w:rsidRPr="0010502E">
        <w:rPr>
          <w:rFonts w:asciiTheme="majorBidi" w:hAnsiTheme="majorBidi" w:cstheme="majorBidi"/>
          <w:color w:val="212121"/>
          <w:sz w:val="22"/>
          <w:szCs w:val="22"/>
          <w:shd w:val="clear" w:color="auto" w:fill="FFFFFF"/>
        </w:rPr>
        <w:t xml:space="preserve"> S, Al-</w:t>
      </w:r>
      <w:proofErr w:type="spellStart"/>
      <w:r w:rsidRPr="0010502E">
        <w:rPr>
          <w:rFonts w:asciiTheme="majorBidi" w:hAnsiTheme="majorBidi" w:cstheme="majorBidi"/>
          <w:color w:val="212121"/>
          <w:sz w:val="22"/>
          <w:szCs w:val="22"/>
          <w:shd w:val="clear" w:color="auto" w:fill="FFFFFF"/>
        </w:rPr>
        <w:t>Hesayen</w:t>
      </w:r>
      <w:proofErr w:type="spellEnd"/>
      <w:r w:rsidRPr="0010502E">
        <w:rPr>
          <w:rFonts w:asciiTheme="majorBidi" w:hAnsiTheme="majorBidi" w:cstheme="majorBidi"/>
          <w:color w:val="212121"/>
          <w:sz w:val="22"/>
          <w:szCs w:val="22"/>
          <w:shd w:val="clear" w:color="auto" w:fill="FFFFFF"/>
        </w:rPr>
        <w:t xml:space="preserve"> A, Cohen-Solal A, </w:t>
      </w:r>
      <w:proofErr w:type="spellStart"/>
      <w:r w:rsidRPr="0010502E">
        <w:rPr>
          <w:rFonts w:asciiTheme="majorBidi" w:hAnsiTheme="majorBidi" w:cstheme="majorBidi"/>
          <w:color w:val="212121"/>
          <w:sz w:val="22"/>
          <w:szCs w:val="22"/>
          <w:shd w:val="clear" w:color="auto" w:fill="FFFFFF"/>
        </w:rPr>
        <w:t>D'Astous</w:t>
      </w:r>
      <w:proofErr w:type="spellEnd"/>
      <w:r w:rsidRPr="0010502E">
        <w:rPr>
          <w:rFonts w:asciiTheme="majorBidi" w:hAnsiTheme="majorBidi" w:cstheme="majorBidi"/>
          <w:color w:val="212121"/>
          <w:sz w:val="22"/>
          <w:szCs w:val="22"/>
          <w:shd w:val="clear" w:color="auto" w:fill="FFFFFF"/>
        </w:rPr>
        <w:t xml:space="preserve"> M, De S, Estrella-Holder E, </w:t>
      </w:r>
      <w:proofErr w:type="spellStart"/>
      <w:r w:rsidRPr="0010502E">
        <w:rPr>
          <w:rFonts w:asciiTheme="majorBidi" w:hAnsiTheme="majorBidi" w:cstheme="majorBidi"/>
          <w:color w:val="212121"/>
          <w:sz w:val="22"/>
          <w:szCs w:val="22"/>
          <w:shd w:val="clear" w:color="auto" w:fill="FFFFFF"/>
        </w:rPr>
        <w:t>Fremes</w:t>
      </w:r>
      <w:proofErr w:type="spellEnd"/>
      <w:r w:rsidRPr="0010502E">
        <w:rPr>
          <w:rFonts w:asciiTheme="majorBidi" w:hAnsiTheme="majorBidi" w:cstheme="majorBidi"/>
          <w:color w:val="212121"/>
          <w:sz w:val="22"/>
          <w:szCs w:val="22"/>
          <w:shd w:val="clear" w:color="auto" w:fill="FFFFFF"/>
        </w:rPr>
        <w:t xml:space="preserve"> S, Green L, Haddad H, Harkness K, Hernandez AF, </w:t>
      </w:r>
      <w:proofErr w:type="spellStart"/>
      <w:r w:rsidRPr="0010502E">
        <w:rPr>
          <w:rFonts w:asciiTheme="majorBidi" w:hAnsiTheme="majorBidi" w:cstheme="majorBidi"/>
          <w:color w:val="212121"/>
          <w:sz w:val="22"/>
          <w:szCs w:val="22"/>
          <w:shd w:val="clear" w:color="auto" w:fill="FFFFFF"/>
        </w:rPr>
        <w:t>Kouz</w:t>
      </w:r>
      <w:proofErr w:type="spellEnd"/>
      <w:r w:rsidRPr="0010502E">
        <w:rPr>
          <w:rFonts w:asciiTheme="majorBidi" w:hAnsiTheme="majorBidi" w:cstheme="majorBidi"/>
          <w:color w:val="212121"/>
          <w:sz w:val="22"/>
          <w:szCs w:val="22"/>
          <w:shd w:val="clear" w:color="auto" w:fill="FFFFFF"/>
        </w:rPr>
        <w:t xml:space="preserve"> S, LeBlanc MH, </w:t>
      </w:r>
      <w:proofErr w:type="spellStart"/>
      <w:r w:rsidRPr="0010502E">
        <w:rPr>
          <w:rFonts w:asciiTheme="majorBidi" w:hAnsiTheme="majorBidi" w:cstheme="majorBidi"/>
          <w:color w:val="212121"/>
          <w:sz w:val="22"/>
          <w:szCs w:val="22"/>
          <w:shd w:val="clear" w:color="auto" w:fill="FFFFFF"/>
        </w:rPr>
        <w:t>Masoudi</w:t>
      </w:r>
      <w:proofErr w:type="spellEnd"/>
      <w:r w:rsidRPr="0010502E">
        <w:rPr>
          <w:rFonts w:asciiTheme="majorBidi" w:hAnsiTheme="majorBidi" w:cstheme="majorBidi"/>
          <w:color w:val="212121"/>
          <w:sz w:val="22"/>
          <w:szCs w:val="22"/>
          <w:shd w:val="clear" w:color="auto" w:fill="FFFFFF"/>
        </w:rPr>
        <w:t xml:space="preserve"> FA, Ross HJ, Roussin A, Sussex B (2017 ) Comprehensive Update of the Canadian Cardiovascular Society Guidelines for the Management of Heart Failure. Can J </w:t>
      </w:r>
      <w:proofErr w:type="spellStart"/>
      <w:r w:rsidRPr="0010502E">
        <w:rPr>
          <w:rFonts w:asciiTheme="majorBidi" w:hAnsiTheme="majorBidi" w:cstheme="majorBidi"/>
          <w:color w:val="212121"/>
          <w:sz w:val="22"/>
          <w:szCs w:val="22"/>
          <w:shd w:val="clear" w:color="auto" w:fill="FFFFFF"/>
        </w:rPr>
        <w:t>Cardiol</w:t>
      </w:r>
      <w:proofErr w:type="spellEnd"/>
      <w:r w:rsidRPr="0010502E">
        <w:rPr>
          <w:rFonts w:asciiTheme="majorBidi" w:hAnsiTheme="majorBidi" w:cstheme="majorBidi"/>
          <w:color w:val="212121"/>
          <w:sz w:val="22"/>
          <w:szCs w:val="22"/>
          <w:shd w:val="clear" w:color="auto" w:fill="FFFFFF"/>
        </w:rPr>
        <w:t xml:space="preserve"> 33(11):1342-1433</w:t>
      </w:r>
    </w:p>
    <w:p w14:paraId="0AEF95B7" w14:textId="77777777" w:rsidR="005169A7" w:rsidRPr="0010502E" w:rsidRDefault="005169A7" w:rsidP="005169A7">
      <w:pPr>
        <w:pStyle w:val="NormalWeb"/>
        <w:tabs>
          <w:tab w:val="left" w:pos="1276"/>
        </w:tabs>
        <w:rPr>
          <w:rFonts w:asciiTheme="majorBidi" w:hAnsiTheme="majorBidi" w:cstheme="majorBidi"/>
          <w:color w:val="000000" w:themeColor="text1"/>
          <w:sz w:val="22"/>
          <w:szCs w:val="22"/>
        </w:rPr>
      </w:pPr>
      <w:r w:rsidRPr="0010502E">
        <w:rPr>
          <w:rFonts w:asciiTheme="majorBidi" w:hAnsiTheme="majorBidi" w:cstheme="majorBidi"/>
          <w:color w:val="000000" w:themeColor="text1"/>
          <w:sz w:val="22"/>
          <w:szCs w:val="22"/>
          <w:shd w:val="clear" w:color="auto" w:fill="FFFFFF"/>
        </w:rPr>
        <w:t>[4]</w:t>
      </w:r>
      <w:r w:rsidRPr="0010502E">
        <w:rPr>
          <w:rFonts w:asciiTheme="majorBidi" w:hAnsiTheme="majorBidi" w:cstheme="majorBidi"/>
          <w:color w:val="000000" w:themeColor="text1"/>
          <w:sz w:val="22"/>
          <w:szCs w:val="22"/>
        </w:rPr>
        <w:t xml:space="preserve"> </w:t>
      </w:r>
      <w:proofErr w:type="spellStart"/>
      <w:r w:rsidRPr="0010502E">
        <w:rPr>
          <w:rFonts w:asciiTheme="majorBidi" w:hAnsiTheme="majorBidi" w:cstheme="majorBidi"/>
          <w:color w:val="212121"/>
          <w:sz w:val="22"/>
          <w:szCs w:val="22"/>
          <w:shd w:val="clear" w:color="auto" w:fill="FFFFFF"/>
        </w:rPr>
        <w:t>Jairoun</w:t>
      </w:r>
      <w:proofErr w:type="spellEnd"/>
      <w:r w:rsidRPr="0010502E">
        <w:rPr>
          <w:rFonts w:asciiTheme="majorBidi" w:hAnsiTheme="majorBidi" w:cstheme="majorBidi"/>
          <w:color w:val="212121"/>
          <w:sz w:val="22"/>
          <w:szCs w:val="22"/>
          <w:shd w:val="clear" w:color="auto" w:fill="FFFFFF"/>
        </w:rPr>
        <w:t xml:space="preserve"> AA, Al-</w:t>
      </w:r>
      <w:proofErr w:type="spellStart"/>
      <w:r w:rsidRPr="0010502E">
        <w:rPr>
          <w:rFonts w:asciiTheme="majorBidi" w:hAnsiTheme="majorBidi" w:cstheme="majorBidi"/>
          <w:color w:val="212121"/>
          <w:sz w:val="22"/>
          <w:szCs w:val="22"/>
          <w:shd w:val="clear" w:color="auto" w:fill="FFFFFF"/>
        </w:rPr>
        <w:t>Hemyari</w:t>
      </w:r>
      <w:proofErr w:type="spellEnd"/>
      <w:r w:rsidRPr="0010502E">
        <w:rPr>
          <w:rFonts w:asciiTheme="majorBidi" w:hAnsiTheme="majorBidi" w:cstheme="majorBidi"/>
          <w:color w:val="212121"/>
          <w:sz w:val="22"/>
          <w:szCs w:val="22"/>
          <w:shd w:val="clear" w:color="auto" w:fill="FFFFFF"/>
        </w:rPr>
        <w:t xml:space="preserve"> SS, </w:t>
      </w:r>
      <w:proofErr w:type="spellStart"/>
      <w:r w:rsidRPr="0010502E">
        <w:rPr>
          <w:rFonts w:asciiTheme="majorBidi" w:hAnsiTheme="majorBidi" w:cstheme="majorBidi"/>
          <w:color w:val="212121"/>
          <w:sz w:val="22"/>
          <w:szCs w:val="22"/>
          <w:shd w:val="clear" w:color="auto" w:fill="FFFFFF"/>
        </w:rPr>
        <w:t>Shahwan</w:t>
      </w:r>
      <w:proofErr w:type="spellEnd"/>
      <w:r w:rsidRPr="0010502E">
        <w:rPr>
          <w:rFonts w:asciiTheme="majorBidi" w:hAnsiTheme="majorBidi" w:cstheme="majorBidi"/>
          <w:color w:val="212121"/>
          <w:sz w:val="22"/>
          <w:szCs w:val="22"/>
          <w:shd w:val="clear" w:color="auto" w:fill="FFFFFF"/>
        </w:rPr>
        <w:t xml:space="preserve"> M, </w:t>
      </w:r>
      <w:proofErr w:type="spellStart"/>
      <w:r w:rsidRPr="0010502E">
        <w:rPr>
          <w:rFonts w:asciiTheme="majorBidi" w:hAnsiTheme="majorBidi" w:cstheme="majorBidi"/>
          <w:color w:val="212121"/>
          <w:sz w:val="22"/>
          <w:szCs w:val="22"/>
          <w:shd w:val="clear" w:color="auto" w:fill="FFFFFF"/>
        </w:rPr>
        <w:t>Zyoud</w:t>
      </w:r>
      <w:proofErr w:type="spellEnd"/>
      <w:r w:rsidRPr="0010502E">
        <w:rPr>
          <w:rFonts w:asciiTheme="majorBidi" w:hAnsiTheme="majorBidi" w:cstheme="majorBidi"/>
          <w:color w:val="212121"/>
          <w:sz w:val="22"/>
          <w:szCs w:val="22"/>
          <w:shd w:val="clear" w:color="auto" w:fill="FFFFFF"/>
        </w:rPr>
        <w:t xml:space="preserve"> SH, </w:t>
      </w:r>
      <w:proofErr w:type="spellStart"/>
      <w:r w:rsidRPr="0010502E">
        <w:rPr>
          <w:rFonts w:asciiTheme="majorBidi" w:hAnsiTheme="majorBidi" w:cstheme="majorBidi"/>
          <w:color w:val="212121"/>
          <w:sz w:val="22"/>
          <w:szCs w:val="22"/>
          <w:shd w:val="clear" w:color="auto" w:fill="FFFFFF"/>
        </w:rPr>
        <w:t>Jairoun</w:t>
      </w:r>
      <w:proofErr w:type="spellEnd"/>
      <w:r w:rsidRPr="0010502E">
        <w:rPr>
          <w:rFonts w:asciiTheme="majorBidi" w:hAnsiTheme="majorBidi" w:cstheme="majorBidi"/>
          <w:color w:val="212121"/>
          <w:sz w:val="22"/>
          <w:szCs w:val="22"/>
          <w:shd w:val="clear" w:color="auto" w:fill="FFFFFF"/>
        </w:rPr>
        <w:t xml:space="preserve"> M (2024) Guideline-directed medical therapy in heart failure patients with reduced ejection fraction in Palestine: Retrospective clinical audit study. Saudi Pharm J 32(3):101965</w:t>
      </w:r>
    </w:p>
    <w:p w14:paraId="244F429B"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rPr>
        <w:t xml:space="preserve">[5] </w:t>
      </w:r>
      <w:r w:rsidRPr="0010502E">
        <w:rPr>
          <w:rFonts w:asciiTheme="majorBidi" w:hAnsiTheme="majorBidi" w:cstheme="majorBidi"/>
          <w:color w:val="212121"/>
          <w:shd w:val="clear" w:color="auto" w:fill="FFFFFF"/>
        </w:rPr>
        <w:t xml:space="preserve">McDonagh TA, Metra M, Adamo M, Gardner RS, Baumbach A, Böhm M, </w:t>
      </w:r>
      <w:proofErr w:type="spellStart"/>
      <w:r w:rsidRPr="0010502E">
        <w:rPr>
          <w:rFonts w:asciiTheme="majorBidi" w:hAnsiTheme="majorBidi" w:cstheme="majorBidi"/>
          <w:color w:val="212121"/>
          <w:shd w:val="clear" w:color="auto" w:fill="FFFFFF"/>
        </w:rPr>
        <w:t>Burri</w:t>
      </w:r>
      <w:proofErr w:type="spellEnd"/>
      <w:r w:rsidRPr="0010502E">
        <w:rPr>
          <w:rFonts w:asciiTheme="majorBidi" w:hAnsiTheme="majorBidi" w:cstheme="majorBidi"/>
          <w:color w:val="212121"/>
          <w:shd w:val="clear" w:color="auto" w:fill="FFFFFF"/>
        </w:rPr>
        <w:t xml:space="preserve"> H, Butler J, </w:t>
      </w:r>
      <w:proofErr w:type="spellStart"/>
      <w:r w:rsidRPr="0010502E">
        <w:rPr>
          <w:rFonts w:asciiTheme="majorBidi" w:hAnsiTheme="majorBidi" w:cstheme="majorBidi"/>
          <w:color w:val="212121"/>
          <w:shd w:val="clear" w:color="auto" w:fill="FFFFFF"/>
        </w:rPr>
        <w:t>Čelutkienė</w:t>
      </w:r>
      <w:proofErr w:type="spellEnd"/>
      <w:r w:rsidRPr="0010502E">
        <w:rPr>
          <w:rFonts w:asciiTheme="majorBidi" w:hAnsiTheme="majorBidi" w:cstheme="majorBidi"/>
          <w:color w:val="212121"/>
          <w:shd w:val="clear" w:color="auto" w:fill="FFFFFF"/>
        </w:rPr>
        <w:t xml:space="preserve"> J, </w:t>
      </w:r>
      <w:proofErr w:type="spellStart"/>
      <w:r w:rsidRPr="0010502E">
        <w:rPr>
          <w:rFonts w:asciiTheme="majorBidi" w:hAnsiTheme="majorBidi" w:cstheme="majorBidi"/>
          <w:color w:val="212121"/>
          <w:shd w:val="clear" w:color="auto" w:fill="FFFFFF"/>
        </w:rPr>
        <w:t>Chioncel</w:t>
      </w:r>
      <w:proofErr w:type="spellEnd"/>
      <w:r w:rsidRPr="0010502E">
        <w:rPr>
          <w:rFonts w:asciiTheme="majorBidi" w:hAnsiTheme="majorBidi" w:cstheme="majorBidi"/>
          <w:color w:val="212121"/>
          <w:shd w:val="clear" w:color="auto" w:fill="FFFFFF"/>
        </w:rPr>
        <w:t xml:space="preserve"> O, Cleland JGF, Coats AJS, Crespo-</w:t>
      </w:r>
      <w:proofErr w:type="spellStart"/>
      <w:r w:rsidRPr="0010502E">
        <w:rPr>
          <w:rFonts w:asciiTheme="majorBidi" w:hAnsiTheme="majorBidi" w:cstheme="majorBidi"/>
          <w:color w:val="212121"/>
          <w:shd w:val="clear" w:color="auto" w:fill="FFFFFF"/>
        </w:rPr>
        <w:t>Leiro</w:t>
      </w:r>
      <w:proofErr w:type="spellEnd"/>
      <w:r w:rsidRPr="0010502E">
        <w:rPr>
          <w:rFonts w:asciiTheme="majorBidi" w:hAnsiTheme="majorBidi" w:cstheme="majorBidi"/>
          <w:color w:val="212121"/>
          <w:shd w:val="clear" w:color="auto" w:fill="FFFFFF"/>
        </w:rPr>
        <w:t xml:space="preserve"> MG, Farmakis D, </w:t>
      </w:r>
      <w:proofErr w:type="spellStart"/>
      <w:r w:rsidRPr="0010502E">
        <w:rPr>
          <w:rFonts w:asciiTheme="majorBidi" w:hAnsiTheme="majorBidi" w:cstheme="majorBidi"/>
          <w:color w:val="212121"/>
          <w:shd w:val="clear" w:color="auto" w:fill="FFFFFF"/>
        </w:rPr>
        <w:t>Gilard</w:t>
      </w:r>
      <w:proofErr w:type="spellEnd"/>
      <w:r w:rsidRPr="0010502E">
        <w:rPr>
          <w:rFonts w:asciiTheme="majorBidi" w:hAnsiTheme="majorBidi" w:cstheme="majorBidi"/>
          <w:color w:val="212121"/>
          <w:shd w:val="clear" w:color="auto" w:fill="FFFFFF"/>
        </w:rPr>
        <w:t xml:space="preserve"> M, Heymans S, Hoes AW, </w:t>
      </w:r>
      <w:proofErr w:type="spellStart"/>
      <w:r w:rsidRPr="0010502E">
        <w:rPr>
          <w:rFonts w:asciiTheme="majorBidi" w:hAnsiTheme="majorBidi" w:cstheme="majorBidi"/>
          <w:color w:val="212121"/>
          <w:shd w:val="clear" w:color="auto" w:fill="FFFFFF"/>
        </w:rPr>
        <w:t>Jaarsma</w:t>
      </w:r>
      <w:proofErr w:type="spellEnd"/>
      <w:r w:rsidRPr="0010502E">
        <w:rPr>
          <w:rFonts w:asciiTheme="majorBidi" w:hAnsiTheme="majorBidi" w:cstheme="majorBidi"/>
          <w:color w:val="212121"/>
          <w:shd w:val="clear" w:color="auto" w:fill="FFFFFF"/>
        </w:rPr>
        <w:t xml:space="preserve"> T, </w:t>
      </w:r>
      <w:proofErr w:type="spellStart"/>
      <w:r w:rsidRPr="0010502E">
        <w:rPr>
          <w:rFonts w:asciiTheme="majorBidi" w:hAnsiTheme="majorBidi" w:cstheme="majorBidi"/>
          <w:color w:val="212121"/>
          <w:shd w:val="clear" w:color="auto" w:fill="FFFFFF"/>
        </w:rPr>
        <w:t>Jankowska</w:t>
      </w:r>
      <w:proofErr w:type="spellEnd"/>
      <w:r w:rsidRPr="0010502E">
        <w:rPr>
          <w:rFonts w:asciiTheme="majorBidi" w:hAnsiTheme="majorBidi" w:cstheme="majorBidi"/>
          <w:color w:val="212121"/>
          <w:shd w:val="clear" w:color="auto" w:fill="FFFFFF"/>
        </w:rPr>
        <w:t xml:space="preserve"> EA, </w:t>
      </w:r>
      <w:proofErr w:type="spellStart"/>
      <w:r w:rsidRPr="0010502E">
        <w:rPr>
          <w:rFonts w:asciiTheme="majorBidi" w:hAnsiTheme="majorBidi" w:cstheme="majorBidi"/>
          <w:color w:val="212121"/>
          <w:shd w:val="clear" w:color="auto" w:fill="FFFFFF"/>
        </w:rPr>
        <w:t>Lainscak</w:t>
      </w:r>
      <w:proofErr w:type="spellEnd"/>
      <w:r w:rsidRPr="0010502E">
        <w:rPr>
          <w:rFonts w:asciiTheme="majorBidi" w:hAnsiTheme="majorBidi" w:cstheme="majorBidi"/>
          <w:color w:val="212121"/>
          <w:shd w:val="clear" w:color="auto" w:fill="FFFFFF"/>
        </w:rPr>
        <w:t xml:space="preserve"> M, Lam CSP, Lyon AR, McMurray JJV, </w:t>
      </w:r>
      <w:proofErr w:type="spellStart"/>
      <w:r w:rsidRPr="0010502E">
        <w:rPr>
          <w:rFonts w:asciiTheme="majorBidi" w:hAnsiTheme="majorBidi" w:cstheme="majorBidi"/>
          <w:color w:val="212121"/>
          <w:shd w:val="clear" w:color="auto" w:fill="FFFFFF"/>
        </w:rPr>
        <w:t>Mebazaa</w:t>
      </w:r>
      <w:proofErr w:type="spellEnd"/>
      <w:r w:rsidRPr="0010502E">
        <w:rPr>
          <w:rFonts w:asciiTheme="majorBidi" w:hAnsiTheme="majorBidi" w:cstheme="majorBidi"/>
          <w:color w:val="212121"/>
          <w:shd w:val="clear" w:color="auto" w:fill="FFFFFF"/>
        </w:rPr>
        <w:t xml:space="preserve"> A, </w:t>
      </w:r>
      <w:proofErr w:type="spellStart"/>
      <w:r w:rsidRPr="0010502E">
        <w:rPr>
          <w:rFonts w:asciiTheme="majorBidi" w:hAnsiTheme="majorBidi" w:cstheme="majorBidi"/>
          <w:color w:val="212121"/>
          <w:shd w:val="clear" w:color="auto" w:fill="FFFFFF"/>
        </w:rPr>
        <w:t>Mindham</w:t>
      </w:r>
      <w:proofErr w:type="spellEnd"/>
      <w:r w:rsidRPr="0010502E">
        <w:rPr>
          <w:rFonts w:asciiTheme="majorBidi" w:hAnsiTheme="majorBidi" w:cstheme="majorBidi"/>
          <w:color w:val="212121"/>
          <w:shd w:val="clear" w:color="auto" w:fill="FFFFFF"/>
        </w:rPr>
        <w:t xml:space="preserve"> R, </w:t>
      </w:r>
      <w:proofErr w:type="spellStart"/>
      <w:r w:rsidRPr="0010502E">
        <w:rPr>
          <w:rFonts w:asciiTheme="majorBidi" w:hAnsiTheme="majorBidi" w:cstheme="majorBidi"/>
          <w:color w:val="212121"/>
          <w:shd w:val="clear" w:color="auto" w:fill="FFFFFF"/>
        </w:rPr>
        <w:t>Muneretto</w:t>
      </w:r>
      <w:proofErr w:type="spellEnd"/>
      <w:r w:rsidRPr="0010502E">
        <w:rPr>
          <w:rFonts w:asciiTheme="majorBidi" w:hAnsiTheme="majorBidi" w:cstheme="majorBidi"/>
          <w:color w:val="212121"/>
          <w:shd w:val="clear" w:color="auto" w:fill="FFFFFF"/>
        </w:rPr>
        <w:t xml:space="preserve"> C, Francesco </w:t>
      </w:r>
      <w:proofErr w:type="spellStart"/>
      <w:r w:rsidRPr="0010502E">
        <w:rPr>
          <w:rFonts w:asciiTheme="majorBidi" w:hAnsiTheme="majorBidi" w:cstheme="majorBidi"/>
          <w:color w:val="212121"/>
          <w:shd w:val="clear" w:color="auto" w:fill="FFFFFF"/>
        </w:rPr>
        <w:t>Piepoli</w:t>
      </w:r>
      <w:proofErr w:type="spellEnd"/>
      <w:r w:rsidRPr="0010502E">
        <w:rPr>
          <w:rFonts w:asciiTheme="majorBidi" w:hAnsiTheme="majorBidi" w:cstheme="majorBidi"/>
          <w:color w:val="212121"/>
          <w:shd w:val="clear" w:color="auto" w:fill="FFFFFF"/>
        </w:rPr>
        <w:t xml:space="preserve"> M, Price S, Rosano GMC, </w:t>
      </w:r>
      <w:proofErr w:type="spellStart"/>
      <w:r w:rsidRPr="0010502E">
        <w:rPr>
          <w:rFonts w:asciiTheme="majorBidi" w:hAnsiTheme="majorBidi" w:cstheme="majorBidi"/>
          <w:color w:val="212121"/>
          <w:shd w:val="clear" w:color="auto" w:fill="FFFFFF"/>
        </w:rPr>
        <w:t>Ruschitzka</w:t>
      </w:r>
      <w:proofErr w:type="spellEnd"/>
      <w:r w:rsidRPr="0010502E">
        <w:rPr>
          <w:rFonts w:asciiTheme="majorBidi" w:hAnsiTheme="majorBidi" w:cstheme="majorBidi"/>
          <w:color w:val="212121"/>
          <w:shd w:val="clear" w:color="auto" w:fill="FFFFFF"/>
        </w:rPr>
        <w:t xml:space="preserve"> F, Kathrine </w:t>
      </w:r>
      <w:proofErr w:type="spellStart"/>
      <w:r w:rsidRPr="0010502E">
        <w:rPr>
          <w:rFonts w:asciiTheme="majorBidi" w:hAnsiTheme="majorBidi" w:cstheme="majorBidi"/>
          <w:color w:val="212121"/>
          <w:shd w:val="clear" w:color="auto" w:fill="FFFFFF"/>
        </w:rPr>
        <w:t>Skibelund</w:t>
      </w:r>
      <w:proofErr w:type="spellEnd"/>
      <w:r w:rsidRPr="0010502E">
        <w:rPr>
          <w:rFonts w:asciiTheme="majorBidi" w:hAnsiTheme="majorBidi" w:cstheme="majorBidi"/>
          <w:color w:val="212121"/>
          <w:shd w:val="clear" w:color="auto" w:fill="FFFFFF"/>
        </w:rPr>
        <w:t xml:space="preserve"> A; ESC Scientific Document Group (2022)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w:t>
      </w:r>
      <w:proofErr w:type="spellStart"/>
      <w:r w:rsidRPr="0010502E">
        <w:rPr>
          <w:rFonts w:asciiTheme="majorBidi" w:hAnsiTheme="majorBidi" w:cstheme="majorBidi"/>
          <w:color w:val="212121"/>
          <w:shd w:val="clear" w:color="auto" w:fill="FFFFFF"/>
        </w:rPr>
        <w:t>Eur</w:t>
      </w:r>
      <w:proofErr w:type="spellEnd"/>
      <w:r w:rsidRPr="0010502E">
        <w:rPr>
          <w:rFonts w:asciiTheme="majorBidi" w:hAnsiTheme="majorBidi" w:cstheme="majorBidi"/>
          <w:color w:val="212121"/>
          <w:shd w:val="clear" w:color="auto" w:fill="FFFFFF"/>
        </w:rPr>
        <w:t xml:space="preserve"> J Heart Fail 24(1):4-131</w:t>
      </w:r>
    </w:p>
    <w:p w14:paraId="0FBB05D5" w14:textId="77777777" w:rsidR="005169A7" w:rsidRPr="0010502E" w:rsidRDefault="005169A7" w:rsidP="005169A7">
      <w:pPr>
        <w:tabs>
          <w:tab w:val="left" w:pos="1276"/>
        </w:tabs>
        <w:jc w:val="both"/>
        <w:rPr>
          <w:rFonts w:asciiTheme="majorBidi" w:hAnsiTheme="majorBidi" w:cstheme="majorBidi"/>
          <w:color w:val="000000"/>
        </w:rPr>
      </w:pPr>
    </w:p>
    <w:p w14:paraId="14DB87D6"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rPr>
        <w:t xml:space="preserve">[6] </w:t>
      </w:r>
      <w:r w:rsidRPr="0010502E">
        <w:rPr>
          <w:rFonts w:asciiTheme="majorBidi" w:hAnsiTheme="majorBidi" w:cstheme="majorBidi"/>
          <w:color w:val="212121"/>
          <w:shd w:val="clear" w:color="auto" w:fill="FFFFFF"/>
        </w:rPr>
        <w:t xml:space="preserve">Stawiarski K, Ramakrishna H (2022) Guideline-Directed Medical Management of Heart Failure with Reduced Ejection Fraction: Improved Outcomes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Quadruple Therapy. J </w:t>
      </w:r>
      <w:proofErr w:type="spellStart"/>
      <w:r w:rsidRPr="0010502E">
        <w:rPr>
          <w:rFonts w:asciiTheme="majorBidi" w:hAnsiTheme="majorBidi" w:cstheme="majorBidi"/>
          <w:color w:val="212121"/>
          <w:shd w:val="clear" w:color="auto" w:fill="FFFFFF"/>
        </w:rPr>
        <w:t>Cardiothorac</w:t>
      </w:r>
      <w:proofErr w:type="spellEnd"/>
      <w:r w:rsidRPr="0010502E">
        <w:rPr>
          <w:rFonts w:asciiTheme="majorBidi" w:hAnsiTheme="majorBidi" w:cstheme="majorBidi"/>
          <w:color w:val="212121"/>
          <w:shd w:val="clear" w:color="auto" w:fill="FFFFFF"/>
        </w:rPr>
        <w:t xml:space="preserve"> </w:t>
      </w:r>
      <w:proofErr w:type="spellStart"/>
      <w:r w:rsidRPr="0010502E">
        <w:rPr>
          <w:rFonts w:asciiTheme="majorBidi" w:hAnsiTheme="majorBidi" w:cstheme="majorBidi"/>
          <w:color w:val="212121"/>
          <w:shd w:val="clear" w:color="auto" w:fill="FFFFFF"/>
        </w:rPr>
        <w:t>Vasc</w:t>
      </w:r>
      <w:proofErr w:type="spellEnd"/>
      <w:r w:rsidRPr="0010502E">
        <w:rPr>
          <w:rFonts w:asciiTheme="majorBidi" w:hAnsiTheme="majorBidi" w:cstheme="majorBidi"/>
          <w:color w:val="212121"/>
          <w:shd w:val="clear" w:color="auto" w:fill="FFFFFF"/>
        </w:rPr>
        <w:t xml:space="preserve"> </w:t>
      </w:r>
      <w:proofErr w:type="spellStart"/>
      <w:r w:rsidRPr="0010502E">
        <w:rPr>
          <w:rFonts w:asciiTheme="majorBidi" w:hAnsiTheme="majorBidi" w:cstheme="majorBidi"/>
          <w:color w:val="212121"/>
          <w:shd w:val="clear" w:color="auto" w:fill="FFFFFF"/>
        </w:rPr>
        <w:t>Anesth</w:t>
      </w:r>
      <w:proofErr w:type="spellEnd"/>
      <w:r w:rsidRPr="0010502E">
        <w:rPr>
          <w:rFonts w:asciiTheme="majorBidi" w:hAnsiTheme="majorBidi" w:cstheme="majorBidi"/>
          <w:color w:val="212121"/>
          <w:shd w:val="clear" w:color="auto" w:fill="FFFFFF"/>
        </w:rPr>
        <w:t xml:space="preserve"> 36(7):1820-1822</w:t>
      </w:r>
    </w:p>
    <w:p w14:paraId="44F6CCD9" w14:textId="77777777" w:rsidR="005169A7" w:rsidRPr="0010502E" w:rsidRDefault="005169A7" w:rsidP="005169A7">
      <w:pPr>
        <w:tabs>
          <w:tab w:val="left" w:pos="1276"/>
        </w:tabs>
        <w:jc w:val="both"/>
        <w:rPr>
          <w:rFonts w:asciiTheme="majorBidi" w:hAnsiTheme="majorBidi" w:cstheme="majorBidi"/>
          <w:color w:val="000000"/>
        </w:rPr>
      </w:pPr>
    </w:p>
    <w:p w14:paraId="4B1D6BD6"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rPr>
        <w:t>[7]</w:t>
      </w:r>
      <w:r w:rsidRPr="0010502E">
        <w:rPr>
          <w:rFonts w:asciiTheme="majorBidi" w:hAnsiTheme="majorBidi" w:cstheme="majorBidi"/>
          <w:color w:val="212121"/>
          <w:shd w:val="clear" w:color="auto" w:fill="FFFFFF"/>
        </w:rPr>
        <w:t xml:space="preserve"> </w:t>
      </w:r>
      <w:r w:rsidRPr="0010502E">
        <w:rPr>
          <w:rFonts w:asciiTheme="majorBidi" w:hAnsiTheme="majorBidi" w:cstheme="majorBidi"/>
          <w:color w:val="212121"/>
          <w:lang w:eastAsia="en-GB"/>
        </w:rPr>
        <w:t>Writing Committee Members; ACC/AHA Joint Committee Members (2022) 2022 AHA/ACC/HFSA Guideline for the Management of Heart Failure. J Card Fail 28(5</w:t>
      </w:r>
      <w:proofErr w:type="gramStart"/>
      <w:r w:rsidRPr="0010502E">
        <w:rPr>
          <w:rFonts w:asciiTheme="majorBidi" w:hAnsiTheme="majorBidi" w:cstheme="majorBidi"/>
          <w:color w:val="212121"/>
          <w:lang w:eastAsia="en-GB"/>
        </w:rPr>
        <w:t>):e</w:t>
      </w:r>
      <w:proofErr w:type="gramEnd"/>
      <w:r w:rsidRPr="0010502E">
        <w:rPr>
          <w:rFonts w:asciiTheme="majorBidi" w:hAnsiTheme="majorBidi" w:cstheme="majorBidi"/>
          <w:color w:val="212121"/>
          <w:lang w:eastAsia="en-GB"/>
        </w:rPr>
        <w:t>1-e167.</w:t>
      </w:r>
    </w:p>
    <w:p w14:paraId="42BEC3C3" w14:textId="77777777" w:rsidR="005169A7" w:rsidRPr="0010502E" w:rsidRDefault="005169A7" w:rsidP="005169A7">
      <w:pPr>
        <w:tabs>
          <w:tab w:val="left" w:pos="1276"/>
        </w:tabs>
        <w:jc w:val="both"/>
        <w:rPr>
          <w:rFonts w:asciiTheme="majorBidi" w:hAnsiTheme="majorBidi" w:cstheme="majorBidi"/>
        </w:rPr>
      </w:pPr>
    </w:p>
    <w:p w14:paraId="2B68F392"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rPr>
        <w:t xml:space="preserve">[8] </w:t>
      </w:r>
      <w:r w:rsidRPr="0010502E">
        <w:rPr>
          <w:rFonts w:asciiTheme="majorBidi" w:hAnsiTheme="majorBidi" w:cstheme="majorBidi"/>
          <w:color w:val="212121"/>
          <w:shd w:val="clear" w:color="auto" w:fill="FFFFFF"/>
        </w:rPr>
        <w:t xml:space="preserve">Tromp J, Ouwerkerk W, van Veldhuisen DJ, Hillege HL, Richards AM, van der Meer P, Anand IS, Lam CSP, Voors AA (2022) A Systematic Review and Network Meta-Analysis of Pharmacological Treatment of Heart Failure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Reduced Ejection Fraction. JACC Heart Fail 10(2):73-84</w:t>
      </w:r>
    </w:p>
    <w:p w14:paraId="7454F8CF" w14:textId="77777777" w:rsidR="005169A7" w:rsidRPr="0010502E" w:rsidRDefault="005169A7" w:rsidP="005169A7">
      <w:pPr>
        <w:tabs>
          <w:tab w:val="left" w:pos="1276"/>
        </w:tabs>
        <w:jc w:val="both"/>
        <w:rPr>
          <w:rFonts w:asciiTheme="majorBidi" w:hAnsiTheme="majorBidi" w:cstheme="majorBidi"/>
        </w:rPr>
      </w:pPr>
    </w:p>
    <w:p w14:paraId="7ADA160E"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themeColor="text1"/>
        </w:rPr>
        <w:t xml:space="preserve">[9] </w:t>
      </w:r>
      <w:r w:rsidRPr="0010502E">
        <w:rPr>
          <w:rFonts w:asciiTheme="majorBidi" w:hAnsiTheme="majorBidi" w:cstheme="majorBidi"/>
          <w:color w:val="212121"/>
          <w:shd w:val="clear" w:color="auto" w:fill="FFFFFF"/>
        </w:rPr>
        <w:t xml:space="preserve">Ouwerkerk W, Voors AA, Anker SD, Cleland JG, Dickstein K, Filippatos G, van der </w:t>
      </w:r>
      <w:proofErr w:type="spellStart"/>
      <w:r w:rsidRPr="0010502E">
        <w:rPr>
          <w:rFonts w:asciiTheme="majorBidi" w:hAnsiTheme="majorBidi" w:cstheme="majorBidi"/>
          <w:color w:val="212121"/>
          <w:shd w:val="clear" w:color="auto" w:fill="FFFFFF"/>
        </w:rPr>
        <w:t>Harst</w:t>
      </w:r>
      <w:proofErr w:type="spellEnd"/>
      <w:r w:rsidRPr="0010502E">
        <w:rPr>
          <w:rFonts w:asciiTheme="majorBidi" w:hAnsiTheme="majorBidi" w:cstheme="majorBidi"/>
          <w:color w:val="212121"/>
          <w:shd w:val="clear" w:color="auto" w:fill="FFFFFF"/>
        </w:rPr>
        <w:t xml:space="preserve"> P, Hillege HL, Lang CC, Ter </w:t>
      </w:r>
      <w:proofErr w:type="spellStart"/>
      <w:r w:rsidRPr="0010502E">
        <w:rPr>
          <w:rFonts w:asciiTheme="majorBidi" w:hAnsiTheme="majorBidi" w:cstheme="majorBidi"/>
          <w:color w:val="212121"/>
          <w:shd w:val="clear" w:color="auto" w:fill="FFFFFF"/>
        </w:rPr>
        <w:t>Maaten</w:t>
      </w:r>
      <w:proofErr w:type="spellEnd"/>
      <w:r w:rsidRPr="0010502E">
        <w:rPr>
          <w:rFonts w:asciiTheme="majorBidi" w:hAnsiTheme="majorBidi" w:cstheme="majorBidi"/>
          <w:color w:val="212121"/>
          <w:shd w:val="clear" w:color="auto" w:fill="FFFFFF"/>
        </w:rPr>
        <w:t xml:space="preserve"> JM, Ng LL, Ponikowski P, </w:t>
      </w:r>
      <w:proofErr w:type="spellStart"/>
      <w:r w:rsidRPr="0010502E">
        <w:rPr>
          <w:rFonts w:asciiTheme="majorBidi" w:hAnsiTheme="majorBidi" w:cstheme="majorBidi"/>
          <w:color w:val="212121"/>
          <w:shd w:val="clear" w:color="auto" w:fill="FFFFFF"/>
        </w:rPr>
        <w:t>Samani</w:t>
      </w:r>
      <w:proofErr w:type="spellEnd"/>
      <w:r w:rsidRPr="0010502E">
        <w:rPr>
          <w:rFonts w:asciiTheme="majorBidi" w:hAnsiTheme="majorBidi" w:cstheme="majorBidi"/>
          <w:color w:val="212121"/>
          <w:shd w:val="clear" w:color="auto" w:fill="FFFFFF"/>
        </w:rPr>
        <w:t xml:space="preserve"> NJ, van Veldhuisen DJ, </w:t>
      </w:r>
      <w:proofErr w:type="spellStart"/>
      <w:r w:rsidRPr="0010502E">
        <w:rPr>
          <w:rFonts w:asciiTheme="majorBidi" w:hAnsiTheme="majorBidi" w:cstheme="majorBidi"/>
          <w:color w:val="212121"/>
          <w:shd w:val="clear" w:color="auto" w:fill="FFFFFF"/>
        </w:rPr>
        <w:t>Zannad</w:t>
      </w:r>
      <w:proofErr w:type="spellEnd"/>
      <w:r w:rsidRPr="0010502E">
        <w:rPr>
          <w:rFonts w:asciiTheme="majorBidi" w:hAnsiTheme="majorBidi" w:cstheme="majorBidi"/>
          <w:color w:val="212121"/>
          <w:shd w:val="clear" w:color="auto" w:fill="FFFFFF"/>
        </w:rPr>
        <w:t xml:space="preserve"> F, Metra M, </w:t>
      </w:r>
      <w:proofErr w:type="spellStart"/>
      <w:r w:rsidRPr="0010502E">
        <w:rPr>
          <w:rFonts w:asciiTheme="majorBidi" w:hAnsiTheme="majorBidi" w:cstheme="majorBidi"/>
          <w:color w:val="212121"/>
          <w:shd w:val="clear" w:color="auto" w:fill="FFFFFF"/>
        </w:rPr>
        <w:t>Zwinderman</w:t>
      </w:r>
      <w:proofErr w:type="spellEnd"/>
      <w:r w:rsidRPr="0010502E">
        <w:rPr>
          <w:rFonts w:asciiTheme="majorBidi" w:hAnsiTheme="majorBidi" w:cstheme="majorBidi"/>
          <w:color w:val="212121"/>
          <w:shd w:val="clear" w:color="auto" w:fill="FFFFFF"/>
        </w:rPr>
        <w:t xml:space="preserve"> AH (2017) Determinants and clinical outcome of </w:t>
      </w:r>
      <w:proofErr w:type="spellStart"/>
      <w:r w:rsidRPr="0010502E">
        <w:rPr>
          <w:rFonts w:asciiTheme="majorBidi" w:hAnsiTheme="majorBidi" w:cstheme="majorBidi"/>
          <w:color w:val="212121"/>
          <w:shd w:val="clear" w:color="auto" w:fill="FFFFFF"/>
        </w:rPr>
        <w:t>uptitration</w:t>
      </w:r>
      <w:proofErr w:type="spellEnd"/>
      <w:r w:rsidRPr="0010502E">
        <w:rPr>
          <w:rFonts w:asciiTheme="majorBidi" w:hAnsiTheme="majorBidi" w:cstheme="majorBidi"/>
          <w:color w:val="212121"/>
          <w:shd w:val="clear" w:color="auto" w:fill="FFFFFF"/>
        </w:rPr>
        <w:t xml:space="preserve"> of ACE-inhibitors and beta-blockers in patients with heart failure: a prospective European study. </w:t>
      </w:r>
      <w:proofErr w:type="spellStart"/>
      <w:r w:rsidRPr="0010502E">
        <w:rPr>
          <w:rFonts w:asciiTheme="majorBidi" w:hAnsiTheme="majorBidi" w:cstheme="majorBidi"/>
          <w:color w:val="212121"/>
          <w:shd w:val="clear" w:color="auto" w:fill="FFFFFF"/>
        </w:rPr>
        <w:t>Eur</w:t>
      </w:r>
      <w:proofErr w:type="spellEnd"/>
      <w:r w:rsidRPr="0010502E">
        <w:rPr>
          <w:rFonts w:asciiTheme="majorBidi" w:hAnsiTheme="majorBidi" w:cstheme="majorBidi"/>
          <w:color w:val="212121"/>
          <w:shd w:val="clear" w:color="auto" w:fill="FFFFFF"/>
        </w:rPr>
        <w:t xml:space="preserve"> Heart J 21;38(24):1883-1890</w:t>
      </w:r>
    </w:p>
    <w:p w14:paraId="1B8D16D7" w14:textId="77777777" w:rsidR="005169A7" w:rsidRPr="0010502E" w:rsidRDefault="005169A7" w:rsidP="005169A7">
      <w:pPr>
        <w:tabs>
          <w:tab w:val="left" w:pos="1276"/>
        </w:tabs>
        <w:jc w:val="both"/>
        <w:rPr>
          <w:rFonts w:asciiTheme="majorBidi" w:hAnsiTheme="majorBidi" w:cstheme="majorBidi"/>
        </w:rPr>
      </w:pPr>
    </w:p>
    <w:p w14:paraId="0EB20469"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rPr>
        <w:t>[10]</w:t>
      </w:r>
      <w:r w:rsidRPr="0010502E">
        <w:rPr>
          <w:rFonts w:asciiTheme="majorBidi" w:hAnsiTheme="majorBidi" w:cstheme="majorBidi"/>
          <w:color w:val="000000"/>
        </w:rPr>
        <w:t xml:space="preserve"> </w:t>
      </w:r>
      <w:r w:rsidRPr="0010502E">
        <w:rPr>
          <w:rFonts w:asciiTheme="majorBidi" w:hAnsiTheme="majorBidi" w:cstheme="majorBidi"/>
          <w:color w:val="212121"/>
          <w:shd w:val="clear" w:color="auto" w:fill="FFFFFF"/>
        </w:rPr>
        <w:t xml:space="preserve">Zubaid M, Rashed W, Ridha M, </w:t>
      </w:r>
      <w:proofErr w:type="spellStart"/>
      <w:r w:rsidRPr="0010502E">
        <w:rPr>
          <w:rFonts w:asciiTheme="majorBidi" w:hAnsiTheme="majorBidi" w:cstheme="majorBidi"/>
          <w:color w:val="212121"/>
          <w:shd w:val="clear" w:color="auto" w:fill="FFFFFF"/>
        </w:rPr>
        <w:t>Bazargani</w:t>
      </w:r>
      <w:proofErr w:type="spellEnd"/>
      <w:r w:rsidRPr="0010502E">
        <w:rPr>
          <w:rFonts w:asciiTheme="majorBidi" w:hAnsiTheme="majorBidi" w:cstheme="majorBidi"/>
          <w:color w:val="212121"/>
          <w:shd w:val="clear" w:color="auto" w:fill="FFFFFF"/>
        </w:rPr>
        <w:t xml:space="preserve"> N, Hamad A, Banna RA, Asaad N, Sulaiman K, Al-</w:t>
      </w:r>
      <w:proofErr w:type="spellStart"/>
      <w:r w:rsidRPr="0010502E">
        <w:rPr>
          <w:rFonts w:asciiTheme="majorBidi" w:hAnsiTheme="majorBidi" w:cstheme="majorBidi"/>
          <w:color w:val="212121"/>
          <w:shd w:val="clear" w:color="auto" w:fill="FFFFFF"/>
        </w:rPr>
        <w:t>Jarallah</w:t>
      </w:r>
      <w:proofErr w:type="spellEnd"/>
      <w:r w:rsidRPr="0010502E">
        <w:rPr>
          <w:rFonts w:asciiTheme="majorBidi" w:hAnsiTheme="majorBidi" w:cstheme="majorBidi"/>
          <w:color w:val="212121"/>
          <w:shd w:val="clear" w:color="auto" w:fill="FFFFFF"/>
        </w:rPr>
        <w:t xml:space="preserve"> M, Mulla AA, </w:t>
      </w:r>
      <w:proofErr w:type="spellStart"/>
      <w:r w:rsidRPr="0010502E">
        <w:rPr>
          <w:rFonts w:asciiTheme="majorBidi" w:hAnsiTheme="majorBidi" w:cstheme="majorBidi"/>
          <w:color w:val="212121"/>
          <w:shd w:val="clear" w:color="auto" w:fill="FFFFFF"/>
        </w:rPr>
        <w:t>Baslaib</w:t>
      </w:r>
      <w:proofErr w:type="spellEnd"/>
      <w:r w:rsidRPr="0010502E">
        <w:rPr>
          <w:rFonts w:asciiTheme="majorBidi" w:hAnsiTheme="majorBidi" w:cstheme="majorBidi"/>
          <w:color w:val="212121"/>
          <w:shd w:val="clear" w:color="auto" w:fill="FFFFFF"/>
        </w:rPr>
        <w:t xml:space="preserve"> F, </w:t>
      </w:r>
      <w:proofErr w:type="spellStart"/>
      <w:r w:rsidRPr="0010502E">
        <w:rPr>
          <w:rFonts w:asciiTheme="majorBidi" w:hAnsiTheme="majorBidi" w:cstheme="majorBidi"/>
          <w:color w:val="212121"/>
          <w:shd w:val="clear" w:color="auto" w:fill="FFFFFF"/>
        </w:rPr>
        <w:t>AlMahmeed</w:t>
      </w:r>
      <w:proofErr w:type="spellEnd"/>
      <w:r w:rsidRPr="0010502E">
        <w:rPr>
          <w:rFonts w:asciiTheme="majorBidi" w:hAnsiTheme="majorBidi" w:cstheme="majorBidi"/>
          <w:color w:val="212121"/>
          <w:shd w:val="clear" w:color="auto" w:fill="FFFFFF"/>
        </w:rPr>
        <w:t xml:space="preserve"> W (2020) Implementation of Guideline-Recommended Therapies for Patients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Heart Failure and Reduced Ejection Fraction: A Regional Arab Middle East Experience. Angiology 71(5):431-437</w:t>
      </w:r>
    </w:p>
    <w:p w14:paraId="5E5FDC80" w14:textId="77777777" w:rsidR="005169A7" w:rsidRPr="0010502E" w:rsidRDefault="005169A7" w:rsidP="005169A7">
      <w:pPr>
        <w:tabs>
          <w:tab w:val="left" w:pos="1276"/>
        </w:tabs>
        <w:jc w:val="both"/>
        <w:rPr>
          <w:rFonts w:asciiTheme="majorBidi" w:hAnsiTheme="majorBidi" w:cstheme="majorBidi"/>
        </w:rPr>
      </w:pPr>
    </w:p>
    <w:p w14:paraId="1E9B08B9"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rPr>
        <w:t xml:space="preserve">[11] </w:t>
      </w:r>
      <w:r w:rsidRPr="0010502E">
        <w:rPr>
          <w:rFonts w:asciiTheme="majorBidi" w:hAnsiTheme="majorBidi" w:cstheme="majorBidi"/>
          <w:color w:val="212121"/>
          <w:shd w:val="clear" w:color="auto" w:fill="FFFFFF"/>
        </w:rPr>
        <w:t xml:space="preserve">Greene SJ, Butler J, Albert NM, DeVore AD, Sharma PP, Duffy CI, Hill CL, </w:t>
      </w:r>
      <w:proofErr w:type="spellStart"/>
      <w:r w:rsidRPr="0010502E">
        <w:rPr>
          <w:rFonts w:asciiTheme="majorBidi" w:hAnsiTheme="majorBidi" w:cstheme="majorBidi"/>
          <w:color w:val="212121"/>
          <w:shd w:val="clear" w:color="auto" w:fill="FFFFFF"/>
        </w:rPr>
        <w:t>McCague</w:t>
      </w:r>
      <w:proofErr w:type="spellEnd"/>
      <w:r w:rsidRPr="0010502E">
        <w:rPr>
          <w:rFonts w:asciiTheme="majorBidi" w:hAnsiTheme="majorBidi" w:cstheme="majorBidi"/>
          <w:color w:val="212121"/>
          <w:shd w:val="clear" w:color="auto" w:fill="FFFFFF"/>
        </w:rPr>
        <w:t xml:space="preserve"> K, Mi X, Patterson JH, Spertus JA, Thomas L, Williams FB, Hernandez AF, Fonarow GC (2018) Medical Therapy for Heart Failure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Reduced Ejection Fraction: The CHAMP-HF Registry. J Am Coll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72(4):351-366</w:t>
      </w:r>
    </w:p>
    <w:p w14:paraId="3CAA5C1A" w14:textId="77777777" w:rsidR="005169A7" w:rsidRPr="0010502E" w:rsidRDefault="005169A7" w:rsidP="005169A7">
      <w:pPr>
        <w:tabs>
          <w:tab w:val="left" w:pos="1276"/>
        </w:tabs>
        <w:jc w:val="both"/>
        <w:rPr>
          <w:rFonts w:asciiTheme="majorBidi" w:hAnsiTheme="majorBidi" w:cstheme="majorBidi"/>
        </w:rPr>
      </w:pPr>
    </w:p>
    <w:p w14:paraId="6E9C2271"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rPr>
        <w:lastRenderedPageBreak/>
        <w:t>[12]</w:t>
      </w:r>
      <w:r w:rsidRPr="0010502E">
        <w:rPr>
          <w:rFonts w:asciiTheme="majorBidi" w:hAnsiTheme="majorBidi" w:cstheme="majorBidi"/>
          <w:color w:val="000000"/>
        </w:rPr>
        <w:t xml:space="preserve"> </w:t>
      </w:r>
      <w:r w:rsidRPr="0010502E">
        <w:rPr>
          <w:rFonts w:asciiTheme="majorBidi" w:hAnsiTheme="majorBidi" w:cstheme="majorBidi"/>
          <w:color w:val="212121"/>
          <w:shd w:val="clear" w:color="auto" w:fill="FFFFFF"/>
        </w:rPr>
        <w:t xml:space="preserve">Maddox TM, Song Y, Allen J, Chan PS, Khan A, Lee JJ, Mitchell J, </w:t>
      </w:r>
      <w:proofErr w:type="spellStart"/>
      <w:r w:rsidRPr="0010502E">
        <w:rPr>
          <w:rFonts w:asciiTheme="majorBidi" w:hAnsiTheme="majorBidi" w:cstheme="majorBidi"/>
          <w:color w:val="212121"/>
          <w:shd w:val="clear" w:color="auto" w:fill="FFFFFF"/>
        </w:rPr>
        <w:t>Oetgen</w:t>
      </w:r>
      <w:proofErr w:type="spellEnd"/>
      <w:r w:rsidRPr="0010502E">
        <w:rPr>
          <w:rFonts w:asciiTheme="majorBidi" w:hAnsiTheme="majorBidi" w:cstheme="majorBidi"/>
          <w:color w:val="212121"/>
          <w:shd w:val="clear" w:color="auto" w:fill="FFFFFF"/>
        </w:rPr>
        <w:t xml:space="preserve"> WJ, </w:t>
      </w:r>
      <w:proofErr w:type="spellStart"/>
      <w:r w:rsidRPr="0010502E">
        <w:rPr>
          <w:rFonts w:asciiTheme="majorBidi" w:hAnsiTheme="majorBidi" w:cstheme="majorBidi"/>
          <w:color w:val="212121"/>
          <w:shd w:val="clear" w:color="auto" w:fill="FFFFFF"/>
        </w:rPr>
        <w:t>Ponirakis</w:t>
      </w:r>
      <w:proofErr w:type="spellEnd"/>
      <w:r w:rsidRPr="0010502E">
        <w:rPr>
          <w:rFonts w:asciiTheme="majorBidi" w:hAnsiTheme="majorBidi" w:cstheme="majorBidi"/>
          <w:color w:val="212121"/>
          <w:shd w:val="clear" w:color="auto" w:fill="FFFFFF"/>
        </w:rPr>
        <w:t xml:space="preserve"> A, </w:t>
      </w:r>
      <w:proofErr w:type="spellStart"/>
      <w:r w:rsidRPr="0010502E">
        <w:rPr>
          <w:rFonts w:asciiTheme="majorBidi" w:hAnsiTheme="majorBidi" w:cstheme="majorBidi"/>
          <w:color w:val="212121"/>
          <w:shd w:val="clear" w:color="auto" w:fill="FFFFFF"/>
        </w:rPr>
        <w:t>Segawa</w:t>
      </w:r>
      <w:proofErr w:type="spellEnd"/>
      <w:r w:rsidRPr="0010502E">
        <w:rPr>
          <w:rFonts w:asciiTheme="majorBidi" w:hAnsiTheme="majorBidi" w:cstheme="majorBidi"/>
          <w:color w:val="212121"/>
          <w:shd w:val="clear" w:color="auto" w:fill="FFFFFF"/>
        </w:rPr>
        <w:t xml:space="preserve"> C, Spertus JA, Thorpe F, Virani SS, </w:t>
      </w:r>
      <w:proofErr w:type="spellStart"/>
      <w:r w:rsidRPr="0010502E">
        <w:rPr>
          <w:rFonts w:asciiTheme="majorBidi" w:hAnsiTheme="majorBidi" w:cstheme="majorBidi"/>
          <w:color w:val="212121"/>
          <w:shd w:val="clear" w:color="auto" w:fill="FFFFFF"/>
        </w:rPr>
        <w:t>Masoudi</w:t>
      </w:r>
      <w:proofErr w:type="spellEnd"/>
      <w:r w:rsidRPr="0010502E">
        <w:rPr>
          <w:rFonts w:asciiTheme="majorBidi" w:hAnsiTheme="majorBidi" w:cstheme="majorBidi"/>
          <w:color w:val="212121"/>
          <w:shd w:val="clear" w:color="auto" w:fill="FFFFFF"/>
        </w:rPr>
        <w:t xml:space="preserve"> FA (2020) Trends in U.S. Ambulatory Cardiovascular Care 2013 to 2017: JACC Review Topic of the Week. J Am Coll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7;75(1):93-112</w:t>
      </w:r>
    </w:p>
    <w:p w14:paraId="76E23073" w14:textId="77777777" w:rsidR="005169A7" w:rsidRPr="0010502E" w:rsidRDefault="005169A7" w:rsidP="005169A7">
      <w:pPr>
        <w:tabs>
          <w:tab w:val="left" w:pos="1276"/>
        </w:tabs>
        <w:jc w:val="both"/>
        <w:rPr>
          <w:rFonts w:asciiTheme="majorBidi" w:hAnsiTheme="majorBidi" w:cstheme="majorBidi"/>
        </w:rPr>
      </w:pPr>
    </w:p>
    <w:p w14:paraId="5E699F17"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rPr>
        <w:t>[13]</w:t>
      </w:r>
      <w:r w:rsidRPr="0010502E">
        <w:rPr>
          <w:rStyle w:val="apple-converted-space"/>
          <w:rFonts w:asciiTheme="majorBidi" w:eastAsiaTheme="majorEastAsia" w:hAnsiTheme="majorBidi" w:cstheme="majorBidi"/>
          <w:color w:val="000000"/>
        </w:rPr>
        <w:t xml:space="preserve"> </w:t>
      </w:r>
      <w:proofErr w:type="spellStart"/>
      <w:r w:rsidRPr="0010502E">
        <w:rPr>
          <w:rFonts w:asciiTheme="majorBidi" w:hAnsiTheme="majorBidi" w:cstheme="majorBidi"/>
          <w:color w:val="212121"/>
          <w:shd w:val="clear" w:color="auto" w:fill="FFFFFF"/>
        </w:rPr>
        <w:t>Kapłon-Cieślicka</w:t>
      </w:r>
      <w:proofErr w:type="spellEnd"/>
      <w:r w:rsidRPr="0010502E">
        <w:rPr>
          <w:rFonts w:asciiTheme="majorBidi" w:hAnsiTheme="majorBidi" w:cstheme="majorBidi"/>
          <w:color w:val="212121"/>
          <w:shd w:val="clear" w:color="auto" w:fill="FFFFFF"/>
        </w:rPr>
        <w:t xml:space="preserve"> A, Benson L, </w:t>
      </w:r>
      <w:proofErr w:type="spellStart"/>
      <w:r w:rsidRPr="0010502E">
        <w:rPr>
          <w:rFonts w:asciiTheme="majorBidi" w:hAnsiTheme="majorBidi" w:cstheme="majorBidi"/>
          <w:color w:val="212121"/>
          <w:shd w:val="clear" w:color="auto" w:fill="FFFFFF"/>
        </w:rPr>
        <w:t>Chioncel</w:t>
      </w:r>
      <w:proofErr w:type="spellEnd"/>
      <w:r w:rsidRPr="0010502E">
        <w:rPr>
          <w:rFonts w:asciiTheme="majorBidi" w:hAnsiTheme="majorBidi" w:cstheme="majorBidi"/>
          <w:color w:val="212121"/>
          <w:shd w:val="clear" w:color="auto" w:fill="FFFFFF"/>
        </w:rPr>
        <w:t xml:space="preserve"> O, Crespo-</w:t>
      </w:r>
      <w:proofErr w:type="spellStart"/>
      <w:r w:rsidRPr="0010502E">
        <w:rPr>
          <w:rFonts w:asciiTheme="majorBidi" w:hAnsiTheme="majorBidi" w:cstheme="majorBidi"/>
          <w:color w:val="212121"/>
          <w:shd w:val="clear" w:color="auto" w:fill="FFFFFF"/>
        </w:rPr>
        <w:t>Leiro</w:t>
      </w:r>
      <w:proofErr w:type="spellEnd"/>
      <w:r w:rsidRPr="0010502E">
        <w:rPr>
          <w:rFonts w:asciiTheme="majorBidi" w:hAnsiTheme="majorBidi" w:cstheme="majorBidi"/>
          <w:color w:val="212121"/>
          <w:shd w:val="clear" w:color="auto" w:fill="FFFFFF"/>
        </w:rPr>
        <w:t xml:space="preserve"> MG, Coats AJS, Anker SD, Filippatos G, </w:t>
      </w:r>
      <w:proofErr w:type="spellStart"/>
      <w:r w:rsidRPr="0010502E">
        <w:rPr>
          <w:rFonts w:asciiTheme="majorBidi" w:hAnsiTheme="majorBidi" w:cstheme="majorBidi"/>
          <w:color w:val="212121"/>
          <w:shd w:val="clear" w:color="auto" w:fill="FFFFFF"/>
        </w:rPr>
        <w:t>Ruschitzka</w:t>
      </w:r>
      <w:proofErr w:type="spellEnd"/>
      <w:r w:rsidRPr="0010502E">
        <w:rPr>
          <w:rFonts w:asciiTheme="majorBidi" w:hAnsiTheme="majorBidi" w:cstheme="majorBidi"/>
          <w:color w:val="212121"/>
          <w:shd w:val="clear" w:color="auto" w:fill="FFFFFF"/>
        </w:rPr>
        <w:t xml:space="preserve"> F, Hage C, </w:t>
      </w:r>
      <w:proofErr w:type="spellStart"/>
      <w:r w:rsidRPr="0010502E">
        <w:rPr>
          <w:rFonts w:asciiTheme="majorBidi" w:hAnsiTheme="majorBidi" w:cstheme="majorBidi"/>
          <w:color w:val="212121"/>
          <w:shd w:val="clear" w:color="auto" w:fill="FFFFFF"/>
        </w:rPr>
        <w:t>Drożdż</w:t>
      </w:r>
      <w:proofErr w:type="spellEnd"/>
      <w:r w:rsidRPr="0010502E">
        <w:rPr>
          <w:rFonts w:asciiTheme="majorBidi" w:hAnsiTheme="majorBidi" w:cstheme="majorBidi"/>
          <w:color w:val="212121"/>
          <w:shd w:val="clear" w:color="auto" w:fill="FFFFFF"/>
        </w:rPr>
        <w:t xml:space="preserve"> J, Seferovic P, Rosano GMC, </w:t>
      </w:r>
      <w:proofErr w:type="spellStart"/>
      <w:r w:rsidRPr="0010502E">
        <w:rPr>
          <w:rFonts w:asciiTheme="majorBidi" w:hAnsiTheme="majorBidi" w:cstheme="majorBidi"/>
          <w:color w:val="212121"/>
          <w:shd w:val="clear" w:color="auto" w:fill="FFFFFF"/>
        </w:rPr>
        <w:t>Piepoli</w:t>
      </w:r>
      <w:proofErr w:type="spellEnd"/>
      <w:r w:rsidRPr="0010502E">
        <w:rPr>
          <w:rFonts w:asciiTheme="majorBidi" w:hAnsiTheme="majorBidi" w:cstheme="majorBidi"/>
          <w:color w:val="212121"/>
          <w:shd w:val="clear" w:color="auto" w:fill="FFFFFF"/>
        </w:rPr>
        <w:t xml:space="preserve"> M, </w:t>
      </w:r>
      <w:proofErr w:type="spellStart"/>
      <w:r w:rsidRPr="0010502E">
        <w:rPr>
          <w:rFonts w:asciiTheme="majorBidi" w:hAnsiTheme="majorBidi" w:cstheme="majorBidi"/>
          <w:color w:val="212121"/>
          <w:shd w:val="clear" w:color="auto" w:fill="FFFFFF"/>
        </w:rPr>
        <w:t>Mebazaa</w:t>
      </w:r>
      <w:proofErr w:type="spellEnd"/>
      <w:r w:rsidRPr="0010502E">
        <w:rPr>
          <w:rFonts w:asciiTheme="majorBidi" w:hAnsiTheme="majorBidi" w:cstheme="majorBidi"/>
          <w:color w:val="212121"/>
          <w:shd w:val="clear" w:color="auto" w:fill="FFFFFF"/>
        </w:rPr>
        <w:t xml:space="preserve"> A, McDonagh T, </w:t>
      </w:r>
      <w:proofErr w:type="spellStart"/>
      <w:r w:rsidRPr="0010502E">
        <w:rPr>
          <w:rFonts w:asciiTheme="majorBidi" w:hAnsiTheme="majorBidi" w:cstheme="majorBidi"/>
          <w:color w:val="212121"/>
          <w:shd w:val="clear" w:color="auto" w:fill="FFFFFF"/>
        </w:rPr>
        <w:t>Lainscak</w:t>
      </w:r>
      <w:proofErr w:type="spellEnd"/>
      <w:r w:rsidRPr="0010502E">
        <w:rPr>
          <w:rFonts w:asciiTheme="majorBidi" w:hAnsiTheme="majorBidi" w:cstheme="majorBidi"/>
          <w:color w:val="212121"/>
          <w:shd w:val="clear" w:color="auto" w:fill="FFFFFF"/>
        </w:rPr>
        <w:t xml:space="preserve"> M, Savarese G, Ferrari R, </w:t>
      </w:r>
      <w:proofErr w:type="spellStart"/>
      <w:r w:rsidRPr="0010502E">
        <w:rPr>
          <w:rFonts w:asciiTheme="majorBidi" w:hAnsiTheme="majorBidi" w:cstheme="majorBidi"/>
          <w:color w:val="212121"/>
          <w:shd w:val="clear" w:color="auto" w:fill="FFFFFF"/>
        </w:rPr>
        <w:t>Maggioni</w:t>
      </w:r>
      <w:proofErr w:type="spellEnd"/>
      <w:r w:rsidRPr="0010502E">
        <w:rPr>
          <w:rFonts w:asciiTheme="majorBidi" w:hAnsiTheme="majorBidi" w:cstheme="majorBidi"/>
          <w:color w:val="212121"/>
          <w:shd w:val="clear" w:color="auto" w:fill="FFFFFF"/>
        </w:rPr>
        <w:t xml:space="preserve"> AP, Lund LH; on behalf of the Heart Failure Association (HFA) of the European Society of Cardiology (ESC) and the ESC Heart Failure Long-Term Registry Investigators (2022) A comprehensive characterization of acute heart failure with preserved versus mildly reduced versus reduced ejection fraction - insights from the ESC-HFA EORP Heart Failure Long-Term Registry. </w:t>
      </w:r>
      <w:proofErr w:type="spellStart"/>
      <w:r w:rsidRPr="0010502E">
        <w:rPr>
          <w:rFonts w:asciiTheme="majorBidi" w:hAnsiTheme="majorBidi" w:cstheme="majorBidi"/>
          <w:color w:val="212121"/>
          <w:shd w:val="clear" w:color="auto" w:fill="FFFFFF"/>
        </w:rPr>
        <w:t>Eur</w:t>
      </w:r>
      <w:proofErr w:type="spellEnd"/>
      <w:r w:rsidRPr="0010502E">
        <w:rPr>
          <w:rFonts w:asciiTheme="majorBidi" w:hAnsiTheme="majorBidi" w:cstheme="majorBidi"/>
          <w:color w:val="212121"/>
          <w:shd w:val="clear" w:color="auto" w:fill="FFFFFF"/>
        </w:rPr>
        <w:t xml:space="preserve"> J Heart Fail 24(2):335-350</w:t>
      </w:r>
    </w:p>
    <w:p w14:paraId="1509242D" w14:textId="77777777" w:rsidR="005169A7" w:rsidRPr="0010502E" w:rsidRDefault="005169A7" w:rsidP="005169A7">
      <w:pPr>
        <w:tabs>
          <w:tab w:val="left" w:pos="1276"/>
        </w:tabs>
        <w:jc w:val="both"/>
        <w:rPr>
          <w:rFonts w:asciiTheme="majorBidi" w:hAnsiTheme="majorBidi" w:cstheme="majorBidi"/>
          <w:color w:val="000000" w:themeColor="text1"/>
        </w:rPr>
      </w:pPr>
    </w:p>
    <w:p w14:paraId="1ABD9EA1"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themeColor="text1"/>
        </w:rPr>
        <w:t xml:space="preserve">[14] </w:t>
      </w:r>
      <w:r w:rsidRPr="0010502E">
        <w:rPr>
          <w:rFonts w:asciiTheme="majorBidi" w:hAnsiTheme="majorBidi" w:cstheme="majorBidi"/>
          <w:color w:val="212121"/>
          <w:shd w:val="clear" w:color="auto" w:fill="FFFFFF"/>
        </w:rPr>
        <w:t xml:space="preserve">Komajda M, Anker SD, Cowie MR, Filippatos GS, Mengelle B, Ponikowski P, </w:t>
      </w:r>
      <w:proofErr w:type="spellStart"/>
      <w:r w:rsidRPr="0010502E">
        <w:rPr>
          <w:rFonts w:asciiTheme="majorBidi" w:hAnsiTheme="majorBidi" w:cstheme="majorBidi"/>
          <w:color w:val="212121"/>
          <w:shd w:val="clear" w:color="auto" w:fill="FFFFFF"/>
        </w:rPr>
        <w:t>Tavazzi</w:t>
      </w:r>
      <w:proofErr w:type="spellEnd"/>
      <w:r w:rsidRPr="0010502E">
        <w:rPr>
          <w:rFonts w:asciiTheme="majorBidi" w:hAnsiTheme="majorBidi" w:cstheme="majorBidi"/>
          <w:color w:val="212121"/>
          <w:shd w:val="clear" w:color="auto" w:fill="FFFFFF"/>
        </w:rPr>
        <w:t xml:space="preserve"> L (2016) QUALIFY Investigators. Physicians' adherence to guideline-recommended medications in heart failure with reduced ejection fraction: data from the QUALIFY global survey. </w:t>
      </w:r>
      <w:proofErr w:type="spellStart"/>
      <w:r w:rsidRPr="0010502E">
        <w:rPr>
          <w:rFonts w:asciiTheme="majorBidi" w:hAnsiTheme="majorBidi" w:cstheme="majorBidi"/>
          <w:color w:val="212121"/>
          <w:shd w:val="clear" w:color="auto" w:fill="FFFFFF"/>
        </w:rPr>
        <w:t>Eur</w:t>
      </w:r>
      <w:proofErr w:type="spellEnd"/>
      <w:r w:rsidRPr="0010502E">
        <w:rPr>
          <w:rFonts w:asciiTheme="majorBidi" w:hAnsiTheme="majorBidi" w:cstheme="majorBidi"/>
          <w:color w:val="212121"/>
          <w:shd w:val="clear" w:color="auto" w:fill="FFFFFF"/>
        </w:rPr>
        <w:t xml:space="preserve"> J Heart Fail 18(5):514-22</w:t>
      </w:r>
    </w:p>
    <w:p w14:paraId="777B3684" w14:textId="77777777" w:rsidR="005169A7" w:rsidRPr="0010502E" w:rsidRDefault="005169A7" w:rsidP="005169A7">
      <w:pPr>
        <w:tabs>
          <w:tab w:val="left" w:pos="1276"/>
        </w:tabs>
        <w:jc w:val="both"/>
        <w:rPr>
          <w:rFonts w:asciiTheme="majorBidi" w:hAnsiTheme="majorBidi" w:cstheme="majorBidi"/>
          <w:color w:val="000000"/>
          <w:lang w:eastAsia="en-GB"/>
        </w:rPr>
      </w:pPr>
    </w:p>
    <w:p w14:paraId="4CE7505A"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rPr>
        <w:t xml:space="preserve">[15] </w:t>
      </w:r>
      <w:r w:rsidRPr="0010502E">
        <w:rPr>
          <w:rFonts w:asciiTheme="majorBidi" w:hAnsiTheme="majorBidi" w:cstheme="majorBidi"/>
          <w:color w:val="212121"/>
          <w:shd w:val="clear" w:color="auto" w:fill="FFFFFF"/>
        </w:rPr>
        <w:t xml:space="preserve">Denfeld QE, Winters-Stone K, Mudd JO, </w:t>
      </w:r>
      <w:proofErr w:type="spellStart"/>
      <w:r w:rsidRPr="0010502E">
        <w:rPr>
          <w:rFonts w:asciiTheme="majorBidi" w:hAnsiTheme="majorBidi" w:cstheme="majorBidi"/>
          <w:color w:val="212121"/>
          <w:shd w:val="clear" w:color="auto" w:fill="FFFFFF"/>
        </w:rPr>
        <w:t>Gelow</w:t>
      </w:r>
      <w:proofErr w:type="spellEnd"/>
      <w:r w:rsidRPr="0010502E">
        <w:rPr>
          <w:rFonts w:asciiTheme="majorBidi" w:hAnsiTheme="majorBidi" w:cstheme="majorBidi"/>
          <w:color w:val="212121"/>
          <w:shd w:val="clear" w:color="auto" w:fill="FFFFFF"/>
        </w:rPr>
        <w:t xml:space="preserve"> JM, Kurdi S, Lee CS (</w:t>
      </w:r>
      <w:proofErr w:type="gramStart"/>
      <w:r w:rsidRPr="0010502E">
        <w:rPr>
          <w:rFonts w:asciiTheme="majorBidi" w:hAnsiTheme="majorBidi" w:cstheme="majorBidi"/>
          <w:color w:val="212121"/>
          <w:shd w:val="clear" w:color="auto" w:fill="FFFFFF"/>
        </w:rPr>
        <w:t>2017)The</w:t>
      </w:r>
      <w:proofErr w:type="gramEnd"/>
      <w:r w:rsidRPr="0010502E">
        <w:rPr>
          <w:rFonts w:asciiTheme="majorBidi" w:hAnsiTheme="majorBidi" w:cstheme="majorBidi"/>
          <w:color w:val="212121"/>
          <w:shd w:val="clear" w:color="auto" w:fill="FFFFFF"/>
        </w:rPr>
        <w:t xml:space="preserve"> prevalence of frailty in heart failure: A systematic review and meta-analysis. Int J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w:t>
      </w:r>
      <w:proofErr w:type="gramStart"/>
      <w:r w:rsidRPr="0010502E">
        <w:rPr>
          <w:rFonts w:asciiTheme="majorBidi" w:hAnsiTheme="majorBidi" w:cstheme="majorBidi"/>
          <w:color w:val="212121"/>
          <w:shd w:val="clear" w:color="auto" w:fill="FFFFFF"/>
        </w:rPr>
        <w:t>1;236:283</w:t>
      </w:r>
      <w:proofErr w:type="gramEnd"/>
      <w:r w:rsidRPr="0010502E">
        <w:rPr>
          <w:rFonts w:asciiTheme="majorBidi" w:hAnsiTheme="majorBidi" w:cstheme="majorBidi"/>
          <w:color w:val="212121"/>
          <w:shd w:val="clear" w:color="auto" w:fill="FFFFFF"/>
        </w:rPr>
        <w:t>-289</w:t>
      </w:r>
    </w:p>
    <w:p w14:paraId="610263D6" w14:textId="77777777" w:rsidR="005169A7" w:rsidRPr="0010502E" w:rsidRDefault="005169A7" w:rsidP="005169A7">
      <w:pPr>
        <w:tabs>
          <w:tab w:val="left" w:pos="1276"/>
        </w:tabs>
        <w:jc w:val="both"/>
        <w:rPr>
          <w:rFonts w:asciiTheme="majorBidi" w:hAnsiTheme="majorBidi" w:cstheme="majorBidi"/>
          <w:color w:val="000000"/>
          <w:lang w:eastAsia="en-GB"/>
        </w:rPr>
      </w:pPr>
    </w:p>
    <w:p w14:paraId="33BCEC19"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lang w:eastAsia="en-GB"/>
        </w:rPr>
        <w:t xml:space="preserve">[16] </w:t>
      </w:r>
      <w:r w:rsidRPr="0010502E">
        <w:rPr>
          <w:rFonts w:asciiTheme="majorBidi" w:hAnsiTheme="majorBidi" w:cstheme="majorBidi"/>
          <w:color w:val="212121"/>
          <w:shd w:val="clear" w:color="auto" w:fill="FFFFFF"/>
        </w:rPr>
        <w:t xml:space="preserve">Opolski G, </w:t>
      </w:r>
      <w:proofErr w:type="spellStart"/>
      <w:r w:rsidRPr="0010502E">
        <w:rPr>
          <w:rFonts w:asciiTheme="majorBidi" w:hAnsiTheme="majorBidi" w:cstheme="majorBidi"/>
          <w:color w:val="212121"/>
          <w:shd w:val="clear" w:color="auto" w:fill="FFFFFF"/>
        </w:rPr>
        <w:t>Ozierański</w:t>
      </w:r>
      <w:proofErr w:type="spellEnd"/>
      <w:r w:rsidRPr="0010502E">
        <w:rPr>
          <w:rFonts w:asciiTheme="majorBidi" w:hAnsiTheme="majorBidi" w:cstheme="majorBidi"/>
          <w:color w:val="212121"/>
          <w:shd w:val="clear" w:color="auto" w:fill="FFFFFF"/>
        </w:rPr>
        <w:t xml:space="preserve"> K, </w:t>
      </w:r>
      <w:proofErr w:type="spellStart"/>
      <w:r w:rsidRPr="0010502E">
        <w:rPr>
          <w:rFonts w:asciiTheme="majorBidi" w:hAnsiTheme="majorBidi" w:cstheme="majorBidi"/>
          <w:color w:val="212121"/>
          <w:shd w:val="clear" w:color="auto" w:fill="FFFFFF"/>
        </w:rPr>
        <w:t>Lelonek</w:t>
      </w:r>
      <w:proofErr w:type="spellEnd"/>
      <w:r w:rsidRPr="0010502E">
        <w:rPr>
          <w:rFonts w:asciiTheme="majorBidi" w:hAnsiTheme="majorBidi" w:cstheme="majorBidi"/>
          <w:color w:val="212121"/>
          <w:shd w:val="clear" w:color="auto" w:fill="FFFFFF"/>
        </w:rPr>
        <w:t xml:space="preserve"> M, Balsam P, Wilkins A, Ponikowski P, On Behalf </w:t>
      </w:r>
      <w:proofErr w:type="gramStart"/>
      <w:r w:rsidRPr="0010502E">
        <w:rPr>
          <w:rFonts w:asciiTheme="majorBidi" w:hAnsiTheme="majorBidi" w:cstheme="majorBidi"/>
          <w:color w:val="212121"/>
          <w:shd w:val="clear" w:color="auto" w:fill="FFFFFF"/>
        </w:rPr>
        <w:t>Of</w:t>
      </w:r>
      <w:proofErr w:type="gramEnd"/>
      <w:r w:rsidRPr="0010502E">
        <w:rPr>
          <w:rFonts w:asciiTheme="majorBidi" w:hAnsiTheme="majorBidi" w:cstheme="majorBidi"/>
          <w:color w:val="212121"/>
          <w:shd w:val="clear" w:color="auto" w:fill="FFFFFF"/>
        </w:rPr>
        <w:t xml:space="preserve"> The Polish Qualify Investigators (2017) Adherence to the guidelines on the management of systolic heart failure in ambulatory care in Poland. Data from the international QUALIFY survey. Pol Arch Intern Med 31;127(10):657-665</w:t>
      </w:r>
    </w:p>
    <w:p w14:paraId="71BA4F60" w14:textId="77777777" w:rsidR="005169A7" w:rsidRPr="0010502E" w:rsidRDefault="005169A7" w:rsidP="005169A7">
      <w:pPr>
        <w:tabs>
          <w:tab w:val="left" w:pos="1276"/>
        </w:tabs>
        <w:jc w:val="both"/>
        <w:rPr>
          <w:rFonts w:asciiTheme="majorBidi" w:hAnsiTheme="majorBidi" w:cstheme="majorBidi"/>
          <w:color w:val="000000" w:themeColor="text1"/>
        </w:rPr>
      </w:pPr>
    </w:p>
    <w:p w14:paraId="1383FCFB"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000000" w:themeColor="text1"/>
        </w:rPr>
        <w:t xml:space="preserve">[17] </w:t>
      </w:r>
      <w:r w:rsidRPr="0010502E">
        <w:rPr>
          <w:rFonts w:asciiTheme="majorBidi" w:hAnsiTheme="majorBidi" w:cstheme="majorBidi"/>
          <w:color w:val="212121"/>
          <w:shd w:val="clear" w:color="auto" w:fill="FFFFFF"/>
        </w:rPr>
        <w:t xml:space="preserve">Fischer F, Lange K, Klose K, Greiner W, Kraemer A (2016) Barriers and Strategies in Guideline Implementation-A Scoping Review. Healthcare 29;4(3):36 </w:t>
      </w:r>
    </w:p>
    <w:p w14:paraId="498CDA43"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3B9E1535"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[18] Luo N, Fonarow GC, Lippmann SJ, Mi X, Heidenreich PA, Yancy CW, Greiner MA, Hammill BG, Hardy NC, Turner SJ, Laskey WK, Curtis LH, Hernandez AF, Mentz RJ, O'Brien EC (2017) Early Adoption of Sacubitril/Valsartan for Patients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Heart Failure With Reduced Ejection Fraction: Insights From Get With the Guidelines-Heart Failure (GWTG-HF). JACC Heart Fail 5(4):305-309</w:t>
      </w:r>
    </w:p>
    <w:p w14:paraId="3AA05611"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34128C6A"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[19] Hanbali DA, Hashmi KA, </w:t>
      </w:r>
      <w:proofErr w:type="spellStart"/>
      <w:r w:rsidRPr="0010502E">
        <w:rPr>
          <w:rFonts w:asciiTheme="majorBidi" w:hAnsiTheme="majorBidi" w:cstheme="majorBidi"/>
          <w:color w:val="212121"/>
          <w:shd w:val="clear" w:color="auto" w:fill="FFFFFF"/>
        </w:rPr>
        <w:t>Za'abi</w:t>
      </w:r>
      <w:proofErr w:type="spellEnd"/>
      <w:r w:rsidRPr="0010502E">
        <w:rPr>
          <w:rFonts w:asciiTheme="majorBidi" w:hAnsiTheme="majorBidi" w:cstheme="majorBidi"/>
          <w:color w:val="212121"/>
          <w:shd w:val="clear" w:color="auto" w:fill="FFFFFF"/>
        </w:rPr>
        <w:t xml:space="preserve"> MA, Al-</w:t>
      </w:r>
      <w:proofErr w:type="spellStart"/>
      <w:r w:rsidRPr="0010502E">
        <w:rPr>
          <w:rFonts w:asciiTheme="majorBidi" w:hAnsiTheme="majorBidi" w:cstheme="majorBidi"/>
          <w:color w:val="212121"/>
          <w:shd w:val="clear" w:color="auto" w:fill="FFFFFF"/>
        </w:rPr>
        <w:t>Zakwani</w:t>
      </w:r>
      <w:proofErr w:type="spellEnd"/>
      <w:r w:rsidRPr="0010502E">
        <w:rPr>
          <w:rFonts w:asciiTheme="majorBidi" w:hAnsiTheme="majorBidi" w:cstheme="majorBidi"/>
          <w:color w:val="212121"/>
          <w:shd w:val="clear" w:color="auto" w:fill="FFFFFF"/>
        </w:rPr>
        <w:t xml:space="preserve"> I (2021) Evaluation of guideline-based cardiovascular medications and their respective doses in heart failure patients in Oman. Int J Clin Pharm 43(4):878-883</w:t>
      </w:r>
    </w:p>
    <w:p w14:paraId="46A187DD"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3DE5FC75"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[20] </w:t>
      </w:r>
      <w:r w:rsidRPr="0010502E">
        <w:rPr>
          <w:rFonts w:asciiTheme="majorBidi" w:hAnsiTheme="majorBidi" w:cstheme="majorBidi"/>
          <w:color w:val="212121"/>
          <w:lang w:eastAsia="en-GB"/>
        </w:rPr>
        <w:t>Al-Aghbari S, Al-</w:t>
      </w:r>
      <w:proofErr w:type="spellStart"/>
      <w:r w:rsidRPr="0010502E">
        <w:rPr>
          <w:rFonts w:asciiTheme="majorBidi" w:hAnsiTheme="majorBidi" w:cstheme="majorBidi"/>
          <w:color w:val="212121"/>
          <w:lang w:eastAsia="en-GB"/>
        </w:rPr>
        <w:t>Maqbali</w:t>
      </w:r>
      <w:proofErr w:type="spellEnd"/>
      <w:r w:rsidRPr="0010502E">
        <w:rPr>
          <w:rFonts w:asciiTheme="majorBidi" w:hAnsiTheme="majorBidi" w:cstheme="majorBidi"/>
          <w:color w:val="212121"/>
          <w:lang w:eastAsia="en-GB"/>
        </w:rPr>
        <w:t xml:space="preserve"> JS, Alawi AMA, </w:t>
      </w:r>
      <w:proofErr w:type="spellStart"/>
      <w:r w:rsidRPr="0010502E">
        <w:rPr>
          <w:rFonts w:asciiTheme="majorBidi" w:hAnsiTheme="majorBidi" w:cstheme="majorBidi"/>
          <w:color w:val="212121"/>
          <w:lang w:eastAsia="en-GB"/>
        </w:rPr>
        <w:t>Za'abi</w:t>
      </w:r>
      <w:proofErr w:type="spellEnd"/>
      <w:r w:rsidRPr="0010502E">
        <w:rPr>
          <w:rFonts w:asciiTheme="majorBidi" w:hAnsiTheme="majorBidi" w:cstheme="majorBidi"/>
          <w:color w:val="212121"/>
          <w:lang w:eastAsia="en-GB"/>
        </w:rPr>
        <w:t xml:space="preserve"> MA, Al-</w:t>
      </w:r>
      <w:proofErr w:type="spellStart"/>
      <w:r w:rsidRPr="0010502E">
        <w:rPr>
          <w:rFonts w:asciiTheme="majorBidi" w:hAnsiTheme="majorBidi" w:cstheme="majorBidi"/>
          <w:color w:val="212121"/>
          <w:lang w:eastAsia="en-GB"/>
        </w:rPr>
        <w:t>Zakwani</w:t>
      </w:r>
      <w:proofErr w:type="spellEnd"/>
      <w:r w:rsidRPr="0010502E">
        <w:rPr>
          <w:rFonts w:asciiTheme="majorBidi" w:hAnsiTheme="majorBidi" w:cstheme="majorBidi"/>
          <w:color w:val="212121"/>
          <w:lang w:eastAsia="en-GB"/>
        </w:rPr>
        <w:t xml:space="preserve"> I (2022) Guideline-directed medical therapy in heart failure patients with reduced ejection fraction in Oman: utilization, reasons behind non-prescribing, and dose optimization. Pharm </w:t>
      </w:r>
      <w:proofErr w:type="spellStart"/>
      <w:r w:rsidRPr="0010502E">
        <w:rPr>
          <w:rFonts w:asciiTheme="majorBidi" w:hAnsiTheme="majorBidi" w:cstheme="majorBidi"/>
          <w:color w:val="212121"/>
          <w:lang w:eastAsia="en-GB"/>
        </w:rPr>
        <w:t>Pract</w:t>
      </w:r>
      <w:proofErr w:type="spellEnd"/>
      <w:r w:rsidRPr="0010502E">
        <w:rPr>
          <w:rFonts w:asciiTheme="majorBidi" w:hAnsiTheme="majorBidi" w:cstheme="majorBidi"/>
          <w:color w:val="212121"/>
          <w:lang w:eastAsia="en-GB"/>
        </w:rPr>
        <w:t xml:space="preserve"> (Granada) 20(2):2642</w:t>
      </w:r>
    </w:p>
    <w:p w14:paraId="3B12DFCF"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5E20D0BA"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[21] Tsigkas G, Apostolos A, Aznaouridis K, Despotopoulos S, Chrysohoou C, Naka KK, </w:t>
      </w:r>
      <w:proofErr w:type="spellStart"/>
      <w:r w:rsidRPr="0010502E">
        <w:rPr>
          <w:rFonts w:asciiTheme="majorBidi" w:hAnsiTheme="majorBidi" w:cstheme="majorBidi"/>
          <w:color w:val="212121"/>
          <w:shd w:val="clear" w:color="auto" w:fill="FFFFFF"/>
        </w:rPr>
        <w:t>Davlouros</w:t>
      </w:r>
      <w:proofErr w:type="spellEnd"/>
      <w:r w:rsidRPr="0010502E">
        <w:rPr>
          <w:rFonts w:asciiTheme="majorBidi" w:hAnsiTheme="majorBidi" w:cstheme="majorBidi"/>
          <w:color w:val="212121"/>
          <w:shd w:val="clear" w:color="auto" w:fill="FFFFFF"/>
        </w:rPr>
        <w:t xml:space="preserve"> P (2022) Real-world implementation of guidelines for heart failure management: A systematic review and meta-analysis. Hellenic J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66:72-79</w:t>
      </w:r>
    </w:p>
    <w:p w14:paraId="2BF4692E"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5A73DBFB"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[22] </w:t>
      </w:r>
      <w:proofErr w:type="spellStart"/>
      <w:r w:rsidRPr="0010502E">
        <w:rPr>
          <w:rFonts w:asciiTheme="majorBidi" w:hAnsiTheme="majorBidi" w:cstheme="majorBidi"/>
          <w:color w:val="212121"/>
          <w:shd w:val="clear" w:color="auto" w:fill="FFFFFF"/>
        </w:rPr>
        <w:t>Veenis</w:t>
      </w:r>
      <w:proofErr w:type="spellEnd"/>
      <w:r w:rsidRPr="0010502E">
        <w:rPr>
          <w:rFonts w:asciiTheme="majorBidi" w:hAnsiTheme="majorBidi" w:cstheme="majorBidi"/>
          <w:color w:val="212121"/>
          <w:shd w:val="clear" w:color="auto" w:fill="FFFFFF"/>
        </w:rPr>
        <w:t xml:space="preserve"> JF, Brunner-La Rocca HP, </w:t>
      </w:r>
      <w:proofErr w:type="spellStart"/>
      <w:r w:rsidRPr="0010502E">
        <w:rPr>
          <w:rFonts w:asciiTheme="majorBidi" w:hAnsiTheme="majorBidi" w:cstheme="majorBidi"/>
          <w:color w:val="212121"/>
          <w:shd w:val="clear" w:color="auto" w:fill="FFFFFF"/>
        </w:rPr>
        <w:t>Linssen</w:t>
      </w:r>
      <w:proofErr w:type="spellEnd"/>
      <w:r w:rsidRPr="0010502E">
        <w:rPr>
          <w:rFonts w:asciiTheme="majorBidi" w:hAnsiTheme="majorBidi" w:cstheme="majorBidi"/>
          <w:color w:val="212121"/>
          <w:shd w:val="clear" w:color="auto" w:fill="FFFFFF"/>
        </w:rPr>
        <w:t xml:space="preserve"> GC, </w:t>
      </w:r>
      <w:proofErr w:type="spellStart"/>
      <w:r w:rsidRPr="0010502E">
        <w:rPr>
          <w:rFonts w:asciiTheme="majorBidi" w:hAnsiTheme="majorBidi" w:cstheme="majorBidi"/>
          <w:color w:val="212121"/>
          <w:shd w:val="clear" w:color="auto" w:fill="FFFFFF"/>
        </w:rPr>
        <w:t>Geerlings</w:t>
      </w:r>
      <w:proofErr w:type="spellEnd"/>
      <w:r w:rsidRPr="0010502E">
        <w:rPr>
          <w:rFonts w:asciiTheme="majorBidi" w:hAnsiTheme="majorBidi" w:cstheme="majorBidi"/>
          <w:color w:val="212121"/>
          <w:shd w:val="clear" w:color="auto" w:fill="FFFFFF"/>
        </w:rPr>
        <w:t xml:space="preserve"> PR, Van Gent MW, Aksoy I, </w:t>
      </w:r>
      <w:proofErr w:type="spellStart"/>
      <w:r w:rsidRPr="0010502E">
        <w:rPr>
          <w:rFonts w:asciiTheme="majorBidi" w:hAnsiTheme="majorBidi" w:cstheme="majorBidi"/>
          <w:color w:val="212121"/>
          <w:shd w:val="clear" w:color="auto" w:fill="FFFFFF"/>
        </w:rPr>
        <w:t>Oosterom</w:t>
      </w:r>
      <w:proofErr w:type="spellEnd"/>
      <w:r w:rsidRPr="0010502E">
        <w:rPr>
          <w:rFonts w:asciiTheme="majorBidi" w:hAnsiTheme="majorBidi" w:cstheme="majorBidi"/>
          <w:color w:val="212121"/>
          <w:shd w:val="clear" w:color="auto" w:fill="FFFFFF"/>
        </w:rPr>
        <w:t xml:space="preserve"> L, Moons AH, Hoes AW, </w:t>
      </w:r>
      <w:proofErr w:type="spellStart"/>
      <w:r w:rsidRPr="0010502E">
        <w:rPr>
          <w:rFonts w:asciiTheme="majorBidi" w:hAnsiTheme="majorBidi" w:cstheme="majorBidi"/>
          <w:color w:val="212121"/>
          <w:shd w:val="clear" w:color="auto" w:fill="FFFFFF"/>
        </w:rPr>
        <w:t>Brugts</w:t>
      </w:r>
      <w:proofErr w:type="spellEnd"/>
      <w:r w:rsidRPr="0010502E">
        <w:rPr>
          <w:rFonts w:asciiTheme="majorBidi" w:hAnsiTheme="majorBidi" w:cstheme="majorBidi"/>
          <w:color w:val="212121"/>
          <w:shd w:val="clear" w:color="auto" w:fill="FFFFFF"/>
        </w:rPr>
        <w:t xml:space="preserve"> JJ (2019) CHECK-HF investigators. Age differences in contemporary treatment of patients with chronic heart failure and reduced ejection fraction. </w:t>
      </w:r>
      <w:proofErr w:type="spellStart"/>
      <w:r w:rsidRPr="0010502E">
        <w:rPr>
          <w:rFonts w:asciiTheme="majorBidi" w:hAnsiTheme="majorBidi" w:cstheme="majorBidi"/>
          <w:color w:val="212121"/>
          <w:shd w:val="clear" w:color="auto" w:fill="FFFFFF"/>
        </w:rPr>
        <w:t>Eur</w:t>
      </w:r>
      <w:proofErr w:type="spellEnd"/>
      <w:r w:rsidRPr="0010502E">
        <w:rPr>
          <w:rFonts w:asciiTheme="majorBidi" w:hAnsiTheme="majorBidi" w:cstheme="majorBidi"/>
          <w:color w:val="212121"/>
          <w:shd w:val="clear" w:color="auto" w:fill="FFFFFF"/>
        </w:rPr>
        <w:t xml:space="preserve"> J Prev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26(13):1399-1407</w:t>
      </w:r>
    </w:p>
    <w:p w14:paraId="29CB16F5"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6F3C889F"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[23] Greene SJ, Fonarow GC, DeVore AD, Sharma PP, </w:t>
      </w:r>
      <w:proofErr w:type="spellStart"/>
      <w:r w:rsidRPr="0010502E">
        <w:rPr>
          <w:rFonts w:asciiTheme="majorBidi" w:hAnsiTheme="majorBidi" w:cstheme="majorBidi"/>
          <w:color w:val="212121"/>
          <w:shd w:val="clear" w:color="auto" w:fill="FFFFFF"/>
        </w:rPr>
        <w:t>Vaduganathan</w:t>
      </w:r>
      <w:proofErr w:type="spellEnd"/>
      <w:r w:rsidRPr="0010502E">
        <w:rPr>
          <w:rFonts w:asciiTheme="majorBidi" w:hAnsiTheme="majorBidi" w:cstheme="majorBidi"/>
          <w:color w:val="212121"/>
          <w:shd w:val="clear" w:color="auto" w:fill="FFFFFF"/>
        </w:rPr>
        <w:t xml:space="preserve"> M, Albert NM, Duffy CI, Hill CL, </w:t>
      </w:r>
      <w:proofErr w:type="spellStart"/>
      <w:r w:rsidRPr="0010502E">
        <w:rPr>
          <w:rFonts w:asciiTheme="majorBidi" w:hAnsiTheme="majorBidi" w:cstheme="majorBidi"/>
          <w:color w:val="212121"/>
          <w:shd w:val="clear" w:color="auto" w:fill="FFFFFF"/>
        </w:rPr>
        <w:t>McCague</w:t>
      </w:r>
      <w:proofErr w:type="spellEnd"/>
      <w:r w:rsidRPr="0010502E">
        <w:rPr>
          <w:rFonts w:asciiTheme="majorBidi" w:hAnsiTheme="majorBidi" w:cstheme="majorBidi"/>
          <w:color w:val="212121"/>
          <w:shd w:val="clear" w:color="auto" w:fill="FFFFFF"/>
        </w:rPr>
        <w:t xml:space="preserve"> K, Patterson JH, Spertus JA, Thomas L, Williams FB, Hernandez AF, Butler J (2019) Titration of Medical Therapy for Heart Failure </w:t>
      </w:r>
      <w:proofErr w:type="gramStart"/>
      <w:r w:rsidRPr="0010502E">
        <w:rPr>
          <w:rFonts w:asciiTheme="majorBidi" w:hAnsiTheme="majorBidi" w:cstheme="majorBidi"/>
          <w:color w:val="212121"/>
          <w:shd w:val="clear" w:color="auto" w:fill="FFFFFF"/>
        </w:rPr>
        <w:t>With</w:t>
      </w:r>
      <w:proofErr w:type="gramEnd"/>
      <w:r w:rsidRPr="0010502E">
        <w:rPr>
          <w:rFonts w:asciiTheme="majorBidi" w:hAnsiTheme="majorBidi" w:cstheme="majorBidi"/>
          <w:color w:val="212121"/>
          <w:shd w:val="clear" w:color="auto" w:fill="FFFFFF"/>
        </w:rPr>
        <w:t xml:space="preserve"> Reduced Ejection Fraction. J Am Coll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21;73(19):2365-2383</w:t>
      </w:r>
    </w:p>
    <w:p w14:paraId="005230E1"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p>
    <w:p w14:paraId="6C29D79D" w14:textId="77777777" w:rsidR="005169A7" w:rsidRPr="0010502E" w:rsidRDefault="005169A7" w:rsidP="005169A7">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[24] Ezekowitz JA, O'Meara E, McDonald MA, Abrams H, Chan M, Ducharme A, Giannetti N, </w:t>
      </w:r>
      <w:proofErr w:type="spellStart"/>
      <w:r w:rsidRPr="0010502E">
        <w:rPr>
          <w:rFonts w:asciiTheme="majorBidi" w:hAnsiTheme="majorBidi" w:cstheme="majorBidi"/>
          <w:color w:val="212121"/>
          <w:shd w:val="clear" w:color="auto" w:fill="FFFFFF"/>
        </w:rPr>
        <w:t>Grzeslo</w:t>
      </w:r>
      <w:proofErr w:type="spellEnd"/>
      <w:r w:rsidRPr="0010502E">
        <w:rPr>
          <w:rFonts w:asciiTheme="majorBidi" w:hAnsiTheme="majorBidi" w:cstheme="majorBidi"/>
          <w:color w:val="212121"/>
          <w:shd w:val="clear" w:color="auto" w:fill="FFFFFF"/>
        </w:rPr>
        <w:t xml:space="preserve"> A, Hamilton PG, Heckman GA, Howlett JG, </w:t>
      </w:r>
      <w:proofErr w:type="spellStart"/>
      <w:r w:rsidRPr="0010502E">
        <w:rPr>
          <w:rFonts w:asciiTheme="majorBidi" w:hAnsiTheme="majorBidi" w:cstheme="majorBidi"/>
          <w:color w:val="212121"/>
          <w:shd w:val="clear" w:color="auto" w:fill="FFFFFF"/>
        </w:rPr>
        <w:t>Koshman</w:t>
      </w:r>
      <w:proofErr w:type="spellEnd"/>
      <w:r w:rsidRPr="0010502E">
        <w:rPr>
          <w:rFonts w:asciiTheme="majorBidi" w:hAnsiTheme="majorBidi" w:cstheme="majorBidi"/>
          <w:color w:val="212121"/>
          <w:shd w:val="clear" w:color="auto" w:fill="FFFFFF"/>
        </w:rPr>
        <w:t xml:space="preserve"> SL, Lepage S, McKelvie RS, Moe GW, </w:t>
      </w:r>
      <w:proofErr w:type="spellStart"/>
      <w:r w:rsidRPr="0010502E">
        <w:rPr>
          <w:rFonts w:asciiTheme="majorBidi" w:hAnsiTheme="majorBidi" w:cstheme="majorBidi"/>
          <w:color w:val="212121"/>
          <w:shd w:val="clear" w:color="auto" w:fill="FFFFFF"/>
        </w:rPr>
        <w:t>Rajda</w:t>
      </w:r>
      <w:proofErr w:type="spellEnd"/>
      <w:r w:rsidRPr="0010502E">
        <w:rPr>
          <w:rFonts w:asciiTheme="majorBidi" w:hAnsiTheme="majorBidi" w:cstheme="majorBidi"/>
          <w:color w:val="212121"/>
          <w:shd w:val="clear" w:color="auto" w:fill="FFFFFF"/>
        </w:rPr>
        <w:t xml:space="preserve"> M, Swiggum E, Virani SA, </w:t>
      </w:r>
      <w:proofErr w:type="spellStart"/>
      <w:r w:rsidRPr="0010502E">
        <w:rPr>
          <w:rFonts w:asciiTheme="majorBidi" w:hAnsiTheme="majorBidi" w:cstheme="majorBidi"/>
          <w:color w:val="212121"/>
          <w:shd w:val="clear" w:color="auto" w:fill="FFFFFF"/>
        </w:rPr>
        <w:t>Zieroth</w:t>
      </w:r>
      <w:proofErr w:type="spellEnd"/>
      <w:r w:rsidRPr="0010502E">
        <w:rPr>
          <w:rFonts w:asciiTheme="majorBidi" w:hAnsiTheme="majorBidi" w:cstheme="majorBidi"/>
          <w:color w:val="212121"/>
          <w:shd w:val="clear" w:color="auto" w:fill="FFFFFF"/>
        </w:rPr>
        <w:t xml:space="preserve"> S, Al-</w:t>
      </w:r>
      <w:proofErr w:type="spellStart"/>
      <w:r w:rsidRPr="0010502E">
        <w:rPr>
          <w:rFonts w:asciiTheme="majorBidi" w:hAnsiTheme="majorBidi" w:cstheme="majorBidi"/>
          <w:color w:val="212121"/>
          <w:shd w:val="clear" w:color="auto" w:fill="FFFFFF"/>
        </w:rPr>
        <w:t>Hesayen</w:t>
      </w:r>
      <w:proofErr w:type="spellEnd"/>
      <w:r w:rsidRPr="0010502E">
        <w:rPr>
          <w:rFonts w:asciiTheme="majorBidi" w:hAnsiTheme="majorBidi" w:cstheme="majorBidi"/>
          <w:color w:val="212121"/>
          <w:shd w:val="clear" w:color="auto" w:fill="FFFFFF"/>
        </w:rPr>
        <w:t xml:space="preserve"> A, Cohen-Solal A, </w:t>
      </w:r>
      <w:proofErr w:type="spellStart"/>
      <w:r w:rsidRPr="0010502E">
        <w:rPr>
          <w:rFonts w:asciiTheme="majorBidi" w:hAnsiTheme="majorBidi" w:cstheme="majorBidi"/>
          <w:color w:val="212121"/>
          <w:shd w:val="clear" w:color="auto" w:fill="FFFFFF"/>
        </w:rPr>
        <w:t>D'Astous</w:t>
      </w:r>
      <w:proofErr w:type="spellEnd"/>
      <w:r w:rsidRPr="0010502E">
        <w:rPr>
          <w:rFonts w:asciiTheme="majorBidi" w:hAnsiTheme="majorBidi" w:cstheme="majorBidi"/>
          <w:color w:val="212121"/>
          <w:shd w:val="clear" w:color="auto" w:fill="FFFFFF"/>
        </w:rPr>
        <w:t xml:space="preserve"> M, De S, Estrella-</w:t>
      </w:r>
      <w:r w:rsidRPr="0010502E">
        <w:rPr>
          <w:rFonts w:asciiTheme="majorBidi" w:hAnsiTheme="majorBidi" w:cstheme="majorBidi"/>
          <w:color w:val="212121"/>
          <w:shd w:val="clear" w:color="auto" w:fill="FFFFFF"/>
        </w:rPr>
        <w:lastRenderedPageBreak/>
        <w:t xml:space="preserve">Holder E, </w:t>
      </w:r>
      <w:proofErr w:type="spellStart"/>
      <w:r w:rsidRPr="0010502E">
        <w:rPr>
          <w:rFonts w:asciiTheme="majorBidi" w:hAnsiTheme="majorBidi" w:cstheme="majorBidi"/>
          <w:color w:val="212121"/>
          <w:shd w:val="clear" w:color="auto" w:fill="FFFFFF"/>
        </w:rPr>
        <w:t>Fremes</w:t>
      </w:r>
      <w:proofErr w:type="spellEnd"/>
      <w:r w:rsidRPr="0010502E">
        <w:rPr>
          <w:rFonts w:asciiTheme="majorBidi" w:hAnsiTheme="majorBidi" w:cstheme="majorBidi"/>
          <w:color w:val="212121"/>
          <w:shd w:val="clear" w:color="auto" w:fill="FFFFFF"/>
        </w:rPr>
        <w:t xml:space="preserve"> S, Green L, Haddad H, Harkness K, Hernandez AF, </w:t>
      </w:r>
      <w:proofErr w:type="spellStart"/>
      <w:r w:rsidRPr="0010502E">
        <w:rPr>
          <w:rFonts w:asciiTheme="majorBidi" w:hAnsiTheme="majorBidi" w:cstheme="majorBidi"/>
          <w:color w:val="212121"/>
          <w:shd w:val="clear" w:color="auto" w:fill="FFFFFF"/>
        </w:rPr>
        <w:t>Kouz</w:t>
      </w:r>
      <w:proofErr w:type="spellEnd"/>
      <w:r w:rsidRPr="0010502E">
        <w:rPr>
          <w:rFonts w:asciiTheme="majorBidi" w:hAnsiTheme="majorBidi" w:cstheme="majorBidi"/>
          <w:color w:val="212121"/>
          <w:shd w:val="clear" w:color="auto" w:fill="FFFFFF"/>
        </w:rPr>
        <w:t xml:space="preserve"> S, LeBlanc MH, </w:t>
      </w:r>
      <w:proofErr w:type="spellStart"/>
      <w:r w:rsidRPr="0010502E">
        <w:rPr>
          <w:rFonts w:asciiTheme="majorBidi" w:hAnsiTheme="majorBidi" w:cstheme="majorBidi"/>
          <w:color w:val="212121"/>
          <w:shd w:val="clear" w:color="auto" w:fill="FFFFFF"/>
        </w:rPr>
        <w:t>Masoudi</w:t>
      </w:r>
      <w:proofErr w:type="spellEnd"/>
      <w:r w:rsidRPr="0010502E">
        <w:rPr>
          <w:rFonts w:asciiTheme="majorBidi" w:hAnsiTheme="majorBidi" w:cstheme="majorBidi"/>
          <w:color w:val="212121"/>
          <w:shd w:val="clear" w:color="auto" w:fill="FFFFFF"/>
        </w:rPr>
        <w:t xml:space="preserve"> FA, Ross HJ, Roussin A, Sussex B (2017) 2017 Comprehensive Update of the Canadian Cardiovascular Society Guidelines for the Management of Heart Failure. Can J </w:t>
      </w:r>
      <w:proofErr w:type="spellStart"/>
      <w:r w:rsidRPr="0010502E">
        <w:rPr>
          <w:rFonts w:asciiTheme="majorBidi" w:hAnsiTheme="majorBidi" w:cstheme="majorBidi"/>
          <w:color w:val="212121"/>
          <w:shd w:val="clear" w:color="auto" w:fill="FFFFFF"/>
        </w:rPr>
        <w:t>Cardiol</w:t>
      </w:r>
      <w:proofErr w:type="spellEnd"/>
      <w:r w:rsidRPr="0010502E">
        <w:rPr>
          <w:rFonts w:asciiTheme="majorBidi" w:hAnsiTheme="majorBidi" w:cstheme="majorBidi"/>
          <w:color w:val="212121"/>
          <w:shd w:val="clear" w:color="auto" w:fill="FFFFFF"/>
        </w:rPr>
        <w:t xml:space="preserve"> 33(11):1342-1433</w:t>
      </w:r>
    </w:p>
    <w:p w14:paraId="1C41A4DD" w14:textId="77777777" w:rsidR="005169A7" w:rsidRPr="0010502E" w:rsidRDefault="005169A7" w:rsidP="005169A7">
      <w:pPr>
        <w:tabs>
          <w:tab w:val="left" w:pos="1276"/>
        </w:tabs>
        <w:jc w:val="both"/>
        <w:rPr>
          <w:rFonts w:asciiTheme="majorBidi" w:hAnsiTheme="majorBidi" w:cstheme="majorBidi"/>
          <w:b/>
          <w:bCs/>
          <w:color w:val="212121"/>
          <w:shd w:val="clear" w:color="auto" w:fill="FFFFFF"/>
        </w:rPr>
      </w:pPr>
    </w:p>
    <w:p w14:paraId="1D8B35F3" w14:textId="27D7EC18" w:rsidR="009E1670" w:rsidRPr="0010502E" w:rsidRDefault="005169A7" w:rsidP="0010502E">
      <w:pPr>
        <w:tabs>
          <w:tab w:val="left" w:pos="1276"/>
        </w:tabs>
        <w:jc w:val="both"/>
        <w:rPr>
          <w:rFonts w:asciiTheme="majorBidi" w:hAnsiTheme="majorBidi" w:cstheme="majorBidi"/>
          <w:color w:val="212121"/>
          <w:shd w:val="clear" w:color="auto" w:fill="FFFFFF"/>
        </w:rPr>
      </w:pPr>
      <w:r w:rsidRPr="0010502E">
        <w:rPr>
          <w:rFonts w:asciiTheme="majorBidi" w:hAnsiTheme="majorBidi" w:cstheme="majorBidi"/>
          <w:color w:val="212121"/>
          <w:shd w:val="clear" w:color="auto" w:fill="FFFFFF"/>
        </w:rPr>
        <w:t xml:space="preserve">[25] </w:t>
      </w:r>
      <w:proofErr w:type="spellStart"/>
      <w:r w:rsidRPr="0010502E">
        <w:rPr>
          <w:rFonts w:asciiTheme="majorBidi" w:hAnsiTheme="majorBidi" w:cstheme="majorBidi"/>
          <w:color w:val="212121"/>
          <w:shd w:val="clear" w:color="auto" w:fill="FFFFFF"/>
        </w:rPr>
        <w:t>Jarjour</w:t>
      </w:r>
      <w:proofErr w:type="spellEnd"/>
      <w:r w:rsidRPr="0010502E">
        <w:rPr>
          <w:rFonts w:asciiTheme="majorBidi" w:hAnsiTheme="majorBidi" w:cstheme="majorBidi"/>
          <w:color w:val="212121"/>
          <w:shd w:val="clear" w:color="auto" w:fill="FFFFFF"/>
        </w:rPr>
        <w:t xml:space="preserve"> M, Henri C, de </w:t>
      </w:r>
      <w:proofErr w:type="spellStart"/>
      <w:r w:rsidRPr="0010502E">
        <w:rPr>
          <w:rFonts w:asciiTheme="majorBidi" w:hAnsiTheme="majorBidi" w:cstheme="majorBidi"/>
          <w:color w:val="212121"/>
          <w:shd w:val="clear" w:color="auto" w:fill="FFFFFF"/>
        </w:rPr>
        <w:t>Denus</w:t>
      </w:r>
      <w:proofErr w:type="spellEnd"/>
      <w:r w:rsidRPr="0010502E">
        <w:rPr>
          <w:rFonts w:asciiTheme="majorBidi" w:hAnsiTheme="majorBidi" w:cstheme="majorBidi"/>
          <w:color w:val="212121"/>
          <w:shd w:val="clear" w:color="auto" w:fill="FFFFFF"/>
        </w:rPr>
        <w:t xml:space="preserve"> S, Fortier A, </w:t>
      </w:r>
      <w:proofErr w:type="spellStart"/>
      <w:r w:rsidRPr="0010502E">
        <w:rPr>
          <w:rFonts w:asciiTheme="majorBidi" w:hAnsiTheme="majorBidi" w:cstheme="majorBidi"/>
          <w:color w:val="212121"/>
          <w:shd w:val="clear" w:color="auto" w:fill="FFFFFF"/>
        </w:rPr>
        <w:t>Bouabdallaoui</w:t>
      </w:r>
      <w:proofErr w:type="spellEnd"/>
      <w:r w:rsidRPr="0010502E">
        <w:rPr>
          <w:rFonts w:asciiTheme="majorBidi" w:hAnsiTheme="majorBidi" w:cstheme="majorBidi"/>
          <w:color w:val="212121"/>
          <w:shd w:val="clear" w:color="auto" w:fill="FFFFFF"/>
        </w:rPr>
        <w:t xml:space="preserve"> N, Nigam A, O'Meara E, </w:t>
      </w:r>
      <w:proofErr w:type="spellStart"/>
      <w:r w:rsidRPr="0010502E">
        <w:rPr>
          <w:rFonts w:asciiTheme="majorBidi" w:hAnsiTheme="majorBidi" w:cstheme="majorBidi"/>
          <w:color w:val="212121"/>
          <w:shd w:val="clear" w:color="auto" w:fill="FFFFFF"/>
        </w:rPr>
        <w:t>Ahnadi</w:t>
      </w:r>
      <w:proofErr w:type="spellEnd"/>
      <w:r w:rsidRPr="0010502E">
        <w:rPr>
          <w:rFonts w:asciiTheme="majorBidi" w:hAnsiTheme="majorBidi" w:cstheme="majorBidi"/>
          <w:color w:val="212121"/>
          <w:shd w:val="clear" w:color="auto" w:fill="FFFFFF"/>
        </w:rPr>
        <w:t xml:space="preserve"> C, White M, Garceau P, Racine N, Parent MC, </w:t>
      </w:r>
      <w:proofErr w:type="spellStart"/>
      <w:r w:rsidRPr="0010502E">
        <w:rPr>
          <w:rFonts w:asciiTheme="majorBidi" w:hAnsiTheme="majorBidi" w:cstheme="majorBidi"/>
          <w:color w:val="212121"/>
          <w:shd w:val="clear" w:color="auto" w:fill="FFFFFF"/>
        </w:rPr>
        <w:t>Liszkowski</w:t>
      </w:r>
      <w:proofErr w:type="spellEnd"/>
      <w:r w:rsidRPr="0010502E">
        <w:rPr>
          <w:rFonts w:asciiTheme="majorBidi" w:hAnsiTheme="majorBidi" w:cstheme="majorBidi"/>
          <w:color w:val="212121"/>
          <w:shd w:val="clear" w:color="auto" w:fill="FFFFFF"/>
        </w:rPr>
        <w:t xml:space="preserve"> M, </w:t>
      </w:r>
      <w:proofErr w:type="spellStart"/>
      <w:r w:rsidRPr="0010502E">
        <w:rPr>
          <w:rFonts w:asciiTheme="majorBidi" w:hAnsiTheme="majorBidi" w:cstheme="majorBidi"/>
          <w:color w:val="212121"/>
          <w:shd w:val="clear" w:color="auto" w:fill="FFFFFF"/>
        </w:rPr>
        <w:t>Giraldeau</w:t>
      </w:r>
      <w:proofErr w:type="spellEnd"/>
      <w:r w:rsidRPr="0010502E">
        <w:rPr>
          <w:rFonts w:asciiTheme="majorBidi" w:hAnsiTheme="majorBidi" w:cstheme="majorBidi"/>
          <w:color w:val="212121"/>
          <w:shd w:val="clear" w:color="auto" w:fill="FFFFFF"/>
        </w:rPr>
        <w:t xml:space="preserve"> G, Rouleau JL, Ducharme A (2020) Care Gaps in Adherence to Heart Failure Guidelines: Clinical Inertia or Physiological Limitations? JACC Heart Fail 8(9):725-738. </w:t>
      </w:r>
    </w:p>
    <w:p w14:paraId="4CBF4120" w14:textId="77777777" w:rsidR="009E1670" w:rsidRDefault="009E1670" w:rsidP="00A07549">
      <w:pPr>
        <w:spacing w:line="276" w:lineRule="auto"/>
        <w:rPr>
          <w:rFonts w:asciiTheme="majorBidi" w:hAnsiTheme="majorBidi" w:cstheme="majorBidi"/>
          <w:b/>
          <w:bCs/>
          <w:color w:val="212121"/>
        </w:rPr>
      </w:pPr>
    </w:p>
    <w:p w14:paraId="0451DF2E" w14:textId="77777777" w:rsidR="009E1670" w:rsidRDefault="009E1670" w:rsidP="00A07549">
      <w:pPr>
        <w:spacing w:line="276" w:lineRule="auto"/>
        <w:rPr>
          <w:rFonts w:asciiTheme="majorBidi" w:hAnsiTheme="majorBidi" w:cstheme="majorBidi"/>
          <w:b/>
          <w:bCs/>
          <w:color w:val="212121"/>
        </w:rPr>
      </w:pPr>
    </w:p>
    <w:p w14:paraId="0FA7BDE2" w14:textId="77777777" w:rsidR="009E1670" w:rsidRDefault="009E1670" w:rsidP="00A07549">
      <w:pPr>
        <w:spacing w:line="276" w:lineRule="auto"/>
        <w:rPr>
          <w:rFonts w:asciiTheme="majorBidi" w:hAnsiTheme="majorBidi" w:cstheme="majorBidi"/>
          <w:b/>
          <w:bCs/>
          <w:color w:val="212121"/>
        </w:rPr>
      </w:pPr>
    </w:p>
    <w:p w14:paraId="07744117" w14:textId="77777777" w:rsidR="009E1670" w:rsidRDefault="009E1670" w:rsidP="00A07549">
      <w:pPr>
        <w:spacing w:line="276" w:lineRule="auto"/>
        <w:rPr>
          <w:rFonts w:asciiTheme="majorBidi" w:hAnsiTheme="majorBidi" w:cstheme="majorBidi"/>
          <w:b/>
          <w:bCs/>
          <w:color w:val="212121"/>
        </w:rPr>
      </w:pPr>
    </w:p>
    <w:p w14:paraId="02B817F6" w14:textId="77777777" w:rsidR="009E1670" w:rsidRDefault="009E1670" w:rsidP="00A07549">
      <w:pPr>
        <w:spacing w:line="276" w:lineRule="auto"/>
        <w:rPr>
          <w:rFonts w:asciiTheme="majorBidi" w:hAnsiTheme="majorBidi" w:cstheme="majorBidi"/>
          <w:b/>
          <w:bCs/>
          <w:color w:val="212121"/>
        </w:rPr>
      </w:pPr>
    </w:p>
    <w:p w14:paraId="0A954059" w14:textId="77777777" w:rsidR="009E1670" w:rsidRDefault="009E1670" w:rsidP="00A07549">
      <w:pPr>
        <w:spacing w:line="276" w:lineRule="auto"/>
        <w:rPr>
          <w:rFonts w:asciiTheme="majorBidi" w:hAnsiTheme="majorBidi" w:cstheme="majorBidi"/>
          <w:b/>
          <w:bCs/>
          <w:color w:val="212121"/>
        </w:rPr>
      </w:pPr>
    </w:p>
    <w:p w14:paraId="0FAE6427" w14:textId="77777777" w:rsidR="009E1670" w:rsidRDefault="009E1670" w:rsidP="00A07549">
      <w:pPr>
        <w:spacing w:line="276" w:lineRule="auto"/>
        <w:rPr>
          <w:rFonts w:asciiTheme="majorBidi" w:hAnsiTheme="majorBidi" w:cstheme="majorBidi"/>
          <w:b/>
          <w:bCs/>
          <w:color w:val="212121"/>
        </w:rPr>
      </w:pPr>
    </w:p>
    <w:p w14:paraId="5C7B57AA" w14:textId="77777777" w:rsidR="009E1670" w:rsidRDefault="009E1670" w:rsidP="00A07549">
      <w:pPr>
        <w:spacing w:line="276" w:lineRule="auto"/>
        <w:rPr>
          <w:rFonts w:asciiTheme="majorBidi" w:hAnsiTheme="majorBidi" w:cstheme="majorBidi"/>
          <w:b/>
          <w:bCs/>
          <w:color w:val="212121"/>
        </w:rPr>
      </w:pPr>
    </w:p>
    <w:p w14:paraId="405F93A1" w14:textId="77777777" w:rsidR="009E1670" w:rsidRDefault="009E1670" w:rsidP="00A07549">
      <w:pPr>
        <w:spacing w:line="276" w:lineRule="auto"/>
        <w:rPr>
          <w:rFonts w:asciiTheme="majorBidi" w:hAnsiTheme="majorBidi" w:cstheme="majorBidi"/>
          <w:b/>
          <w:bCs/>
          <w:color w:val="212121"/>
        </w:rPr>
      </w:pPr>
    </w:p>
    <w:p w14:paraId="7E8E3406" w14:textId="77777777" w:rsidR="003B65E4" w:rsidRPr="002C0D4A" w:rsidRDefault="003B65E4" w:rsidP="002C0D4A">
      <w:pPr>
        <w:pStyle w:val="NormalWeb"/>
        <w:tabs>
          <w:tab w:val="left" w:pos="1276"/>
        </w:tabs>
        <w:jc w:val="both"/>
        <w:rPr>
          <w:rFonts w:asciiTheme="majorBidi" w:hAnsiTheme="majorBidi" w:cstheme="majorBidi"/>
          <w:color w:val="212121"/>
          <w:shd w:val="clear" w:color="auto" w:fill="FFFFFF"/>
        </w:rPr>
      </w:pPr>
    </w:p>
    <w:sectPr w:rsidR="003B65E4" w:rsidRPr="002C0D4A" w:rsidSect="00EB54AD">
      <w:footerReference w:type="even" r:id="rId14"/>
      <w:footerReference w:type="default" r:id="rId15"/>
      <w:pgSz w:w="11900" w:h="16840"/>
      <w:pgMar w:top="922" w:right="1440" w:bottom="106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5D066" w14:textId="77777777" w:rsidR="00A66331" w:rsidRDefault="00A66331" w:rsidP="00B13EF3">
      <w:r>
        <w:separator/>
      </w:r>
    </w:p>
  </w:endnote>
  <w:endnote w:type="continuationSeparator" w:id="0">
    <w:p w14:paraId="0DE6B2E3" w14:textId="77777777" w:rsidR="00A66331" w:rsidRDefault="00A66331" w:rsidP="00B1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ptos Display">
    <w:panose1 w:val="020B0004020202020204"/>
    <w:charset w:val="00"/>
    <w:family w:val="swiss"/>
    <w:pitch w:val="variable"/>
    <w:sig w:usb0="20000287" w:usb1="00000003" w:usb2="00000000" w:usb3="00000000" w:csb0="0000019F" w:csb1="00000000"/>
  </w:font>
  <w:font w:name="Merriweather">
    <w:panose1 w:val="00000500000000000000"/>
    <w:charset w:val="4D"/>
    <w:family w:val="auto"/>
    <w:pitch w:val="variable"/>
    <w:sig w:usb0="20000207" w:usb1="00000002" w:usb2="00000000" w:usb3="00000000" w:csb0="00000197" w:csb1="00000000"/>
  </w:font>
  <w:font w:name="Roboto">
    <w:panose1 w:val="020B0604020202020204"/>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104818"/>
      <w:docPartObj>
        <w:docPartGallery w:val="Page Numbers (Bottom of Page)"/>
        <w:docPartUnique/>
      </w:docPartObj>
    </w:sdtPr>
    <w:sdtContent>
      <w:p w14:paraId="6BC512A5" w14:textId="167FE9C8" w:rsidR="00B13EF3" w:rsidRDefault="00B13EF3" w:rsidP="00A244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8B5EEA" w14:textId="77777777" w:rsidR="00B13EF3" w:rsidRDefault="00B13EF3" w:rsidP="00B13E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90625343"/>
      <w:docPartObj>
        <w:docPartGallery w:val="Page Numbers (Bottom of Page)"/>
        <w:docPartUnique/>
      </w:docPartObj>
    </w:sdtPr>
    <w:sdtContent>
      <w:p w14:paraId="4864FD39" w14:textId="04C4E100" w:rsidR="00B13EF3" w:rsidRDefault="00B13EF3" w:rsidP="00A244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C7966AE" w14:textId="77777777" w:rsidR="00B13EF3" w:rsidRDefault="00B13EF3" w:rsidP="00B13E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5417B" w14:textId="77777777" w:rsidR="00A66331" w:rsidRDefault="00A66331" w:rsidP="00B13EF3">
      <w:r>
        <w:separator/>
      </w:r>
    </w:p>
  </w:footnote>
  <w:footnote w:type="continuationSeparator" w:id="0">
    <w:p w14:paraId="51B6A323" w14:textId="77777777" w:rsidR="00A66331" w:rsidRDefault="00A66331" w:rsidP="00B13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20BEF"/>
    <w:multiLevelType w:val="hybridMultilevel"/>
    <w:tmpl w:val="552AB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77710B"/>
    <w:multiLevelType w:val="hybridMultilevel"/>
    <w:tmpl w:val="5C4651CC"/>
    <w:lvl w:ilvl="0" w:tplc="C31447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84CF2"/>
    <w:multiLevelType w:val="hybridMultilevel"/>
    <w:tmpl w:val="3E9A1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2047A"/>
    <w:multiLevelType w:val="hybridMultilevel"/>
    <w:tmpl w:val="3E280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F7F632A"/>
    <w:multiLevelType w:val="hybridMultilevel"/>
    <w:tmpl w:val="2064FFE8"/>
    <w:lvl w:ilvl="0" w:tplc="0809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294091242">
    <w:abstractNumId w:val="3"/>
  </w:num>
  <w:num w:numId="2" w16cid:durableId="194314529">
    <w:abstractNumId w:val="4"/>
  </w:num>
  <w:num w:numId="3" w16cid:durableId="852765517">
    <w:abstractNumId w:val="1"/>
  </w:num>
  <w:num w:numId="4" w16cid:durableId="1652825389">
    <w:abstractNumId w:val="0"/>
  </w:num>
  <w:num w:numId="5" w16cid:durableId="1322126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E23"/>
    <w:rsid w:val="000034AF"/>
    <w:rsid w:val="00046E23"/>
    <w:rsid w:val="000532B7"/>
    <w:rsid w:val="000571E6"/>
    <w:rsid w:val="00062CFF"/>
    <w:rsid w:val="00066CE5"/>
    <w:rsid w:val="000818F7"/>
    <w:rsid w:val="00081D04"/>
    <w:rsid w:val="000A1005"/>
    <w:rsid w:val="000B4F05"/>
    <w:rsid w:val="000C032E"/>
    <w:rsid w:val="0010502E"/>
    <w:rsid w:val="00110BDC"/>
    <w:rsid w:val="001164C2"/>
    <w:rsid w:val="001345A2"/>
    <w:rsid w:val="00164082"/>
    <w:rsid w:val="001A7A3E"/>
    <w:rsid w:val="001E0C3D"/>
    <w:rsid w:val="00241FDC"/>
    <w:rsid w:val="00251B0D"/>
    <w:rsid w:val="00272166"/>
    <w:rsid w:val="002A4EBB"/>
    <w:rsid w:val="002B19CD"/>
    <w:rsid w:val="002C0D4A"/>
    <w:rsid w:val="002D4EF3"/>
    <w:rsid w:val="00302E6A"/>
    <w:rsid w:val="00341C04"/>
    <w:rsid w:val="00384263"/>
    <w:rsid w:val="00385CCD"/>
    <w:rsid w:val="00392722"/>
    <w:rsid w:val="003B59C5"/>
    <w:rsid w:val="003B65E4"/>
    <w:rsid w:val="003C0342"/>
    <w:rsid w:val="003E1583"/>
    <w:rsid w:val="003F7BD2"/>
    <w:rsid w:val="00430B85"/>
    <w:rsid w:val="0044432A"/>
    <w:rsid w:val="00453AFC"/>
    <w:rsid w:val="0045675C"/>
    <w:rsid w:val="004775FA"/>
    <w:rsid w:val="0047781B"/>
    <w:rsid w:val="004968F6"/>
    <w:rsid w:val="004C5087"/>
    <w:rsid w:val="004D070C"/>
    <w:rsid w:val="004F557E"/>
    <w:rsid w:val="005169A7"/>
    <w:rsid w:val="00517A79"/>
    <w:rsid w:val="00520903"/>
    <w:rsid w:val="00522265"/>
    <w:rsid w:val="0057119E"/>
    <w:rsid w:val="005A0B23"/>
    <w:rsid w:val="005A2B06"/>
    <w:rsid w:val="005C1672"/>
    <w:rsid w:val="00635E17"/>
    <w:rsid w:val="00654958"/>
    <w:rsid w:val="006F0047"/>
    <w:rsid w:val="00723427"/>
    <w:rsid w:val="007572D7"/>
    <w:rsid w:val="00757816"/>
    <w:rsid w:val="00764F48"/>
    <w:rsid w:val="007D2EC8"/>
    <w:rsid w:val="007F4811"/>
    <w:rsid w:val="00855398"/>
    <w:rsid w:val="00865798"/>
    <w:rsid w:val="008A0707"/>
    <w:rsid w:val="008B2D33"/>
    <w:rsid w:val="008D50A2"/>
    <w:rsid w:val="008E4AD6"/>
    <w:rsid w:val="009000E4"/>
    <w:rsid w:val="00983BD5"/>
    <w:rsid w:val="009D3310"/>
    <w:rsid w:val="009E1670"/>
    <w:rsid w:val="009E66CB"/>
    <w:rsid w:val="009F5AE7"/>
    <w:rsid w:val="00A01663"/>
    <w:rsid w:val="00A07549"/>
    <w:rsid w:val="00A30103"/>
    <w:rsid w:val="00A339CB"/>
    <w:rsid w:val="00A35042"/>
    <w:rsid w:val="00A66331"/>
    <w:rsid w:val="00A7494B"/>
    <w:rsid w:val="00AA7F67"/>
    <w:rsid w:val="00AC148F"/>
    <w:rsid w:val="00AE32DE"/>
    <w:rsid w:val="00B13EF3"/>
    <w:rsid w:val="00BB17FA"/>
    <w:rsid w:val="00BC001D"/>
    <w:rsid w:val="00C04737"/>
    <w:rsid w:val="00C13600"/>
    <w:rsid w:val="00C670B6"/>
    <w:rsid w:val="00CA3E1B"/>
    <w:rsid w:val="00CC32A5"/>
    <w:rsid w:val="00CE6C11"/>
    <w:rsid w:val="00D14A91"/>
    <w:rsid w:val="00D77F42"/>
    <w:rsid w:val="00DC08D5"/>
    <w:rsid w:val="00DD3E0B"/>
    <w:rsid w:val="00DD724A"/>
    <w:rsid w:val="00DE0CBA"/>
    <w:rsid w:val="00E46C2B"/>
    <w:rsid w:val="00E71CEB"/>
    <w:rsid w:val="00E84F84"/>
    <w:rsid w:val="00EA06E8"/>
    <w:rsid w:val="00EB54AD"/>
    <w:rsid w:val="00EE25BB"/>
    <w:rsid w:val="00F05B83"/>
    <w:rsid w:val="00F21934"/>
    <w:rsid w:val="00F34EA0"/>
    <w:rsid w:val="00F5021E"/>
    <w:rsid w:val="00F81618"/>
    <w:rsid w:val="00F94F9D"/>
    <w:rsid w:val="00FA785E"/>
    <w:rsid w:val="00FB349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D963"/>
  <w14:defaultImageDpi w14:val="32767"/>
  <w15:chartTrackingRefBased/>
  <w15:docId w15:val="{57EA7008-9D12-B845-874A-8648B5D1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D3310"/>
    <w:rPr>
      <w:rFonts w:ascii="Verdana" w:eastAsia="Times New Roman" w:hAnsi="Verdana" w:cs="Times New Roman"/>
      <w:kern w:val="0"/>
      <w:sz w:val="22"/>
      <w:szCs w:val="22"/>
      <w14:ligatures w14:val="none"/>
    </w:rPr>
  </w:style>
  <w:style w:type="paragraph" w:styleId="Heading1">
    <w:name w:val="heading 1"/>
    <w:basedOn w:val="Normal"/>
    <w:next w:val="Normal"/>
    <w:link w:val="Heading1Char"/>
    <w:uiPriority w:val="9"/>
    <w:qFormat/>
    <w:rsid w:val="00046E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E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E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E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E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E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E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E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E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E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E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E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E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E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E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E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E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E23"/>
    <w:rPr>
      <w:rFonts w:eastAsiaTheme="majorEastAsia" w:cstheme="majorBidi"/>
      <w:color w:val="272727" w:themeColor="text1" w:themeTint="D8"/>
    </w:rPr>
  </w:style>
  <w:style w:type="paragraph" w:styleId="Title">
    <w:name w:val="Title"/>
    <w:basedOn w:val="Normal"/>
    <w:next w:val="Normal"/>
    <w:link w:val="TitleChar"/>
    <w:uiPriority w:val="10"/>
    <w:qFormat/>
    <w:rsid w:val="00046E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E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E2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E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E2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E23"/>
    <w:rPr>
      <w:i/>
      <w:iCs/>
      <w:color w:val="404040" w:themeColor="text1" w:themeTint="BF"/>
    </w:rPr>
  </w:style>
  <w:style w:type="paragraph" w:styleId="ListParagraph">
    <w:name w:val="List Paragraph"/>
    <w:basedOn w:val="Normal"/>
    <w:uiPriority w:val="34"/>
    <w:qFormat/>
    <w:rsid w:val="00046E23"/>
    <w:pPr>
      <w:ind w:left="720"/>
      <w:contextualSpacing/>
    </w:pPr>
  </w:style>
  <w:style w:type="character" w:styleId="IntenseEmphasis">
    <w:name w:val="Intense Emphasis"/>
    <w:basedOn w:val="DefaultParagraphFont"/>
    <w:uiPriority w:val="21"/>
    <w:qFormat/>
    <w:rsid w:val="00046E23"/>
    <w:rPr>
      <w:i/>
      <w:iCs/>
      <w:color w:val="0F4761" w:themeColor="accent1" w:themeShade="BF"/>
    </w:rPr>
  </w:style>
  <w:style w:type="paragraph" w:styleId="IntenseQuote">
    <w:name w:val="Intense Quote"/>
    <w:basedOn w:val="Normal"/>
    <w:next w:val="Normal"/>
    <w:link w:val="IntenseQuoteChar"/>
    <w:uiPriority w:val="30"/>
    <w:qFormat/>
    <w:rsid w:val="00046E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E23"/>
    <w:rPr>
      <w:i/>
      <w:iCs/>
      <w:color w:val="0F4761" w:themeColor="accent1" w:themeShade="BF"/>
    </w:rPr>
  </w:style>
  <w:style w:type="character" w:styleId="IntenseReference">
    <w:name w:val="Intense Reference"/>
    <w:basedOn w:val="DefaultParagraphFont"/>
    <w:uiPriority w:val="32"/>
    <w:qFormat/>
    <w:rsid w:val="00046E23"/>
    <w:rPr>
      <w:b/>
      <w:bCs/>
      <w:smallCaps/>
      <w:color w:val="0F4761" w:themeColor="accent1" w:themeShade="BF"/>
      <w:spacing w:val="5"/>
    </w:rPr>
  </w:style>
  <w:style w:type="paragraph" w:styleId="NormalWeb">
    <w:name w:val="Normal (Web)"/>
    <w:basedOn w:val="Normal"/>
    <w:uiPriority w:val="99"/>
    <w:unhideWhenUsed/>
    <w:rsid w:val="009D3310"/>
    <w:pPr>
      <w:spacing w:before="100" w:beforeAutospacing="1" w:after="100" w:afterAutospacing="1"/>
    </w:pPr>
    <w:rPr>
      <w:rFonts w:ascii="Times New Roman" w:hAnsi="Times New Roman"/>
      <w:sz w:val="24"/>
      <w:szCs w:val="24"/>
      <w:lang w:eastAsia="en-GB"/>
    </w:rPr>
  </w:style>
  <w:style w:type="character" w:customStyle="1" w:styleId="apple-converted-space">
    <w:name w:val="apple-converted-space"/>
    <w:basedOn w:val="DefaultParagraphFont"/>
    <w:rsid w:val="003B65E4"/>
  </w:style>
  <w:style w:type="character" w:styleId="Hyperlink">
    <w:name w:val="Hyperlink"/>
    <w:basedOn w:val="DefaultParagraphFont"/>
    <w:uiPriority w:val="99"/>
    <w:unhideWhenUsed/>
    <w:rsid w:val="003B65E4"/>
    <w:rPr>
      <w:color w:val="0000FF"/>
      <w:u w:val="single"/>
    </w:rPr>
  </w:style>
  <w:style w:type="table" w:styleId="TableGrid">
    <w:name w:val="Table Grid"/>
    <w:basedOn w:val="TableNormal"/>
    <w:rsid w:val="00453AFC"/>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13EF3"/>
    <w:pPr>
      <w:tabs>
        <w:tab w:val="center" w:pos="4513"/>
        <w:tab w:val="right" w:pos="9026"/>
      </w:tabs>
    </w:pPr>
  </w:style>
  <w:style w:type="character" w:customStyle="1" w:styleId="FooterChar">
    <w:name w:val="Footer Char"/>
    <w:basedOn w:val="DefaultParagraphFont"/>
    <w:link w:val="Footer"/>
    <w:uiPriority w:val="99"/>
    <w:rsid w:val="00B13EF3"/>
    <w:rPr>
      <w:rFonts w:ascii="Verdana" w:eastAsia="Times New Roman" w:hAnsi="Verdana" w:cs="Times New Roman"/>
      <w:kern w:val="0"/>
      <w:sz w:val="22"/>
      <w:szCs w:val="22"/>
      <w14:ligatures w14:val="none"/>
    </w:rPr>
  </w:style>
  <w:style w:type="character" w:styleId="PageNumber">
    <w:name w:val="page number"/>
    <w:basedOn w:val="DefaultParagraphFont"/>
    <w:uiPriority w:val="99"/>
    <w:semiHidden/>
    <w:unhideWhenUsed/>
    <w:rsid w:val="00B13EF3"/>
  </w:style>
  <w:style w:type="character" w:styleId="Strong">
    <w:name w:val="Strong"/>
    <w:basedOn w:val="DefaultParagraphFont"/>
    <w:uiPriority w:val="22"/>
    <w:qFormat/>
    <w:rsid w:val="005169A7"/>
    <w:rPr>
      <w:b/>
      <w:bCs/>
    </w:rPr>
  </w:style>
  <w:style w:type="character" w:styleId="UnresolvedMention">
    <w:name w:val="Unresolved Mention"/>
    <w:basedOn w:val="DefaultParagraphFont"/>
    <w:uiPriority w:val="99"/>
    <w:rsid w:val="000B4F05"/>
    <w:rPr>
      <w:color w:val="605E5C"/>
      <w:shd w:val="clear" w:color="auto" w:fill="E1DFDD"/>
    </w:rPr>
  </w:style>
  <w:style w:type="character" w:styleId="FollowedHyperlink">
    <w:name w:val="FollowedHyperlink"/>
    <w:basedOn w:val="DefaultParagraphFont"/>
    <w:uiPriority w:val="99"/>
    <w:semiHidden/>
    <w:unhideWhenUsed/>
    <w:rsid w:val="000B4F0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09007">
      <w:bodyDiv w:val="1"/>
      <w:marLeft w:val="0"/>
      <w:marRight w:val="0"/>
      <w:marTop w:val="0"/>
      <w:marBottom w:val="0"/>
      <w:divBdr>
        <w:top w:val="none" w:sz="0" w:space="0" w:color="auto"/>
        <w:left w:val="none" w:sz="0" w:space="0" w:color="auto"/>
        <w:bottom w:val="none" w:sz="0" w:space="0" w:color="auto"/>
        <w:right w:val="none" w:sz="0" w:space="0" w:color="auto"/>
      </w:divBdr>
    </w:div>
    <w:div w:id="126431706">
      <w:bodyDiv w:val="1"/>
      <w:marLeft w:val="0"/>
      <w:marRight w:val="0"/>
      <w:marTop w:val="0"/>
      <w:marBottom w:val="0"/>
      <w:divBdr>
        <w:top w:val="none" w:sz="0" w:space="0" w:color="auto"/>
        <w:left w:val="none" w:sz="0" w:space="0" w:color="auto"/>
        <w:bottom w:val="none" w:sz="0" w:space="0" w:color="auto"/>
        <w:right w:val="none" w:sz="0" w:space="0" w:color="auto"/>
      </w:divBdr>
      <w:divsChild>
        <w:div w:id="1625311384">
          <w:marLeft w:val="0"/>
          <w:marRight w:val="0"/>
          <w:marTop w:val="0"/>
          <w:marBottom w:val="0"/>
          <w:divBdr>
            <w:top w:val="none" w:sz="0" w:space="0" w:color="auto"/>
            <w:left w:val="none" w:sz="0" w:space="0" w:color="auto"/>
            <w:bottom w:val="none" w:sz="0" w:space="0" w:color="auto"/>
            <w:right w:val="none" w:sz="0" w:space="0" w:color="auto"/>
          </w:divBdr>
          <w:divsChild>
            <w:div w:id="1872303331">
              <w:marLeft w:val="0"/>
              <w:marRight w:val="0"/>
              <w:marTop w:val="0"/>
              <w:marBottom w:val="0"/>
              <w:divBdr>
                <w:top w:val="none" w:sz="0" w:space="0" w:color="auto"/>
                <w:left w:val="none" w:sz="0" w:space="0" w:color="auto"/>
                <w:bottom w:val="none" w:sz="0" w:space="0" w:color="auto"/>
                <w:right w:val="none" w:sz="0" w:space="0" w:color="auto"/>
              </w:divBdr>
              <w:divsChild>
                <w:div w:id="86405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845606">
      <w:bodyDiv w:val="1"/>
      <w:marLeft w:val="0"/>
      <w:marRight w:val="0"/>
      <w:marTop w:val="0"/>
      <w:marBottom w:val="0"/>
      <w:divBdr>
        <w:top w:val="none" w:sz="0" w:space="0" w:color="auto"/>
        <w:left w:val="none" w:sz="0" w:space="0" w:color="auto"/>
        <w:bottom w:val="none" w:sz="0" w:space="0" w:color="auto"/>
        <w:right w:val="none" w:sz="0" w:space="0" w:color="auto"/>
      </w:divBdr>
      <w:divsChild>
        <w:div w:id="435711081">
          <w:marLeft w:val="0"/>
          <w:marRight w:val="0"/>
          <w:marTop w:val="0"/>
          <w:marBottom w:val="720"/>
          <w:divBdr>
            <w:top w:val="none" w:sz="0" w:space="0" w:color="auto"/>
            <w:left w:val="none" w:sz="0" w:space="0" w:color="auto"/>
            <w:bottom w:val="none" w:sz="0" w:space="0" w:color="auto"/>
            <w:right w:val="none" w:sz="0" w:space="0" w:color="auto"/>
          </w:divBdr>
          <w:divsChild>
            <w:div w:id="175867613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94797888">
      <w:bodyDiv w:val="1"/>
      <w:marLeft w:val="0"/>
      <w:marRight w:val="0"/>
      <w:marTop w:val="0"/>
      <w:marBottom w:val="0"/>
      <w:divBdr>
        <w:top w:val="none" w:sz="0" w:space="0" w:color="auto"/>
        <w:left w:val="none" w:sz="0" w:space="0" w:color="auto"/>
        <w:bottom w:val="none" w:sz="0" w:space="0" w:color="auto"/>
        <w:right w:val="none" w:sz="0" w:space="0" w:color="auto"/>
      </w:divBdr>
      <w:divsChild>
        <w:div w:id="1878926169">
          <w:marLeft w:val="0"/>
          <w:marRight w:val="0"/>
          <w:marTop w:val="0"/>
          <w:marBottom w:val="0"/>
          <w:divBdr>
            <w:top w:val="none" w:sz="0" w:space="0" w:color="auto"/>
            <w:left w:val="none" w:sz="0" w:space="0" w:color="auto"/>
            <w:bottom w:val="none" w:sz="0" w:space="0" w:color="auto"/>
            <w:right w:val="none" w:sz="0" w:space="0" w:color="auto"/>
          </w:divBdr>
          <w:divsChild>
            <w:div w:id="451098824">
              <w:marLeft w:val="0"/>
              <w:marRight w:val="0"/>
              <w:marTop w:val="0"/>
              <w:marBottom w:val="0"/>
              <w:divBdr>
                <w:top w:val="none" w:sz="0" w:space="0" w:color="auto"/>
                <w:left w:val="none" w:sz="0" w:space="0" w:color="auto"/>
                <w:bottom w:val="none" w:sz="0" w:space="0" w:color="auto"/>
                <w:right w:val="none" w:sz="0" w:space="0" w:color="auto"/>
              </w:divBdr>
              <w:divsChild>
                <w:div w:id="7654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405185">
      <w:bodyDiv w:val="1"/>
      <w:marLeft w:val="0"/>
      <w:marRight w:val="0"/>
      <w:marTop w:val="0"/>
      <w:marBottom w:val="0"/>
      <w:divBdr>
        <w:top w:val="none" w:sz="0" w:space="0" w:color="auto"/>
        <w:left w:val="none" w:sz="0" w:space="0" w:color="auto"/>
        <w:bottom w:val="none" w:sz="0" w:space="0" w:color="auto"/>
        <w:right w:val="none" w:sz="0" w:space="0" w:color="auto"/>
      </w:divBdr>
      <w:divsChild>
        <w:div w:id="1657029757">
          <w:marLeft w:val="0"/>
          <w:marRight w:val="0"/>
          <w:marTop w:val="0"/>
          <w:marBottom w:val="0"/>
          <w:divBdr>
            <w:top w:val="none" w:sz="0" w:space="0" w:color="auto"/>
            <w:left w:val="none" w:sz="0" w:space="0" w:color="auto"/>
            <w:bottom w:val="none" w:sz="0" w:space="0" w:color="auto"/>
            <w:right w:val="none" w:sz="0" w:space="0" w:color="auto"/>
          </w:divBdr>
          <w:divsChild>
            <w:div w:id="1567764970">
              <w:marLeft w:val="0"/>
              <w:marRight w:val="0"/>
              <w:marTop w:val="0"/>
              <w:marBottom w:val="0"/>
              <w:divBdr>
                <w:top w:val="none" w:sz="0" w:space="0" w:color="auto"/>
                <w:left w:val="none" w:sz="0" w:space="0" w:color="auto"/>
                <w:bottom w:val="none" w:sz="0" w:space="0" w:color="auto"/>
                <w:right w:val="none" w:sz="0" w:space="0" w:color="auto"/>
              </w:divBdr>
              <w:divsChild>
                <w:div w:id="7871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94209">
      <w:bodyDiv w:val="1"/>
      <w:marLeft w:val="0"/>
      <w:marRight w:val="0"/>
      <w:marTop w:val="0"/>
      <w:marBottom w:val="0"/>
      <w:divBdr>
        <w:top w:val="none" w:sz="0" w:space="0" w:color="auto"/>
        <w:left w:val="none" w:sz="0" w:space="0" w:color="auto"/>
        <w:bottom w:val="none" w:sz="0" w:space="0" w:color="auto"/>
        <w:right w:val="none" w:sz="0" w:space="0" w:color="auto"/>
      </w:divBdr>
    </w:div>
    <w:div w:id="562760682">
      <w:bodyDiv w:val="1"/>
      <w:marLeft w:val="0"/>
      <w:marRight w:val="0"/>
      <w:marTop w:val="0"/>
      <w:marBottom w:val="0"/>
      <w:divBdr>
        <w:top w:val="none" w:sz="0" w:space="0" w:color="auto"/>
        <w:left w:val="none" w:sz="0" w:space="0" w:color="auto"/>
        <w:bottom w:val="none" w:sz="0" w:space="0" w:color="auto"/>
        <w:right w:val="none" w:sz="0" w:space="0" w:color="auto"/>
      </w:divBdr>
      <w:divsChild>
        <w:div w:id="1464155711">
          <w:marLeft w:val="0"/>
          <w:marRight w:val="0"/>
          <w:marTop w:val="0"/>
          <w:marBottom w:val="0"/>
          <w:divBdr>
            <w:top w:val="none" w:sz="0" w:space="0" w:color="auto"/>
            <w:left w:val="none" w:sz="0" w:space="0" w:color="auto"/>
            <w:bottom w:val="none" w:sz="0" w:space="0" w:color="auto"/>
            <w:right w:val="none" w:sz="0" w:space="0" w:color="auto"/>
          </w:divBdr>
          <w:divsChild>
            <w:div w:id="866021636">
              <w:marLeft w:val="0"/>
              <w:marRight w:val="0"/>
              <w:marTop w:val="0"/>
              <w:marBottom w:val="0"/>
              <w:divBdr>
                <w:top w:val="none" w:sz="0" w:space="0" w:color="auto"/>
                <w:left w:val="none" w:sz="0" w:space="0" w:color="auto"/>
                <w:bottom w:val="none" w:sz="0" w:space="0" w:color="auto"/>
                <w:right w:val="none" w:sz="0" w:space="0" w:color="auto"/>
              </w:divBdr>
              <w:divsChild>
                <w:div w:id="203738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102179">
      <w:bodyDiv w:val="1"/>
      <w:marLeft w:val="0"/>
      <w:marRight w:val="0"/>
      <w:marTop w:val="0"/>
      <w:marBottom w:val="0"/>
      <w:divBdr>
        <w:top w:val="none" w:sz="0" w:space="0" w:color="auto"/>
        <w:left w:val="none" w:sz="0" w:space="0" w:color="auto"/>
        <w:bottom w:val="none" w:sz="0" w:space="0" w:color="auto"/>
        <w:right w:val="none" w:sz="0" w:space="0" w:color="auto"/>
      </w:divBdr>
      <w:divsChild>
        <w:div w:id="1228760726">
          <w:marLeft w:val="0"/>
          <w:marRight w:val="0"/>
          <w:marTop w:val="0"/>
          <w:marBottom w:val="0"/>
          <w:divBdr>
            <w:top w:val="none" w:sz="0" w:space="0" w:color="auto"/>
            <w:left w:val="none" w:sz="0" w:space="0" w:color="auto"/>
            <w:bottom w:val="none" w:sz="0" w:space="0" w:color="auto"/>
            <w:right w:val="none" w:sz="0" w:space="0" w:color="auto"/>
          </w:divBdr>
          <w:divsChild>
            <w:div w:id="1030226749">
              <w:marLeft w:val="0"/>
              <w:marRight w:val="0"/>
              <w:marTop w:val="0"/>
              <w:marBottom w:val="0"/>
              <w:divBdr>
                <w:top w:val="none" w:sz="0" w:space="0" w:color="auto"/>
                <w:left w:val="none" w:sz="0" w:space="0" w:color="auto"/>
                <w:bottom w:val="none" w:sz="0" w:space="0" w:color="auto"/>
                <w:right w:val="none" w:sz="0" w:space="0" w:color="auto"/>
              </w:divBdr>
              <w:divsChild>
                <w:div w:id="18423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847870">
      <w:bodyDiv w:val="1"/>
      <w:marLeft w:val="0"/>
      <w:marRight w:val="0"/>
      <w:marTop w:val="0"/>
      <w:marBottom w:val="0"/>
      <w:divBdr>
        <w:top w:val="none" w:sz="0" w:space="0" w:color="auto"/>
        <w:left w:val="none" w:sz="0" w:space="0" w:color="auto"/>
        <w:bottom w:val="none" w:sz="0" w:space="0" w:color="auto"/>
        <w:right w:val="none" w:sz="0" w:space="0" w:color="auto"/>
      </w:divBdr>
    </w:div>
    <w:div w:id="702483279">
      <w:bodyDiv w:val="1"/>
      <w:marLeft w:val="0"/>
      <w:marRight w:val="0"/>
      <w:marTop w:val="0"/>
      <w:marBottom w:val="0"/>
      <w:divBdr>
        <w:top w:val="none" w:sz="0" w:space="0" w:color="auto"/>
        <w:left w:val="none" w:sz="0" w:space="0" w:color="auto"/>
        <w:bottom w:val="none" w:sz="0" w:space="0" w:color="auto"/>
        <w:right w:val="none" w:sz="0" w:space="0" w:color="auto"/>
      </w:divBdr>
    </w:div>
    <w:div w:id="737897868">
      <w:bodyDiv w:val="1"/>
      <w:marLeft w:val="0"/>
      <w:marRight w:val="0"/>
      <w:marTop w:val="0"/>
      <w:marBottom w:val="0"/>
      <w:divBdr>
        <w:top w:val="none" w:sz="0" w:space="0" w:color="auto"/>
        <w:left w:val="none" w:sz="0" w:space="0" w:color="auto"/>
        <w:bottom w:val="none" w:sz="0" w:space="0" w:color="auto"/>
        <w:right w:val="none" w:sz="0" w:space="0" w:color="auto"/>
      </w:divBdr>
    </w:div>
    <w:div w:id="747263202">
      <w:bodyDiv w:val="1"/>
      <w:marLeft w:val="0"/>
      <w:marRight w:val="0"/>
      <w:marTop w:val="0"/>
      <w:marBottom w:val="0"/>
      <w:divBdr>
        <w:top w:val="none" w:sz="0" w:space="0" w:color="auto"/>
        <w:left w:val="none" w:sz="0" w:space="0" w:color="auto"/>
        <w:bottom w:val="none" w:sz="0" w:space="0" w:color="auto"/>
        <w:right w:val="none" w:sz="0" w:space="0" w:color="auto"/>
      </w:divBdr>
    </w:div>
    <w:div w:id="825171510">
      <w:bodyDiv w:val="1"/>
      <w:marLeft w:val="0"/>
      <w:marRight w:val="0"/>
      <w:marTop w:val="0"/>
      <w:marBottom w:val="0"/>
      <w:divBdr>
        <w:top w:val="none" w:sz="0" w:space="0" w:color="auto"/>
        <w:left w:val="none" w:sz="0" w:space="0" w:color="auto"/>
        <w:bottom w:val="none" w:sz="0" w:space="0" w:color="auto"/>
        <w:right w:val="none" w:sz="0" w:space="0" w:color="auto"/>
      </w:divBdr>
    </w:div>
    <w:div w:id="876237077">
      <w:bodyDiv w:val="1"/>
      <w:marLeft w:val="0"/>
      <w:marRight w:val="0"/>
      <w:marTop w:val="0"/>
      <w:marBottom w:val="0"/>
      <w:divBdr>
        <w:top w:val="none" w:sz="0" w:space="0" w:color="auto"/>
        <w:left w:val="none" w:sz="0" w:space="0" w:color="auto"/>
        <w:bottom w:val="none" w:sz="0" w:space="0" w:color="auto"/>
        <w:right w:val="none" w:sz="0" w:space="0" w:color="auto"/>
      </w:divBdr>
      <w:divsChild>
        <w:div w:id="26177812">
          <w:marLeft w:val="0"/>
          <w:marRight w:val="0"/>
          <w:marTop w:val="0"/>
          <w:marBottom w:val="0"/>
          <w:divBdr>
            <w:top w:val="none" w:sz="0" w:space="0" w:color="auto"/>
            <w:left w:val="none" w:sz="0" w:space="0" w:color="auto"/>
            <w:bottom w:val="none" w:sz="0" w:space="0" w:color="auto"/>
            <w:right w:val="none" w:sz="0" w:space="0" w:color="auto"/>
          </w:divBdr>
          <w:divsChild>
            <w:div w:id="1373074073">
              <w:marLeft w:val="0"/>
              <w:marRight w:val="0"/>
              <w:marTop w:val="0"/>
              <w:marBottom w:val="0"/>
              <w:divBdr>
                <w:top w:val="none" w:sz="0" w:space="0" w:color="auto"/>
                <w:left w:val="none" w:sz="0" w:space="0" w:color="auto"/>
                <w:bottom w:val="none" w:sz="0" w:space="0" w:color="auto"/>
                <w:right w:val="none" w:sz="0" w:space="0" w:color="auto"/>
              </w:divBdr>
              <w:divsChild>
                <w:div w:id="123924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36590">
      <w:bodyDiv w:val="1"/>
      <w:marLeft w:val="0"/>
      <w:marRight w:val="0"/>
      <w:marTop w:val="0"/>
      <w:marBottom w:val="0"/>
      <w:divBdr>
        <w:top w:val="none" w:sz="0" w:space="0" w:color="auto"/>
        <w:left w:val="none" w:sz="0" w:space="0" w:color="auto"/>
        <w:bottom w:val="none" w:sz="0" w:space="0" w:color="auto"/>
        <w:right w:val="none" w:sz="0" w:space="0" w:color="auto"/>
      </w:divBdr>
      <w:divsChild>
        <w:div w:id="928580599">
          <w:marLeft w:val="0"/>
          <w:marRight w:val="0"/>
          <w:marTop w:val="0"/>
          <w:marBottom w:val="0"/>
          <w:divBdr>
            <w:top w:val="none" w:sz="0" w:space="0" w:color="auto"/>
            <w:left w:val="none" w:sz="0" w:space="0" w:color="auto"/>
            <w:bottom w:val="none" w:sz="0" w:space="0" w:color="auto"/>
            <w:right w:val="none" w:sz="0" w:space="0" w:color="auto"/>
          </w:divBdr>
          <w:divsChild>
            <w:div w:id="1667439960">
              <w:marLeft w:val="0"/>
              <w:marRight w:val="0"/>
              <w:marTop w:val="0"/>
              <w:marBottom w:val="0"/>
              <w:divBdr>
                <w:top w:val="none" w:sz="0" w:space="0" w:color="auto"/>
                <w:left w:val="none" w:sz="0" w:space="0" w:color="auto"/>
                <w:bottom w:val="none" w:sz="0" w:space="0" w:color="auto"/>
                <w:right w:val="none" w:sz="0" w:space="0" w:color="auto"/>
              </w:divBdr>
              <w:divsChild>
                <w:div w:id="13097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3253">
      <w:bodyDiv w:val="1"/>
      <w:marLeft w:val="0"/>
      <w:marRight w:val="0"/>
      <w:marTop w:val="0"/>
      <w:marBottom w:val="0"/>
      <w:divBdr>
        <w:top w:val="none" w:sz="0" w:space="0" w:color="auto"/>
        <w:left w:val="none" w:sz="0" w:space="0" w:color="auto"/>
        <w:bottom w:val="none" w:sz="0" w:space="0" w:color="auto"/>
        <w:right w:val="none" w:sz="0" w:space="0" w:color="auto"/>
      </w:divBdr>
      <w:divsChild>
        <w:div w:id="692078068">
          <w:marLeft w:val="0"/>
          <w:marRight w:val="0"/>
          <w:marTop w:val="0"/>
          <w:marBottom w:val="0"/>
          <w:divBdr>
            <w:top w:val="none" w:sz="0" w:space="0" w:color="auto"/>
            <w:left w:val="none" w:sz="0" w:space="0" w:color="auto"/>
            <w:bottom w:val="none" w:sz="0" w:space="0" w:color="auto"/>
            <w:right w:val="none" w:sz="0" w:space="0" w:color="auto"/>
          </w:divBdr>
          <w:divsChild>
            <w:div w:id="905149249">
              <w:marLeft w:val="0"/>
              <w:marRight w:val="0"/>
              <w:marTop w:val="0"/>
              <w:marBottom w:val="0"/>
              <w:divBdr>
                <w:top w:val="none" w:sz="0" w:space="0" w:color="auto"/>
                <w:left w:val="none" w:sz="0" w:space="0" w:color="auto"/>
                <w:bottom w:val="none" w:sz="0" w:space="0" w:color="auto"/>
                <w:right w:val="none" w:sz="0" w:space="0" w:color="auto"/>
              </w:divBdr>
              <w:divsChild>
                <w:div w:id="17351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771422">
      <w:bodyDiv w:val="1"/>
      <w:marLeft w:val="0"/>
      <w:marRight w:val="0"/>
      <w:marTop w:val="0"/>
      <w:marBottom w:val="0"/>
      <w:divBdr>
        <w:top w:val="none" w:sz="0" w:space="0" w:color="auto"/>
        <w:left w:val="none" w:sz="0" w:space="0" w:color="auto"/>
        <w:bottom w:val="none" w:sz="0" w:space="0" w:color="auto"/>
        <w:right w:val="none" w:sz="0" w:space="0" w:color="auto"/>
      </w:divBdr>
    </w:div>
    <w:div w:id="1245803750">
      <w:bodyDiv w:val="1"/>
      <w:marLeft w:val="0"/>
      <w:marRight w:val="0"/>
      <w:marTop w:val="0"/>
      <w:marBottom w:val="0"/>
      <w:divBdr>
        <w:top w:val="none" w:sz="0" w:space="0" w:color="auto"/>
        <w:left w:val="none" w:sz="0" w:space="0" w:color="auto"/>
        <w:bottom w:val="none" w:sz="0" w:space="0" w:color="auto"/>
        <w:right w:val="none" w:sz="0" w:space="0" w:color="auto"/>
      </w:divBdr>
    </w:div>
    <w:div w:id="1497069132">
      <w:bodyDiv w:val="1"/>
      <w:marLeft w:val="0"/>
      <w:marRight w:val="0"/>
      <w:marTop w:val="0"/>
      <w:marBottom w:val="0"/>
      <w:divBdr>
        <w:top w:val="none" w:sz="0" w:space="0" w:color="auto"/>
        <w:left w:val="none" w:sz="0" w:space="0" w:color="auto"/>
        <w:bottom w:val="none" w:sz="0" w:space="0" w:color="auto"/>
        <w:right w:val="none" w:sz="0" w:space="0" w:color="auto"/>
      </w:divBdr>
      <w:divsChild>
        <w:div w:id="1068260407">
          <w:marLeft w:val="0"/>
          <w:marRight w:val="0"/>
          <w:marTop w:val="0"/>
          <w:marBottom w:val="0"/>
          <w:divBdr>
            <w:top w:val="none" w:sz="0" w:space="0" w:color="auto"/>
            <w:left w:val="none" w:sz="0" w:space="0" w:color="auto"/>
            <w:bottom w:val="none" w:sz="0" w:space="0" w:color="auto"/>
            <w:right w:val="none" w:sz="0" w:space="0" w:color="auto"/>
          </w:divBdr>
          <w:divsChild>
            <w:div w:id="1501500442">
              <w:marLeft w:val="0"/>
              <w:marRight w:val="0"/>
              <w:marTop w:val="0"/>
              <w:marBottom w:val="0"/>
              <w:divBdr>
                <w:top w:val="none" w:sz="0" w:space="0" w:color="auto"/>
                <w:left w:val="none" w:sz="0" w:space="0" w:color="auto"/>
                <w:bottom w:val="none" w:sz="0" w:space="0" w:color="auto"/>
                <w:right w:val="none" w:sz="0" w:space="0" w:color="auto"/>
              </w:divBdr>
              <w:divsChild>
                <w:div w:id="86227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77855">
      <w:bodyDiv w:val="1"/>
      <w:marLeft w:val="0"/>
      <w:marRight w:val="0"/>
      <w:marTop w:val="0"/>
      <w:marBottom w:val="0"/>
      <w:divBdr>
        <w:top w:val="none" w:sz="0" w:space="0" w:color="auto"/>
        <w:left w:val="none" w:sz="0" w:space="0" w:color="auto"/>
        <w:bottom w:val="none" w:sz="0" w:space="0" w:color="auto"/>
        <w:right w:val="none" w:sz="0" w:space="0" w:color="auto"/>
      </w:divBdr>
      <w:divsChild>
        <w:div w:id="525289980">
          <w:marLeft w:val="0"/>
          <w:marRight w:val="0"/>
          <w:marTop w:val="0"/>
          <w:marBottom w:val="0"/>
          <w:divBdr>
            <w:top w:val="none" w:sz="0" w:space="0" w:color="auto"/>
            <w:left w:val="none" w:sz="0" w:space="0" w:color="auto"/>
            <w:bottom w:val="none" w:sz="0" w:space="0" w:color="auto"/>
            <w:right w:val="none" w:sz="0" w:space="0" w:color="auto"/>
          </w:divBdr>
          <w:divsChild>
            <w:div w:id="984089808">
              <w:marLeft w:val="0"/>
              <w:marRight w:val="0"/>
              <w:marTop w:val="0"/>
              <w:marBottom w:val="0"/>
              <w:divBdr>
                <w:top w:val="none" w:sz="0" w:space="0" w:color="auto"/>
                <w:left w:val="none" w:sz="0" w:space="0" w:color="auto"/>
                <w:bottom w:val="none" w:sz="0" w:space="0" w:color="auto"/>
                <w:right w:val="none" w:sz="0" w:space="0" w:color="auto"/>
              </w:divBdr>
              <w:divsChild>
                <w:div w:id="17951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58783">
      <w:bodyDiv w:val="1"/>
      <w:marLeft w:val="0"/>
      <w:marRight w:val="0"/>
      <w:marTop w:val="0"/>
      <w:marBottom w:val="0"/>
      <w:divBdr>
        <w:top w:val="none" w:sz="0" w:space="0" w:color="auto"/>
        <w:left w:val="none" w:sz="0" w:space="0" w:color="auto"/>
        <w:bottom w:val="none" w:sz="0" w:space="0" w:color="auto"/>
        <w:right w:val="none" w:sz="0" w:space="0" w:color="auto"/>
      </w:divBdr>
      <w:divsChild>
        <w:div w:id="2009558336">
          <w:marLeft w:val="0"/>
          <w:marRight w:val="0"/>
          <w:marTop w:val="0"/>
          <w:marBottom w:val="0"/>
          <w:divBdr>
            <w:top w:val="none" w:sz="0" w:space="0" w:color="auto"/>
            <w:left w:val="none" w:sz="0" w:space="0" w:color="auto"/>
            <w:bottom w:val="none" w:sz="0" w:space="0" w:color="auto"/>
            <w:right w:val="none" w:sz="0" w:space="0" w:color="auto"/>
          </w:divBdr>
          <w:divsChild>
            <w:div w:id="1005205534">
              <w:marLeft w:val="0"/>
              <w:marRight w:val="0"/>
              <w:marTop w:val="0"/>
              <w:marBottom w:val="0"/>
              <w:divBdr>
                <w:top w:val="none" w:sz="0" w:space="0" w:color="auto"/>
                <w:left w:val="none" w:sz="0" w:space="0" w:color="auto"/>
                <w:bottom w:val="none" w:sz="0" w:space="0" w:color="auto"/>
                <w:right w:val="none" w:sz="0" w:space="0" w:color="auto"/>
              </w:divBdr>
              <w:divsChild>
                <w:div w:id="8063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9204">
      <w:bodyDiv w:val="1"/>
      <w:marLeft w:val="0"/>
      <w:marRight w:val="0"/>
      <w:marTop w:val="0"/>
      <w:marBottom w:val="0"/>
      <w:divBdr>
        <w:top w:val="none" w:sz="0" w:space="0" w:color="auto"/>
        <w:left w:val="none" w:sz="0" w:space="0" w:color="auto"/>
        <w:bottom w:val="none" w:sz="0" w:space="0" w:color="auto"/>
        <w:right w:val="none" w:sz="0" w:space="0" w:color="auto"/>
      </w:divBdr>
    </w:div>
    <w:div w:id="1784376366">
      <w:bodyDiv w:val="1"/>
      <w:marLeft w:val="0"/>
      <w:marRight w:val="0"/>
      <w:marTop w:val="0"/>
      <w:marBottom w:val="0"/>
      <w:divBdr>
        <w:top w:val="none" w:sz="0" w:space="0" w:color="auto"/>
        <w:left w:val="none" w:sz="0" w:space="0" w:color="auto"/>
        <w:bottom w:val="none" w:sz="0" w:space="0" w:color="auto"/>
        <w:right w:val="none" w:sz="0" w:space="0" w:color="auto"/>
      </w:divBdr>
      <w:divsChild>
        <w:div w:id="567768739">
          <w:marLeft w:val="0"/>
          <w:marRight w:val="0"/>
          <w:marTop w:val="0"/>
          <w:marBottom w:val="0"/>
          <w:divBdr>
            <w:top w:val="none" w:sz="0" w:space="0" w:color="auto"/>
            <w:left w:val="none" w:sz="0" w:space="0" w:color="auto"/>
            <w:bottom w:val="none" w:sz="0" w:space="0" w:color="auto"/>
            <w:right w:val="none" w:sz="0" w:space="0" w:color="auto"/>
          </w:divBdr>
          <w:divsChild>
            <w:div w:id="1736930209">
              <w:marLeft w:val="0"/>
              <w:marRight w:val="0"/>
              <w:marTop w:val="0"/>
              <w:marBottom w:val="0"/>
              <w:divBdr>
                <w:top w:val="none" w:sz="0" w:space="0" w:color="auto"/>
                <w:left w:val="none" w:sz="0" w:space="0" w:color="auto"/>
                <w:bottom w:val="none" w:sz="0" w:space="0" w:color="auto"/>
                <w:right w:val="none" w:sz="0" w:space="0" w:color="auto"/>
              </w:divBdr>
              <w:divsChild>
                <w:div w:id="27174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21616">
      <w:bodyDiv w:val="1"/>
      <w:marLeft w:val="0"/>
      <w:marRight w:val="0"/>
      <w:marTop w:val="0"/>
      <w:marBottom w:val="0"/>
      <w:divBdr>
        <w:top w:val="none" w:sz="0" w:space="0" w:color="auto"/>
        <w:left w:val="none" w:sz="0" w:space="0" w:color="auto"/>
        <w:bottom w:val="none" w:sz="0" w:space="0" w:color="auto"/>
        <w:right w:val="none" w:sz="0" w:space="0" w:color="auto"/>
      </w:divBdr>
    </w:div>
    <w:div w:id="2027634986">
      <w:bodyDiv w:val="1"/>
      <w:marLeft w:val="0"/>
      <w:marRight w:val="0"/>
      <w:marTop w:val="0"/>
      <w:marBottom w:val="0"/>
      <w:divBdr>
        <w:top w:val="none" w:sz="0" w:space="0" w:color="auto"/>
        <w:left w:val="none" w:sz="0" w:space="0" w:color="auto"/>
        <w:bottom w:val="none" w:sz="0" w:space="0" w:color="auto"/>
        <w:right w:val="none" w:sz="0" w:space="0" w:color="auto"/>
      </w:divBdr>
      <w:divsChild>
        <w:div w:id="2047218035">
          <w:marLeft w:val="0"/>
          <w:marRight w:val="0"/>
          <w:marTop w:val="0"/>
          <w:marBottom w:val="720"/>
          <w:divBdr>
            <w:top w:val="none" w:sz="0" w:space="0" w:color="auto"/>
            <w:left w:val="none" w:sz="0" w:space="0" w:color="auto"/>
            <w:bottom w:val="none" w:sz="0" w:space="0" w:color="auto"/>
            <w:right w:val="none" w:sz="0" w:space="0" w:color="auto"/>
          </w:divBdr>
          <w:divsChild>
            <w:div w:id="8002711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102529214">
      <w:bodyDiv w:val="1"/>
      <w:marLeft w:val="0"/>
      <w:marRight w:val="0"/>
      <w:marTop w:val="0"/>
      <w:marBottom w:val="0"/>
      <w:divBdr>
        <w:top w:val="none" w:sz="0" w:space="0" w:color="auto"/>
        <w:left w:val="none" w:sz="0" w:space="0" w:color="auto"/>
        <w:bottom w:val="none" w:sz="0" w:space="0" w:color="auto"/>
        <w:right w:val="none" w:sz="0" w:space="0" w:color="auto"/>
      </w:divBdr>
      <w:divsChild>
        <w:div w:id="346642732">
          <w:marLeft w:val="0"/>
          <w:marRight w:val="0"/>
          <w:marTop w:val="0"/>
          <w:marBottom w:val="0"/>
          <w:divBdr>
            <w:top w:val="none" w:sz="0" w:space="0" w:color="auto"/>
            <w:left w:val="none" w:sz="0" w:space="0" w:color="auto"/>
            <w:bottom w:val="none" w:sz="0" w:space="0" w:color="auto"/>
            <w:right w:val="none" w:sz="0" w:space="0" w:color="auto"/>
          </w:divBdr>
          <w:divsChild>
            <w:div w:id="23797783">
              <w:marLeft w:val="0"/>
              <w:marRight w:val="0"/>
              <w:marTop w:val="0"/>
              <w:marBottom w:val="0"/>
              <w:divBdr>
                <w:top w:val="none" w:sz="0" w:space="0" w:color="auto"/>
                <w:left w:val="none" w:sz="0" w:space="0" w:color="auto"/>
                <w:bottom w:val="none" w:sz="0" w:space="0" w:color="auto"/>
                <w:right w:val="none" w:sz="0" w:space="0" w:color="auto"/>
              </w:divBdr>
              <w:divsChild>
                <w:div w:id="6241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9-0001-4353-0314" TargetMode="External"/><Relationship Id="rId13"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hyperlink" Target="mailto:m.a.z.al-balushi@rgu.ac.uk" TargetMode="Externa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z.al-balushi@rgu.ac.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gmaawaly@gmail.com" TargetMode="External"/><Relationship Id="rId4" Type="http://schemas.openxmlformats.org/officeDocument/2006/relationships/webSettings" Target="webSettings.xml"/><Relationship Id="rId9" Type="http://schemas.openxmlformats.org/officeDocument/2006/relationships/hyperlink" Target="mailto:l.neshat-mokadem1@rgu.ac.uk"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Percentage</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1-F93B-6E40-AADF-323EC53C3835}"/>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3-F93B-6E40-AADF-323EC53C3835}"/>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5-F93B-6E40-AADF-323EC53C3835}"/>
              </c:ext>
            </c:extLst>
          </c:dPt>
          <c:dLbls>
            <c:dLbl>
              <c:idx val="0"/>
              <c:layout>
                <c:manualLayout>
                  <c:x val="-0.18385090602339391"/>
                  <c:y val="-0.1214303000281749"/>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15:layout>
                    <c:manualLayout>
                      <c:w val="0.11671767843535687"/>
                      <c:h val="9.5949636730191329E-2"/>
                    </c:manualLayout>
                  </c15:layout>
                </c:ext>
                <c:ext xmlns:c16="http://schemas.microsoft.com/office/drawing/2014/chart" uri="{C3380CC4-5D6E-409C-BE32-E72D297353CC}">
                  <c16:uniqueId val="{00000001-F93B-6E40-AADF-323EC53C3835}"/>
                </c:ext>
              </c:extLst>
            </c:dLbl>
            <c:dLbl>
              <c:idx val="1"/>
              <c:layout>
                <c:manualLayout>
                  <c:x val="0.10834954643545093"/>
                  <c:y val="6.0170462157363325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93B-6E40-AADF-323EC53C3835}"/>
                </c:ext>
              </c:extLst>
            </c:dLbl>
            <c:dLbl>
              <c:idx val="2"/>
              <c:layout>
                <c:manualLayout>
                  <c:x val="4.2140547882158506E-2"/>
                  <c:y val="0.11122382168080895"/>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93B-6E40-AADF-323EC53C383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Sheet1!$A$2:$A$4</c:f>
              <c:strCache>
                <c:ptCount val="3"/>
                <c:pt idx="0">
                  <c:v>Good adherance </c:v>
                </c:pt>
                <c:pt idx="1">
                  <c:v>Modrate adherance </c:v>
                </c:pt>
                <c:pt idx="2">
                  <c:v>Poor adherance </c:v>
                </c:pt>
              </c:strCache>
            </c:strRef>
          </c:cat>
          <c:val>
            <c:numRef>
              <c:f>Sheet1!$B$2:$B$4</c:f>
              <c:numCache>
                <c:formatCode>0.00%</c:formatCode>
                <c:ptCount val="3"/>
                <c:pt idx="0" formatCode="0%">
                  <c:v>0.71</c:v>
                </c:pt>
                <c:pt idx="1">
                  <c:v>0.224</c:v>
                </c:pt>
                <c:pt idx="2">
                  <c:v>6.6000000000000003E-2</c:v>
                </c:pt>
              </c:numCache>
            </c:numRef>
          </c:val>
          <c:extLst>
            <c:ext xmlns:c16="http://schemas.microsoft.com/office/drawing/2014/chart" uri="{C3380CC4-5D6E-409C-BE32-E72D297353CC}">
              <c16:uniqueId val="{00000006-F93B-6E40-AADF-323EC53C3835}"/>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14292478473598"/>
          <c:y val="4.7619047619047616E-2"/>
          <c:w val="0.85754081686337091"/>
          <c:h val="0.72986758798007412"/>
        </c:manualLayout>
      </c:layout>
      <c:barChart>
        <c:barDir val="col"/>
        <c:grouping val="clustered"/>
        <c:varyColors val="0"/>
        <c:ser>
          <c:idx val="0"/>
          <c:order val="0"/>
          <c:tx>
            <c:strRef>
              <c:f>Sheet1!$B$1</c:f>
              <c:strCache>
                <c:ptCount val="1"/>
                <c:pt idx="0">
                  <c:v>100% of target dose</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BBs</c:v>
                </c:pt>
                <c:pt idx="1">
                  <c:v>ACEI/ARB/ARNI</c:v>
                </c:pt>
                <c:pt idx="2">
                  <c:v>MRA</c:v>
                </c:pt>
                <c:pt idx="3">
                  <c:v> ivabradine </c:v>
                </c:pt>
              </c:strCache>
            </c:strRef>
          </c:cat>
          <c:val>
            <c:numRef>
              <c:f>Sheet1!$B$2:$B$5</c:f>
              <c:numCache>
                <c:formatCode>0%</c:formatCode>
                <c:ptCount val="4"/>
                <c:pt idx="0">
                  <c:v>0.33</c:v>
                </c:pt>
                <c:pt idx="1">
                  <c:v>0.24</c:v>
                </c:pt>
                <c:pt idx="2">
                  <c:v>0.01</c:v>
                </c:pt>
                <c:pt idx="3">
                  <c:v>0</c:v>
                </c:pt>
              </c:numCache>
            </c:numRef>
          </c:val>
          <c:extLst>
            <c:ext xmlns:c16="http://schemas.microsoft.com/office/drawing/2014/chart" uri="{C3380CC4-5D6E-409C-BE32-E72D297353CC}">
              <c16:uniqueId val="{00000000-789D-7348-85C9-B9C02C564E52}"/>
            </c:ext>
          </c:extLst>
        </c:ser>
        <c:ser>
          <c:idx val="1"/>
          <c:order val="1"/>
          <c:tx>
            <c:strRef>
              <c:f>Sheet1!$C$1</c:f>
              <c:strCache>
                <c:ptCount val="1"/>
                <c:pt idx="0">
                  <c:v>≥50% of target dose</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BBs</c:v>
                </c:pt>
                <c:pt idx="1">
                  <c:v>ACEI/ARB/ARNI</c:v>
                </c:pt>
                <c:pt idx="2">
                  <c:v>MRA</c:v>
                </c:pt>
                <c:pt idx="3">
                  <c:v> ivabradine </c:v>
                </c:pt>
              </c:strCache>
            </c:strRef>
          </c:cat>
          <c:val>
            <c:numRef>
              <c:f>Sheet1!$C$2:$C$5</c:f>
              <c:numCache>
                <c:formatCode>0%</c:formatCode>
                <c:ptCount val="4"/>
                <c:pt idx="0">
                  <c:v>0.46</c:v>
                </c:pt>
                <c:pt idx="1">
                  <c:v>0.41</c:v>
                </c:pt>
                <c:pt idx="2">
                  <c:v>0.95</c:v>
                </c:pt>
                <c:pt idx="3">
                  <c:v>1</c:v>
                </c:pt>
              </c:numCache>
            </c:numRef>
          </c:val>
          <c:extLst>
            <c:ext xmlns:c16="http://schemas.microsoft.com/office/drawing/2014/chart" uri="{C3380CC4-5D6E-409C-BE32-E72D297353CC}">
              <c16:uniqueId val="{00000001-789D-7348-85C9-B9C02C564E52}"/>
            </c:ext>
          </c:extLst>
        </c:ser>
        <c:ser>
          <c:idx val="2"/>
          <c:order val="2"/>
          <c:tx>
            <c:strRef>
              <c:f>Sheet1!$D$1</c:f>
              <c:strCache>
                <c:ptCount val="1"/>
                <c:pt idx="0">
                  <c:v>&lt;50% of target dose2</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BBs</c:v>
                </c:pt>
                <c:pt idx="1">
                  <c:v>ACEI/ARB/ARNI</c:v>
                </c:pt>
                <c:pt idx="2">
                  <c:v>MRA</c:v>
                </c:pt>
                <c:pt idx="3">
                  <c:v> ivabradine </c:v>
                </c:pt>
              </c:strCache>
            </c:strRef>
          </c:cat>
          <c:val>
            <c:numRef>
              <c:f>Sheet1!$D$2:$D$5</c:f>
              <c:numCache>
                <c:formatCode>0%</c:formatCode>
                <c:ptCount val="4"/>
                <c:pt idx="0">
                  <c:v>0.21</c:v>
                </c:pt>
                <c:pt idx="1">
                  <c:v>0.35</c:v>
                </c:pt>
                <c:pt idx="2">
                  <c:v>0.04</c:v>
                </c:pt>
                <c:pt idx="3">
                  <c:v>0</c:v>
                </c:pt>
              </c:numCache>
            </c:numRef>
          </c:val>
          <c:extLst>
            <c:ext xmlns:c16="http://schemas.microsoft.com/office/drawing/2014/chart" uri="{C3380CC4-5D6E-409C-BE32-E72D297353CC}">
              <c16:uniqueId val="{00000002-789D-7348-85C9-B9C02C564E52}"/>
            </c:ext>
          </c:extLst>
        </c:ser>
        <c:dLbls>
          <c:dLblPos val="outEnd"/>
          <c:showLegendKey val="0"/>
          <c:showVal val="1"/>
          <c:showCatName val="0"/>
          <c:showSerName val="0"/>
          <c:showPercent val="0"/>
          <c:showBubbleSize val="0"/>
        </c:dLbls>
        <c:gapWidth val="100"/>
        <c:overlap val="-24"/>
        <c:axId val="1240876816"/>
        <c:axId val="1294359408"/>
      </c:barChart>
      <c:catAx>
        <c:axId val="124087681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94359408"/>
        <c:crosses val="autoZero"/>
        <c:auto val="1"/>
        <c:lblAlgn val="ctr"/>
        <c:lblOffset val="100"/>
        <c:noMultiLvlLbl val="0"/>
      </c:catAx>
      <c:valAx>
        <c:axId val="129435940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0876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18</Pages>
  <Words>5074</Words>
  <Characters>28923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BASMALAH ABDULLAH ZAYID  AL BALUSHI</dc:creator>
  <cp:keywords/>
  <dc:description/>
  <cp:lastModifiedBy>BASMALAH ABDULLAH ZAYID  AL BALUSHI</cp:lastModifiedBy>
  <cp:revision>26</cp:revision>
  <dcterms:created xsi:type="dcterms:W3CDTF">2024-07-13T15:27:00Z</dcterms:created>
  <dcterms:modified xsi:type="dcterms:W3CDTF">2025-02-11T15:51:00Z</dcterms:modified>
</cp:coreProperties>
</file>