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FEA289" w14:textId="77777777" w:rsidR="00907DC0" w:rsidRDefault="00000000">
      <w:pPr>
        <w:pStyle w:val="Subtitle"/>
        <w:spacing w:beforeLines="100" w:before="312"/>
        <w:rPr>
          <w:rFonts w:ascii="Times New Roman" w:eastAsia="Times New Roman" w:hAnsi="Times New Roman" w:cs="Times New Roman"/>
        </w:rPr>
      </w:pPr>
      <w:r>
        <w:rPr>
          <w:rFonts w:ascii="Times New Roman" w:eastAsia="Times New Roman" w:hAnsi="Times New Roman" w:cs="Times New Roman"/>
        </w:rPr>
        <w:t>The Impact of Personality Traits on Panic-Induced Emotional Contagion and Phototaxis Behavior: Physiological and EEG Analysis</w:t>
      </w:r>
    </w:p>
    <w:p w14:paraId="79AE20B5" w14:textId="77777777" w:rsidR="00907DC0" w:rsidRDefault="00000000">
      <w:pPr>
        <w:spacing w:beforeLines="50" w:before="156" w:afterLines="50" w:after="156" w:line="340" w:lineRule="exact"/>
        <w:jc w:val="center"/>
        <w:rPr>
          <w:rFonts w:ascii="Times New Roman" w:eastAsia="FangSong_GB2312" w:hAnsi="Times New Roman" w:cs="Times New Roman"/>
          <w:sz w:val="28"/>
          <w:szCs w:val="28"/>
        </w:rPr>
      </w:pPr>
      <w:r>
        <w:rPr>
          <w:rFonts w:ascii="Times New Roman" w:eastAsia="Times New Roman" w:hAnsi="Times New Roman" w:cs="Times New Roman"/>
          <w:sz w:val="28"/>
          <w:szCs w:val="28"/>
        </w:rPr>
        <w:t>Rui Zhang</w:t>
      </w:r>
      <w:r>
        <w:rPr>
          <w:rFonts w:ascii="Times New Roman" w:eastAsia="Times New Roman" w:hAnsi="Times New Roman" w:cs="Times New Roman"/>
          <w:sz w:val="28"/>
          <w:szCs w:val="28"/>
          <w:vertAlign w:val="superscript"/>
        </w:rPr>
        <w:t>1</w:t>
      </w:r>
      <w:r>
        <w:rPr>
          <w:rFonts w:ascii="Times New Roman" w:eastAsia="Times New Roman" w:hAnsi="Times New Roman" w:cs="Times New Roman"/>
          <w:sz w:val="28"/>
          <w:szCs w:val="28"/>
        </w:rPr>
        <w:t>, Weidong</w:t>
      </w:r>
      <w:r>
        <w:rPr>
          <w:rFonts w:ascii="Times New Roman" w:eastAsia="SimSun" w:hAnsi="Times New Roman" w:cs="Times New Roman"/>
          <w:sz w:val="28"/>
          <w:szCs w:val="28"/>
        </w:rPr>
        <w:t xml:space="preserve"> </w:t>
      </w:r>
      <w:r>
        <w:rPr>
          <w:rFonts w:ascii="Times New Roman" w:eastAsia="Times New Roman" w:hAnsi="Times New Roman" w:cs="Times New Roman"/>
          <w:sz w:val="28"/>
          <w:szCs w:val="28"/>
        </w:rPr>
        <w:t xml:space="preserve">Yan </w:t>
      </w:r>
      <w:r>
        <w:rPr>
          <w:rFonts w:ascii="Times New Roman" w:eastAsia="Times New Roman" w:hAnsi="Times New Roman" w:cs="Times New Roman"/>
          <w:sz w:val="28"/>
          <w:szCs w:val="28"/>
          <w:vertAlign w:val="superscript"/>
        </w:rPr>
        <w:t>1</w:t>
      </w:r>
      <w:bookmarkStart w:id="0" w:name="OLE_LINK23"/>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Jiaxi</w:t>
      </w:r>
      <w:bookmarkEnd w:id="0"/>
      <w:proofErr w:type="spellEnd"/>
      <w:r>
        <w:rPr>
          <w:rFonts w:ascii="Times New Roman" w:eastAsia="Times New Roman" w:hAnsi="Times New Roman" w:cs="Times New Roman"/>
          <w:sz w:val="28"/>
          <w:szCs w:val="28"/>
        </w:rPr>
        <w:t xml:space="preserve"> Liu</w:t>
      </w:r>
      <w:r>
        <w:rPr>
          <w:rFonts w:ascii="Times New Roman" w:eastAsia="Times New Roman" w:hAnsi="Times New Roman" w:cs="Times New Roman"/>
          <w:sz w:val="28"/>
          <w:szCs w:val="28"/>
          <w:vertAlign w:val="superscript"/>
        </w:rPr>
        <w:t>1*</w:t>
      </w: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Qing</w:t>
      </w:r>
      <w:r>
        <w:rPr>
          <w:rFonts w:ascii="Times New Roman" w:eastAsia="SimSun" w:hAnsi="Times New Roman" w:cs="Times New Roman"/>
          <w:sz w:val="28"/>
          <w:szCs w:val="28"/>
        </w:rPr>
        <w:t>y</w:t>
      </w:r>
      <w:r>
        <w:rPr>
          <w:rFonts w:ascii="Times New Roman" w:eastAsia="Times New Roman" w:hAnsi="Times New Roman" w:cs="Times New Roman"/>
          <w:sz w:val="28"/>
          <w:szCs w:val="28"/>
        </w:rPr>
        <w:t>an</w:t>
      </w:r>
      <w:proofErr w:type="spellEnd"/>
      <w:r>
        <w:rPr>
          <w:rFonts w:ascii="Times New Roman" w:eastAsia="SimSun" w:hAnsi="Times New Roman" w:cs="Times New Roman"/>
          <w:sz w:val="28"/>
          <w:szCs w:val="28"/>
        </w:rPr>
        <w:t xml:space="preserve"> </w:t>
      </w:r>
      <w:r>
        <w:rPr>
          <w:rFonts w:ascii="Times New Roman" w:eastAsia="Times New Roman" w:hAnsi="Times New Roman" w:cs="Times New Roman"/>
          <w:sz w:val="28"/>
          <w:szCs w:val="28"/>
        </w:rPr>
        <w:t>Z</w:t>
      </w:r>
      <w:r>
        <w:rPr>
          <w:rFonts w:ascii="Times New Roman" w:eastAsia="SimSun" w:hAnsi="Times New Roman" w:cs="Times New Roman"/>
          <w:sz w:val="28"/>
          <w:szCs w:val="28"/>
        </w:rPr>
        <w:t>hao</w:t>
      </w:r>
      <w:r>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vertAlign w:val="superscript"/>
        </w:rPr>
        <w:t>2</w:t>
      </w:r>
    </w:p>
    <w:p w14:paraId="2829AFC6" w14:textId="77777777" w:rsidR="00907DC0" w:rsidRDefault="00000000">
      <w:pPr>
        <w:pStyle w:val="a"/>
        <w:numPr>
          <w:ilvl w:val="0"/>
          <w:numId w:val="1"/>
        </w:numPr>
        <w:spacing w:beforeLines="0" w:before="0" w:afterLines="0" w:after="0" w:line="240" w:lineRule="exact"/>
        <w:rPr>
          <w:rFonts w:eastAsia="Times New Roman"/>
          <w:sz w:val="20"/>
          <w:szCs w:val="22"/>
        </w:rPr>
      </w:pPr>
      <w:r>
        <w:rPr>
          <w:rFonts w:eastAsia="Times New Roman"/>
          <w:sz w:val="20"/>
          <w:szCs w:val="22"/>
        </w:rPr>
        <w:t xml:space="preserve">School of Civil Engineering, Shenyang </w:t>
      </w:r>
      <w:proofErr w:type="spellStart"/>
      <w:r>
        <w:rPr>
          <w:rFonts w:eastAsia="Times New Roman"/>
          <w:sz w:val="20"/>
          <w:szCs w:val="22"/>
        </w:rPr>
        <w:t>Jianzhu</w:t>
      </w:r>
      <w:proofErr w:type="spellEnd"/>
      <w:r>
        <w:rPr>
          <w:rFonts w:eastAsia="Times New Roman"/>
          <w:sz w:val="20"/>
          <w:szCs w:val="22"/>
        </w:rPr>
        <w:t xml:space="preserve"> University, Shenyang 110168, </w:t>
      </w:r>
      <w:proofErr w:type="gramStart"/>
      <w:r>
        <w:rPr>
          <w:rFonts w:eastAsia="Times New Roman"/>
          <w:sz w:val="20"/>
          <w:szCs w:val="22"/>
        </w:rPr>
        <w:t>China</w:t>
      </w:r>
      <w:r>
        <w:rPr>
          <w:rFonts w:eastAsiaTheme="minorEastAsia"/>
          <w:sz w:val="20"/>
          <w:szCs w:val="22"/>
        </w:rPr>
        <w:t>;</w:t>
      </w:r>
      <w:proofErr w:type="gramEnd"/>
    </w:p>
    <w:p w14:paraId="624907AF" w14:textId="77777777" w:rsidR="00907DC0" w:rsidRDefault="00000000">
      <w:pPr>
        <w:pStyle w:val="a"/>
        <w:spacing w:beforeLines="0" w:before="0" w:afterLines="0" w:after="0" w:line="240" w:lineRule="exact"/>
        <w:rPr>
          <w:rFonts w:eastAsia="Times New Roman"/>
          <w:sz w:val="20"/>
          <w:szCs w:val="22"/>
        </w:rPr>
      </w:pPr>
      <w:r>
        <w:rPr>
          <w:rFonts w:eastAsiaTheme="minorEastAsia"/>
          <w:sz w:val="20"/>
          <w:szCs w:val="22"/>
        </w:rPr>
        <w:t xml:space="preserve">2. No. 1 </w:t>
      </w:r>
      <w:r>
        <w:rPr>
          <w:rFonts w:eastAsiaTheme="minorEastAsia" w:hint="eastAsia"/>
          <w:sz w:val="20"/>
          <w:szCs w:val="22"/>
        </w:rPr>
        <w:t>C</w:t>
      </w:r>
      <w:r>
        <w:rPr>
          <w:rFonts w:eastAsiaTheme="minorEastAsia"/>
          <w:sz w:val="20"/>
          <w:szCs w:val="22"/>
        </w:rPr>
        <w:t xml:space="preserve">onstruction Co., LTD., </w:t>
      </w:r>
      <w:bookmarkStart w:id="1" w:name="OLE_LINK20"/>
      <w:r>
        <w:rPr>
          <w:rFonts w:eastAsiaTheme="minorEastAsia"/>
          <w:sz w:val="20"/>
          <w:szCs w:val="22"/>
        </w:rPr>
        <w:t>China Construction Eighth Bureau</w:t>
      </w:r>
      <w:bookmarkEnd w:id="1"/>
      <w:r>
        <w:rPr>
          <w:rFonts w:eastAsia="Times New Roman"/>
          <w:sz w:val="20"/>
          <w:szCs w:val="22"/>
        </w:rPr>
        <w:t xml:space="preserve">, Jinan 250100, </w:t>
      </w:r>
      <w:r>
        <w:rPr>
          <w:rFonts w:eastAsiaTheme="minorEastAsia"/>
          <w:sz w:val="20"/>
          <w:szCs w:val="22"/>
        </w:rPr>
        <w:t>Shandong</w:t>
      </w:r>
      <w:r>
        <w:rPr>
          <w:rFonts w:eastAsia="Times New Roman"/>
          <w:sz w:val="20"/>
          <w:szCs w:val="22"/>
        </w:rPr>
        <w:t>, China</w:t>
      </w:r>
    </w:p>
    <w:p w14:paraId="26B8ACBA" w14:textId="77777777" w:rsidR="00907DC0" w:rsidRDefault="00000000">
      <w:pPr>
        <w:pStyle w:val="a"/>
        <w:spacing w:beforeLines="0" w:before="0" w:afterLines="0" w:after="0" w:line="240" w:lineRule="exact"/>
        <w:rPr>
          <w:rFonts w:eastAsia="KaiTi_GB2312"/>
          <w:kern w:val="2"/>
          <w:sz w:val="32"/>
          <w:szCs w:val="24"/>
        </w:rPr>
      </w:pPr>
      <w:r>
        <w:rPr>
          <w:rFonts w:eastAsia="Times New Roman"/>
          <w:sz w:val="20"/>
          <w:szCs w:val="22"/>
        </w:rPr>
        <w:t xml:space="preserve">Corresponding author: </w:t>
      </w:r>
      <w:proofErr w:type="spellStart"/>
      <w:r>
        <w:rPr>
          <w:rFonts w:eastAsia="Times New Roman"/>
          <w:sz w:val="20"/>
          <w:szCs w:val="22"/>
        </w:rPr>
        <w:t>Jiaxi</w:t>
      </w:r>
      <w:proofErr w:type="spellEnd"/>
      <w:r>
        <w:rPr>
          <w:rFonts w:eastAsia="Times New Roman"/>
          <w:sz w:val="20"/>
          <w:szCs w:val="22"/>
        </w:rPr>
        <w:t xml:space="preserve"> Liu, Shenyang </w:t>
      </w:r>
      <w:proofErr w:type="spellStart"/>
      <w:r>
        <w:rPr>
          <w:rFonts w:eastAsia="Times New Roman"/>
          <w:sz w:val="20"/>
          <w:szCs w:val="22"/>
        </w:rPr>
        <w:t>Jianzhu</w:t>
      </w:r>
      <w:proofErr w:type="spellEnd"/>
      <w:r>
        <w:rPr>
          <w:rFonts w:eastAsia="Times New Roman"/>
          <w:sz w:val="20"/>
          <w:szCs w:val="22"/>
        </w:rPr>
        <w:t xml:space="preserve"> University, Shenyang 110000, China. </w:t>
      </w:r>
      <w:proofErr w:type="gramStart"/>
      <w:r>
        <w:rPr>
          <w:rFonts w:eastAsia="Times New Roman"/>
          <w:sz w:val="20"/>
          <w:szCs w:val="22"/>
        </w:rPr>
        <w:t>Email:2265327140@qq.com</w:t>
      </w:r>
      <w:proofErr w:type="gramEnd"/>
    </w:p>
    <w:p w14:paraId="15C7217B" w14:textId="77777777" w:rsidR="00907DC0" w:rsidRDefault="00000000">
      <w:pPr>
        <w:widowControl/>
        <w:spacing w:beforeLines="100" w:before="312" w:line="280" w:lineRule="exact"/>
        <w:rPr>
          <w:rFonts w:ascii="Times New Roman" w:eastAsia="KaiTi_GB2312" w:hAnsi="Times New Roman" w:cs="Times New Roman"/>
          <w:sz w:val="20"/>
          <w:szCs w:val="20"/>
        </w:rPr>
      </w:pPr>
      <w:bookmarkStart w:id="2" w:name="OLE_LINK55"/>
      <w:r>
        <w:rPr>
          <w:rFonts w:ascii="Times New Roman" w:eastAsia="Times New Roman" w:hAnsi="Times New Roman" w:cs="Times New Roman"/>
          <w:b/>
          <w:bCs/>
          <w:sz w:val="20"/>
          <w:szCs w:val="20"/>
        </w:rPr>
        <w:t>Abstract</w:t>
      </w:r>
      <w:r>
        <w:rPr>
          <w:rFonts w:ascii="Times New Roman" w:eastAsia="Times New Roman" w:hAnsi="Times New Roman" w:cs="Times New Roman"/>
          <w:sz w:val="20"/>
          <w:szCs w:val="20"/>
        </w:rPr>
        <w:t>: Panic responses often lead to irrational behaviors. This study examines the influence of personality traits on panic-induced emotional contagion and phototaxis behavior, combining physiological measurements (</w:t>
      </w:r>
      <w:r>
        <w:rPr>
          <w:rFonts w:ascii="Times New Roman" w:eastAsia="SimSun" w:hAnsi="Times New Roman" w:cs="Times New Roman"/>
          <w:sz w:val="20"/>
          <w:szCs w:val="20"/>
        </w:rPr>
        <w:t>S</w:t>
      </w:r>
      <w:r>
        <w:rPr>
          <w:rFonts w:ascii="Times New Roman" w:eastAsia="Times New Roman" w:hAnsi="Times New Roman" w:cs="Times New Roman"/>
          <w:sz w:val="20"/>
          <w:szCs w:val="20"/>
        </w:rPr>
        <w:t xml:space="preserve">kin </w:t>
      </w:r>
      <w:r>
        <w:rPr>
          <w:rFonts w:ascii="Times New Roman" w:eastAsia="SimSun" w:hAnsi="Times New Roman" w:cs="Times New Roman"/>
          <w:sz w:val="20"/>
          <w:szCs w:val="20"/>
        </w:rPr>
        <w:t>C</w:t>
      </w:r>
      <w:r>
        <w:rPr>
          <w:rFonts w:ascii="Times New Roman" w:eastAsia="Times New Roman" w:hAnsi="Times New Roman" w:cs="Times New Roman"/>
          <w:sz w:val="20"/>
          <w:szCs w:val="20"/>
        </w:rPr>
        <w:t xml:space="preserve">onductance </w:t>
      </w:r>
      <w:r>
        <w:rPr>
          <w:rFonts w:ascii="Times New Roman" w:eastAsia="SimSun" w:hAnsi="Times New Roman" w:cs="Times New Roman"/>
          <w:sz w:val="20"/>
          <w:szCs w:val="20"/>
        </w:rPr>
        <w:t>L</w:t>
      </w:r>
      <w:r>
        <w:rPr>
          <w:rFonts w:ascii="Times New Roman" w:eastAsia="Times New Roman" w:hAnsi="Times New Roman" w:cs="Times New Roman"/>
          <w:sz w:val="20"/>
          <w:szCs w:val="20"/>
        </w:rPr>
        <w:t xml:space="preserve">evel (SCL) and </w:t>
      </w:r>
      <w:r>
        <w:rPr>
          <w:rFonts w:ascii="Times New Roman" w:eastAsia="SimSun" w:hAnsi="Times New Roman" w:cs="Times New Roman"/>
          <w:sz w:val="20"/>
          <w:szCs w:val="20"/>
        </w:rPr>
        <w:t>E</w:t>
      </w:r>
      <w:r>
        <w:rPr>
          <w:rFonts w:ascii="Times New Roman" w:eastAsia="Times New Roman" w:hAnsi="Times New Roman" w:cs="Times New Roman"/>
          <w:sz w:val="20"/>
          <w:szCs w:val="20"/>
        </w:rPr>
        <w:t xml:space="preserve">lectroencephalography (EEG)) with personality assessments (OCEAN model). The aim is to reveal the corresponding physiological and neurophysiological changes in panic-driven evacuation behavior across different personality types. </w:t>
      </w:r>
      <w:r>
        <w:rPr>
          <w:rFonts w:ascii="Times New Roman" w:eastAsia="SimSun" w:hAnsi="Times New Roman" w:cs="Times New Roman"/>
          <w:sz w:val="20"/>
          <w:szCs w:val="20"/>
        </w:rPr>
        <w:t>28</w:t>
      </w:r>
      <w:r>
        <w:rPr>
          <w:rFonts w:ascii="Times New Roman" w:eastAsia="Times New Roman" w:hAnsi="Times New Roman" w:cs="Times New Roman"/>
          <w:sz w:val="20"/>
          <w:szCs w:val="20"/>
        </w:rPr>
        <w:t xml:space="preserve"> participants were divided into high extraversion-neuroticism (HEN) and low extraversion-neuroticism (LEN) groups based on their OCEAN traits. Two virtual reality </w:t>
      </w:r>
      <w:proofErr w:type="spellStart"/>
      <w:r>
        <w:rPr>
          <w:rFonts w:ascii="Times New Roman" w:eastAsia="Times New Roman" w:hAnsi="Times New Roman" w:cs="Times New Roman"/>
          <w:sz w:val="20"/>
          <w:szCs w:val="20"/>
        </w:rPr>
        <w:t>experiments</w:t>
      </w:r>
      <w:r>
        <w:rPr>
          <w:rFonts w:ascii="Times New Roman" w:eastAsia="SimSun" w:hAnsi="Times New Roman" w:cs="Times New Roman"/>
          <w:sz w:val="20"/>
          <w:szCs w:val="20"/>
        </w:rPr>
        <w:t>’r</w:t>
      </w:r>
      <w:r>
        <w:rPr>
          <w:rFonts w:ascii="Times New Roman" w:eastAsia="Times New Roman" w:hAnsi="Times New Roman" w:cs="Times New Roman"/>
          <w:sz w:val="20"/>
          <w:szCs w:val="20"/>
        </w:rPr>
        <w:t>esults</w:t>
      </w:r>
      <w:proofErr w:type="spellEnd"/>
      <w:r>
        <w:rPr>
          <w:rFonts w:ascii="Times New Roman" w:eastAsia="Times New Roman" w:hAnsi="Times New Roman" w:cs="Times New Roman"/>
          <w:sz w:val="20"/>
          <w:szCs w:val="20"/>
        </w:rPr>
        <w:t xml:space="preserve"> show that personality traits significantly affect phototaxis behavior, skin conductance response, and EEG activity. Specifically, the HEN group exhibited more pronounced phototaxis behavior, while the LEN group showed greater skin conductance increases and a significant reduction in θ</w:t>
      </w:r>
      <w:r>
        <w:rPr>
          <w:rFonts w:ascii="Times New Roman" w:eastAsia="SimSun" w:hAnsi="Times New Roman" w:cs="Times New Roman"/>
          <w:sz w:val="20"/>
          <w:szCs w:val="20"/>
        </w:rPr>
        <w:t>-band</w:t>
      </w:r>
      <w:r>
        <w:rPr>
          <w:rFonts w:ascii="Times New Roman" w:eastAsia="Times New Roman" w:hAnsi="Times New Roman" w:cs="Times New Roman"/>
          <w:sz w:val="20"/>
          <w:szCs w:val="20"/>
        </w:rPr>
        <w:t>. Additionally, under panic-inducing emotional contagion stimuli, the LEN group exhibited significant increases in both θ</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and α</w:t>
      </w:r>
      <w:r>
        <w:rPr>
          <w:rFonts w:ascii="Times New Roman" w:eastAsia="SimSun" w:hAnsi="Times New Roman" w:cs="Times New Roman"/>
          <w:sz w:val="20"/>
          <w:szCs w:val="20"/>
        </w:rPr>
        <w:t>-band</w:t>
      </w:r>
      <w:r>
        <w:rPr>
          <w:rFonts w:ascii="Times New Roman" w:eastAsia="Times New Roman" w:hAnsi="Times New Roman" w:cs="Times New Roman"/>
          <w:sz w:val="20"/>
          <w:szCs w:val="20"/>
        </w:rPr>
        <w:t>, whereas the HEN group showed only a notable increase in θ</w:t>
      </w:r>
      <w:r>
        <w:rPr>
          <w:rFonts w:ascii="Times New Roman" w:eastAsia="SimSun" w:hAnsi="Times New Roman" w:cs="Times New Roman"/>
          <w:sz w:val="20"/>
          <w:szCs w:val="20"/>
        </w:rPr>
        <w:t>-band</w:t>
      </w:r>
      <w:r>
        <w:rPr>
          <w:rFonts w:ascii="Times New Roman" w:eastAsia="Times New Roman" w:hAnsi="Times New Roman" w:cs="Times New Roman"/>
          <w:sz w:val="20"/>
          <w:szCs w:val="20"/>
        </w:rPr>
        <w:t>. These findings highlight the need to account for individual differences in emergency evacuation planning and suggest that personalized evacuation strategies could reduce risks and improve efficiency during emergencies.</w:t>
      </w:r>
    </w:p>
    <w:bookmarkEnd w:id="2"/>
    <w:p w14:paraId="135C3138" w14:textId="77777777" w:rsidR="00907DC0" w:rsidRDefault="00000000">
      <w:pPr>
        <w:spacing w:beforeLines="50" w:before="156" w:afterLines="50" w:after="156" w:line="280" w:lineRule="exact"/>
        <w:rPr>
          <w:rFonts w:ascii="Times New Roman" w:hAnsi="Times New Roman" w:cs="Times New Roman"/>
          <w:sz w:val="20"/>
          <w:szCs w:val="20"/>
        </w:rPr>
      </w:pPr>
      <w:r>
        <w:rPr>
          <w:rFonts w:ascii="Times New Roman" w:eastAsia="Times New Roman" w:hAnsi="Times New Roman" w:cs="Times New Roman"/>
          <w:b/>
          <w:bCs/>
          <w:sz w:val="20"/>
          <w:szCs w:val="20"/>
        </w:rPr>
        <w:t>Keywords</w:t>
      </w:r>
      <w:r>
        <w:rPr>
          <w:rFonts w:ascii="Times New Roman" w:eastAsia="Times New Roman" w:hAnsi="Times New Roman" w:cs="Times New Roman"/>
          <w:sz w:val="20"/>
          <w:szCs w:val="20"/>
        </w:rPr>
        <w:t xml:space="preserve">: </w:t>
      </w:r>
      <w:r>
        <w:rPr>
          <w:rFonts w:ascii="Times New Roman" w:eastAsia="SimSun" w:hAnsi="Times New Roman" w:cs="Times New Roman"/>
          <w:sz w:val="20"/>
          <w:szCs w:val="20"/>
        </w:rPr>
        <w:t>Emotional contagion; Phototaxis behavior; OCEAN model; Skin conductance level (SCL); Electroencephalography (EEG)</w:t>
      </w:r>
    </w:p>
    <w:p w14:paraId="6E274AE0" w14:textId="54E9FD56" w:rsidR="00907DC0" w:rsidRDefault="00B97086">
      <w:pPr>
        <w:widowControl/>
        <w:spacing w:line="280" w:lineRule="exact"/>
        <w:rPr>
          <w:rFonts w:ascii="Times New Roman" w:hAnsi="Times New Roman" w:cs="Times New Roman"/>
          <w:bCs/>
          <w:sz w:val="20"/>
          <w:szCs w:val="20"/>
        </w:rPr>
      </w:pPr>
      <w:r>
        <w:rPr>
          <w:rFonts w:ascii="Times New Roman" w:hAnsi="Times New Roman" w:cs="Times New Roman"/>
          <w:b/>
          <w:sz w:val="20"/>
          <w:szCs w:val="20"/>
        </w:rPr>
        <w:t xml:space="preserve">Author Emails: </w:t>
      </w:r>
      <w:hyperlink r:id="rId5" w:history="1">
        <w:r w:rsidRPr="00B97086">
          <w:rPr>
            <w:rStyle w:val="Hyperlink"/>
            <w:rFonts w:ascii="Times New Roman" w:hAnsi="Times New Roman" w:cs="Times New Roman"/>
            <w:bCs/>
            <w:sz w:val="20"/>
            <w:szCs w:val="20"/>
          </w:rPr>
          <w:t>zhangrui@stu.sjzu.edu.cn</w:t>
        </w:r>
      </w:hyperlink>
      <w:r w:rsidRPr="00B97086">
        <w:rPr>
          <w:rFonts w:ascii="Times New Roman" w:hAnsi="Times New Roman" w:cs="Times New Roman"/>
          <w:bCs/>
          <w:sz w:val="20"/>
          <w:szCs w:val="20"/>
        </w:rPr>
        <w:t xml:space="preserve">; </w:t>
      </w:r>
      <w:hyperlink r:id="rId6" w:history="1">
        <w:r w:rsidRPr="00B97086">
          <w:rPr>
            <w:rStyle w:val="Hyperlink"/>
            <w:rFonts w:ascii="Times New Roman" w:hAnsi="Times New Roman" w:cs="Times New Roman"/>
            <w:bCs/>
            <w:sz w:val="20"/>
            <w:szCs w:val="20"/>
          </w:rPr>
          <w:t>yan1719022307@163.com</w:t>
        </w:r>
      </w:hyperlink>
      <w:r w:rsidRPr="00B97086">
        <w:rPr>
          <w:rFonts w:ascii="Times New Roman" w:hAnsi="Times New Roman" w:cs="Times New Roman"/>
          <w:bCs/>
          <w:sz w:val="20"/>
          <w:szCs w:val="20"/>
        </w:rPr>
        <w:t xml:space="preserve">; </w:t>
      </w:r>
      <w:hyperlink r:id="rId7" w:history="1">
        <w:r w:rsidRPr="00B97086">
          <w:rPr>
            <w:rStyle w:val="Hyperlink"/>
            <w:rFonts w:ascii="Times New Roman" w:hAnsi="Times New Roman" w:cs="Times New Roman"/>
            <w:bCs/>
            <w:sz w:val="20"/>
            <w:szCs w:val="20"/>
          </w:rPr>
          <w:t>2265327140@qq.com</w:t>
        </w:r>
      </w:hyperlink>
      <w:r w:rsidRPr="00B97086">
        <w:rPr>
          <w:rFonts w:ascii="Times New Roman" w:hAnsi="Times New Roman" w:cs="Times New Roman"/>
          <w:bCs/>
          <w:sz w:val="20"/>
          <w:szCs w:val="20"/>
        </w:rPr>
        <w:t xml:space="preserve">; </w:t>
      </w:r>
      <w:hyperlink r:id="rId8" w:history="1">
        <w:r w:rsidRPr="00B97086">
          <w:rPr>
            <w:rStyle w:val="Hyperlink"/>
            <w:rFonts w:ascii="Times New Roman" w:hAnsi="Times New Roman" w:cs="Times New Roman"/>
            <w:bCs/>
            <w:sz w:val="20"/>
            <w:szCs w:val="20"/>
          </w:rPr>
          <w:t>1719022307@qq.com</w:t>
        </w:r>
      </w:hyperlink>
      <w:r w:rsidRPr="00B97086">
        <w:rPr>
          <w:rFonts w:ascii="Times New Roman" w:hAnsi="Times New Roman" w:cs="Times New Roman"/>
          <w:bCs/>
          <w:sz w:val="20"/>
          <w:szCs w:val="20"/>
        </w:rPr>
        <w:t xml:space="preserve"> </w:t>
      </w:r>
    </w:p>
    <w:p w14:paraId="794A0485" w14:textId="77777777" w:rsidR="00B97086" w:rsidRDefault="00B97086">
      <w:pPr>
        <w:widowControl/>
        <w:spacing w:line="280" w:lineRule="exact"/>
        <w:rPr>
          <w:rFonts w:ascii="Times New Roman" w:hAnsi="Times New Roman" w:cs="Times New Roman"/>
          <w:bCs/>
          <w:sz w:val="20"/>
          <w:szCs w:val="20"/>
        </w:rPr>
      </w:pPr>
    </w:p>
    <w:p w14:paraId="27BFD095" w14:textId="77777777" w:rsidR="00B97086" w:rsidRDefault="00B97086" w:rsidP="00B97086">
      <w:pPr>
        <w:pStyle w:val="Heading3"/>
        <w:spacing w:before="156" w:after="156" w:line="280" w:lineRule="exact"/>
        <w:jc w:val="lef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CONFLICT OF INTEREST STATEMENT </w:t>
      </w:r>
    </w:p>
    <w:p w14:paraId="04B1AF96" w14:textId="77777777" w:rsidR="00B97086" w:rsidRDefault="00B97086" w:rsidP="00B97086">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The authors declare that they have no known competing financial interests or personal relationships that could have appeared to influence the work reported in this paper.</w:t>
      </w:r>
    </w:p>
    <w:p w14:paraId="36AD0C5B" w14:textId="77777777" w:rsidR="00B97086" w:rsidRPr="00B97086" w:rsidRDefault="00B97086">
      <w:pPr>
        <w:widowControl/>
        <w:spacing w:line="280" w:lineRule="exact"/>
        <w:rPr>
          <w:rFonts w:ascii="Times New Roman" w:hAnsi="Times New Roman" w:cs="Times New Roman"/>
          <w:bCs/>
          <w:sz w:val="20"/>
          <w:szCs w:val="20"/>
        </w:rPr>
      </w:pPr>
    </w:p>
    <w:p w14:paraId="17F2333E" w14:textId="77777777" w:rsidR="00B97086" w:rsidRDefault="00B97086">
      <w:pPr>
        <w:widowControl/>
        <w:spacing w:line="280" w:lineRule="exact"/>
        <w:rPr>
          <w:rFonts w:ascii="Times New Roman" w:hAnsi="Times New Roman" w:cs="Times New Roman"/>
          <w:b/>
          <w:sz w:val="20"/>
          <w:szCs w:val="20"/>
        </w:rPr>
      </w:pPr>
    </w:p>
    <w:p w14:paraId="52D8FA66" w14:textId="77777777" w:rsidR="00B97086" w:rsidRDefault="00B97086">
      <w:pPr>
        <w:widowControl/>
        <w:spacing w:line="280" w:lineRule="exact"/>
        <w:rPr>
          <w:rFonts w:ascii="Times New Roman" w:hAnsi="Times New Roman" w:cs="Times New Roman"/>
          <w:b/>
          <w:sz w:val="20"/>
          <w:szCs w:val="20"/>
        </w:rPr>
        <w:sectPr w:rsidR="00B97086">
          <w:type w:val="continuous"/>
          <w:pgSz w:w="11906" w:h="16838"/>
          <w:pgMar w:top="879" w:right="850" w:bottom="879" w:left="850" w:header="1247" w:footer="1247" w:gutter="0"/>
          <w:cols w:space="425"/>
          <w:docGrid w:type="lines" w:linePitch="312"/>
        </w:sectPr>
      </w:pPr>
    </w:p>
    <w:p w14:paraId="690AF8B6" w14:textId="77777777" w:rsidR="00907DC0" w:rsidRDefault="00000000">
      <w:pPr>
        <w:widowControl/>
        <w:spacing w:line="280" w:lineRule="exact"/>
        <w:rPr>
          <w:rFonts w:ascii="Times New Roman" w:hAnsi="Times New Roman" w:cs="Times New Roman"/>
          <w:b/>
          <w:sz w:val="20"/>
          <w:szCs w:val="20"/>
        </w:rPr>
      </w:pPr>
      <w:r>
        <w:rPr>
          <w:rFonts w:ascii="Times New Roman" w:hAnsi="Times New Roman" w:cs="Times New Roman"/>
          <w:b/>
          <w:sz w:val="20"/>
          <w:szCs w:val="20"/>
        </w:rPr>
        <w:t xml:space="preserve">1 </w:t>
      </w:r>
      <w:r>
        <w:rPr>
          <w:rFonts w:ascii="Times New Roman" w:hAnsi="Times New Roman" w:cs="Times New Roman" w:hint="eastAsia"/>
          <w:b/>
          <w:sz w:val="20"/>
          <w:szCs w:val="20"/>
        </w:rPr>
        <w:t>INTRODUCTION</w:t>
      </w:r>
    </w:p>
    <w:p w14:paraId="64F46044" w14:textId="77777777" w:rsidR="00907DC0" w:rsidRDefault="00907DC0">
      <w:pPr>
        <w:widowControl/>
        <w:spacing w:line="280" w:lineRule="exact"/>
        <w:ind w:firstLineChars="200" w:firstLine="400"/>
        <w:rPr>
          <w:rFonts w:ascii="Times New Roman" w:eastAsia="SimSun" w:hAnsi="Times New Roman" w:cs="Times New Roman"/>
          <w:sz w:val="20"/>
          <w:szCs w:val="20"/>
        </w:rPr>
        <w:sectPr w:rsidR="00907DC0">
          <w:type w:val="continuous"/>
          <w:pgSz w:w="11906" w:h="16838"/>
          <w:pgMar w:top="879" w:right="850" w:bottom="879" w:left="850" w:header="1247" w:footer="1247" w:gutter="0"/>
          <w:cols w:space="425"/>
          <w:docGrid w:type="lines" w:linePitch="312"/>
        </w:sectPr>
      </w:pPr>
    </w:p>
    <w:p w14:paraId="0E1DFE1A" w14:textId="77777777" w:rsidR="00907DC0" w:rsidRDefault="00000000">
      <w:pPr>
        <w:widowControl/>
        <w:spacing w:line="280" w:lineRule="exact"/>
        <w:ind w:firstLineChars="200" w:firstLine="400"/>
        <w:rPr>
          <w:rFonts w:ascii="Times New Roman" w:eastAsia="SimSun" w:hAnsi="Times New Roman" w:cs="Times New Roman"/>
          <w:sz w:val="20"/>
          <w:szCs w:val="20"/>
        </w:rPr>
      </w:pPr>
      <w:r>
        <w:rPr>
          <w:rFonts w:ascii="Times New Roman" w:eastAsia="SimSun" w:hAnsi="Times New Roman" w:cs="Times New Roman"/>
          <w:sz w:val="20"/>
          <w:szCs w:val="20"/>
        </w:rPr>
        <w:t>With the development of urbanization and the increasing number of crowd-gathering activities, large-scale crowd gatherings are becoming common in cities, particularly in public places such as shopping malls, stadiums, and subway stations. These settings pose significant challenges to safe evacuation during emergencies. In the event of an emergency, crowds often experience panic, leading to irrational evacuation decisions and behaviors (</w:t>
      </w:r>
      <w:hyperlink w:anchor="Shen" w:history="1">
        <w:r>
          <w:rPr>
            <w:rStyle w:val="FollowedHyperlink"/>
            <w:rFonts w:cs="Times New Roman"/>
            <w:color w:val="auto"/>
            <w:sz w:val="20"/>
            <w:szCs w:val="20"/>
            <w:u w:val="none"/>
          </w:rPr>
          <w:t xml:space="preserve">Shen et al., </w:t>
        </w:r>
        <w:r>
          <w:rPr>
            <w:rStyle w:val="FollowedHyperlink"/>
            <w:rFonts w:cs="Times New Roman"/>
            <w:sz w:val="20"/>
            <w:szCs w:val="20"/>
            <w:u w:val="none"/>
          </w:rPr>
          <w:t>2018</w:t>
        </w:r>
      </w:hyperlink>
      <w:r>
        <w:rPr>
          <w:rFonts w:ascii="Times New Roman" w:eastAsia="SimSun" w:hAnsi="Times New Roman" w:cs="Times New Roman"/>
          <w:sz w:val="20"/>
          <w:szCs w:val="20"/>
        </w:rPr>
        <w:t>), such as phototaxis, herd behavior, and risky backtracking, which can cause severe casualties and property damage. These consequences may even surpass the damage caused by the actual disaster itself (</w:t>
      </w:r>
      <w:hyperlink w:anchor="WangJ" w:history="1">
        <w:r>
          <w:rPr>
            <w:rStyle w:val="Hyperlink"/>
            <w:rFonts w:ascii="Times New Roman" w:eastAsia="SimSun" w:hAnsi="Times New Roman" w:cs="Times New Roman"/>
            <w:color w:val="auto"/>
            <w:sz w:val="20"/>
            <w:szCs w:val="20"/>
            <w:u w:val="none"/>
          </w:rPr>
          <w:t xml:space="preserve">Wang et al., </w:t>
        </w:r>
        <w:r>
          <w:rPr>
            <w:rStyle w:val="Hyperlink"/>
            <w:rFonts w:ascii="Times New Roman" w:eastAsia="SimSun" w:hAnsi="Times New Roman" w:cs="Times New Roman"/>
            <w:sz w:val="20"/>
            <w:szCs w:val="20"/>
            <w:u w:val="none"/>
          </w:rPr>
          <w:t>2015</w:t>
        </w:r>
      </w:hyperlink>
      <w:r>
        <w:rPr>
          <w:rFonts w:ascii="Times New Roman" w:eastAsia="SimSun" w:hAnsi="Times New Roman" w:cs="Times New Roman"/>
          <w:sz w:val="20"/>
          <w:szCs w:val="20"/>
        </w:rPr>
        <w:t>;</w:t>
      </w:r>
      <w:hyperlink w:anchor="Zheng" w:history="1">
        <w:r>
          <w:rPr>
            <w:rStyle w:val="Hyperlink"/>
            <w:rFonts w:ascii="Times New Roman" w:eastAsia="SimSun" w:hAnsi="Times New Roman" w:cs="Times New Roman"/>
            <w:color w:val="auto"/>
            <w:sz w:val="20"/>
            <w:szCs w:val="20"/>
            <w:u w:val="none"/>
          </w:rPr>
          <w:t xml:space="preserve">Zheng et al., </w:t>
        </w:r>
        <w:r>
          <w:rPr>
            <w:rStyle w:val="Hyperlink"/>
            <w:rFonts w:ascii="Times New Roman" w:eastAsia="SimSun" w:hAnsi="Times New Roman" w:cs="Times New Roman"/>
            <w:sz w:val="20"/>
            <w:szCs w:val="20"/>
            <w:u w:val="none"/>
          </w:rPr>
          <w:t>2019</w:t>
        </w:r>
      </w:hyperlink>
      <w:r>
        <w:rPr>
          <w:rFonts w:ascii="Times New Roman" w:eastAsia="SimSun" w:hAnsi="Times New Roman" w:cs="Times New Roman"/>
          <w:sz w:val="20"/>
          <w:szCs w:val="20"/>
        </w:rPr>
        <w:t>).</w:t>
      </w:r>
    </w:p>
    <w:p w14:paraId="2FA9E66A" w14:textId="77777777" w:rsidR="00907DC0" w:rsidRDefault="00000000">
      <w:pPr>
        <w:widowControl/>
        <w:spacing w:line="280" w:lineRule="exact"/>
        <w:ind w:firstLineChars="200" w:firstLine="400"/>
        <w:rPr>
          <w:rFonts w:ascii="Times New Roman" w:eastAsia="SimSun" w:hAnsi="Times New Roman" w:cs="Times New Roman"/>
          <w:sz w:val="20"/>
          <w:szCs w:val="20"/>
        </w:rPr>
      </w:pPr>
      <w:r>
        <w:rPr>
          <w:rFonts w:ascii="Times New Roman" w:eastAsia="SimSun" w:hAnsi="Times New Roman" w:cs="Times New Roman"/>
          <w:sz w:val="20"/>
          <w:szCs w:val="20"/>
        </w:rPr>
        <w:t xml:space="preserve">Therefore, understanding the mechanisms of emotional influence and formulating effective evacuation decision-making strategies are of great significance. Researching the </w:t>
      </w:r>
      <w:r>
        <w:rPr>
          <w:rFonts w:ascii="Times New Roman" w:eastAsia="SimSun" w:hAnsi="Times New Roman" w:cs="Times New Roman"/>
          <w:sz w:val="20"/>
          <w:szCs w:val="20"/>
        </w:rPr>
        <w:t>different physiological responses and behaviors of people with varying personality traits when confronted with panic emotions is crucial. Panic, induced by emergencies, is sudden and singular (</w:t>
      </w:r>
      <w:hyperlink w:anchor="Guo" w:history="1">
        <w:r>
          <w:rPr>
            <w:rStyle w:val="Hyperlink"/>
            <w:rFonts w:ascii="Times New Roman" w:eastAsia="SimSun" w:hAnsi="Times New Roman" w:cs="Times New Roman"/>
            <w:color w:val="auto"/>
            <w:sz w:val="20"/>
            <w:szCs w:val="20"/>
            <w:u w:val="none"/>
          </w:rPr>
          <w:t xml:space="preserve">Guo et al., </w:t>
        </w:r>
        <w:r>
          <w:rPr>
            <w:rStyle w:val="Hyperlink"/>
            <w:rFonts w:ascii="Times New Roman" w:eastAsia="SimSun" w:hAnsi="Times New Roman" w:cs="Times New Roman"/>
            <w:sz w:val="20"/>
            <w:szCs w:val="20"/>
            <w:u w:val="none"/>
          </w:rPr>
          <w:t>2023</w:t>
        </w:r>
      </w:hyperlink>
      <w:r>
        <w:rPr>
          <w:rFonts w:ascii="Times New Roman" w:eastAsia="SimSun" w:hAnsi="Times New Roman" w:cs="Times New Roman"/>
          <w:sz w:val="20"/>
          <w:szCs w:val="20"/>
        </w:rPr>
        <w:t>), and emotional contagion involves psychological changes, making it difficult to quantify emotions. Currently, most researchers employ surveys or simulation models to explore the underlying mechanisms of emotional contagion, often combining the OCEAN personality model, emotional contagion models, and evacuation movement models to simulate emotional contagion during evacuation and quantify emotions and panic(</w:t>
      </w:r>
      <w:hyperlink w:anchor="ZouQ" w:history="1">
        <w:r>
          <w:rPr>
            <w:rStyle w:val="Hyperlink"/>
            <w:rFonts w:ascii="Times New Roman" w:eastAsia="SimSun" w:hAnsi="Times New Roman" w:cs="Times New Roman"/>
            <w:color w:val="auto"/>
            <w:sz w:val="20"/>
            <w:szCs w:val="20"/>
            <w:u w:val="none"/>
          </w:rPr>
          <w:t xml:space="preserve">Zou and Chen, </w:t>
        </w:r>
        <w:r>
          <w:rPr>
            <w:rStyle w:val="Hyperlink"/>
            <w:rFonts w:ascii="Times New Roman" w:eastAsia="SimSun" w:hAnsi="Times New Roman" w:cs="Times New Roman"/>
            <w:sz w:val="20"/>
            <w:szCs w:val="20"/>
            <w:u w:val="none"/>
          </w:rPr>
          <w:t>2020</w:t>
        </w:r>
      </w:hyperlink>
      <w:r>
        <w:rPr>
          <w:rFonts w:ascii="Times New Roman" w:eastAsia="SimSun" w:hAnsi="Times New Roman" w:cs="Times New Roman"/>
          <w:sz w:val="20"/>
          <w:szCs w:val="20"/>
        </w:rPr>
        <w:t>;</w:t>
      </w:r>
      <w:hyperlink w:anchor="ZhouR" w:history="1">
        <w:r>
          <w:rPr>
            <w:rStyle w:val="Hyperlink"/>
            <w:rFonts w:ascii="Times New Roman" w:eastAsia="SimSun" w:hAnsi="Times New Roman" w:cs="Times New Roman"/>
            <w:color w:val="auto"/>
            <w:sz w:val="20"/>
            <w:szCs w:val="20"/>
            <w:u w:val="none"/>
          </w:rPr>
          <w:t>Zhou et al.,</w:t>
        </w:r>
        <w:r>
          <w:rPr>
            <w:rStyle w:val="Hyperlink"/>
            <w:rFonts w:ascii="Times New Roman" w:eastAsia="SimSun" w:hAnsi="Times New Roman" w:cs="Times New Roman"/>
            <w:sz w:val="20"/>
            <w:szCs w:val="20"/>
            <w:u w:val="none"/>
          </w:rPr>
          <w:t xml:space="preserve"> 2020</w:t>
        </w:r>
      </w:hyperlink>
      <w:r>
        <w:rPr>
          <w:rFonts w:ascii="Times New Roman" w:eastAsia="SimSun" w:hAnsi="Times New Roman" w:cs="Times New Roman"/>
          <w:sz w:val="20"/>
          <w:szCs w:val="20"/>
        </w:rPr>
        <w:t xml:space="preserve">). </w:t>
      </w:r>
      <w:hyperlink w:anchor="Chen" w:history="1">
        <w:r>
          <w:rPr>
            <w:rStyle w:val="Hyperlink"/>
            <w:rFonts w:ascii="Times New Roman" w:eastAsia="SimSun" w:hAnsi="Times New Roman" w:cs="Times New Roman"/>
            <w:color w:val="auto"/>
            <w:sz w:val="20"/>
            <w:szCs w:val="20"/>
            <w:u w:val="none"/>
          </w:rPr>
          <w:t xml:space="preserve">Chen </w:t>
        </w:r>
        <w:proofErr w:type="gramStart"/>
        <w:r>
          <w:rPr>
            <w:rStyle w:val="Hyperlink"/>
            <w:rFonts w:ascii="Times New Roman" w:eastAsia="SimSun" w:hAnsi="Times New Roman" w:cs="Times New Roman"/>
            <w:color w:val="auto"/>
            <w:sz w:val="20"/>
            <w:szCs w:val="20"/>
            <w:u w:val="none"/>
          </w:rPr>
          <w:t>et al.(</w:t>
        </w:r>
        <w:proofErr w:type="gramEnd"/>
        <w:r>
          <w:rPr>
            <w:rStyle w:val="Hyperlink"/>
            <w:rFonts w:ascii="Times New Roman" w:eastAsia="SimSun" w:hAnsi="Times New Roman" w:cs="Times New Roman"/>
            <w:sz w:val="20"/>
            <w:szCs w:val="20"/>
            <w:u w:val="none"/>
          </w:rPr>
          <w:t>2024</w:t>
        </w:r>
        <w:r>
          <w:rPr>
            <w:rStyle w:val="Hyperlink"/>
            <w:rFonts w:ascii="Times New Roman" w:eastAsia="SimSun" w:hAnsi="Times New Roman" w:cs="Times New Roman"/>
            <w:color w:val="auto"/>
            <w:sz w:val="20"/>
            <w:szCs w:val="20"/>
            <w:u w:val="none"/>
          </w:rPr>
          <w:t>)</w:t>
        </w:r>
      </w:hyperlink>
      <w:r>
        <w:rPr>
          <w:rFonts w:ascii="Times New Roman" w:eastAsia="SimSun" w:hAnsi="Times New Roman" w:cs="Times New Roman"/>
          <w:sz w:val="20"/>
          <w:szCs w:val="20"/>
        </w:rPr>
        <w:t xml:space="preserve"> developed a model of panic-induced evacuation behavior based on personality differences to explore the impact of these differences on evacuation progress. </w:t>
      </w:r>
      <w:hyperlink w:anchor="WangG" w:history="1">
        <w:r>
          <w:rPr>
            <w:rStyle w:val="Hyperlink"/>
            <w:rFonts w:ascii="Times New Roman" w:eastAsia="SimSun" w:hAnsi="Times New Roman" w:cs="Times New Roman"/>
            <w:color w:val="auto"/>
            <w:sz w:val="20"/>
            <w:szCs w:val="20"/>
            <w:u w:val="none"/>
          </w:rPr>
          <w:t xml:space="preserve">Wang et </w:t>
        </w:r>
        <w:r>
          <w:rPr>
            <w:rStyle w:val="Hyperlink"/>
            <w:rFonts w:ascii="Times New Roman" w:eastAsia="SimSun" w:hAnsi="Times New Roman" w:cs="Times New Roman"/>
            <w:color w:val="auto"/>
            <w:sz w:val="20"/>
            <w:szCs w:val="20"/>
            <w:u w:val="none"/>
          </w:rPr>
          <w:lastRenderedPageBreak/>
          <w:t>al. (</w:t>
        </w:r>
        <w:r>
          <w:rPr>
            <w:rStyle w:val="Hyperlink"/>
            <w:rFonts w:ascii="Times New Roman" w:eastAsia="SimSun" w:hAnsi="Times New Roman" w:cs="Times New Roman"/>
            <w:sz w:val="20"/>
            <w:szCs w:val="20"/>
            <w:u w:val="none"/>
          </w:rPr>
          <w:t>2023</w:t>
        </w:r>
        <w:r>
          <w:rPr>
            <w:rStyle w:val="Hyperlink"/>
            <w:rFonts w:ascii="Times New Roman" w:eastAsia="SimSun" w:hAnsi="Times New Roman" w:cs="Times New Roman"/>
            <w:color w:val="auto"/>
            <w:sz w:val="20"/>
            <w:szCs w:val="20"/>
            <w:u w:val="none"/>
          </w:rPr>
          <w:t>)</w:t>
        </w:r>
      </w:hyperlink>
      <w:r>
        <w:rPr>
          <w:rFonts w:ascii="Times New Roman" w:eastAsia="SimSun" w:hAnsi="Times New Roman" w:cs="Times New Roman"/>
          <w:sz w:val="20"/>
          <w:szCs w:val="20"/>
        </w:rPr>
        <w:t xml:space="preserve"> applied the extended field model (FF) to study the influence of personality traits on panic and evacuation behavior, using questionnaires to investigate panic emotions. However, existing methods for quantifying emotions are subjective and lack precision.</w:t>
      </w:r>
    </w:p>
    <w:p w14:paraId="23F9487A" w14:textId="77777777" w:rsidR="00907DC0" w:rsidRDefault="00000000">
      <w:pPr>
        <w:widowControl/>
        <w:spacing w:line="280" w:lineRule="exact"/>
        <w:ind w:firstLineChars="200" w:firstLine="400"/>
        <w:rPr>
          <w:rFonts w:ascii="Times New Roman" w:eastAsia="SimSun" w:hAnsi="Times New Roman" w:cs="Times New Roman"/>
          <w:sz w:val="20"/>
          <w:szCs w:val="20"/>
        </w:rPr>
      </w:pPr>
      <w:r>
        <w:rPr>
          <w:rFonts w:ascii="Times New Roman" w:eastAsia="SimSun" w:hAnsi="Times New Roman" w:cs="Times New Roman"/>
          <w:sz w:val="20"/>
          <w:szCs w:val="20"/>
        </w:rPr>
        <w:t xml:space="preserve">With the advancement of </w:t>
      </w:r>
      <w:proofErr w:type="spellStart"/>
      <w:r>
        <w:rPr>
          <w:rFonts w:ascii="Times New Roman" w:eastAsia="SimSun" w:hAnsi="Times New Roman" w:cs="Times New Roman"/>
          <w:sz w:val="20"/>
          <w:szCs w:val="20"/>
        </w:rPr>
        <w:t>neuroengineering</w:t>
      </w:r>
      <w:proofErr w:type="spellEnd"/>
      <w:r>
        <w:rPr>
          <w:rFonts w:ascii="Times New Roman" w:eastAsia="SimSun" w:hAnsi="Times New Roman" w:cs="Times New Roman"/>
          <w:sz w:val="20"/>
          <w:szCs w:val="20"/>
        </w:rPr>
        <w:t xml:space="preserve"> management, physiological monitoring technologies have effectively addressed the challenges of psychological quantification by establishing mapping relationships between physiological and psychological states. Physiological monitoring devices can monitor individuals' physiological states without affecting their health, facilitating in-depth studies of emotional contagion. Electrodermal activity (EDA), generated by the sweat glands, is sensitive to sympathetic nervous activation triggered by psychological stimuli (</w:t>
      </w:r>
      <w:proofErr w:type="spellStart"/>
      <w:r>
        <w:rPr>
          <w:rFonts w:ascii="Times New Roman" w:eastAsia="SimSun" w:hAnsi="Times New Roman" w:cs="Times New Roman"/>
          <w:sz w:val="20"/>
          <w:szCs w:val="20"/>
        </w:rPr>
        <w:fldChar w:fldCharType="begin"/>
      </w:r>
      <w:r>
        <w:rPr>
          <w:rFonts w:ascii="Times New Roman" w:eastAsia="SimSun" w:hAnsi="Times New Roman" w:cs="Times New Roman"/>
          <w:sz w:val="20"/>
          <w:szCs w:val="20"/>
        </w:rPr>
        <w:instrText xml:space="preserve"> HYPERLINK \l "Boucsein" </w:instrText>
      </w:r>
      <w:r>
        <w:rPr>
          <w:rFonts w:ascii="Times New Roman" w:eastAsia="SimSun" w:hAnsi="Times New Roman" w:cs="Times New Roman"/>
          <w:sz w:val="20"/>
          <w:szCs w:val="20"/>
        </w:rPr>
      </w:r>
      <w:r>
        <w:rPr>
          <w:rFonts w:ascii="Times New Roman" w:eastAsia="SimSun" w:hAnsi="Times New Roman" w:cs="Times New Roman"/>
          <w:sz w:val="20"/>
          <w:szCs w:val="20"/>
        </w:rPr>
        <w:fldChar w:fldCharType="separate"/>
      </w:r>
      <w:r>
        <w:rPr>
          <w:rStyle w:val="Hyperlink"/>
          <w:rFonts w:ascii="Times New Roman" w:eastAsia="SimSun" w:hAnsi="Times New Roman" w:cs="Times New Roman"/>
          <w:color w:val="auto"/>
          <w:sz w:val="20"/>
          <w:szCs w:val="20"/>
          <w:u w:val="none"/>
        </w:rPr>
        <w:t>Boucsein</w:t>
      </w:r>
      <w:proofErr w:type="spellEnd"/>
      <w:r>
        <w:rPr>
          <w:rStyle w:val="Hyperlink"/>
          <w:rFonts w:ascii="Times New Roman" w:eastAsia="SimSun" w:hAnsi="Times New Roman" w:cs="Times New Roman"/>
          <w:color w:val="auto"/>
          <w:sz w:val="20"/>
          <w:szCs w:val="20"/>
          <w:u w:val="none"/>
        </w:rPr>
        <w:t xml:space="preserve">, </w:t>
      </w:r>
      <w:r>
        <w:rPr>
          <w:rStyle w:val="Hyperlink"/>
          <w:rFonts w:ascii="Times New Roman" w:eastAsia="SimSun" w:hAnsi="Times New Roman" w:cs="Times New Roman"/>
          <w:sz w:val="20"/>
          <w:szCs w:val="20"/>
          <w:u w:val="none"/>
        </w:rPr>
        <w:t>2012</w:t>
      </w:r>
      <w:r>
        <w:rPr>
          <w:rFonts w:ascii="Times New Roman" w:eastAsia="SimSun" w:hAnsi="Times New Roman" w:cs="Times New Roman"/>
          <w:sz w:val="20"/>
          <w:szCs w:val="20"/>
        </w:rPr>
        <w:fldChar w:fldCharType="end"/>
      </w:r>
      <w:r>
        <w:rPr>
          <w:rFonts w:ascii="Times New Roman" w:eastAsia="SimSun" w:hAnsi="Times New Roman" w:cs="Times New Roman"/>
          <w:sz w:val="20"/>
          <w:szCs w:val="20"/>
        </w:rPr>
        <w:t xml:space="preserve">). The skin conductance level (SCL), an indicator commonly used, reflects the subject's overall arousal state. Electroencephalography (EEG) signals, obtained through EEG, record the amplitude of </w:t>
      </w:r>
      <w:proofErr w:type="spellStart"/>
      <w:r>
        <w:rPr>
          <w:rFonts w:ascii="Times New Roman" w:eastAsia="SimSun" w:hAnsi="Times New Roman" w:cs="Times New Roman"/>
          <w:sz w:val="20"/>
          <w:szCs w:val="20"/>
        </w:rPr>
        <w:t>brainbands</w:t>
      </w:r>
      <w:proofErr w:type="spellEnd"/>
      <w:r>
        <w:rPr>
          <w:rFonts w:ascii="Times New Roman" w:eastAsia="SimSun" w:hAnsi="Times New Roman" w:cs="Times New Roman"/>
          <w:sz w:val="20"/>
          <w:szCs w:val="20"/>
        </w:rPr>
        <w:t xml:space="preserve"> generated by cortical neurons (</w:t>
      </w:r>
      <w:hyperlink w:anchor="Han" w:history="1">
        <w:r>
          <w:rPr>
            <w:rStyle w:val="Hyperlink"/>
            <w:rFonts w:ascii="Times New Roman" w:eastAsia="SimSun" w:hAnsi="Times New Roman" w:cs="Times New Roman"/>
            <w:color w:val="auto"/>
            <w:sz w:val="20"/>
            <w:szCs w:val="20"/>
            <w:u w:val="none"/>
          </w:rPr>
          <w:t xml:space="preserve">Han and Chun, </w:t>
        </w:r>
        <w:r>
          <w:rPr>
            <w:rStyle w:val="Hyperlink"/>
            <w:rFonts w:ascii="Times New Roman" w:eastAsia="SimSun" w:hAnsi="Times New Roman" w:cs="Times New Roman"/>
            <w:sz w:val="20"/>
            <w:szCs w:val="20"/>
            <w:u w:val="none"/>
          </w:rPr>
          <w:t>2021</w:t>
        </w:r>
      </w:hyperlink>
      <w:r>
        <w:rPr>
          <w:rFonts w:ascii="Times New Roman" w:eastAsia="SimSun" w:hAnsi="Times New Roman" w:cs="Times New Roman"/>
          <w:sz w:val="20"/>
          <w:szCs w:val="20"/>
        </w:rPr>
        <w:t>) and can reflect both physiological and psychological responses (</w:t>
      </w:r>
      <w:proofErr w:type="spellStart"/>
      <w:r>
        <w:rPr>
          <w:rFonts w:ascii="Times New Roman" w:eastAsia="SimSun" w:hAnsi="Times New Roman" w:cs="Times New Roman"/>
          <w:sz w:val="20"/>
          <w:szCs w:val="20"/>
        </w:rPr>
        <w:fldChar w:fldCharType="begin"/>
      </w:r>
      <w:r>
        <w:rPr>
          <w:rFonts w:ascii="Times New Roman" w:eastAsia="SimSun" w:hAnsi="Times New Roman" w:cs="Times New Roman"/>
          <w:sz w:val="20"/>
          <w:szCs w:val="20"/>
        </w:rPr>
        <w:instrText xml:space="preserve"> HYPERLINK \l "Schoffelen" </w:instrText>
      </w:r>
      <w:r>
        <w:rPr>
          <w:rFonts w:ascii="Times New Roman" w:eastAsia="SimSun" w:hAnsi="Times New Roman" w:cs="Times New Roman"/>
          <w:sz w:val="20"/>
          <w:szCs w:val="20"/>
        </w:rPr>
      </w:r>
      <w:r>
        <w:rPr>
          <w:rFonts w:ascii="Times New Roman" w:eastAsia="SimSun" w:hAnsi="Times New Roman" w:cs="Times New Roman"/>
          <w:sz w:val="20"/>
          <w:szCs w:val="20"/>
        </w:rPr>
        <w:fldChar w:fldCharType="separate"/>
      </w:r>
      <w:r>
        <w:rPr>
          <w:rStyle w:val="Hyperlink"/>
          <w:rFonts w:ascii="Times New Roman" w:eastAsia="SimSun" w:hAnsi="Times New Roman" w:cs="Times New Roman"/>
          <w:color w:val="auto"/>
          <w:sz w:val="20"/>
          <w:szCs w:val="20"/>
          <w:u w:val="none"/>
        </w:rPr>
        <w:t>Schoffelen</w:t>
      </w:r>
      <w:proofErr w:type="spellEnd"/>
      <w:r>
        <w:rPr>
          <w:rStyle w:val="Hyperlink"/>
          <w:rFonts w:ascii="Times New Roman" w:eastAsia="SimSun" w:hAnsi="Times New Roman" w:cs="Times New Roman"/>
          <w:color w:val="auto"/>
          <w:sz w:val="20"/>
          <w:szCs w:val="20"/>
          <w:u w:val="none"/>
        </w:rPr>
        <w:t xml:space="preserve"> et al., </w:t>
      </w:r>
      <w:r>
        <w:rPr>
          <w:rStyle w:val="Hyperlink"/>
          <w:rFonts w:ascii="Times New Roman" w:eastAsia="SimSun" w:hAnsi="Times New Roman" w:cs="Times New Roman"/>
          <w:sz w:val="20"/>
          <w:szCs w:val="20"/>
          <w:u w:val="none"/>
        </w:rPr>
        <w:t>2011</w:t>
      </w:r>
      <w:r>
        <w:rPr>
          <w:rFonts w:ascii="Times New Roman" w:eastAsia="SimSun" w:hAnsi="Times New Roman" w:cs="Times New Roman"/>
          <w:sz w:val="20"/>
          <w:szCs w:val="20"/>
        </w:rPr>
        <w:fldChar w:fldCharType="end"/>
      </w:r>
      <w:r>
        <w:rPr>
          <w:rFonts w:ascii="Times New Roman" w:eastAsia="SimSun" w:hAnsi="Times New Roman" w:cs="Times New Roman"/>
          <w:sz w:val="20"/>
          <w:szCs w:val="20"/>
        </w:rPr>
        <w:t>). As EEG signals directly reflect central nervous system activity, experts consider it more directly related to the subject's psychological response than other physiological reactions (</w:t>
      </w:r>
      <w:hyperlink w:anchor="Buck" w:history="1">
        <w:r>
          <w:rPr>
            <w:rStyle w:val="Hyperlink"/>
            <w:rFonts w:ascii="Times New Roman" w:eastAsia="SimSun" w:hAnsi="Times New Roman" w:cs="Times New Roman"/>
            <w:color w:val="auto"/>
            <w:sz w:val="20"/>
            <w:szCs w:val="20"/>
            <w:u w:val="none"/>
          </w:rPr>
          <w:t xml:space="preserve">Buck, </w:t>
        </w:r>
        <w:r>
          <w:rPr>
            <w:rStyle w:val="Hyperlink"/>
            <w:rFonts w:ascii="Times New Roman" w:eastAsia="SimSun" w:hAnsi="Times New Roman" w:cs="Times New Roman"/>
            <w:sz w:val="20"/>
            <w:szCs w:val="20"/>
            <w:u w:val="none"/>
          </w:rPr>
          <w:t>1999</w:t>
        </w:r>
      </w:hyperlink>
      <w:r>
        <w:rPr>
          <w:rFonts w:ascii="Times New Roman" w:eastAsia="SimSun" w:hAnsi="Times New Roman" w:cs="Times New Roman"/>
          <w:sz w:val="20"/>
          <w:szCs w:val="20"/>
        </w:rPr>
        <w:t xml:space="preserve">). </w:t>
      </w:r>
      <w:hyperlink w:anchor="arm" w:history="1">
        <w:proofErr w:type="spellStart"/>
        <w:r>
          <w:rPr>
            <w:rStyle w:val="Hyperlink"/>
            <w:rFonts w:ascii="Times New Roman" w:eastAsia="SimSun" w:hAnsi="Times New Roman" w:cs="Times New Roman"/>
            <w:color w:val="auto"/>
            <w:sz w:val="20"/>
            <w:szCs w:val="20"/>
            <w:u w:val="none"/>
          </w:rPr>
          <w:t>Armougum</w:t>
        </w:r>
        <w:proofErr w:type="spellEnd"/>
        <w:r>
          <w:rPr>
            <w:rStyle w:val="Hyperlink"/>
            <w:rFonts w:ascii="Times New Roman" w:eastAsia="SimSun" w:hAnsi="Times New Roman" w:cs="Times New Roman"/>
            <w:color w:val="auto"/>
            <w:sz w:val="20"/>
            <w:szCs w:val="20"/>
            <w:u w:val="none"/>
          </w:rPr>
          <w:t xml:space="preserve"> et al. (</w:t>
        </w:r>
        <w:r>
          <w:rPr>
            <w:rStyle w:val="Hyperlink"/>
            <w:rFonts w:ascii="Times New Roman" w:eastAsia="SimSun" w:hAnsi="Times New Roman" w:cs="Times New Roman"/>
            <w:sz w:val="20"/>
            <w:szCs w:val="20"/>
            <w:u w:val="none"/>
          </w:rPr>
          <w:t>2019</w:t>
        </w:r>
        <w:r>
          <w:rPr>
            <w:rStyle w:val="Hyperlink"/>
            <w:rFonts w:ascii="Times New Roman" w:eastAsia="SimSun" w:hAnsi="Times New Roman" w:cs="Times New Roman"/>
            <w:color w:val="auto"/>
            <w:sz w:val="20"/>
            <w:szCs w:val="20"/>
            <w:u w:val="none"/>
          </w:rPr>
          <w:t>)</w:t>
        </w:r>
      </w:hyperlink>
      <w:r>
        <w:rPr>
          <w:rFonts w:ascii="Times New Roman" w:eastAsia="SimSun" w:hAnsi="Times New Roman" w:cs="Times New Roman"/>
          <w:sz w:val="20"/>
          <w:szCs w:val="20"/>
        </w:rPr>
        <w:t xml:space="preserve"> studied the cognitive load of train passengers in real-life and virtual environments using skin conductance responses. </w:t>
      </w:r>
      <w:hyperlink w:anchor="LinJ2020" w:history="1">
        <w:r>
          <w:rPr>
            <w:rStyle w:val="Hyperlink"/>
            <w:rFonts w:ascii="Times New Roman" w:eastAsia="SimSun" w:hAnsi="Times New Roman" w:cs="Times New Roman"/>
            <w:color w:val="auto"/>
            <w:sz w:val="20"/>
            <w:szCs w:val="20"/>
            <w:u w:val="none"/>
          </w:rPr>
          <w:t>Lin. (</w:t>
        </w:r>
        <w:r>
          <w:rPr>
            <w:rStyle w:val="Hyperlink"/>
            <w:rFonts w:ascii="Times New Roman" w:eastAsia="SimSun" w:hAnsi="Times New Roman" w:cs="Times New Roman"/>
            <w:sz w:val="20"/>
            <w:szCs w:val="20"/>
            <w:u w:val="none"/>
          </w:rPr>
          <w:t>2020</w:t>
        </w:r>
        <w:r>
          <w:rPr>
            <w:rStyle w:val="Hyperlink"/>
            <w:rFonts w:ascii="Times New Roman" w:eastAsia="SimSun" w:hAnsi="Times New Roman" w:cs="Times New Roman"/>
            <w:color w:val="auto"/>
            <w:sz w:val="20"/>
            <w:szCs w:val="20"/>
            <w:u w:val="none"/>
          </w:rPr>
          <w:t>)</w:t>
        </w:r>
      </w:hyperlink>
      <w:r>
        <w:rPr>
          <w:rFonts w:ascii="Times New Roman" w:eastAsia="SimSun" w:hAnsi="Times New Roman" w:cs="Times New Roman"/>
          <w:sz w:val="20"/>
          <w:szCs w:val="20"/>
        </w:rPr>
        <w:t xml:space="preserve"> researched the navigation behavior of individuals under stress during building fires, using immersive VR experiments with multi-channel sensory stimuli. </w:t>
      </w:r>
      <w:hyperlink w:anchor="Occhialini" w:history="1">
        <w:r>
          <w:rPr>
            <w:rStyle w:val="Hyperlink"/>
            <w:rFonts w:ascii="Times New Roman" w:eastAsia="SimSun" w:hAnsi="Times New Roman" w:cs="Times New Roman"/>
            <w:color w:val="auto"/>
            <w:sz w:val="20"/>
            <w:szCs w:val="20"/>
            <w:u w:val="none"/>
          </w:rPr>
          <w:t>Occhialini et al. (</w:t>
        </w:r>
        <w:r>
          <w:rPr>
            <w:rStyle w:val="Hyperlink"/>
            <w:rFonts w:ascii="Times New Roman" w:eastAsia="SimSun" w:hAnsi="Times New Roman" w:cs="Times New Roman"/>
            <w:sz w:val="20"/>
            <w:szCs w:val="20"/>
            <w:u w:val="none"/>
          </w:rPr>
          <w:t>2016</w:t>
        </w:r>
        <w:r>
          <w:rPr>
            <w:rStyle w:val="Hyperlink"/>
            <w:rFonts w:ascii="Times New Roman" w:eastAsia="SimSun" w:hAnsi="Times New Roman" w:cs="Times New Roman"/>
            <w:color w:val="auto"/>
            <w:sz w:val="20"/>
            <w:szCs w:val="20"/>
            <w:u w:val="none"/>
          </w:rPr>
          <w:t>)</w:t>
        </w:r>
      </w:hyperlink>
      <w:r>
        <w:rPr>
          <w:rFonts w:ascii="Times New Roman" w:eastAsia="SimSun" w:hAnsi="Times New Roman" w:cs="Times New Roman"/>
          <w:sz w:val="20"/>
          <w:szCs w:val="20"/>
        </w:rPr>
        <w:t xml:space="preserve"> used EEG technology to quantitatively assess the perception of emergency navigation signs in virtual environments.</w:t>
      </w:r>
    </w:p>
    <w:p w14:paraId="2D5E2D3D" w14:textId="77777777" w:rsidR="00907DC0" w:rsidRDefault="00000000">
      <w:pPr>
        <w:widowControl/>
        <w:spacing w:line="280" w:lineRule="exact"/>
        <w:ind w:firstLineChars="200" w:firstLine="400"/>
        <w:rPr>
          <w:rFonts w:ascii="Times New Roman" w:eastAsia="SimSun" w:hAnsi="Times New Roman" w:cs="Times New Roman"/>
          <w:sz w:val="20"/>
          <w:szCs w:val="20"/>
        </w:rPr>
      </w:pPr>
      <w:r>
        <w:rPr>
          <w:rFonts w:ascii="Times New Roman" w:eastAsia="SimSun" w:hAnsi="Times New Roman" w:cs="Times New Roman"/>
          <w:sz w:val="20"/>
          <w:szCs w:val="20"/>
        </w:rPr>
        <w:t>Phototaxis behavior is predominantly found in the natural world. In emergencies, restricted visibility due to power outages, smoke, or other factors triggers irrational behaviors in panicked individuals, who tend to move towards brighter areas, often choosing brighter exits (</w:t>
      </w:r>
      <w:hyperlink w:anchor="WangD" w:history="1">
        <w:r>
          <w:rPr>
            <w:rStyle w:val="FollowedHyperlink"/>
            <w:rFonts w:cs="Times New Roman"/>
            <w:color w:val="auto"/>
            <w:sz w:val="20"/>
            <w:szCs w:val="20"/>
            <w:u w:val="none"/>
          </w:rPr>
          <w:t xml:space="preserve">Wang et al., </w:t>
        </w:r>
        <w:r>
          <w:rPr>
            <w:rStyle w:val="FollowedHyperlink"/>
            <w:rFonts w:cs="Times New Roman"/>
            <w:sz w:val="20"/>
            <w:szCs w:val="20"/>
            <w:u w:val="none"/>
          </w:rPr>
          <w:t>2022</w:t>
        </w:r>
      </w:hyperlink>
      <w:r>
        <w:rPr>
          <w:rFonts w:ascii="Times New Roman" w:eastAsia="SimSun" w:hAnsi="Times New Roman" w:cs="Times New Roman"/>
          <w:sz w:val="20"/>
          <w:szCs w:val="20"/>
        </w:rPr>
        <w:t xml:space="preserve">). </w:t>
      </w:r>
      <w:hyperlink w:anchor="Lovreglio" w:history="1">
        <w:proofErr w:type="spellStart"/>
        <w:r>
          <w:rPr>
            <w:rStyle w:val="Hyperlink"/>
            <w:rFonts w:ascii="Times New Roman" w:eastAsia="SimSun" w:hAnsi="Times New Roman" w:cs="Times New Roman"/>
            <w:color w:val="auto"/>
            <w:sz w:val="20"/>
            <w:szCs w:val="20"/>
            <w:u w:val="none"/>
          </w:rPr>
          <w:t>Lovreglio</w:t>
        </w:r>
        <w:proofErr w:type="spellEnd"/>
        <w:r>
          <w:rPr>
            <w:rStyle w:val="Hyperlink"/>
            <w:rFonts w:ascii="Times New Roman" w:eastAsia="SimSun" w:hAnsi="Times New Roman" w:cs="Times New Roman"/>
            <w:color w:val="auto"/>
            <w:sz w:val="20"/>
            <w:szCs w:val="20"/>
            <w:u w:val="none"/>
          </w:rPr>
          <w:t xml:space="preserve"> et al. (</w:t>
        </w:r>
        <w:r>
          <w:rPr>
            <w:rStyle w:val="Hyperlink"/>
            <w:rFonts w:ascii="Times New Roman" w:eastAsia="SimSun" w:hAnsi="Times New Roman" w:cs="Times New Roman"/>
            <w:sz w:val="20"/>
            <w:szCs w:val="20"/>
            <w:u w:val="none"/>
          </w:rPr>
          <w:t>2016</w:t>
        </w:r>
        <w:r>
          <w:rPr>
            <w:rStyle w:val="Hyperlink"/>
            <w:rFonts w:ascii="Times New Roman" w:eastAsia="SimSun" w:hAnsi="Times New Roman" w:cs="Times New Roman"/>
            <w:color w:val="auto"/>
            <w:sz w:val="20"/>
            <w:szCs w:val="20"/>
            <w:u w:val="none"/>
          </w:rPr>
          <w:t>)</w:t>
        </w:r>
      </w:hyperlink>
      <w:r>
        <w:rPr>
          <w:rFonts w:ascii="Times New Roman" w:eastAsia="SimSun" w:hAnsi="Times New Roman" w:cs="Times New Roman"/>
          <w:sz w:val="20"/>
          <w:szCs w:val="20"/>
        </w:rPr>
        <w:t xml:space="preserve"> studied the factors influencing pedestrian evacuation and demonstrated the significant impact of lighting on exit selection during evacuation. </w:t>
      </w:r>
      <w:hyperlink w:anchor="Vilar" w:history="1">
        <w:r>
          <w:rPr>
            <w:rStyle w:val="Hyperlink"/>
            <w:rFonts w:ascii="Times New Roman" w:eastAsia="SimSun" w:hAnsi="Times New Roman" w:cs="Times New Roman"/>
            <w:color w:val="auto"/>
            <w:sz w:val="20"/>
            <w:szCs w:val="20"/>
            <w:u w:val="none"/>
          </w:rPr>
          <w:t>Vilar et al. (</w:t>
        </w:r>
        <w:r>
          <w:rPr>
            <w:rStyle w:val="Hyperlink"/>
            <w:rFonts w:ascii="Times New Roman" w:eastAsia="SimSun" w:hAnsi="Times New Roman" w:cs="Times New Roman"/>
            <w:sz w:val="20"/>
            <w:szCs w:val="20"/>
            <w:u w:val="none"/>
          </w:rPr>
          <w:t>2014</w:t>
        </w:r>
        <w:r>
          <w:rPr>
            <w:rStyle w:val="Hyperlink"/>
            <w:rFonts w:ascii="Times New Roman" w:eastAsia="SimSun" w:hAnsi="Times New Roman" w:cs="Times New Roman"/>
            <w:color w:val="auto"/>
            <w:sz w:val="20"/>
            <w:szCs w:val="20"/>
            <w:u w:val="none"/>
          </w:rPr>
          <w:t>)</w:t>
        </w:r>
      </w:hyperlink>
      <w:r>
        <w:rPr>
          <w:rFonts w:ascii="Times New Roman" w:eastAsia="SimSun" w:hAnsi="Times New Roman" w:cs="Times New Roman"/>
          <w:sz w:val="20"/>
          <w:szCs w:val="20"/>
        </w:rPr>
        <w:t xml:space="preserve"> using virtual reality, found that the brightness of evacuation exits significantly influenced navigation in both normal and emergency situations, sometimes more than the effectiveness of evacuation signs. </w:t>
      </w:r>
      <w:hyperlink w:anchor="Guo" w:history="1">
        <w:r>
          <w:rPr>
            <w:rStyle w:val="Hyperlink"/>
            <w:rFonts w:ascii="Times New Roman" w:eastAsia="SimSun" w:hAnsi="Times New Roman" w:cs="Times New Roman"/>
            <w:color w:val="auto"/>
            <w:sz w:val="20"/>
            <w:szCs w:val="20"/>
            <w:u w:val="none"/>
          </w:rPr>
          <w:t>Guo et al. (</w:t>
        </w:r>
        <w:r>
          <w:rPr>
            <w:rStyle w:val="Hyperlink"/>
            <w:rFonts w:ascii="Times New Roman" w:eastAsia="SimSun" w:hAnsi="Times New Roman" w:cs="Times New Roman"/>
            <w:sz w:val="20"/>
            <w:szCs w:val="20"/>
            <w:u w:val="none"/>
          </w:rPr>
          <w:t>2023</w:t>
        </w:r>
      </w:hyperlink>
      <w:r>
        <w:rPr>
          <w:rFonts w:ascii="Times New Roman" w:eastAsia="SimSun" w:hAnsi="Times New Roman" w:cs="Times New Roman"/>
          <w:sz w:val="20"/>
          <w:szCs w:val="20"/>
        </w:rPr>
        <w:t xml:space="preserve">) proposed an evacuation model considering the phototaxis behavior of panicked individuals with limited visibility, aiming to study the impact of phototaxis on evacuation processes. While simulation and experimental studies have observed phototaxis behavior, research on the phototaxis induced by panic and how different personality traits influence </w:t>
      </w:r>
      <w:proofErr w:type="gramStart"/>
      <w:r>
        <w:rPr>
          <w:rFonts w:ascii="Times New Roman" w:eastAsia="SimSun" w:hAnsi="Times New Roman" w:cs="Times New Roman"/>
          <w:sz w:val="20"/>
          <w:szCs w:val="20"/>
        </w:rPr>
        <w:t>its</w:t>
      </w:r>
      <w:proofErr w:type="gramEnd"/>
      <w:r>
        <w:rPr>
          <w:rFonts w:ascii="Times New Roman" w:eastAsia="SimSun" w:hAnsi="Times New Roman" w:cs="Times New Roman"/>
          <w:sz w:val="20"/>
          <w:szCs w:val="20"/>
        </w:rPr>
        <w:t xml:space="preserve"> underlying mechanisms remains relatively sparse.</w:t>
      </w:r>
    </w:p>
    <w:p w14:paraId="10FA4A7D" w14:textId="77777777" w:rsidR="00907DC0" w:rsidRDefault="00000000">
      <w:pPr>
        <w:widowControl/>
        <w:spacing w:line="280" w:lineRule="exact"/>
        <w:ind w:firstLineChars="200" w:firstLine="400"/>
        <w:rPr>
          <w:rFonts w:ascii="Times New Roman" w:eastAsia="SimSun" w:hAnsi="Times New Roman" w:cs="Times New Roman"/>
          <w:sz w:val="20"/>
          <w:szCs w:val="20"/>
        </w:rPr>
      </w:pPr>
      <w:r>
        <w:rPr>
          <w:rFonts w:ascii="Times New Roman" w:eastAsia="SimSun" w:hAnsi="Times New Roman" w:cs="Times New Roman"/>
          <w:sz w:val="20"/>
          <w:szCs w:val="20"/>
        </w:rPr>
        <w:t>In conclusion, although significant progress has been made in the study of pedestrian behavior and emotions during emergency evacuations, there is limited research on the stress responses and behaviors of individuals with different personality traits when faced with panic emotions. This gap exists partly due to the lack of relevant experience data and quantitative theories in panic conditions, and partly because emotions or psychological states are highly complex and difficult to explore (</w:t>
      </w:r>
      <w:hyperlink w:anchor="Sun" w:history="1">
        <w:r>
          <w:rPr>
            <w:rStyle w:val="Hyperlink"/>
            <w:rFonts w:ascii="Times New Roman" w:eastAsia="SimSun" w:hAnsi="Times New Roman" w:cs="Times New Roman"/>
            <w:color w:val="auto"/>
            <w:sz w:val="20"/>
            <w:szCs w:val="20"/>
            <w:u w:val="none"/>
          </w:rPr>
          <w:t xml:space="preserve">Sun and Chen, </w:t>
        </w:r>
        <w:r>
          <w:rPr>
            <w:rStyle w:val="Hyperlink"/>
            <w:rFonts w:ascii="Times New Roman" w:eastAsia="SimSun" w:hAnsi="Times New Roman" w:cs="Times New Roman"/>
            <w:sz w:val="20"/>
            <w:szCs w:val="20"/>
            <w:u w:val="none"/>
          </w:rPr>
          <w:t>2023</w:t>
        </w:r>
      </w:hyperlink>
      <w:r>
        <w:rPr>
          <w:rFonts w:ascii="Times New Roman" w:eastAsia="SimSun" w:hAnsi="Times New Roman" w:cs="Times New Roman"/>
          <w:sz w:val="20"/>
          <w:szCs w:val="20"/>
        </w:rPr>
        <w:t>). Therefore, this paper investigates the phototaxis behavior and corresponding physiological changes of individuals with different personality traits during panic.</w:t>
      </w:r>
    </w:p>
    <w:p w14:paraId="6D086244" w14:textId="77777777" w:rsidR="00907DC0" w:rsidRDefault="00000000">
      <w:pPr>
        <w:widowControl/>
        <w:spacing w:line="280" w:lineRule="exact"/>
        <w:ind w:firstLineChars="200" w:firstLine="400"/>
        <w:rPr>
          <w:rFonts w:ascii="Times New Roman" w:eastAsia="SimSun" w:hAnsi="Times New Roman" w:cs="Times New Roman"/>
          <w:sz w:val="20"/>
          <w:szCs w:val="20"/>
        </w:rPr>
      </w:pPr>
      <w:r>
        <w:rPr>
          <w:rFonts w:ascii="Times New Roman" w:eastAsia="SimSun" w:hAnsi="Times New Roman" w:cs="Times New Roman"/>
          <w:sz w:val="20"/>
          <w:szCs w:val="20"/>
        </w:rPr>
        <w:t>This study combines physiological monitoring and personality trait assessments to explore the influence of personality traits on panic-induced emotional contagion and phototaxis behavior, aiming to reveal the relationship between panic-driven evacuation behavior and neurophysiological responses. The remainder of the paper is structured as follows: Section 2 presents the materials and methods, Section 3 reports the experimental results, Section 4 discusses the findings, and Section 5 concludes with future outlooks.</w:t>
      </w:r>
    </w:p>
    <w:p w14:paraId="75AEC821" w14:textId="77777777" w:rsidR="00907DC0" w:rsidRDefault="00000000">
      <w:pPr>
        <w:pStyle w:val="Heading3"/>
        <w:spacing w:before="156" w:after="156" w:line="280" w:lineRule="exact"/>
        <w:jc w:val="left"/>
        <w:rPr>
          <w:rFonts w:ascii="Times New Roman" w:eastAsia="SimSun" w:hAnsi="Times New Roman" w:cs="Times New Roman"/>
          <w:sz w:val="20"/>
          <w:szCs w:val="20"/>
        </w:rPr>
      </w:pPr>
      <w:r>
        <w:rPr>
          <w:rFonts w:ascii="Times New Roman" w:eastAsia="Times New Roman" w:hAnsi="Times New Roman" w:cs="Times New Roman"/>
          <w:sz w:val="20"/>
          <w:szCs w:val="20"/>
        </w:rPr>
        <w:t>2 M</w:t>
      </w:r>
      <w:r>
        <w:rPr>
          <w:rFonts w:ascii="Times New Roman" w:eastAsia="SimSun" w:hAnsi="Times New Roman" w:cs="Times New Roman" w:hint="eastAsia"/>
          <w:sz w:val="20"/>
          <w:szCs w:val="20"/>
        </w:rPr>
        <w:t>ETHOD</w:t>
      </w:r>
      <w:r>
        <w:rPr>
          <w:rFonts w:ascii="Times New Roman" w:eastAsia="Times New Roman" w:hAnsi="Times New Roman" w:cs="Times New Roman"/>
          <w:sz w:val="20"/>
          <w:szCs w:val="20"/>
        </w:rPr>
        <w:t xml:space="preserve"> </w:t>
      </w:r>
      <w:r>
        <w:rPr>
          <w:rFonts w:ascii="Times New Roman" w:eastAsia="SimSun" w:hAnsi="Times New Roman" w:cs="Times New Roman" w:hint="eastAsia"/>
          <w:sz w:val="20"/>
          <w:szCs w:val="20"/>
        </w:rPr>
        <w:t>AND</w:t>
      </w:r>
      <w:r>
        <w:rPr>
          <w:rFonts w:ascii="Times New Roman" w:eastAsia="Times New Roman" w:hAnsi="Times New Roman" w:cs="Times New Roman"/>
          <w:sz w:val="20"/>
          <w:szCs w:val="20"/>
        </w:rPr>
        <w:t xml:space="preserve"> </w:t>
      </w:r>
      <w:r>
        <w:rPr>
          <w:rFonts w:ascii="Times New Roman" w:eastAsia="SimSun" w:hAnsi="Times New Roman" w:cs="Times New Roman"/>
          <w:sz w:val="20"/>
          <w:szCs w:val="20"/>
        </w:rPr>
        <w:t>M</w:t>
      </w:r>
      <w:r>
        <w:rPr>
          <w:rFonts w:ascii="Times New Roman" w:eastAsia="SimSun" w:hAnsi="Times New Roman" w:cs="Times New Roman" w:hint="eastAsia"/>
          <w:sz w:val="20"/>
          <w:szCs w:val="20"/>
        </w:rPr>
        <w:t>ATERIALS</w:t>
      </w:r>
    </w:p>
    <w:p w14:paraId="4D409CE3" w14:textId="77777777" w:rsidR="00907DC0" w:rsidRDefault="00000000">
      <w:pPr>
        <w:numPr>
          <w:ilvl w:val="0"/>
          <w:numId w:val="2"/>
        </w:numPr>
        <w:spacing w:line="280" w:lineRule="exact"/>
        <w:ind w:firstLine="0"/>
        <w:rPr>
          <w:rFonts w:ascii="Times New Roman" w:hAnsi="Times New Roman" w:cs="Times New Roman"/>
          <w:b/>
          <w:bCs/>
          <w:sz w:val="20"/>
          <w:szCs w:val="20"/>
        </w:rPr>
      </w:pPr>
      <w:bookmarkStart w:id="3" w:name="OLE_LINK3"/>
      <w:r>
        <w:rPr>
          <w:rFonts w:ascii="Times New Roman" w:eastAsia="Times New Roman" w:hAnsi="Times New Roman" w:cs="Times New Roman"/>
          <w:b/>
          <w:bCs/>
          <w:sz w:val="20"/>
          <w:szCs w:val="20"/>
        </w:rPr>
        <w:t>Participants</w:t>
      </w:r>
    </w:p>
    <w:p w14:paraId="42CF96E4" w14:textId="77777777" w:rsidR="00907DC0" w:rsidRDefault="00000000">
      <w:pPr>
        <w:spacing w:line="280" w:lineRule="exact"/>
        <w:ind w:firstLineChars="200" w:firstLine="400"/>
        <w:rPr>
          <w:rFonts w:ascii="Times New Roman" w:hAnsi="Times New Roman" w:cs="Times New Roman"/>
          <w:b/>
          <w:bCs/>
          <w:sz w:val="20"/>
          <w:szCs w:val="20"/>
        </w:rPr>
      </w:pPr>
      <w:r>
        <w:rPr>
          <w:rFonts w:ascii="Times New Roman" w:eastAsia="Times New Roman" w:hAnsi="Times New Roman" w:cs="Times New Roman"/>
          <w:sz w:val="20"/>
          <w:szCs w:val="20"/>
        </w:rPr>
        <w:t xml:space="preserve">The recruitment and experimental procedures in this study adhered to the ethical guidelines of the World Medical Association (Declaration of Helsinki) and were approved by the Psychological Health Education Center Committee at Shenyang </w:t>
      </w:r>
      <w:proofErr w:type="spellStart"/>
      <w:r>
        <w:rPr>
          <w:rFonts w:ascii="Times New Roman" w:eastAsia="Times New Roman" w:hAnsi="Times New Roman" w:cs="Times New Roman"/>
          <w:sz w:val="20"/>
          <w:szCs w:val="20"/>
        </w:rPr>
        <w:t>Jianzhu</w:t>
      </w:r>
      <w:proofErr w:type="spellEnd"/>
      <w:r>
        <w:rPr>
          <w:rFonts w:ascii="Times New Roman" w:eastAsia="Times New Roman" w:hAnsi="Times New Roman" w:cs="Times New Roman"/>
          <w:sz w:val="20"/>
          <w:szCs w:val="20"/>
        </w:rPr>
        <w:t xml:space="preserve"> University. Participants were recruited through an online platform, with a total of 30 individuals recruited within the age range of 21–28 years. The final valid sample consisted of 28 participants, including 16 males (mean age = 24 years, standard deviation = 3.10) and 12 females (mean age = 29 years, standard deviation = 4.71). All participants were sufficiently familiar with the subway station (having visited the station at least five times) and were able to navigate to the exit on the -1 floor proficiently. Before the experiment, participants read and signed an informed consent </w:t>
      </w:r>
      <w:proofErr w:type="gramStart"/>
      <w:r>
        <w:rPr>
          <w:rFonts w:ascii="Times New Roman" w:eastAsia="Times New Roman" w:hAnsi="Times New Roman" w:cs="Times New Roman"/>
          <w:sz w:val="20"/>
          <w:szCs w:val="20"/>
        </w:rPr>
        <w:t>form, and</w:t>
      </w:r>
      <w:proofErr w:type="gramEnd"/>
      <w:r>
        <w:rPr>
          <w:rFonts w:ascii="Times New Roman" w:eastAsia="Times New Roman" w:hAnsi="Times New Roman" w:cs="Times New Roman"/>
          <w:sz w:val="20"/>
          <w:szCs w:val="20"/>
        </w:rPr>
        <w:t xml:space="preserve"> completed a questionnaire after the experiment. Each participant received a reward of 30 RMB.</w:t>
      </w:r>
    </w:p>
    <w:p w14:paraId="30DC8E48" w14:textId="77777777" w:rsidR="00907DC0" w:rsidRDefault="00000000">
      <w:pPr>
        <w:numPr>
          <w:ilvl w:val="0"/>
          <w:numId w:val="2"/>
        </w:numPr>
        <w:spacing w:line="280" w:lineRule="exact"/>
        <w:ind w:firstLine="0"/>
        <w:rPr>
          <w:rFonts w:ascii="Times New Roman" w:hAnsi="Times New Roman" w:cs="Times New Roman"/>
          <w:b/>
          <w:bCs/>
          <w:sz w:val="20"/>
          <w:szCs w:val="20"/>
        </w:rPr>
      </w:pPr>
      <w:r>
        <w:rPr>
          <w:rFonts w:ascii="Times New Roman" w:eastAsia="Times New Roman" w:hAnsi="Times New Roman" w:cs="Times New Roman"/>
          <w:b/>
          <w:bCs/>
          <w:sz w:val="20"/>
          <w:szCs w:val="20"/>
        </w:rPr>
        <w:t xml:space="preserve">Equipment </w:t>
      </w:r>
      <w:r>
        <w:rPr>
          <w:rFonts w:ascii="Times New Roman" w:eastAsia="SimSun" w:hAnsi="Times New Roman" w:cs="Times New Roman"/>
          <w:b/>
          <w:bCs/>
          <w:sz w:val="20"/>
          <w:szCs w:val="20"/>
        </w:rPr>
        <w:t>Design</w:t>
      </w:r>
    </w:p>
    <w:p w14:paraId="184B37C0" w14:textId="77777777" w:rsidR="00907DC0" w:rsidRDefault="00000000">
      <w:pPr>
        <w:tabs>
          <w:tab w:val="left" w:pos="0"/>
        </w:tabs>
        <w:spacing w:line="280" w:lineRule="exact"/>
        <w:rPr>
          <w:rFonts w:ascii="Times New Roman" w:hAnsi="Times New Roman" w:cs="Times New Roman"/>
          <w:b/>
          <w:bCs/>
          <w:sz w:val="20"/>
          <w:szCs w:val="20"/>
        </w:rPr>
      </w:pPr>
      <w:r>
        <w:rPr>
          <w:rFonts w:ascii="Times New Roman" w:eastAsia="Times New Roman" w:hAnsi="Times New Roman" w:cs="Times New Roman"/>
          <w:b/>
          <w:bCs/>
          <w:sz w:val="20"/>
          <w:szCs w:val="20"/>
        </w:rPr>
        <w:t>2.2.1 Experimental Scenarios and Tasks</w:t>
      </w:r>
    </w:p>
    <w:p w14:paraId="18A68131"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A virtual reality simulation of the Youth Street Subway Station was constructed, with four exits (A, B, C, D) placed according to their actual locations. To increase the experimental saturation and eliminate potential interference from familiarity with the scenario</w:t>
      </w:r>
      <w:r>
        <w:rPr>
          <w:rFonts w:ascii="Times New Roman" w:eastAsia="SimSun" w:hAnsi="Times New Roman" w:cs="Times New Roman"/>
          <w:sz w:val="20"/>
          <w:szCs w:val="20"/>
        </w:rPr>
        <w:t xml:space="preserve"> </w:t>
      </w:r>
      <w:r>
        <w:rPr>
          <w:rFonts w:ascii="Times New Roman" w:eastAsia="Times New Roman" w:hAnsi="Times New Roman" w:cs="Times New Roman"/>
          <w:sz w:val="20"/>
          <w:szCs w:val="20"/>
        </w:rPr>
        <w:t>(</w:t>
      </w:r>
      <w:hyperlink w:anchor="Huang" w:history="1">
        <w:r>
          <w:rPr>
            <w:rStyle w:val="FollowedHyperlink"/>
            <w:rFonts w:eastAsia="Times New Roman" w:cs="Times New Roman"/>
            <w:color w:val="auto"/>
            <w:sz w:val="20"/>
            <w:szCs w:val="20"/>
            <w:u w:val="none"/>
          </w:rPr>
          <w:t xml:space="preserve">Huang, </w:t>
        </w:r>
        <w:r>
          <w:rPr>
            <w:rStyle w:val="FollowedHyperlink"/>
            <w:rFonts w:eastAsia="Times New Roman" w:cs="Times New Roman"/>
            <w:sz w:val="20"/>
            <w:szCs w:val="20"/>
            <w:u w:val="none"/>
          </w:rPr>
          <w:t>2021</w:t>
        </w:r>
      </w:hyperlink>
      <w:r>
        <w:rPr>
          <w:rFonts w:ascii="Times New Roman" w:eastAsia="Times New Roman" w:hAnsi="Times New Roman" w:cs="Times New Roman"/>
          <w:sz w:val="20"/>
          <w:szCs w:val="20"/>
        </w:rPr>
        <w:t xml:space="preserve">), two initial positions, Position 1 (P1) and Position 2 (P2), were set. Participants were instructed to successfully escape from any exit, following directional signs, as shown in </w:t>
      </w:r>
      <w:hyperlink w:anchor="fig1" w:history="1">
        <w:r>
          <w:rPr>
            <w:rStyle w:val="FollowedHyperlink"/>
            <w:rFonts w:cs="Times New Roman"/>
            <w:sz w:val="20"/>
            <w:szCs w:val="20"/>
            <w:u w:val="none"/>
          </w:rPr>
          <w:t>F</w:t>
        </w:r>
        <w:r>
          <w:rPr>
            <w:rStyle w:val="FollowedHyperlink"/>
            <w:rFonts w:eastAsia="Times New Roman" w:cs="Times New Roman"/>
            <w:sz w:val="20"/>
            <w:szCs w:val="20"/>
            <w:u w:val="none"/>
          </w:rPr>
          <w:t>i</w:t>
        </w:r>
        <w:r>
          <w:rPr>
            <w:rStyle w:val="FollowedHyperlink"/>
            <w:rFonts w:cs="Times New Roman" w:hint="eastAsia"/>
            <w:sz w:val="20"/>
            <w:szCs w:val="20"/>
            <w:u w:val="none"/>
          </w:rPr>
          <w:t xml:space="preserve">gure </w:t>
        </w:r>
        <w:r>
          <w:rPr>
            <w:rStyle w:val="FollowedHyperlink"/>
            <w:rFonts w:eastAsia="Times New Roman" w:cs="Times New Roman"/>
            <w:sz w:val="20"/>
            <w:szCs w:val="20"/>
            <w:u w:val="none"/>
          </w:rPr>
          <w:t>1</w:t>
        </w:r>
      </w:hyperlink>
      <w:r>
        <w:rPr>
          <w:rFonts w:ascii="Times New Roman" w:eastAsia="Times New Roman" w:hAnsi="Times New Roman" w:cs="Times New Roman"/>
          <w:sz w:val="20"/>
          <w:szCs w:val="20"/>
        </w:rPr>
        <w:t xml:space="preserve">. Each participant participated in two experimental conditions: Experiment 1, where Exit B had no light source and Exit C </w:t>
      </w:r>
      <w:r>
        <w:rPr>
          <w:rFonts w:ascii="Times New Roman" w:eastAsia="Times New Roman" w:hAnsi="Times New Roman" w:cs="Times New Roman"/>
          <w:sz w:val="20"/>
          <w:szCs w:val="20"/>
        </w:rPr>
        <w:lastRenderedPageBreak/>
        <w:t>had a strong light source; and Experiment 2, where the light source intensity at both exits was the same, with additional panic contagion stimuli included.</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3"/>
      </w:tblGrid>
      <w:tr w:rsidR="00907DC0" w14:paraId="73302F7F" w14:textId="77777777">
        <w:trPr>
          <w:trHeight w:val="90"/>
          <w:jc w:val="center"/>
        </w:trPr>
        <w:tc>
          <w:tcPr>
            <w:tcW w:w="5106" w:type="dxa"/>
          </w:tcPr>
          <w:p w14:paraId="46B6F05E" w14:textId="77777777" w:rsidR="00907DC0" w:rsidRDefault="00000000">
            <w:pPr>
              <w:jc w:val="center"/>
              <w:rPr>
                <w:rFonts w:ascii="Times New Roman" w:hAnsi="Times New Roman" w:cs="Times New Roman"/>
              </w:rPr>
            </w:pPr>
            <w:bookmarkStart w:id="4" w:name="OLE_LINK7"/>
            <w:r>
              <w:rPr>
                <w:rFonts w:ascii="Times New Roman" w:hAnsi="Times New Roman" w:cs="Times New Roman"/>
                <w:noProof/>
              </w:rPr>
              <w:drawing>
                <wp:inline distT="0" distB="0" distL="114300" distR="114300" wp14:anchorId="1EF8D62B" wp14:editId="4B3CEA97">
                  <wp:extent cx="3204845" cy="1224280"/>
                  <wp:effectExtent l="0" t="0" r="14605" b="1397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9"/>
                          <a:srcRect t="10397" b="2271"/>
                          <a:stretch>
                            <a:fillRect/>
                          </a:stretch>
                        </pic:blipFill>
                        <pic:spPr>
                          <a:xfrm>
                            <a:off x="0" y="0"/>
                            <a:ext cx="3204845" cy="1224280"/>
                          </a:xfrm>
                          <a:prstGeom prst="rect">
                            <a:avLst/>
                          </a:prstGeom>
                          <a:noFill/>
                          <a:ln>
                            <a:noFill/>
                          </a:ln>
                        </pic:spPr>
                      </pic:pic>
                    </a:graphicData>
                  </a:graphic>
                </wp:inline>
              </w:drawing>
            </w:r>
          </w:p>
        </w:tc>
      </w:tr>
      <w:tr w:rsidR="00907DC0" w14:paraId="47EE12F6" w14:textId="77777777">
        <w:trPr>
          <w:jc w:val="center"/>
        </w:trPr>
        <w:tc>
          <w:tcPr>
            <w:tcW w:w="5106" w:type="dxa"/>
          </w:tcPr>
          <w:p w14:paraId="1A9B03D0" w14:textId="77777777" w:rsidR="00907DC0" w:rsidRDefault="00000000">
            <w:pPr>
              <w:jc w:val="center"/>
              <w:rPr>
                <w:rFonts w:ascii="Times New Roman" w:hAnsi="Times New Roman" w:cs="Times New Roman"/>
                <w:sz w:val="22"/>
                <w:szCs w:val="28"/>
              </w:rPr>
            </w:pPr>
            <w:bookmarkStart w:id="5" w:name="fig1"/>
            <w:r>
              <w:rPr>
                <w:rFonts w:ascii="Times New Roman" w:eastAsia="Times New Roman" w:hAnsi="Times New Roman" w:cs="Times New Roman"/>
                <w:b/>
                <w:bCs/>
                <w:sz w:val="18"/>
                <w:szCs w:val="18"/>
              </w:rPr>
              <w:t>F</w:t>
            </w:r>
            <w:r>
              <w:rPr>
                <w:rFonts w:ascii="Times New Roman" w:eastAsia="SimSun" w:hAnsi="Times New Roman" w:cs="Times New Roman" w:hint="eastAsia"/>
                <w:b/>
                <w:bCs/>
                <w:sz w:val="18"/>
                <w:szCs w:val="18"/>
              </w:rPr>
              <w:t xml:space="preserve">IGURE </w:t>
            </w:r>
            <w:r>
              <w:rPr>
                <w:rFonts w:ascii="Times New Roman" w:eastAsia="SimSun" w:hAnsi="Times New Roman" w:cs="Times New Roman"/>
                <w:b/>
                <w:bCs/>
                <w:sz w:val="18"/>
                <w:szCs w:val="18"/>
              </w:rPr>
              <w:t>1</w:t>
            </w:r>
            <w:r>
              <w:rPr>
                <w:rFonts w:ascii="Times New Roman" w:eastAsia="Times New Roman" w:hAnsi="Times New Roman" w:cs="Times New Roman"/>
                <w:sz w:val="18"/>
                <w:szCs w:val="18"/>
              </w:rPr>
              <w:t xml:space="preserve"> Virtual Reality Scenario</w:t>
            </w:r>
            <w:bookmarkEnd w:id="5"/>
          </w:p>
        </w:tc>
      </w:tr>
    </w:tbl>
    <w:bookmarkEnd w:id="4"/>
    <w:p w14:paraId="135A3D63" w14:textId="77777777" w:rsidR="00907DC0" w:rsidRDefault="00000000">
      <w:pPr>
        <w:tabs>
          <w:tab w:val="left" w:pos="0"/>
        </w:tabs>
        <w:spacing w:line="280" w:lineRule="exact"/>
        <w:rPr>
          <w:rFonts w:ascii="Times New Roman" w:hAnsi="Times New Roman" w:cs="Times New Roman"/>
          <w:b/>
          <w:bCs/>
          <w:sz w:val="20"/>
          <w:szCs w:val="20"/>
        </w:rPr>
      </w:pPr>
      <w:r>
        <w:rPr>
          <w:rFonts w:ascii="Times New Roman" w:eastAsia="Times New Roman" w:hAnsi="Times New Roman" w:cs="Times New Roman"/>
          <w:b/>
          <w:bCs/>
          <w:sz w:val="20"/>
          <w:szCs w:val="20"/>
        </w:rPr>
        <w:t>2.2.2 Experimental Stimuli Materials</w:t>
      </w:r>
    </w:p>
    <w:p w14:paraId="07F1C686"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Stimuli are mediums used by researchers to evoke emotional responses from participants. Currently, commonly used stimuli formats include video clips, images, sounds, and other media (</w:t>
      </w:r>
      <w:proofErr w:type="spellStart"/>
      <w:r>
        <w:rPr>
          <w:rFonts w:ascii="Times New Roman" w:eastAsia="Times New Roman" w:hAnsi="Times New Roman" w:cs="Times New Roman"/>
          <w:sz w:val="20"/>
          <w:szCs w:val="20"/>
        </w:rPr>
        <w:fldChar w:fldCharType="begin"/>
      </w:r>
      <w:r>
        <w:rPr>
          <w:rFonts w:ascii="Times New Roman" w:eastAsia="Times New Roman" w:hAnsi="Times New Roman" w:cs="Times New Roman"/>
          <w:sz w:val="20"/>
          <w:szCs w:val="20"/>
        </w:rPr>
        <w:instrText xml:space="preserve"> HYPERLINK \l "Bulagang" </w:instrText>
      </w:r>
      <w:r>
        <w:rPr>
          <w:rFonts w:ascii="Times New Roman" w:eastAsia="Times New Roman" w:hAnsi="Times New Roman" w:cs="Times New Roman"/>
          <w:sz w:val="20"/>
          <w:szCs w:val="20"/>
        </w:rPr>
      </w:r>
      <w:r>
        <w:rPr>
          <w:rFonts w:ascii="Times New Roman" w:eastAsia="Times New Roman" w:hAnsi="Times New Roman" w:cs="Times New Roman"/>
          <w:sz w:val="20"/>
          <w:szCs w:val="20"/>
        </w:rPr>
        <w:fldChar w:fldCharType="separate"/>
      </w:r>
      <w:r>
        <w:rPr>
          <w:rStyle w:val="Hyperlink"/>
          <w:rFonts w:ascii="Times New Roman" w:eastAsia="Times New Roman" w:hAnsi="Times New Roman" w:cs="Times New Roman"/>
          <w:color w:val="auto"/>
          <w:sz w:val="20"/>
          <w:szCs w:val="20"/>
          <w:u w:val="none"/>
        </w:rPr>
        <w:t>Bulagang</w:t>
      </w:r>
      <w:proofErr w:type="spellEnd"/>
      <w:r>
        <w:rPr>
          <w:rStyle w:val="Hyperlink"/>
          <w:rFonts w:ascii="Times New Roman" w:eastAsia="Times New Roman" w:hAnsi="Times New Roman" w:cs="Times New Roman"/>
          <w:color w:val="auto"/>
          <w:sz w:val="20"/>
          <w:szCs w:val="20"/>
          <w:u w:val="none"/>
        </w:rPr>
        <w:t xml:space="preserve"> et al.</w:t>
      </w:r>
      <w:r>
        <w:rPr>
          <w:rStyle w:val="Hyperlink"/>
          <w:rFonts w:ascii="Times New Roman" w:eastAsia="Times New Roman" w:hAnsi="Times New Roman" w:cs="Times New Roman"/>
          <w:sz w:val="20"/>
          <w:szCs w:val="20"/>
          <w:u w:val="none"/>
        </w:rPr>
        <w:t>, 2020</w:t>
      </w:r>
      <w:r>
        <w:rPr>
          <w:rFonts w:ascii="Times New Roman" w:eastAsia="Times New Roman" w:hAnsi="Times New Roman" w:cs="Times New Roman"/>
          <w:sz w:val="20"/>
          <w:szCs w:val="20"/>
        </w:rPr>
        <w:fldChar w:fldCharType="end"/>
      </w:r>
      <w:r>
        <w:rPr>
          <w:rFonts w:ascii="Times New Roman" w:eastAsia="Times New Roman" w:hAnsi="Times New Roman" w:cs="Times New Roman"/>
          <w:sz w:val="20"/>
          <w:szCs w:val="20"/>
        </w:rPr>
        <w:t>). Dynamic videos, as compared to static images, have a stronger effect in promoting emotional responses (</w:t>
      </w:r>
      <w:hyperlink w:anchor="Schaefer" w:history="1">
        <w:r>
          <w:rPr>
            <w:rStyle w:val="Hyperlink"/>
            <w:rFonts w:ascii="Times New Roman" w:eastAsia="Times New Roman" w:hAnsi="Times New Roman" w:cs="Times New Roman"/>
            <w:color w:val="auto"/>
            <w:sz w:val="20"/>
            <w:szCs w:val="20"/>
            <w:u w:val="none"/>
          </w:rPr>
          <w:t>Schaefer et al.</w:t>
        </w:r>
        <w:r>
          <w:rPr>
            <w:rStyle w:val="Hyperlink"/>
            <w:rFonts w:ascii="Times New Roman" w:eastAsia="Times New Roman" w:hAnsi="Times New Roman" w:cs="Times New Roman"/>
            <w:sz w:val="20"/>
            <w:szCs w:val="20"/>
            <w:u w:val="none"/>
          </w:rPr>
          <w:t>, 2010</w:t>
        </w:r>
      </w:hyperlink>
      <w:r>
        <w:rPr>
          <w:rFonts w:ascii="Times New Roman" w:eastAsia="Times New Roman" w:hAnsi="Times New Roman" w:cs="Times New Roman"/>
          <w:sz w:val="20"/>
          <w:szCs w:val="20"/>
        </w:rPr>
        <w:t xml:space="preserve">). In this experiment, participants were exposed to auditory and visual stimuli during the process to simulate a real </w:t>
      </w:r>
      <w:proofErr w:type="gramStart"/>
      <w:r>
        <w:rPr>
          <w:rFonts w:ascii="Times New Roman" w:eastAsia="Times New Roman" w:hAnsi="Times New Roman" w:cs="Times New Roman"/>
          <w:sz w:val="20"/>
          <w:szCs w:val="20"/>
        </w:rPr>
        <w:t>emergency situation</w:t>
      </w:r>
      <w:proofErr w:type="gramEnd"/>
      <w:r>
        <w:rPr>
          <w:rFonts w:ascii="Times New Roman" w:eastAsia="Times New Roman" w:hAnsi="Times New Roman" w:cs="Times New Roman"/>
          <w:sz w:val="20"/>
          <w:szCs w:val="20"/>
        </w:rPr>
        <w:t>. Panic-inducing videos were also used to trigger participants’ panic emotions.</w:t>
      </w:r>
    </w:p>
    <w:p w14:paraId="6159C810"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Based on the Chinese Digital Sound System (</w:t>
      </w:r>
      <w:hyperlink w:anchor="liu" w:history="1">
        <w:r>
          <w:rPr>
            <w:rStyle w:val="Hyperlink"/>
            <w:rFonts w:ascii="Times New Roman" w:eastAsia="Times New Roman" w:hAnsi="Times New Roman" w:cs="Times New Roman"/>
            <w:color w:val="auto"/>
            <w:sz w:val="20"/>
            <w:szCs w:val="20"/>
            <w:u w:val="none"/>
          </w:rPr>
          <w:t>Liu et al.,</w:t>
        </w:r>
        <w:r>
          <w:rPr>
            <w:rStyle w:val="Hyperlink"/>
            <w:rFonts w:ascii="Times New Roman" w:eastAsia="Times New Roman" w:hAnsi="Times New Roman" w:cs="Times New Roman"/>
            <w:sz w:val="20"/>
            <w:szCs w:val="20"/>
            <w:u w:val="none"/>
          </w:rPr>
          <w:t xml:space="preserve"> 2006</w:t>
        </w:r>
      </w:hyperlink>
      <w:r>
        <w:rPr>
          <w:rFonts w:ascii="Times New Roman" w:eastAsia="Times New Roman" w:hAnsi="Times New Roman" w:cs="Times New Roman"/>
          <w:sz w:val="20"/>
          <w:szCs w:val="20"/>
        </w:rPr>
        <w:t>) and the International Affective Digital Sound System (</w:t>
      </w:r>
      <w:hyperlink w:anchor="Bradley" w:history="1">
        <w:r>
          <w:rPr>
            <w:rStyle w:val="Hyperlink"/>
            <w:rFonts w:ascii="Times New Roman" w:eastAsia="Times New Roman" w:hAnsi="Times New Roman" w:cs="Times New Roman"/>
            <w:color w:val="auto"/>
            <w:sz w:val="20"/>
            <w:szCs w:val="20"/>
            <w:u w:val="none"/>
          </w:rPr>
          <w:t>Bradley and Lang,</w:t>
        </w:r>
        <w:r>
          <w:rPr>
            <w:rStyle w:val="Hyperlink"/>
            <w:rFonts w:ascii="Times New Roman" w:eastAsia="Times New Roman" w:hAnsi="Times New Roman" w:cs="Times New Roman"/>
            <w:sz w:val="20"/>
            <w:szCs w:val="20"/>
            <w:u w:val="none"/>
          </w:rPr>
          <w:t xml:space="preserve"> 1999</w:t>
        </w:r>
      </w:hyperlink>
      <w:r>
        <w:rPr>
          <w:rFonts w:ascii="Times New Roman" w:eastAsia="Times New Roman" w:hAnsi="Times New Roman" w:cs="Times New Roman"/>
          <w:sz w:val="20"/>
          <w:szCs w:val="20"/>
        </w:rPr>
        <w:t>), auditory stimuli materials such as shouting, crying, screaming, explosions, wind, alarm sounds, liquid splashes, collisions, falling, and collapsing sounds were selected (</w:t>
      </w:r>
      <w:hyperlink w:anchor="Xiong" w:history="1">
        <w:r>
          <w:rPr>
            <w:rStyle w:val="Hyperlink"/>
            <w:rFonts w:ascii="Times New Roman" w:eastAsia="Times New Roman" w:hAnsi="Times New Roman" w:cs="Times New Roman"/>
            <w:color w:val="auto"/>
            <w:sz w:val="20"/>
            <w:szCs w:val="20"/>
            <w:u w:val="none"/>
          </w:rPr>
          <w:t>Xiong et al.,</w:t>
        </w:r>
        <w:r>
          <w:rPr>
            <w:rStyle w:val="Hyperlink"/>
            <w:rFonts w:ascii="Times New Roman" w:eastAsia="Times New Roman" w:hAnsi="Times New Roman" w:cs="Times New Roman"/>
            <w:sz w:val="20"/>
            <w:szCs w:val="20"/>
            <w:u w:val="none"/>
          </w:rPr>
          <w:t xml:space="preserve"> 2015</w:t>
        </w:r>
      </w:hyperlink>
      <w:r>
        <w:rPr>
          <w:rFonts w:ascii="Times New Roman" w:eastAsia="Times New Roman" w:hAnsi="Times New Roman" w:cs="Times New Roman"/>
          <w:sz w:val="20"/>
          <w:szCs w:val="20"/>
        </w:rPr>
        <w:t xml:space="preserve">). Additionally, visual stimuli, such as dim lighting, smoke, and dynamic fire effects, were designed to simulate </w:t>
      </w:r>
      <w:proofErr w:type="gramStart"/>
      <w:r>
        <w:rPr>
          <w:rFonts w:ascii="Times New Roman" w:eastAsia="Times New Roman" w:hAnsi="Times New Roman" w:cs="Times New Roman"/>
          <w:sz w:val="20"/>
          <w:szCs w:val="20"/>
        </w:rPr>
        <w:t>an emergency situation</w:t>
      </w:r>
      <w:proofErr w:type="gramEnd"/>
      <w:r>
        <w:rPr>
          <w:rFonts w:ascii="Times New Roman" w:eastAsia="Times New Roman" w:hAnsi="Times New Roman" w:cs="Times New Roman"/>
          <w:sz w:val="20"/>
          <w:szCs w:val="20"/>
        </w:rPr>
        <w:t>.</w:t>
      </w:r>
    </w:p>
    <w:p w14:paraId="4C5CEF4B"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For the panic-inducing video materials, we initially collected 30 horror video clips. These clips were filtered through three rounds. In the first round, psychology professionals evaluated the clips based on video duration, complexity, and emotional arousal levels to ensure that participants would be physically adapted and experience an appropriate level of emotional arousal (</w:t>
      </w:r>
      <w:hyperlink w:anchor="LiBJ" w:history="1">
        <w:r>
          <w:rPr>
            <w:rStyle w:val="FollowedHyperlink"/>
            <w:rFonts w:eastAsia="Times New Roman" w:cs="Times New Roman"/>
            <w:color w:val="auto"/>
            <w:sz w:val="20"/>
            <w:szCs w:val="20"/>
            <w:u w:val="none"/>
          </w:rPr>
          <w:t xml:space="preserve">Li et al., </w:t>
        </w:r>
        <w:r>
          <w:rPr>
            <w:rStyle w:val="FollowedHyperlink"/>
            <w:rFonts w:eastAsia="Times New Roman" w:cs="Times New Roman"/>
            <w:sz w:val="20"/>
            <w:szCs w:val="20"/>
            <w:u w:val="none"/>
          </w:rPr>
          <w:t>2017</w:t>
        </w:r>
      </w:hyperlink>
      <w:r>
        <w:rPr>
          <w:rFonts w:ascii="Times New Roman" w:eastAsia="Times New Roman" w:hAnsi="Times New Roman" w:cs="Times New Roman"/>
          <w:sz w:val="20"/>
          <w:szCs w:val="20"/>
        </w:rPr>
        <w:t xml:space="preserve">). Then, 15 university students (average age: </w:t>
      </w:r>
      <w:r>
        <w:rPr>
          <w:rFonts w:ascii="Times New Roman" w:eastAsia="SimSun" w:hAnsi="Times New Roman" w:cs="Times New Roman"/>
          <w:sz w:val="20"/>
          <w:szCs w:val="20"/>
        </w:rPr>
        <w:t>28</w:t>
      </w:r>
      <w:r>
        <w:rPr>
          <w:rFonts w:ascii="Times New Roman" w:eastAsia="Times New Roman" w:hAnsi="Times New Roman" w:cs="Times New Roman"/>
          <w:sz w:val="20"/>
          <w:szCs w:val="20"/>
        </w:rPr>
        <w:t xml:space="preserve">, standard deviation: </w:t>
      </w:r>
      <w:r>
        <w:rPr>
          <w:rFonts w:ascii="Times New Roman" w:eastAsia="SimSun" w:hAnsi="Times New Roman" w:cs="Times New Roman"/>
          <w:sz w:val="20"/>
          <w:szCs w:val="20"/>
        </w:rPr>
        <w:t>2.1</w:t>
      </w:r>
      <w:r>
        <w:rPr>
          <w:rFonts w:ascii="Times New Roman" w:eastAsia="Times New Roman" w:hAnsi="Times New Roman" w:cs="Times New Roman"/>
          <w:sz w:val="20"/>
          <w:szCs w:val="20"/>
        </w:rPr>
        <w:t xml:space="preserve">) were recruited for further testing, ensuring they had not participated in the formal experiment. Finally, psychology experts conducted a final review and selection. The chosen </w:t>
      </w:r>
      <w:r>
        <w:rPr>
          <w:rFonts w:ascii="Times New Roman" w:eastAsia="Times New Roman" w:hAnsi="Times New Roman" w:cs="Times New Roman"/>
          <w:sz w:val="20"/>
          <w:szCs w:val="20"/>
        </w:rPr>
        <w:t>clips were sourced from the classic disaster movies The Day After Tomorrow and 2012. Each video lasted 50-60 seconds, featuring a tight narrative, tense atmosphere, dark tones, and unsettling background sounds, effectively inducing panic emotions in a short time.</w:t>
      </w:r>
    </w:p>
    <w:p w14:paraId="2454F627" w14:textId="77777777" w:rsidR="00907DC0" w:rsidRDefault="00000000">
      <w:pPr>
        <w:tabs>
          <w:tab w:val="left" w:pos="0"/>
        </w:tabs>
        <w:spacing w:line="280" w:lineRule="exact"/>
        <w:rPr>
          <w:rFonts w:ascii="Times New Roman" w:hAnsi="Times New Roman" w:cs="Times New Roman"/>
          <w:b/>
          <w:bCs/>
          <w:sz w:val="20"/>
          <w:szCs w:val="20"/>
        </w:rPr>
      </w:pPr>
      <w:bookmarkStart w:id="6" w:name="OLE_LINK2"/>
      <w:r>
        <w:rPr>
          <w:rFonts w:ascii="Times New Roman" w:eastAsia="Times New Roman" w:hAnsi="Times New Roman" w:cs="Times New Roman"/>
          <w:b/>
          <w:bCs/>
          <w:sz w:val="20"/>
          <w:szCs w:val="20"/>
        </w:rPr>
        <w:t>2.2.3</w:t>
      </w:r>
      <w:r>
        <w:rPr>
          <w:rFonts w:ascii="Times New Roman" w:eastAsia="SimSun" w:hAnsi="Times New Roman" w:cs="Times New Roman"/>
          <w:b/>
          <w:bCs/>
          <w:sz w:val="20"/>
          <w:szCs w:val="20"/>
        </w:rPr>
        <w:t xml:space="preserve"> </w:t>
      </w:r>
      <w:r>
        <w:rPr>
          <w:rFonts w:ascii="Times New Roman" w:eastAsia="Times New Roman" w:hAnsi="Times New Roman" w:cs="Times New Roman"/>
          <w:b/>
          <w:bCs/>
          <w:sz w:val="20"/>
          <w:szCs w:val="20"/>
        </w:rPr>
        <w:t>Questionnaire</w:t>
      </w:r>
    </w:p>
    <w:bookmarkEnd w:id="6"/>
    <w:p w14:paraId="6A73EAD7"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Personality Traits and Panic Phototaxis Behavior Questionnaire was designed based on three aspects: personal information, participants' responses and behaviors, and the realism of the experimental scenario. The questionnaire is divided into five sections: basic information, personality traits (OCEAN model), emotional perception and expression, phototaxis behavior tendencies, and scenario arousal. The </w:t>
      </w:r>
      <w:proofErr w:type="gramStart"/>
      <w:r>
        <w:rPr>
          <w:rFonts w:ascii="Times New Roman" w:eastAsia="Times New Roman" w:hAnsi="Times New Roman" w:cs="Times New Roman"/>
          <w:sz w:val="20"/>
          <w:szCs w:val="20"/>
        </w:rPr>
        <w:t>main focus</w:t>
      </w:r>
      <w:proofErr w:type="gramEnd"/>
      <w:r>
        <w:rPr>
          <w:rFonts w:ascii="Times New Roman" w:eastAsia="Times New Roman" w:hAnsi="Times New Roman" w:cs="Times New Roman"/>
          <w:sz w:val="20"/>
          <w:szCs w:val="20"/>
        </w:rPr>
        <w:t xml:space="preserve"> is on participants’ subjective responses, aiming to further identify and interpret how different personality traits influence phototaxis behavior and physiological responses. This helps to reveal the role of individual characteristics in evacuation decision-making.</w:t>
      </w:r>
    </w:p>
    <w:p w14:paraId="7C052E8A" w14:textId="77777777" w:rsidR="00907DC0" w:rsidRDefault="00000000">
      <w:pPr>
        <w:spacing w:line="280" w:lineRule="exact"/>
        <w:ind w:firstLineChars="200" w:firstLine="400"/>
        <w:rPr>
          <w:rFonts w:ascii="Times New Roman" w:eastAsia="SimSun" w:hAnsi="Times New Roman" w:cs="Times New Roman"/>
          <w:sz w:val="20"/>
          <w:szCs w:val="20"/>
        </w:rPr>
      </w:pPr>
      <w:r>
        <w:rPr>
          <w:rFonts w:ascii="Times New Roman" w:eastAsia="Times New Roman" w:hAnsi="Times New Roman" w:cs="Times New Roman"/>
          <w:sz w:val="20"/>
          <w:szCs w:val="20"/>
        </w:rPr>
        <w:t>Basic information includes the participants' individual characteristics (gender, age), cognitive level (education level), fire drill or fire escape experience, and familiarity with the scenario. Evacuation behavior observes whether the participant is aware of their own phototaxis behavior. Scenario arousal includes both emotional arousal and the realism of the scenario's arousal, observing the emotional mobilization and the authenticity of the participants' responses</w:t>
      </w:r>
      <w:r>
        <w:rPr>
          <w:rFonts w:ascii="Times New Roman" w:eastAsia="SimSun" w:hAnsi="Times New Roman" w:cs="Times New Roman"/>
          <w:sz w:val="20"/>
          <w:szCs w:val="20"/>
        </w:rPr>
        <w:t>.</w:t>
      </w:r>
    </w:p>
    <w:p w14:paraId="6DD76EAC" w14:textId="77777777" w:rsidR="00907DC0" w:rsidRDefault="00000000">
      <w:pPr>
        <w:numPr>
          <w:ilvl w:val="0"/>
          <w:numId w:val="2"/>
        </w:numPr>
        <w:spacing w:line="280" w:lineRule="exact"/>
        <w:ind w:firstLine="0"/>
        <w:rPr>
          <w:rFonts w:ascii="Times New Roman" w:hAnsi="Times New Roman" w:cs="Times New Roman"/>
          <w:b/>
          <w:bCs/>
          <w:sz w:val="20"/>
          <w:szCs w:val="20"/>
        </w:rPr>
      </w:pPr>
      <w:r>
        <w:rPr>
          <w:rFonts w:ascii="Times New Roman" w:eastAsia="SimSun" w:hAnsi="Times New Roman" w:cs="Times New Roman"/>
          <w:b/>
          <w:bCs/>
          <w:sz w:val="20"/>
          <w:szCs w:val="20"/>
        </w:rPr>
        <w:t>Equipment and Environment</w:t>
      </w:r>
    </w:p>
    <w:p w14:paraId="7CBDB723" w14:textId="77777777" w:rsidR="00907DC0" w:rsidRDefault="00000000">
      <w:pPr>
        <w:tabs>
          <w:tab w:val="left" w:pos="0"/>
        </w:tabs>
        <w:spacing w:line="280" w:lineRule="exact"/>
        <w:rPr>
          <w:rFonts w:ascii="Times New Roman" w:hAnsi="Times New Roman" w:cs="Times New Roman"/>
          <w:b/>
          <w:bCs/>
          <w:sz w:val="20"/>
          <w:szCs w:val="20"/>
        </w:rPr>
      </w:pPr>
      <w:bookmarkStart w:id="7" w:name="OLE_LINK6"/>
      <w:r>
        <w:rPr>
          <w:rFonts w:ascii="Times New Roman" w:eastAsia="Times New Roman" w:hAnsi="Times New Roman" w:cs="Times New Roman"/>
          <w:b/>
          <w:bCs/>
          <w:sz w:val="20"/>
          <w:szCs w:val="20"/>
        </w:rPr>
        <w:t>2.</w:t>
      </w:r>
      <w:r>
        <w:rPr>
          <w:rFonts w:ascii="Times New Roman" w:eastAsia="SimSun" w:hAnsi="Times New Roman" w:cs="Times New Roman"/>
          <w:b/>
          <w:bCs/>
          <w:sz w:val="20"/>
          <w:szCs w:val="20"/>
        </w:rPr>
        <w:t>3</w:t>
      </w:r>
      <w:r>
        <w:rPr>
          <w:rFonts w:ascii="Times New Roman" w:eastAsia="Times New Roman" w:hAnsi="Times New Roman" w:cs="Times New Roman"/>
          <w:b/>
          <w:bCs/>
          <w:sz w:val="20"/>
          <w:szCs w:val="20"/>
        </w:rPr>
        <w:t>.</w:t>
      </w:r>
      <w:r>
        <w:rPr>
          <w:rFonts w:ascii="Times New Roman" w:eastAsia="SimSun" w:hAnsi="Times New Roman" w:cs="Times New Roman"/>
          <w:b/>
          <w:bCs/>
          <w:sz w:val="20"/>
          <w:szCs w:val="20"/>
        </w:rPr>
        <w:t xml:space="preserve">1 </w:t>
      </w:r>
      <w:r>
        <w:rPr>
          <w:rFonts w:ascii="Times New Roman" w:eastAsia="Times New Roman" w:hAnsi="Times New Roman" w:cs="Times New Roman"/>
          <w:b/>
          <w:bCs/>
          <w:sz w:val="20"/>
          <w:szCs w:val="20"/>
        </w:rPr>
        <w:t>Virtual Reality Scenario</w:t>
      </w:r>
    </w:p>
    <w:bookmarkEnd w:id="7"/>
    <w:p w14:paraId="1527C742" w14:textId="77777777" w:rsidR="00907DC0" w:rsidRDefault="00000000">
      <w:pPr>
        <w:spacing w:line="280" w:lineRule="exact"/>
        <w:ind w:firstLineChars="200" w:firstLine="400"/>
        <w:rPr>
          <w:rFonts w:ascii="Times New Roman" w:eastAsia="SimSun" w:hAnsi="Times New Roman" w:cs="Times New Roman"/>
          <w:sz w:val="20"/>
          <w:szCs w:val="20"/>
        </w:rPr>
      </w:pPr>
      <w:r>
        <w:rPr>
          <w:rFonts w:ascii="Times New Roman" w:eastAsia="Times New Roman" w:hAnsi="Times New Roman" w:cs="Times New Roman"/>
          <w:sz w:val="20"/>
          <w:szCs w:val="20"/>
        </w:rPr>
        <w:t>The virtual reality subway scene was constructed using Unity3D 2019.4.26.f1c1 software. To enhance the realism of the scenario, a particle system was used to import particle modules, adding dynamic fire and smoke, directional signs, exit labels, and collision detection, thereby gen</w:t>
      </w:r>
      <w:bookmarkStart w:id="8" w:name="OLE_LINK4"/>
      <w:r>
        <w:rPr>
          <w:rFonts w:ascii="Times New Roman" w:eastAsia="Times New Roman" w:hAnsi="Times New Roman" w:cs="Times New Roman"/>
          <w:sz w:val="20"/>
          <w:szCs w:val="20"/>
        </w:rPr>
        <w:t xml:space="preserve">erating a complete building fire scenario, as shown in </w:t>
      </w:r>
      <w:bookmarkEnd w:id="8"/>
      <w:r>
        <w:rPr>
          <w:rFonts w:ascii="Times New Roman" w:eastAsia="Times New Roman" w:hAnsi="Times New Roman" w:cs="Times New Roman"/>
          <w:sz w:val="20"/>
          <w:szCs w:val="20"/>
        </w:rPr>
        <w:fldChar w:fldCharType="begin"/>
      </w:r>
      <w:r>
        <w:rPr>
          <w:rFonts w:ascii="Times New Roman" w:eastAsia="Times New Roman" w:hAnsi="Times New Roman" w:cs="Times New Roman"/>
          <w:sz w:val="20"/>
          <w:szCs w:val="20"/>
        </w:rPr>
        <w:instrText xml:space="preserve"> HYPERLINK \l "Fig2" </w:instrText>
      </w:r>
      <w:r>
        <w:rPr>
          <w:rFonts w:ascii="Times New Roman" w:eastAsia="Times New Roman" w:hAnsi="Times New Roman" w:cs="Times New Roman"/>
          <w:sz w:val="20"/>
          <w:szCs w:val="20"/>
        </w:rPr>
      </w:r>
      <w:r>
        <w:rPr>
          <w:rFonts w:ascii="Times New Roman" w:eastAsia="Times New Roman" w:hAnsi="Times New Roman" w:cs="Times New Roman"/>
          <w:sz w:val="20"/>
          <w:szCs w:val="20"/>
        </w:rPr>
        <w:fldChar w:fldCharType="separate"/>
      </w:r>
      <w:r>
        <w:rPr>
          <w:rStyle w:val="FollowedHyperlink"/>
          <w:rFonts w:eastAsia="Times New Roman" w:cs="Times New Roman"/>
          <w:sz w:val="20"/>
          <w:szCs w:val="20"/>
          <w:u w:val="none"/>
        </w:rPr>
        <w:t>F</w:t>
      </w:r>
      <w:r>
        <w:rPr>
          <w:rStyle w:val="FollowedHyperlink"/>
          <w:rFonts w:cs="Times New Roman" w:hint="eastAsia"/>
          <w:sz w:val="20"/>
          <w:szCs w:val="20"/>
          <w:u w:val="none"/>
        </w:rPr>
        <w:t>igure</w:t>
      </w:r>
      <w:r>
        <w:rPr>
          <w:rStyle w:val="FollowedHyperlink"/>
          <w:rFonts w:eastAsia="Times New Roman" w:cs="Times New Roman"/>
          <w:sz w:val="20"/>
          <w:szCs w:val="20"/>
          <w:u w:val="none"/>
        </w:rPr>
        <w:t xml:space="preserve"> 2</w:t>
      </w:r>
      <w:r>
        <w:rPr>
          <w:rFonts w:ascii="Times New Roman" w:eastAsia="Times New Roman" w:hAnsi="Times New Roman" w:cs="Times New Roman"/>
          <w:sz w:val="20"/>
          <w:szCs w:val="20"/>
        </w:rPr>
        <w:fldChar w:fldCharType="end"/>
      </w:r>
      <w:r>
        <w:rPr>
          <w:rFonts w:ascii="Times New Roman" w:eastAsia="SimSun" w:hAnsi="Times New Roman" w:cs="Times New Roman"/>
          <w:sz w:val="20"/>
          <w:szCs w:val="20"/>
        </w:rPr>
        <w:t>.</w:t>
      </w:r>
    </w:p>
    <w:p w14:paraId="3213E719"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In the controlled immersive virtual reality (VR) environment, the walking mode was used to balance ecological effectiveness and experimental operability (</w:t>
      </w:r>
      <w:proofErr w:type="spellStart"/>
      <w:r>
        <w:rPr>
          <w:rFonts w:ascii="Times New Roman" w:eastAsia="Times New Roman" w:hAnsi="Times New Roman" w:cs="Times New Roman"/>
          <w:sz w:val="20"/>
          <w:szCs w:val="20"/>
        </w:rPr>
        <w:fldChar w:fldCharType="begin"/>
      </w:r>
      <w:r>
        <w:rPr>
          <w:rFonts w:ascii="Times New Roman" w:eastAsia="Times New Roman" w:hAnsi="Times New Roman" w:cs="Times New Roman"/>
          <w:sz w:val="20"/>
          <w:szCs w:val="20"/>
        </w:rPr>
        <w:instrText xml:space="preserve"> HYPERLINK \l "Kinateder" </w:instrText>
      </w:r>
      <w:r>
        <w:rPr>
          <w:rFonts w:ascii="Times New Roman" w:eastAsia="Times New Roman" w:hAnsi="Times New Roman" w:cs="Times New Roman"/>
          <w:sz w:val="20"/>
          <w:szCs w:val="20"/>
        </w:rPr>
      </w:r>
      <w:r>
        <w:rPr>
          <w:rFonts w:ascii="Times New Roman" w:eastAsia="Times New Roman" w:hAnsi="Times New Roman" w:cs="Times New Roman"/>
          <w:sz w:val="20"/>
          <w:szCs w:val="20"/>
        </w:rPr>
        <w:fldChar w:fldCharType="separate"/>
      </w:r>
      <w:r>
        <w:rPr>
          <w:rStyle w:val="Hyperlink"/>
          <w:rFonts w:ascii="Times New Roman" w:eastAsia="Times New Roman" w:hAnsi="Times New Roman" w:cs="Times New Roman"/>
          <w:color w:val="auto"/>
          <w:sz w:val="20"/>
          <w:szCs w:val="20"/>
          <w:u w:val="none"/>
        </w:rPr>
        <w:t>Kinateder</w:t>
      </w:r>
      <w:proofErr w:type="spellEnd"/>
      <w:r>
        <w:rPr>
          <w:rStyle w:val="Hyperlink"/>
          <w:rFonts w:ascii="Times New Roman" w:eastAsia="Times New Roman" w:hAnsi="Times New Roman" w:cs="Times New Roman"/>
          <w:color w:val="auto"/>
          <w:sz w:val="20"/>
          <w:szCs w:val="20"/>
          <w:u w:val="none"/>
        </w:rPr>
        <w:t xml:space="preserve"> et al., </w:t>
      </w:r>
      <w:r>
        <w:rPr>
          <w:rStyle w:val="Hyperlink"/>
          <w:rFonts w:ascii="Times New Roman" w:eastAsia="Times New Roman" w:hAnsi="Times New Roman" w:cs="Times New Roman"/>
          <w:sz w:val="20"/>
          <w:szCs w:val="20"/>
          <w:u w:val="none"/>
        </w:rPr>
        <w:t>2014</w:t>
      </w:r>
      <w:r>
        <w:rPr>
          <w:rFonts w:ascii="Times New Roman" w:eastAsia="Times New Roman" w:hAnsi="Times New Roman" w:cs="Times New Roman"/>
          <w:sz w:val="20"/>
          <w:szCs w:val="20"/>
        </w:rPr>
        <w:fldChar w:fldCharType="end"/>
      </w:r>
      <w:r>
        <w:rPr>
          <w:rFonts w:ascii="Times New Roman" w:eastAsia="Times New Roman" w:hAnsi="Times New Roman" w:cs="Times New Roman"/>
          <w:sz w:val="20"/>
          <w:szCs w:val="20"/>
        </w:rPr>
        <w:t>). Participants were required to wear EEG monitoring equipment, physiological monitoring devices, and a VR headset, using controllers to navigate and complete the evacuation task.</w:t>
      </w:r>
    </w:p>
    <w:p w14:paraId="409585CB" w14:textId="77777777" w:rsidR="00907DC0" w:rsidRDefault="00907DC0">
      <w:pPr>
        <w:jc w:val="center"/>
        <w:rPr>
          <w:rFonts w:ascii="Times New Roman" w:hAnsi="Times New Roman" w:cs="Times New Roman"/>
        </w:rPr>
        <w:sectPr w:rsidR="00907DC0">
          <w:type w:val="continuous"/>
          <w:pgSz w:w="11906" w:h="16838"/>
          <w:pgMar w:top="879" w:right="850" w:bottom="879" w:left="850" w:header="1247" w:footer="1247" w:gutter="0"/>
          <w:cols w:num="2" w:space="720" w:equalWidth="0">
            <w:col w:w="4890" w:space="425"/>
            <w:col w:w="4890"/>
          </w:cols>
          <w:docGrid w:type="lines" w:linePitch="312"/>
        </w:sectPr>
      </w:pPr>
    </w:p>
    <w:tbl>
      <w:tblPr>
        <w:tblStyle w:val="TableGrid"/>
        <w:tblW w:w="5000" w:type="pct"/>
        <w:tblLook w:val="04A0" w:firstRow="1" w:lastRow="0" w:firstColumn="1" w:lastColumn="0" w:noHBand="0" w:noVBand="1"/>
      </w:tblPr>
      <w:tblGrid>
        <w:gridCol w:w="5115"/>
        <w:gridCol w:w="5091"/>
      </w:tblGrid>
      <w:tr w:rsidR="00907DC0" w14:paraId="06210448" w14:textId="77777777">
        <w:trPr>
          <w:trHeight w:val="90"/>
        </w:trPr>
        <w:tc>
          <w:tcPr>
            <w:tcW w:w="2506" w:type="pct"/>
            <w:tcBorders>
              <w:top w:val="nil"/>
              <w:left w:val="nil"/>
              <w:bottom w:val="nil"/>
              <w:right w:val="nil"/>
            </w:tcBorders>
          </w:tcPr>
          <w:p w14:paraId="433AA32C" w14:textId="77777777" w:rsidR="00907DC0" w:rsidRDefault="00000000">
            <w:pPr>
              <w:jc w:val="center"/>
              <w:rPr>
                <w:rFonts w:ascii="Times New Roman" w:hAnsi="Times New Roman" w:cs="Times New Roman"/>
              </w:rPr>
            </w:pPr>
            <w:r>
              <w:rPr>
                <w:rFonts w:ascii="Times New Roman" w:hAnsi="Times New Roman" w:cs="Times New Roman"/>
                <w:noProof/>
              </w:rPr>
              <w:drawing>
                <wp:inline distT="0" distB="0" distL="114300" distR="114300" wp14:anchorId="7B007AD1" wp14:editId="5C74AD91">
                  <wp:extent cx="2292350" cy="1332230"/>
                  <wp:effectExtent l="0" t="0" r="12700" b="1270"/>
                  <wp:docPr id="13" name="图片 13" descr="屏幕截图 2025-01-12 161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屏幕截图 2025-01-12 161943"/>
                          <pic:cNvPicPr>
                            <a:picLocks noChangeAspect="1"/>
                          </pic:cNvPicPr>
                        </pic:nvPicPr>
                        <pic:blipFill>
                          <a:blip r:embed="rId10"/>
                          <a:stretch>
                            <a:fillRect/>
                          </a:stretch>
                        </pic:blipFill>
                        <pic:spPr>
                          <a:xfrm>
                            <a:off x="0" y="0"/>
                            <a:ext cx="2292350" cy="1332230"/>
                          </a:xfrm>
                          <a:prstGeom prst="rect">
                            <a:avLst/>
                          </a:prstGeom>
                        </pic:spPr>
                      </pic:pic>
                    </a:graphicData>
                  </a:graphic>
                </wp:inline>
              </w:drawing>
            </w:r>
          </w:p>
        </w:tc>
        <w:tc>
          <w:tcPr>
            <w:tcW w:w="2493" w:type="pct"/>
            <w:vMerge w:val="restart"/>
            <w:tcBorders>
              <w:top w:val="nil"/>
              <w:left w:val="nil"/>
              <w:right w:val="nil"/>
            </w:tcBorders>
          </w:tcPr>
          <w:p w14:paraId="3B92B470" w14:textId="77777777" w:rsidR="00907DC0" w:rsidRDefault="00000000">
            <w:pPr>
              <w:jc w:val="center"/>
              <w:rPr>
                <w:rFonts w:ascii="Times New Roman" w:hAnsi="Times New Roman" w:cs="Times New Roman"/>
              </w:rPr>
            </w:pPr>
            <w:r>
              <w:rPr>
                <w:rFonts w:ascii="Times New Roman" w:hAnsi="Times New Roman" w:cs="Times New Roman"/>
                <w:noProof/>
              </w:rPr>
              <w:lastRenderedPageBreak/>
              <w:drawing>
                <wp:inline distT="0" distB="0" distL="114300" distR="114300" wp14:anchorId="03338772" wp14:editId="6ADFC5E0">
                  <wp:extent cx="2061845" cy="2736215"/>
                  <wp:effectExtent l="0" t="0" r="14605" b="698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1"/>
                          <a:stretch>
                            <a:fillRect/>
                          </a:stretch>
                        </pic:blipFill>
                        <pic:spPr>
                          <a:xfrm>
                            <a:off x="0" y="0"/>
                            <a:ext cx="2061845" cy="2736215"/>
                          </a:xfrm>
                          <a:prstGeom prst="rect">
                            <a:avLst/>
                          </a:prstGeom>
                          <a:noFill/>
                          <a:ln>
                            <a:noFill/>
                          </a:ln>
                        </pic:spPr>
                      </pic:pic>
                    </a:graphicData>
                  </a:graphic>
                </wp:inline>
              </w:drawing>
            </w:r>
          </w:p>
        </w:tc>
      </w:tr>
      <w:tr w:rsidR="00907DC0" w14:paraId="143F6E28" w14:textId="77777777">
        <w:trPr>
          <w:trHeight w:val="90"/>
        </w:trPr>
        <w:tc>
          <w:tcPr>
            <w:tcW w:w="2506" w:type="pct"/>
            <w:tcBorders>
              <w:top w:val="nil"/>
              <w:left w:val="nil"/>
              <w:bottom w:val="nil"/>
              <w:right w:val="nil"/>
            </w:tcBorders>
          </w:tcPr>
          <w:p w14:paraId="3BADFE98" w14:textId="77777777" w:rsidR="00907DC0" w:rsidRDefault="00000000">
            <w:pPr>
              <w:jc w:val="center"/>
              <w:rPr>
                <w:rFonts w:ascii="Times New Roman" w:hAnsi="Times New Roman" w:cs="Times New Roman"/>
              </w:rPr>
            </w:pPr>
            <w:r>
              <w:rPr>
                <w:rFonts w:ascii="Times New Roman" w:hAnsi="Times New Roman" w:cs="Times New Roman"/>
                <w:noProof/>
              </w:rPr>
              <w:drawing>
                <wp:inline distT="0" distB="0" distL="114300" distR="114300" wp14:anchorId="25B71BB0" wp14:editId="7CADFC56">
                  <wp:extent cx="2292985" cy="1332230"/>
                  <wp:effectExtent l="0" t="0" r="12065" b="1270"/>
                  <wp:docPr id="11" name="图片 11" descr="屏幕截图 2025-01-12 161454"/>
                  <wp:cNvGraphicFramePr/>
                  <a:graphic xmlns:a="http://schemas.openxmlformats.org/drawingml/2006/main">
                    <a:graphicData uri="http://schemas.openxmlformats.org/drawingml/2006/picture">
                      <pic:pic xmlns:pic="http://schemas.openxmlformats.org/drawingml/2006/picture">
                        <pic:nvPicPr>
                          <pic:cNvPr id="11" name="图片 11" descr="屏幕截图 2025-01-12 161454"/>
                          <pic:cNvPicPr/>
                        </pic:nvPicPr>
                        <pic:blipFill>
                          <a:blip r:embed="rId12"/>
                          <a:stretch>
                            <a:fillRect/>
                          </a:stretch>
                        </pic:blipFill>
                        <pic:spPr>
                          <a:xfrm>
                            <a:off x="0" y="0"/>
                            <a:ext cx="2292985" cy="1332230"/>
                          </a:xfrm>
                          <a:prstGeom prst="rect">
                            <a:avLst/>
                          </a:prstGeom>
                        </pic:spPr>
                      </pic:pic>
                    </a:graphicData>
                  </a:graphic>
                </wp:inline>
              </w:drawing>
            </w:r>
          </w:p>
        </w:tc>
        <w:tc>
          <w:tcPr>
            <w:tcW w:w="2493" w:type="pct"/>
            <w:vMerge/>
            <w:tcBorders>
              <w:left w:val="nil"/>
              <w:bottom w:val="nil"/>
              <w:right w:val="nil"/>
            </w:tcBorders>
          </w:tcPr>
          <w:p w14:paraId="1D0CEF27" w14:textId="77777777" w:rsidR="00907DC0" w:rsidRDefault="00907DC0">
            <w:pPr>
              <w:jc w:val="center"/>
              <w:rPr>
                <w:rFonts w:ascii="Times New Roman" w:hAnsi="Times New Roman" w:cs="Times New Roman"/>
              </w:rPr>
            </w:pPr>
          </w:p>
        </w:tc>
      </w:tr>
      <w:tr w:rsidR="00907DC0" w14:paraId="260ED6CC" w14:textId="77777777">
        <w:tc>
          <w:tcPr>
            <w:tcW w:w="2506" w:type="pct"/>
            <w:tcBorders>
              <w:top w:val="nil"/>
              <w:left w:val="nil"/>
              <w:bottom w:val="nil"/>
              <w:right w:val="nil"/>
            </w:tcBorders>
          </w:tcPr>
          <w:p w14:paraId="6071B6D7" w14:textId="77777777" w:rsidR="00907DC0" w:rsidRDefault="00000000">
            <w:pPr>
              <w:spacing w:line="240" w:lineRule="exact"/>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b) Virtual Reality Scenario</w:t>
            </w:r>
          </w:p>
        </w:tc>
        <w:tc>
          <w:tcPr>
            <w:tcW w:w="2493" w:type="pct"/>
            <w:tcBorders>
              <w:top w:val="nil"/>
              <w:left w:val="nil"/>
              <w:bottom w:val="nil"/>
              <w:right w:val="nil"/>
            </w:tcBorders>
          </w:tcPr>
          <w:p w14:paraId="05804CCC" w14:textId="77777777" w:rsidR="00907DC0" w:rsidRDefault="00000000">
            <w:pPr>
              <w:spacing w:line="240" w:lineRule="exact"/>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b) On-site Experimental Scenario</w:t>
            </w:r>
          </w:p>
        </w:tc>
      </w:tr>
      <w:tr w:rsidR="00907DC0" w14:paraId="695DD964" w14:textId="77777777">
        <w:tc>
          <w:tcPr>
            <w:tcW w:w="5000" w:type="pct"/>
            <w:gridSpan w:val="2"/>
            <w:tcBorders>
              <w:top w:val="nil"/>
              <w:left w:val="nil"/>
              <w:bottom w:val="nil"/>
              <w:right w:val="nil"/>
            </w:tcBorders>
          </w:tcPr>
          <w:p w14:paraId="22531BCA" w14:textId="77777777" w:rsidR="00907DC0" w:rsidRDefault="00000000">
            <w:pPr>
              <w:spacing w:line="240" w:lineRule="exact"/>
              <w:jc w:val="center"/>
              <w:rPr>
                <w:rFonts w:ascii="Times New Roman" w:eastAsia="SimSun" w:hAnsi="Times New Roman" w:cs="Times New Roman"/>
                <w:sz w:val="18"/>
                <w:szCs w:val="18"/>
              </w:rPr>
            </w:pPr>
            <w:bookmarkStart w:id="9" w:name="Fig2"/>
            <w:bookmarkStart w:id="10" w:name="OLE_LINK8"/>
            <w:r>
              <w:rPr>
                <w:rFonts w:ascii="Times New Roman" w:eastAsia="Times New Roman" w:hAnsi="Times New Roman" w:cs="Times New Roman"/>
                <w:b/>
                <w:bCs/>
                <w:sz w:val="18"/>
                <w:szCs w:val="18"/>
              </w:rPr>
              <w:t>F</w:t>
            </w:r>
            <w:r>
              <w:rPr>
                <w:rFonts w:ascii="Times New Roman" w:eastAsia="SimSun" w:hAnsi="Times New Roman" w:cs="Times New Roman" w:hint="eastAsia"/>
                <w:b/>
                <w:bCs/>
                <w:sz w:val="18"/>
                <w:szCs w:val="18"/>
              </w:rPr>
              <w:t xml:space="preserve">IGURE </w:t>
            </w:r>
            <w:r>
              <w:rPr>
                <w:rFonts w:ascii="Times New Roman" w:eastAsia="Times New Roman" w:hAnsi="Times New Roman" w:cs="Times New Roman"/>
                <w:b/>
                <w:bCs/>
                <w:sz w:val="18"/>
                <w:szCs w:val="18"/>
              </w:rPr>
              <w:t>2</w:t>
            </w:r>
            <w:bookmarkEnd w:id="9"/>
            <w:r>
              <w:rPr>
                <w:rFonts w:ascii="Times New Roman" w:eastAsia="Times New Roman" w:hAnsi="Times New Roman" w:cs="Times New Roman"/>
                <w:sz w:val="18"/>
                <w:szCs w:val="18"/>
              </w:rPr>
              <w:t xml:space="preserve"> </w:t>
            </w:r>
            <w:r>
              <w:rPr>
                <w:rFonts w:ascii="Times New Roman" w:eastAsia="SimSun" w:hAnsi="Times New Roman" w:cs="Times New Roman"/>
                <w:sz w:val="18"/>
                <w:szCs w:val="18"/>
              </w:rPr>
              <w:t>Experimental Scene and Experimenter</w:t>
            </w:r>
            <w:bookmarkEnd w:id="10"/>
          </w:p>
        </w:tc>
      </w:tr>
    </w:tbl>
    <w:p w14:paraId="5069B655" w14:textId="77777777" w:rsidR="00907DC0" w:rsidRDefault="00907DC0">
      <w:pPr>
        <w:tabs>
          <w:tab w:val="left" w:pos="0"/>
        </w:tabs>
        <w:spacing w:line="240" w:lineRule="exact"/>
        <w:rPr>
          <w:rFonts w:ascii="Times New Roman" w:eastAsia="Times New Roman" w:hAnsi="Times New Roman" w:cs="Times New Roman"/>
          <w:b/>
          <w:bCs/>
          <w:sz w:val="20"/>
          <w:szCs w:val="20"/>
        </w:rPr>
        <w:sectPr w:rsidR="00907DC0">
          <w:type w:val="continuous"/>
          <w:pgSz w:w="11906" w:h="16838"/>
          <w:pgMar w:top="879" w:right="850" w:bottom="879" w:left="850" w:header="1247" w:footer="1247" w:gutter="0"/>
          <w:cols w:space="425"/>
          <w:docGrid w:type="lines" w:linePitch="312"/>
        </w:sectPr>
      </w:pPr>
    </w:p>
    <w:p w14:paraId="0284AF07" w14:textId="77777777" w:rsidR="00907DC0" w:rsidRDefault="00000000">
      <w:pPr>
        <w:tabs>
          <w:tab w:val="left" w:pos="0"/>
        </w:tabs>
        <w:spacing w:line="280" w:lineRule="exact"/>
        <w:rPr>
          <w:rFonts w:ascii="Times New Roman" w:hAnsi="Times New Roman" w:cs="Times New Roman"/>
          <w:b/>
          <w:bCs/>
          <w:sz w:val="20"/>
          <w:szCs w:val="20"/>
        </w:rPr>
      </w:pPr>
      <w:r>
        <w:rPr>
          <w:rFonts w:ascii="Times New Roman" w:eastAsia="Times New Roman" w:hAnsi="Times New Roman" w:cs="Times New Roman"/>
          <w:b/>
          <w:bCs/>
          <w:sz w:val="20"/>
          <w:szCs w:val="20"/>
        </w:rPr>
        <w:t>2.</w:t>
      </w:r>
      <w:r>
        <w:rPr>
          <w:rFonts w:ascii="Times New Roman" w:eastAsia="SimSun" w:hAnsi="Times New Roman" w:cs="Times New Roman"/>
          <w:b/>
          <w:bCs/>
          <w:sz w:val="20"/>
          <w:szCs w:val="20"/>
        </w:rPr>
        <w:t>3</w:t>
      </w:r>
      <w:r>
        <w:rPr>
          <w:rFonts w:ascii="Times New Roman" w:eastAsia="Times New Roman" w:hAnsi="Times New Roman" w:cs="Times New Roman"/>
          <w:b/>
          <w:bCs/>
          <w:sz w:val="20"/>
          <w:szCs w:val="20"/>
        </w:rPr>
        <w:t>.</w:t>
      </w:r>
      <w:r>
        <w:rPr>
          <w:rFonts w:ascii="Times New Roman" w:eastAsia="SimSun" w:hAnsi="Times New Roman" w:cs="Times New Roman"/>
          <w:b/>
          <w:bCs/>
          <w:sz w:val="20"/>
          <w:szCs w:val="20"/>
        </w:rPr>
        <w:t xml:space="preserve">2 </w:t>
      </w:r>
      <w:r>
        <w:rPr>
          <w:rFonts w:ascii="Times New Roman" w:eastAsia="Times New Roman" w:hAnsi="Times New Roman" w:cs="Times New Roman"/>
          <w:b/>
          <w:bCs/>
          <w:sz w:val="20"/>
          <w:szCs w:val="20"/>
        </w:rPr>
        <w:t>Electroencephalogram (EEG)</w:t>
      </w:r>
    </w:p>
    <w:p w14:paraId="373B5258"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EEG can reveal cognitive changes related to decision-making. In this experiment, the </w:t>
      </w:r>
      <w:proofErr w:type="spellStart"/>
      <w:r>
        <w:rPr>
          <w:rFonts w:ascii="Times New Roman" w:eastAsia="Times New Roman" w:hAnsi="Times New Roman" w:cs="Times New Roman"/>
          <w:sz w:val="20"/>
          <w:szCs w:val="20"/>
        </w:rPr>
        <w:t>ErgoLAB</w:t>
      </w:r>
      <w:proofErr w:type="spellEnd"/>
      <w:r>
        <w:rPr>
          <w:rFonts w:ascii="Times New Roman" w:eastAsia="Times New Roman" w:hAnsi="Times New Roman" w:cs="Times New Roman"/>
          <w:sz w:val="20"/>
          <w:szCs w:val="20"/>
        </w:rPr>
        <w:t xml:space="preserve"> EEG wearable </w:t>
      </w: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measuring instrument was used. It has 32 measurement channels, with a sampling frequency of ≥250Hz/channel, a measurement range of ≥±3000μV, and measurement accuracy of ≤0.0458μV. The input range is ±100mV. The time resolution of the accompanying training device is ≤1ms, with a scanning period of ≤20ms. It allows for numerical analysis of EEG </w:t>
      </w:r>
      <w:proofErr w:type="spellStart"/>
      <w:r>
        <w:rPr>
          <w:rFonts w:ascii="Times New Roman" w:eastAsia="Times New Roman" w:hAnsi="Times New Roman" w:cs="Times New Roman"/>
          <w:sz w:val="20"/>
          <w:szCs w:val="20"/>
        </w:rPr>
        <w:t>frequency</w:t>
      </w:r>
      <w:r>
        <w:rPr>
          <w:rFonts w:ascii="Times New Roman" w:eastAsia="SimSun" w:hAnsi="Times New Roman" w:cs="Times New Roman"/>
          <w:sz w:val="20"/>
          <w:szCs w:val="20"/>
        </w:rPr>
        <w:t>band</w:t>
      </w:r>
      <w:r>
        <w:rPr>
          <w:rFonts w:ascii="Times New Roman" w:eastAsia="Times New Roman" w:hAnsi="Times New Roman" w:cs="Times New Roman"/>
          <w:sz w:val="20"/>
          <w:szCs w:val="20"/>
        </w:rPr>
        <w:t>s</w:t>
      </w:r>
      <w:proofErr w:type="spellEnd"/>
      <w:r>
        <w:rPr>
          <w:rFonts w:ascii="Times New Roman" w:eastAsia="Times New Roman" w:hAnsi="Times New Roman" w:cs="Times New Roman"/>
          <w:sz w:val="20"/>
          <w:szCs w:val="20"/>
        </w:rPr>
        <w:t xml:space="preserve"> as well as statistical analysis of </w:t>
      </w:r>
      <w:proofErr w:type="spellStart"/>
      <w:r>
        <w:rPr>
          <w:rFonts w:ascii="Times New Roman" w:eastAsia="Times New Roman" w:hAnsi="Times New Roman" w:cs="Times New Roman"/>
          <w:sz w:val="20"/>
          <w:szCs w:val="20"/>
        </w:rPr>
        <w:t>ERP</w:t>
      </w:r>
      <w:r>
        <w:rPr>
          <w:rFonts w:ascii="Times New Roman" w:eastAsia="SimSun" w:hAnsi="Times New Roman" w:cs="Times New Roman"/>
          <w:sz w:val="20"/>
          <w:szCs w:val="20"/>
        </w:rPr>
        <w:t>band</w:t>
      </w:r>
      <w:r>
        <w:rPr>
          <w:rFonts w:ascii="Times New Roman" w:eastAsia="Times New Roman" w:hAnsi="Times New Roman" w:cs="Times New Roman"/>
          <w:sz w:val="20"/>
          <w:szCs w:val="20"/>
        </w:rPr>
        <w:t>forms</w:t>
      </w:r>
      <w:proofErr w:type="spellEnd"/>
      <w:r>
        <w:rPr>
          <w:rFonts w:ascii="Times New Roman" w:eastAsia="Times New Roman" w:hAnsi="Times New Roman" w:cs="Times New Roman"/>
          <w:sz w:val="20"/>
          <w:szCs w:val="20"/>
        </w:rPr>
        <w:t xml:space="preserve"> and brain topography maps. </w:t>
      </w:r>
      <w:hyperlink w:anchor="Fig3" w:history="1">
        <w:r>
          <w:rPr>
            <w:rStyle w:val="FollowedHyperlink"/>
            <w:rFonts w:eastAsia="Times New Roman" w:cs="Times New Roman"/>
            <w:sz w:val="20"/>
            <w:szCs w:val="20"/>
            <w:u w:val="none"/>
          </w:rPr>
          <w:t>F</w:t>
        </w:r>
        <w:r>
          <w:rPr>
            <w:rStyle w:val="FollowedHyperlink"/>
            <w:rFonts w:cs="Times New Roman" w:hint="eastAsia"/>
            <w:sz w:val="20"/>
            <w:szCs w:val="20"/>
            <w:u w:val="none"/>
          </w:rPr>
          <w:t>igure</w:t>
        </w:r>
        <w:r>
          <w:rPr>
            <w:rStyle w:val="FollowedHyperlink"/>
            <w:rFonts w:eastAsia="Times New Roman" w:cs="Times New Roman"/>
            <w:sz w:val="20"/>
            <w:szCs w:val="20"/>
            <w:u w:val="none"/>
          </w:rPr>
          <w:t xml:space="preserve"> 3</w:t>
        </w:r>
      </w:hyperlink>
      <w:r>
        <w:rPr>
          <w:rFonts w:ascii="Times New Roman" w:eastAsia="Times New Roman" w:hAnsi="Times New Roman" w:cs="Times New Roman"/>
          <w:sz w:val="20"/>
          <w:szCs w:val="20"/>
        </w:rPr>
        <w:t xml:space="preserve"> shows the electrode placement on the scalp.</w:t>
      </w:r>
    </w:p>
    <w:tbl>
      <w:tblPr>
        <w:tblStyle w:val="TableGrid"/>
        <w:tblW w:w="5000" w:type="pct"/>
        <w:tblLook w:val="04A0" w:firstRow="1" w:lastRow="0" w:firstColumn="1" w:lastColumn="0" w:noHBand="0" w:noVBand="1"/>
      </w:tblPr>
      <w:tblGrid>
        <w:gridCol w:w="4743"/>
      </w:tblGrid>
      <w:tr w:rsidR="00907DC0" w14:paraId="28F4CACA" w14:textId="77777777">
        <w:tc>
          <w:tcPr>
            <w:tcW w:w="5000" w:type="pct"/>
            <w:tcBorders>
              <w:top w:val="nil"/>
              <w:left w:val="nil"/>
              <w:bottom w:val="nil"/>
              <w:right w:val="nil"/>
            </w:tcBorders>
          </w:tcPr>
          <w:p w14:paraId="79D2D9A7" w14:textId="77777777" w:rsidR="00907DC0" w:rsidRDefault="00000000">
            <w:pPr>
              <w:jc w:val="center"/>
              <w:rPr>
                <w:rFonts w:ascii="Times New Roman" w:hAnsi="Times New Roman" w:cs="Times New Roman"/>
                <w:sz w:val="22"/>
                <w:szCs w:val="28"/>
              </w:rPr>
            </w:pPr>
            <w:bookmarkStart w:id="11" w:name="OLE_LINK9"/>
            <w:r>
              <w:rPr>
                <w:rFonts w:ascii="Times New Roman" w:hAnsi="Times New Roman" w:cs="Times New Roman"/>
                <w:noProof/>
                <w:sz w:val="22"/>
                <w:szCs w:val="28"/>
              </w:rPr>
              <w:drawing>
                <wp:inline distT="0" distB="0" distL="114300" distR="114300" wp14:anchorId="39B6616F" wp14:editId="24C4B246">
                  <wp:extent cx="2200910" cy="1943735"/>
                  <wp:effectExtent l="0" t="0" r="8890" b="18415"/>
                  <wp:docPr id="5" name="图片 5" descr="15c8c086490f99913b83018bc64c7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5c8c086490f99913b83018bc64c7f0"/>
                          <pic:cNvPicPr>
                            <a:picLocks noChangeAspect="1"/>
                          </pic:cNvPicPr>
                        </pic:nvPicPr>
                        <pic:blipFill>
                          <a:blip r:embed="rId13"/>
                          <a:stretch>
                            <a:fillRect/>
                          </a:stretch>
                        </pic:blipFill>
                        <pic:spPr>
                          <a:xfrm>
                            <a:off x="0" y="0"/>
                            <a:ext cx="2200910" cy="1943735"/>
                          </a:xfrm>
                          <a:prstGeom prst="rect">
                            <a:avLst/>
                          </a:prstGeom>
                        </pic:spPr>
                      </pic:pic>
                    </a:graphicData>
                  </a:graphic>
                </wp:inline>
              </w:drawing>
            </w:r>
          </w:p>
        </w:tc>
      </w:tr>
      <w:tr w:rsidR="00907DC0" w14:paraId="741662C3" w14:textId="77777777">
        <w:tc>
          <w:tcPr>
            <w:tcW w:w="5000" w:type="pct"/>
            <w:tcBorders>
              <w:top w:val="nil"/>
              <w:left w:val="nil"/>
              <w:bottom w:val="nil"/>
              <w:right w:val="nil"/>
            </w:tcBorders>
          </w:tcPr>
          <w:p w14:paraId="5214693E" w14:textId="77777777" w:rsidR="00907DC0" w:rsidRDefault="00000000">
            <w:pPr>
              <w:spacing w:line="240" w:lineRule="exact"/>
              <w:jc w:val="center"/>
              <w:rPr>
                <w:rFonts w:ascii="Times New Roman" w:hAnsi="Times New Roman" w:cs="Times New Roman"/>
                <w:sz w:val="22"/>
                <w:szCs w:val="28"/>
              </w:rPr>
            </w:pPr>
            <w:bookmarkStart w:id="12" w:name="Fig3"/>
            <w:r>
              <w:rPr>
                <w:rFonts w:ascii="Times New Roman" w:eastAsia="Times New Roman" w:hAnsi="Times New Roman" w:cs="Times New Roman"/>
                <w:b/>
                <w:bCs/>
                <w:sz w:val="18"/>
                <w:szCs w:val="18"/>
              </w:rPr>
              <w:t>F</w:t>
            </w:r>
            <w:r>
              <w:rPr>
                <w:rFonts w:ascii="Times New Roman" w:eastAsia="SimSun" w:hAnsi="Times New Roman" w:cs="Times New Roman" w:hint="eastAsia"/>
                <w:b/>
                <w:bCs/>
                <w:sz w:val="18"/>
                <w:szCs w:val="18"/>
              </w:rPr>
              <w:t xml:space="preserve">IGURE </w:t>
            </w:r>
            <w:r>
              <w:rPr>
                <w:rFonts w:ascii="Times New Roman" w:eastAsia="SimSun" w:hAnsi="Times New Roman" w:cs="Times New Roman"/>
                <w:b/>
                <w:bCs/>
                <w:sz w:val="18"/>
                <w:szCs w:val="18"/>
              </w:rPr>
              <w:t>3</w:t>
            </w:r>
            <w:bookmarkEnd w:id="12"/>
            <w:r>
              <w:rPr>
                <w:rFonts w:ascii="Times New Roman" w:eastAsia="Times New Roman" w:hAnsi="Times New Roman" w:cs="Times New Roman"/>
                <w:sz w:val="18"/>
                <w:szCs w:val="18"/>
              </w:rPr>
              <w:t xml:space="preserve"> </w:t>
            </w:r>
            <w:r>
              <w:rPr>
                <w:rFonts w:ascii="Times New Roman" w:eastAsia="SimSun" w:hAnsi="Times New Roman" w:cs="Times New Roman"/>
                <w:sz w:val="18"/>
                <w:szCs w:val="18"/>
              </w:rPr>
              <w:t>Electrode Placement on the Scalp. The prefixes "</w:t>
            </w:r>
            <w:proofErr w:type="spellStart"/>
            <w:r>
              <w:rPr>
                <w:rFonts w:ascii="Times New Roman" w:eastAsia="SimSun" w:hAnsi="Times New Roman" w:cs="Times New Roman"/>
                <w:sz w:val="18"/>
                <w:szCs w:val="18"/>
              </w:rPr>
              <w:t>Fp</w:t>
            </w:r>
            <w:proofErr w:type="spellEnd"/>
            <w:r>
              <w:rPr>
                <w:rFonts w:ascii="Times New Roman" w:eastAsia="SimSun" w:hAnsi="Times New Roman" w:cs="Times New Roman"/>
                <w:sz w:val="18"/>
                <w:szCs w:val="18"/>
              </w:rPr>
              <w:t>," "F," "T," "C," "O," and "P" represent the frontal polar region, frontal lobe, temporal lobe, central region, occipital lobe, and parietal lobe, respectively. The suffix "z" indicates the center of the left or right hemisphere of the brain. Odd numbers refer to the left hemisphere, while even numbers refer to the right hemisphere.</w:t>
            </w:r>
          </w:p>
        </w:tc>
      </w:tr>
    </w:tbl>
    <w:bookmarkEnd w:id="11"/>
    <w:p w14:paraId="19D7BA9E" w14:textId="77777777" w:rsidR="00907DC0" w:rsidRDefault="00000000">
      <w:pPr>
        <w:tabs>
          <w:tab w:val="left" w:pos="0"/>
        </w:tabs>
        <w:spacing w:line="280" w:lineRule="exact"/>
        <w:rPr>
          <w:rFonts w:ascii="Times New Roman" w:eastAsia="SimSun" w:hAnsi="Times New Roman" w:cs="Times New Roman"/>
          <w:b/>
          <w:bCs/>
          <w:sz w:val="20"/>
          <w:szCs w:val="20"/>
        </w:rPr>
      </w:pPr>
      <w:r>
        <w:rPr>
          <w:rFonts w:ascii="Times New Roman" w:eastAsia="Times New Roman" w:hAnsi="Times New Roman" w:cs="Times New Roman"/>
          <w:b/>
          <w:bCs/>
          <w:sz w:val="20"/>
          <w:szCs w:val="20"/>
        </w:rPr>
        <w:t>2.3.3 Electrodermal Activity (EDA)</w:t>
      </w:r>
      <w:r>
        <w:rPr>
          <w:rFonts w:ascii="Times New Roman" w:eastAsia="SimSun" w:hAnsi="Times New Roman" w:cs="Times New Roman"/>
          <w:b/>
          <w:bCs/>
          <w:sz w:val="20"/>
          <w:szCs w:val="20"/>
        </w:rPr>
        <w:t xml:space="preserve"> </w:t>
      </w:r>
    </w:p>
    <w:p w14:paraId="041F08E8"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EDA refers to the electrical conductance characteristics of the skin surface, which change with sweat gland activity. It is a commonly used physiological indicator of psychological and emotional states, reflecting the level of autonomic </w:t>
      </w:r>
      <w:r>
        <w:rPr>
          <w:rFonts w:ascii="Times New Roman" w:eastAsia="Times New Roman" w:hAnsi="Times New Roman" w:cs="Times New Roman"/>
          <w:sz w:val="20"/>
          <w:szCs w:val="20"/>
        </w:rPr>
        <w:t xml:space="preserve">nervous system activity. In this experiment, EDA measurements were conducted using the </w:t>
      </w:r>
      <w:proofErr w:type="spellStart"/>
      <w:r>
        <w:rPr>
          <w:rFonts w:ascii="Times New Roman" w:eastAsia="Times New Roman" w:hAnsi="Times New Roman" w:cs="Times New Roman"/>
          <w:sz w:val="20"/>
          <w:szCs w:val="20"/>
        </w:rPr>
        <w:t>ErgoLAB</w:t>
      </w:r>
      <w:proofErr w:type="spellEnd"/>
      <w:r>
        <w:rPr>
          <w:rFonts w:ascii="Times New Roman" w:eastAsia="Times New Roman" w:hAnsi="Times New Roman" w:cs="Times New Roman"/>
          <w:sz w:val="20"/>
          <w:szCs w:val="20"/>
        </w:rPr>
        <w:t xml:space="preserve"> smart wearable wrist sensor. The sensor uses a wristband-integrated sensor and wireless radio frequency for real-time data collection, with a system sampling rate of ≥2000Hz/channel, system resolution ≥16Bit, measurement range ≥0 to 30μS, and measurement accuracy ≤0.01μS.</w:t>
      </w:r>
    </w:p>
    <w:p w14:paraId="35A56707" w14:textId="77777777" w:rsidR="00907DC0" w:rsidRDefault="00000000">
      <w:pPr>
        <w:tabs>
          <w:tab w:val="left" w:pos="0"/>
        </w:tabs>
        <w:spacing w:line="280" w:lineRule="exact"/>
        <w:rPr>
          <w:rFonts w:ascii="Times New Roman" w:eastAsia="SimSun" w:hAnsi="Times New Roman" w:cs="Times New Roman"/>
          <w:b/>
          <w:bCs/>
          <w:sz w:val="20"/>
          <w:szCs w:val="20"/>
        </w:rPr>
      </w:pPr>
      <w:r>
        <w:rPr>
          <w:rFonts w:ascii="Times New Roman" w:eastAsia="Times New Roman" w:hAnsi="Times New Roman" w:cs="Times New Roman"/>
          <w:b/>
          <w:bCs/>
          <w:sz w:val="20"/>
          <w:szCs w:val="20"/>
        </w:rPr>
        <w:t>2.4 Experimental Process</w:t>
      </w:r>
      <w:r>
        <w:rPr>
          <w:rFonts w:ascii="Times New Roman" w:eastAsia="SimSun" w:hAnsi="Times New Roman" w:cs="Times New Roman"/>
          <w:b/>
          <w:bCs/>
          <w:sz w:val="20"/>
          <w:szCs w:val="20"/>
        </w:rPr>
        <w:t xml:space="preserve"> </w:t>
      </w:r>
    </w:p>
    <w:p w14:paraId="256E3A9B" w14:textId="77777777" w:rsidR="00907DC0" w:rsidRDefault="00000000">
      <w:pPr>
        <w:spacing w:line="280" w:lineRule="exact"/>
        <w:ind w:firstLineChars="200" w:firstLine="400"/>
        <w:rPr>
          <w:rFonts w:ascii="Times New Roman" w:eastAsia="SimSun" w:hAnsi="Times New Roman" w:cs="Times New Roman"/>
          <w:sz w:val="20"/>
          <w:szCs w:val="20"/>
        </w:rPr>
      </w:pPr>
      <w:r>
        <w:rPr>
          <w:rFonts w:ascii="Times New Roman" w:eastAsia="Times New Roman" w:hAnsi="Times New Roman" w:cs="Times New Roman"/>
          <w:sz w:val="20"/>
          <w:szCs w:val="20"/>
        </w:rPr>
        <w:t>Rest Phase: Participants first signed an informed consent form and wore the physiological data collection wrist sensors. During this phase, participants were allowed to relax. Preparation Phase: Participants completed a pre-experiment phase, reading the VR task instructions, wearing the VR headset, and engaging in VR practice tasks to ensure they adapted to the VR equipment.</w:t>
      </w:r>
      <w:r>
        <w:rPr>
          <w:rFonts w:ascii="Times New Roman" w:eastAsia="SimSun" w:hAnsi="Times New Roman" w:cs="Times New Roman"/>
          <w:sz w:val="20"/>
          <w:szCs w:val="20"/>
        </w:rPr>
        <w:t xml:space="preserve"> </w:t>
      </w:r>
    </w:p>
    <w:p w14:paraId="10CB1597" w14:textId="77777777" w:rsidR="00907DC0" w:rsidRDefault="00000000">
      <w:pPr>
        <w:spacing w:line="280" w:lineRule="exact"/>
        <w:ind w:firstLineChars="200" w:firstLine="400"/>
        <w:rPr>
          <w:rFonts w:ascii="Times New Roman" w:eastAsia="SimSun" w:hAnsi="Times New Roman" w:cs="Times New Roman"/>
          <w:sz w:val="20"/>
          <w:szCs w:val="20"/>
        </w:rPr>
      </w:pPr>
      <w:r>
        <w:rPr>
          <w:rFonts w:ascii="Times New Roman" w:eastAsia="Times New Roman" w:hAnsi="Times New Roman" w:cs="Times New Roman"/>
          <w:sz w:val="20"/>
          <w:szCs w:val="20"/>
        </w:rPr>
        <w:t xml:space="preserve">Before the formal experiment, participants were informed that they would be involved in a virtual reality evacuation experiment. The specific task was to be in a subway station on the -2 level, where an emergency occurred, and they needed to find the exit on </w:t>
      </w:r>
      <w:proofErr w:type="gramStart"/>
      <w:r>
        <w:rPr>
          <w:rFonts w:ascii="Times New Roman" w:eastAsia="Times New Roman" w:hAnsi="Times New Roman" w:cs="Times New Roman"/>
          <w:sz w:val="20"/>
          <w:szCs w:val="20"/>
        </w:rPr>
        <w:t>the -1 level</w:t>
      </w:r>
      <w:proofErr w:type="gramEnd"/>
      <w:r>
        <w:rPr>
          <w:rFonts w:ascii="Times New Roman" w:eastAsia="Times New Roman" w:hAnsi="Times New Roman" w:cs="Times New Roman"/>
          <w:sz w:val="20"/>
          <w:szCs w:val="20"/>
        </w:rPr>
        <w:t xml:space="preserve"> to complete the evacuation. First, participants were exposed to panic-inducing video stimuli to activate their panic response. The type of content was explained to the participants beforehand, and they were informed they could opt out at any time during the video. The experiment included dynamic fire and smoke simulations, accompanied by noisy environmental sounds and sounds of panicking people. The first experimental task began thereafter. After completing this, there was a 5-minute relaxation phase to ensure participants' mental state was stable. Experiment 2 followed. Before each experiment, there was a 50-60s panic awakening phase.</w:t>
      </w:r>
      <w:r>
        <w:rPr>
          <w:rFonts w:ascii="Times New Roman" w:eastAsia="SimSun" w:hAnsi="Times New Roman" w:cs="Times New Roman"/>
          <w:sz w:val="20"/>
          <w:szCs w:val="20"/>
        </w:rPr>
        <w:t xml:space="preserve"> </w:t>
      </w:r>
    </w:p>
    <w:p w14:paraId="5A080E0E"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Finally, participants removed the equipment and completed a self-assessment and scenario realism questionnaire after the experiment. The experimental flowchart is shown in </w:t>
      </w:r>
      <w:hyperlink w:anchor="Fig4" w:history="1">
        <w:r>
          <w:rPr>
            <w:rStyle w:val="FollowedHyperlink"/>
            <w:rFonts w:eastAsia="Times New Roman" w:cs="Times New Roman"/>
            <w:sz w:val="20"/>
            <w:szCs w:val="20"/>
            <w:u w:val="none"/>
          </w:rPr>
          <w:t>F</w:t>
        </w:r>
        <w:r>
          <w:rPr>
            <w:rStyle w:val="FollowedHyperlink"/>
            <w:rFonts w:cs="Times New Roman" w:hint="eastAsia"/>
            <w:sz w:val="20"/>
            <w:szCs w:val="20"/>
            <w:u w:val="none"/>
          </w:rPr>
          <w:t>igure</w:t>
        </w:r>
        <w:r>
          <w:rPr>
            <w:rStyle w:val="FollowedHyperlink"/>
            <w:rFonts w:eastAsia="Times New Roman" w:cs="Times New Roman"/>
            <w:sz w:val="20"/>
            <w:szCs w:val="20"/>
            <w:u w:val="none"/>
          </w:rPr>
          <w:t xml:space="preserve"> 4</w:t>
        </w:r>
      </w:hyperlink>
      <w:r>
        <w:rPr>
          <w:rFonts w:ascii="Times New Roman" w:eastAsia="Times New Roman" w:hAnsi="Times New Roman" w:cs="Times New Roman"/>
          <w:sz w:val="20"/>
          <w:szCs w:val="20"/>
        </w:rPr>
        <w:t>.</w:t>
      </w:r>
    </w:p>
    <w:p w14:paraId="021024E1" w14:textId="77777777" w:rsidR="00907DC0" w:rsidRDefault="00907DC0">
      <w:pPr>
        <w:spacing w:line="280" w:lineRule="exact"/>
        <w:jc w:val="center"/>
        <w:rPr>
          <w:rFonts w:ascii="Times New Roman" w:hAnsi="Times New Roman" w:cs="Times New Roman"/>
        </w:rPr>
        <w:sectPr w:rsidR="00907DC0">
          <w:type w:val="continuous"/>
          <w:pgSz w:w="11906" w:h="16838"/>
          <w:pgMar w:top="879" w:right="850" w:bottom="879" w:left="850" w:header="1247" w:footer="1247" w:gutter="0"/>
          <w:cols w:num="2" w:space="720" w:equalWidth="0">
            <w:col w:w="4890" w:space="425"/>
            <w:col w:w="4890"/>
          </w:cols>
          <w:docGrid w:type="lines" w:linePitch="312"/>
        </w:sectPr>
      </w:pPr>
      <w:bookmarkStart w:id="13" w:name="OLE_LINK15"/>
    </w:p>
    <w:tbl>
      <w:tblPr>
        <w:tblStyle w:val="TableGrid"/>
        <w:tblW w:w="5000" w:type="pct"/>
        <w:tblLook w:val="04A0" w:firstRow="1" w:lastRow="0" w:firstColumn="1" w:lastColumn="0" w:noHBand="0" w:noVBand="1"/>
      </w:tblPr>
      <w:tblGrid>
        <w:gridCol w:w="10206"/>
      </w:tblGrid>
      <w:tr w:rsidR="00907DC0" w14:paraId="416DD12D" w14:textId="77777777">
        <w:tc>
          <w:tcPr>
            <w:tcW w:w="5000" w:type="pct"/>
            <w:tcBorders>
              <w:top w:val="nil"/>
              <w:left w:val="nil"/>
              <w:bottom w:val="nil"/>
              <w:right w:val="nil"/>
            </w:tcBorders>
          </w:tcPr>
          <w:p w14:paraId="40636D88" w14:textId="77777777" w:rsidR="00907DC0" w:rsidRDefault="00000000">
            <w:pPr>
              <w:jc w:val="center"/>
              <w:rPr>
                <w:rFonts w:ascii="Times New Roman" w:hAnsi="Times New Roman" w:cs="Times New Roman"/>
              </w:rPr>
            </w:pPr>
            <w:r>
              <w:rPr>
                <w:rFonts w:ascii="Times New Roman" w:hAnsi="Times New Roman" w:cs="Times New Roman"/>
              </w:rPr>
              <w:object w:dxaOrig="9581" w:dyaOrig="3175" w14:anchorId="28F7DD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8.8pt;height:159pt" o:ole="">
                  <v:imagedata r:id="rId14" o:title=""/>
                  <o:lock v:ext="edit" aspectratio="f"/>
                </v:shape>
                <o:OLEObject Type="Embed" ProgID="Visio.Drawing.15" ShapeID="_x0000_i1025" DrawAspect="Content" ObjectID="_1800886908" r:id="rId15"/>
              </w:object>
            </w:r>
            <w:bookmarkEnd w:id="13"/>
          </w:p>
        </w:tc>
      </w:tr>
      <w:tr w:rsidR="00907DC0" w14:paraId="3AEF381E" w14:textId="77777777">
        <w:tc>
          <w:tcPr>
            <w:tcW w:w="5000" w:type="pct"/>
            <w:tcBorders>
              <w:top w:val="nil"/>
              <w:left w:val="nil"/>
              <w:bottom w:val="nil"/>
              <w:right w:val="nil"/>
            </w:tcBorders>
          </w:tcPr>
          <w:p w14:paraId="2CFE82DE" w14:textId="77777777" w:rsidR="00907DC0" w:rsidRDefault="00000000">
            <w:pPr>
              <w:jc w:val="center"/>
              <w:rPr>
                <w:rFonts w:ascii="Times New Roman" w:hAnsi="Times New Roman" w:cs="Times New Roman"/>
                <w:sz w:val="22"/>
                <w:szCs w:val="28"/>
              </w:rPr>
            </w:pPr>
            <w:bookmarkStart w:id="14" w:name="Fig4"/>
            <w:r>
              <w:rPr>
                <w:rFonts w:ascii="Times New Roman" w:eastAsia="Times New Roman" w:hAnsi="Times New Roman" w:cs="Times New Roman"/>
                <w:b/>
                <w:bCs/>
                <w:sz w:val="18"/>
                <w:szCs w:val="18"/>
              </w:rPr>
              <w:t>F</w:t>
            </w:r>
            <w:r>
              <w:rPr>
                <w:rFonts w:ascii="Times New Roman" w:eastAsia="SimSun" w:hAnsi="Times New Roman" w:cs="Times New Roman" w:hint="eastAsia"/>
                <w:b/>
                <w:bCs/>
                <w:sz w:val="18"/>
                <w:szCs w:val="18"/>
              </w:rPr>
              <w:t xml:space="preserve">IGURE </w:t>
            </w:r>
            <w:r>
              <w:rPr>
                <w:rFonts w:ascii="Times New Roman" w:eastAsia="SimSun" w:hAnsi="Times New Roman" w:cs="Times New Roman"/>
                <w:b/>
                <w:bCs/>
                <w:sz w:val="18"/>
                <w:szCs w:val="18"/>
              </w:rPr>
              <w:t>4</w:t>
            </w:r>
            <w:bookmarkEnd w:id="14"/>
            <w:r>
              <w:rPr>
                <w:rFonts w:ascii="Times New Roman" w:eastAsia="Times New Roman" w:hAnsi="Times New Roman" w:cs="Times New Roman"/>
                <w:sz w:val="18"/>
                <w:szCs w:val="18"/>
              </w:rPr>
              <w:t xml:space="preserve"> </w:t>
            </w:r>
            <w:r>
              <w:rPr>
                <w:rFonts w:ascii="Times New Roman" w:eastAsia="SimSun" w:hAnsi="Times New Roman" w:cs="Times New Roman"/>
                <w:sz w:val="18"/>
                <w:szCs w:val="18"/>
              </w:rPr>
              <w:t>Experimental Flowchart</w:t>
            </w:r>
          </w:p>
        </w:tc>
      </w:tr>
    </w:tbl>
    <w:p w14:paraId="0648BCF4" w14:textId="77777777" w:rsidR="00907DC0" w:rsidRDefault="00907DC0">
      <w:pPr>
        <w:tabs>
          <w:tab w:val="left" w:pos="0"/>
        </w:tabs>
        <w:spacing w:line="240" w:lineRule="exact"/>
        <w:rPr>
          <w:rFonts w:ascii="Times New Roman" w:eastAsia="Times New Roman" w:hAnsi="Times New Roman" w:cs="Times New Roman"/>
          <w:b/>
          <w:bCs/>
          <w:sz w:val="20"/>
          <w:szCs w:val="20"/>
        </w:rPr>
        <w:sectPr w:rsidR="00907DC0">
          <w:type w:val="continuous"/>
          <w:pgSz w:w="11906" w:h="16838"/>
          <w:pgMar w:top="879" w:right="850" w:bottom="879" w:left="850" w:header="1247" w:footer="1247" w:gutter="0"/>
          <w:cols w:space="425"/>
          <w:docGrid w:type="lines" w:linePitch="312"/>
        </w:sectPr>
      </w:pPr>
    </w:p>
    <w:p w14:paraId="2F859F41" w14:textId="77777777" w:rsidR="00907DC0" w:rsidRDefault="00000000">
      <w:pPr>
        <w:tabs>
          <w:tab w:val="left" w:pos="0"/>
        </w:tabs>
        <w:spacing w:line="280" w:lineRule="exact"/>
        <w:rPr>
          <w:rFonts w:ascii="Times New Roman" w:eastAsia="SimSun" w:hAnsi="Times New Roman" w:cs="Times New Roman"/>
          <w:b/>
          <w:bCs/>
          <w:sz w:val="20"/>
          <w:szCs w:val="20"/>
        </w:rPr>
      </w:pPr>
      <w:r>
        <w:rPr>
          <w:rFonts w:ascii="Times New Roman" w:eastAsia="Times New Roman" w:hAnsi="Times New Roman" w:cs="Times New Roman"/>
          <w:b/>
          <w:bCs/>
          <w:sz w:val="20"/>
          <w:szCs w:val="20"/>
        </w:rPr>
        <w:t>2.5 Data Processing</w:t>
      </w:r>
      <w:r>
        <w:rPr>
          <w:rFonts w:ascii="Times New Roman" w:eastAsia="SimSun" w:hAnsi="Times New Roman" w:cs="Times New Roman"/>
          <w:b/>
          <w:bCs/>
          <w:sz w:val="20"/>
          <w:szCs w:val="20"/>
        </w:rPr>
        <w:t xml:space="preserve"> </w:t>
      </w:r>
    </w:p>
    <w:p w14:paraId="343B4673" w14:textId="77777777" w:rsidR="00907DC0" w:rsidRDefault="00000000">
      <w:pPr>
        <w:tabs>
          <w:tab w:val="left" w:pos="0"/>
        </w:tabs>
        <w:spacing w:line="280" w:lineRule="exact"/>
        <w:rPr>
          <w:rFonts w:ascii="Times New Roman" w:eastAsia="SimSun" w:hAnsi="Times New Roman" w:cs="Times New Roman"/>
          <w:b/>
          <w:bCs/>
          <w:sz w:val="20"/>
          <w:szCs w:val="20"/>
        </w:rPr>
      </w:pPr>
      <w:r>
        <w:rPr>
          <w:rFonts w:ascii="Times New Roman" w:eastAsia="Times New Roman" w:hAnsi="Times New Roman" w:cs="Times New Roman"/>
          <w:b/>
          <w:bCs/>
          <w:sz w:val="20"/>
          <w:szCs w:val="20"/>
        </w:rPr>
        <w:t>2.5.1 Preprocessing</w:t>
      </w:r>
      <w:r>
        <w:rPr>
          <w:rFonts w:ascii="Times New Roman" w:eastAsia="SimSun" w:hAnsi="Times New Roman" w:cs="Times New Roman"/>
          <w:b/>
          <w:bCs/>
          <w:sz w:val="20"/>
          <w:szCs w:val="20"/>
        </w:rPr>
        <w:t xml:space="preserve"> </w:t>
      </w:r>
    </w:p>
    <w:p w14:paraId="610A6857"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EDA signals were preprocessed using </w:t>
      </w:r>
      <w:proofErr w:type="spellStart"/>
      <w:r>
        <w:rPr>
          <w:rFonts w:ascii="Times New Roman" w:eastAsia="Times New Roman" w:hAnsi="Times New Roman" w:cs="Times New Roman"/>
          <w:sz w:val="20"/>
          <w:szCs w:val="20"/>
        </w:rPr>
        <w:t>ErgoLAB</w:t>
      </w:r>
      <w:proofErr w:type="spellEnd"/>
      <w:r>
        <w:rPr>
          <w:rFonts w:ascii="Times New Roman" w:eastAsia="Times New Roman" w:hAnsi="Times New Roman" w:cs="Times New Roman"/>
          <w:sz w:val="20"/>
          <w:szCs w:val="20"/>
        </w:rPr>
        <w:t xml:space="preserve">, including filtering, </w:t>
      </w:r>
      <w:proofErr w:type="spellStart"/>
      <w:r>
        <w:rPr>
          <w:rFonts w:ascii="Times New Roman" w:eastAsia="Times New Roman" w:hAnsi="Times New Roman" w:cs="Times New Roman"/>
          <w:sz w:val="20"/>
          <w:szCs w:val="20"/>
        </w:rPr>
        <w:t>downsampling</w:t>
      </w:r>
      <w:proofErr w:type="spellEnd"/>
      <w:r>
        <w:rPr>
          <w:rFonts w:ascii="Times New Roman" w:eastAsia="Times New Roman" w:hAnsi="Times New Roman" w:cs="Times New Roman"/>
          <w:sz w:val="20"/>
          <w:szCs w:val="20"/>
        </w:rPr>
        <w:t>, segmentation, and smoothing to finalize the SCL data</w:t>
      </w:r>
      <w:r>
        <w:rPr>
          <w:rFonts w:ascii="Times New Roman" w:eastAsia="SimSun" w:hAnsi="Times New Roman" w:cs="Times New Roman"/>
          <w:sz w:val="20"/>
          <w:szCs w:val="20"/>
        </w:rPr>
        <w:t xml:space="preserve"> </w:t>
      </w:r>
      <w:r>
        <w:rPr>
          <w:rFonts w:ascii="Times New Roman" w:eastAsia="Times New Roman" w:hAnsi="Times New Roman" w:cs="Times New Roman"/>
          <w:sz w:val="20"/>
          <w:szCs w:val="20"/>
        </w:rPr>
        <w:t>(</w:t>
      </w:r>
      <w:hyperlink w:anchor="Yeom" w:history="1">
        <w:r>
          <w:rPr>
            <w:rStyle w:val="Hyperlink"/>
            <w:rFonts w:ascii="Times New Roman" w:eastAsia="Times New Roman" w:hAnsi="Times New Roman" w:cs="Times New Roman"/>
            <w:color w:val="auto"/>
            <w:sz w:val="20"/>
            <w:szCs w:val="20"/>
            <w:u w:val="none"/>
          </w:rPr>
          <w:t>Yeom et al.,</w:t>
        </w:r>
        <w:r>
          <w:rPr>
            <w:rStyle w:val="Hyperlink"/>
            <w:rFonts w:ascii="Times New Roman" w:eastAsia="Times New Roman" w:hAnsi="Times New Roman" w:cs="Times New Roman"/>
            <w:sz w:val="20"/>
            <w:szCs w:val="20"/>
            <w:u w:val="none"/>
          </w:rPr>
          <w:t xml:space="preserve"> 2021</w:t>
        </w:r>
      </w:hyperlink>
      <w:r>
        <w:rPr>
          <w:rFonts w:ascii="Times New Roman" w:eastAsia="Times New Roman" w:hAnsi="Times New Roman" w:cs="Times New Roman"/>
          <w:sz w:val="20"/>
          <w:szCs w:val="20"/>
        </w:rPr>
        <w:t xml:space="preserve">). EEG signals were preprocessed using EEGLAB, a MATLAB-based program for EEG data processing. </w:t>
      </w:r>
      <w:proofErr w:type="spellStart"/>
      <w:r>
        <w:rPr>
          <w:rFonts w:ascii="Times New Roman" w:eastAsia="Times New Roman" w:hAnsi="Times New Roman" w:cs="Times New Roman"/>
          <w:sz w:val="20"/>
          <w:szCs w:val="20"/>
        </w:rPr>
        <w:t>A</w:t>
      </w:r>
      <w:r>
        <w:rPr>
          <w:rFonts w:ascii="Times New Roman" w:eastAsia="SimSun" w:hAnsi="Times New Roman" w:cs="Times New Roman"/>
          <w:sz w:val="20"/>
          <w:szCs w:val="20"/>
        </w:rPr>
        <w:t>band</w:t>
      </w:r>
      <w:r>
        <w:rPr>
          <w:rFonts w:ascii="Times New Roman" w:eastAsia="Times New Roman" w:hAnsi="Times New Roman" w:cs="Times New Roman"/>
          <w:sz w:val="20"/>
          <w:szCs w:val="20"/>
        </w:rPr>
        <w:t>pass</w:t>
      </w:r>
      <w:proofErr w:type="spellEnd"/>
      <w:r>
        <w:rPr>
          <w:rFonts w:ascii="Times New Roman" w:eastAsia="Times New Roman" w:hAnsi="Times New Roman" w:cs="Times New Roman"/>
          <w:sz w:val="20"/>
          <w:szCs w:val="20"/>
        </w:rPr>
        <w:t xml:space="preserve"> filter was applied to remove artifacts caused by sweat and eye or mouth movements, as well as to eliminate frequencies below 0.1Hz and above 50Hz (</w:t>
      </w:r>
      <w:hyperlink w:anchor="Delorme" w:history="1">
        <w:r>
          <w:rPr>
            <w:rStyle w:val="Hyperlink"/>
            <w:rFonts w:ascii="Times New Roman" w:eastAsia="Times New Roman" w:hAnsi="Times New Roman" w:cs="Times New Roman"/>
            <w:color w:val="auto"/>
            <w:sz w:val="20"/>
            <w:szCs w:val="20"/>
            <w:u w:val="none"/>
          </w:rPr>
          <w:t xml:space="preserve">Delorme and </w:t>
        </w:r>
        <w:proofErr w:type="spellStart"/>
        <w:r>
          <w:rPr>
            <w:rStyle w:val="Hyperlink"/>
            <w:rFonts w:ascii="Times New Roman" w:eastAsia="Times New Roman" w:hAnsi="Times New Roman" w:cs="Times New Roman"/>
            <w:color w:val="auto"/>
            <w:sz w:val="20"/>
            <w:szCs w:val="20"/>
            <w:u w:val="none"/>
          </w:rPr>
          <w:t>Makeig</w:t>
        </w:r>
        <w:proofErr w:type="spellEnd"/>
        <w:r>
          <w:rPr>
            <w:rStyle w:val="Hyperlink"/>
            <w:rFonts w:ascii="Times New Roman" w:eastAsia="Times New Roman" w:hAnsi="Times New Roman" w:cs="Times New Roman"/>
            <w:color w:val="auto"/>
            <w:sz w:val="20"/>
            <w:szCs w:val="20"/>
            <w:u w:val="none"/>
          </w:rPr>
          <w:t xml:space="preserve">, </w:t>
        </w:r>
        <w:r>
          <w:rPr>
            <w:rStyle w:val="Hyperlink"/>
            <w:rFonts w:ascii="Times New Roman" w:eastAsia="Times New Roman" w:hAnsi="Times New Roman" w:cs="Times New Roman"/>
            <w:sz w:val="20"/>
            <w:szCs w:val="20"/>
            <w:u w:val="none"/>
          </w:rPr>
          <w:t>2004</w:t>
        </w:r>
      </w:hyperlink>
      <w:r>
        <w:rPr>
          <w:rFonts w:ascii="Times New Roman" w:eastAsia="Times New Roman" w:hAnsi="Times New Roman" w:cs="Times New Roman"/>
          <w:sz w:val="20"/>
          <w:szCs w:val="20"/>
        </w:rPr>
        <w:t>). Independent Component Analysis (ICA) was then used to remove any remaining artifacts</w:t>
      </w:r>
      <w:r>
        <w:rPr>
          <w:rFonts w:ascii="Times New Roman" w:eastAsia="SimSun" w:hAnsi="Times New Roman" w:cs="Times New Roman"/>
          <w:sz w:val="20"/>
          <w:szCs w:val="20"/>
        </w:rPr>
        <w:t xml:space="preserve"> </w:t>
      </w:r>
      <w:r>
        <w:rPr>
          <w:rFonts w:ascii="Times New Roman" w:eastAsia="Times New Roman" w:hAnsi="Times New Roman" w:cs="Times New Roman"/>
          <w:sz w:val="20"/>
          <w:szCs w:val="20"/>
        </w:rPr>
        <w:t>(</w:t>
      </w:r>
      <w:hyperlink w:anchor="Winkler" w:history="1">
        <w:r>
          <w:rPr>
            <w:rStyle w:val="Hyperlink"/>
            <w:rFonts w:ascii="Times New Roman" w:eastAsia="Times New Roman" w:hAnsi="Times New Roman" w:cs="Times New Roman"/>
            <w:color w:val="auto"/>
            <w:sz w:val="20"/>
            <w:szCs w:val="20"/>
            <w:u w:val="none"/>
          </w:rPr>
          <w:t>Winkler et al.,</w:t>
        </w:r>
        <w:r>
          <w:rPr>
            <w:rStyle w:val="Hyperlink"/>
            <w:rFonts w:ascii="Times New Roman" w:eastAsia="Times New Roman" w:hAnsi="Times New Roman" w:cs="Times New Roman"/>
            <w:sz w:val="20"/>
            <w:szCs w:val="20"/>
            <w:u w:val="none"/>
          </w:rPr>
          <w:t xml:space="preserve"> 2011</w:t>
        </w:r>
      </w:hyperlink>
      <w:r>
        <w:rPr>
          <w:rFonts w:ascii="Times New Roman" w:eastAsia="Times New Roman" w:hAnsi="Times New Roman" w:cs="Times New Roman"/>
          <w:sz w:val="20"/>
          <w:szCs w:val="20"/>
        </w:rPr>
        <w:t xml:space="preserve">). </w:t>
      </w:r>
    </w:p>
    <w:p w14:paraId="6751C525" w14:textId="77777777" w:rsidR="00907DC0" w:rsidRDefault="00000000">
      <w:pPr>
        <w:spacing w:line="280" w:lineRule="exact"/>
        <w:ind w:firstLineChars="200" w:firstLine="400"/>
        <w:rPr>
          <w:rFonts w:ascii="Times New Roman" w:eastAsia="SimSun" w:hAnsi="Times New Roman" w:cs="Times New Roman"/>
          <w:sz w:val="20"/>
          <w:szCs w:val="20"/>
        </w:rPr>
      </w:pPr>
      <w:r>
        <w:rPr>
          <w:rFonts w:ascii="Times New Roman" w:eastAsia="Times New Roman" w:hAnsi="Times New Roman" w:cs="Times New Roman"/>
          <w:sz w:val="20"/>
          <w:szCs w:val="20"/>
        </w:rPr>
        <w:t>EEG data had a sampling rate of 256Hz, and after electrode preprocessing, a Fast Fourier Transform (FFT) was used to perform power spectral analysis, dividing the data into Theta</w:t>
      </w:r>
      <w:r>
        <w:rPr>
          <w:rFonts w:ascii="Times New Roman" w:eastAsia="SimSun" w:hAnsi="Times New Roman" w:cs="Times New Roman"/>
          <w:sz w:val="20"/>
          <w:szCs w:val="20"/>
        </w:rPr>
        <w:t xml:space="preserve"> (θ)band</w:t>
      </w:r>
      <w:r>
        <w:rPr>
          <w:rFonts w:ascii="Times New Roman" w:eastAsia="Times New Roman" w:hAnsi="Times New Roman" w:cs="Times New Roman"/>
          <w:sz w:val="20"/>
          <w:szCs w:val="20"/>
        </w:rPr>
        <w:t xml:space="preserve"> (4-8 Hz), Alpha</w:t>
      </w:r>
      <w:r>
        <w:rPr>
          <w:rFonts w:ascii="Times New Roman" w:eastAsia="SimSun" w:hAnsi="Times New Roman" w:cs="Times New Roman"/>
          <w:sz w:val="20"/>
          <w:szCs w:val="20"/>
        </w:rPr>
        <w:t xml:space="preserve"> (α)band</w:t>
      </w:r>
      <w:r>
        <w:rPr>
          <w:rFonts w:ascii="Times New Roman" w:eastAsia="Times New Roman" w:hAnsi="Times New Roman" w:cs="Times New Roman"/>
          <w:sz w:val="20"/>
          <w:szCs w:val="20"/>
        </w:rPr>
        <w:t xml:space="preserve"> (8-13 Hz), and Beta</w:t>
      </w:r>
      <w:r>
        <w:rPr>
          <w:rFonts w:ascii="Times New Roman" w:eastAsia="SimSun" w:hAnsi="Times New Roman" w:cs="Times New Roman"/>
          <w:sz w:val="20"/>
          <w:szCs w:val="20"/>
        </w:rPr>
        <w:t xml:space="preserve"> (β)band</w:t>
      </w:r>
      <w:r>
        <w:rPr>
          <w:rFonts w:ascii="Times New Roman" w:eastAsia="Times New Roman" w:hAnsi="Times New Roman" w:cs="Times New Roman"/>
          <w:sz w:val="20"/>
          <w:szCs w:val="20"/>
        </w:rPr>
        <w:t xml:space="preserve"> (13-30 Hz). </w:t>
      </w:r>
      <w:r>
        <w:rPr>
          <w:rFonts w:ascii="Times New Roman" w:eastAsia="SimSun" w:hAnsi="Times New Roman" w:cs="Times New Roman"/>
          <w:sz w:val="20"/>
          <w:szCs w:val="20"/>
        </w:rPr>
        <w:t>θ-band</w:t>
      </w:r>
      <w:r>
        <w:rPr>
          <w:rFonts w:ascii="Times New Roman" w:eastAsia="Times New Roman" w:hAnsi="Times New Roman" w:cs="Times New Roman"/>
          <w:sz w:val="20"/>
          <w:szCs w:val="20"/>
        </w:rPr>
        <w:t xml:space="preserve"> in the frontal lobe are mainly generated during working memory tasks, attention concentration, and alertness</w:t>
      </w:r>
      <w:r>
        <w:rPr>
          <w:rFonts w:ascii="Times New Roman" w:eastAsia="SimSun" w:hAnsi="Times New Roman" w:cs="Times New Roman"/>
          <w:sz w:val="20"/>
          <w:szCs w:val="20"/>
        </w:rPr>
        <w:t xml:space="preserve"> </w:t>
      </w:r>
      <w:r>
        <w:rPr>
          <w:rFonts w:ascii="Times New Roman" w:eastAsia="Times New Roman" w:hAnsi="Times New Roman" w:cs="Times New Roman"/>
          <w:sz w:val="20"/>
          <w:szCs w:val="20"/>
        </w:rPr>
        <w:t>(</w:t>
      </w:r>
      <w:hyperlink w:anchor="Aft" w:history="1">
        <w:r>
          <w:rPr>
            <w:rStyle w:val="Hyperlink"/>
            <w:rFonts w:ascii="Times New Roman" w:eastAsia="Times New Roman" w:hAnsi="Times New Roman" w:cs="Times New Roman"/>
            <w:color w:val="auto"/>
            <w:sz w:val="20"/>
            <w:szCs w:val="20"/>
            <w:u w:val="none"/>
          </w:rPr>
          <w:t>Aftanas et al.,</w:t>
        </w:r>
        <w:r>
          <w:rPr>
            <w:rStyle w:val="Hyperlink"/>
            <w:rFonts w:ascii="Times New Roman" w:eastAsia="Times New Roman" w:hAnsi="Times New Roman" w:cs="Times New Roman"/>
            <w:sz w:val="20"/>
            <w:szCs w:val="20"/>
            <w:u w:val="none"/>
          </w:rPr>
          <w:t xml:space="preserve"> 2003</w:t>
        </w:r>
      </w:hyperlink>
      <w:r>
        <w:rPr>
          <w:rFonts w:ascii="Times New Roman" w:eastAsia="Times New Roman" w:hAnsi="Times New Roman" w:cs="Times New Roman"/>
          <w:sz w:val="20"/>
          <w:szCs w:val="20"/>
        </w:rPr>
        <w:t xml:space="preserve">). </w:t>
      </w:r>
      <w:r>
        <w:rPr>
          <w:rFonts w:ascii="Times New Roman" w:eastAsia="SimSun" w:hAnsi="Times New Roman" w:cs="Times New Roman"/>
          <w:sz w:val="20"/>
          <w:szCs w:val="20"/>
        </w:rPr>
        <w:t>α-band</w:t>
      </w:r>
      <w:r>
        <w:rPr>
          <w:rFonts w:ascii="Times New Roman" w:eastAsia="Times New Roman" w:hAnsi="Times New Roman" w:cs="Times New Roman"/>
          <w:sz w:val="20"/>
          <w:szCs w:val="20"/>
        </w:rPr>
        <w:t xml:space="preserve"> in the parietal and occipital lobes are mainly produced during working memory, mental load, attention concentration, and alertness</w:t>
      </w:r>
      <w:r>
        <w:rPr>
          <w:rFonts w:ascii="Times New Roman" w:eastAsia="SimSun" w:hAnsi="Times New Roman" w:cs="Times New Roman"/>
          <w:sz w:val="20"/>
          <w:szCs w:val="20"/>
        </w:rPr>
        <w:t xml:space="preserve"> </w:t>
      </w:r>
      <w:r>
        <w:rPr>
          <w:rFonts w:ascii="Times New Roman" w:eastAsia="Times New Roman" w:hAnsi="Times New Roman" w:cs="Times New Roman"/>
          <w:sz w:val="20"/>
          <w:szCs w:val="20"/>
        </w:rPr>
        <w:t>(</w:t>
      </w:r>
      <w:hyperlink w:anchor="Foster" w:history="1">
        <w:r>
          <w:rPr>
            <w:rStyle w:val="Hyperlink"/>
            <w:rFonts w:ascii="Times New Roman" w:eastAsia="Times New Roman" w:hAnsi="Times New Roman" w:cs="Times New Roman"/>
            <w:color w:val="auto"/>
            <w:sz w:val="20"/>
            <w:szCs w:val="20"/>
            <w:u w:val="none"/>
          </w:rPr>
          <w:t xml:space="preserve">Foster et al., </w:t>
        </w:r>
        <w:r>
          <w:rPr>
            <w:rStyle w:val="Hyperlink"/>
            <w:rFonts w:ascii="Times New Roman" w:eastAsia="Times New Roman" w:hAnsi="Times New Roman" w:cs="Times New Roman"/>
            <w:sz w:val="20"/>
            <w:szCs w:val="20"/>
            <w:u w:val="none"/>
          </w:rPr>
          <w:t>2017</w:t>
        </w:r>
      </w:hyperlink>
      <w:r>
        <w:rPr>
          <w:rFonts w:ascii="Times New Roman" w:eastAsia="Times New Roman" w:hAnsi="Times New Roman" w:cs="Times New Roman"/>
          <w:sz w:val="20"/>
          <w:szCs w:val="20"/>
        </w:rPr>
        <w:t xml:space="preserve">). </w:t>
      </w:r>
      <w:r>
        <w:rPr>
          <w:rFonts w:ascii="Times New Roman" w:eastAsia="SimSun" w:hAnsi="Times New Roman" w:cs="Times New Roman"/>
          <w:sz w:val="20"/>
          <w:szCs w:val="20"/>
        </w:rPr>
        <w:t>β-band</w:t>
      </w:r>
      <w:r>
        <w:rPr>
          <w:rFonts w:ascii="Times New Roman" w:eastAsia="Times New Roman" w:hAnsi="Times New Roman" w:cs="Times New Roman"/>
          <w:sz w:val="20"/>
          <w:szCs w:val="20"/>
        </w:rPr>
        <w:t xml:space="preserve"> in the parietal and occipital lobes occur mainly when visual attention, concentration, or stress is present</w:t>
      </w:r>
      <w:r>
        <w:rPr>
          <w:rFonts w:ascii="Times New Roman" w:eastAsia="SimSun" w:hAnsi="Times New Roman" w:cs="Times New Roman"/>
          <w:sz w:val="20"/>
          <w:szCs w:val="20"/>
        </w:rPr>
        <w:t xml:space="preserve"> (</w:t>
      </w:r>
      <w:hyperlink w:anchor="Kuribayashi" w:history="1">
        <w:r>
          <w:rPr>
            <w:rStyle w:val="Hyperlink"/>
            <w:rFonts w:ascii="Times New Roman" w:eastAsia="SimSun" w:hAnsi="Times New Roman" w:cs="Times New Roman"/>
            <w:color w:val="auto"/>
            <w:sz w:val="20"/>
            <w:szCs w:val="20"/>
            <w:u w:val="none"/>
          </w:rPr>
          <w:t xml:space="preserve">Kuribayashi and </w:t>
        </w:r>
        <w:proofErr w:type="spellStart"/>
        <w:r>
          <w:rPr>
            <w:rStyle w:val="Hyperlink"/>
            <w:rFonts w:ascii="Times New Roman" w:eastAsia="SimSun" w:hAnsi="Times New Roman" w:cs="Times New Roman"/>
            <w:color w:val="auto"/>
            <w:sz w:val="20"/>
            <w:szCs w:val="20"/>
            <w:u w:val="none"/>
          </w:rPr>
          <w:t>Nittono</w:t>
        </w:r>
        <w:proofErr w:type="spellEnd"/>
        <w:r>
          <w:rPr>
            <w:rStyle w:val="Hyperlink"/>
            <w:rFonts w:ascii="Times New Roman" w:eastAsia="SimSun" w:hAnsi="Times New Roman" w:cs="Times New Roman"/>
            <w:color w:val="auto"/>
            <w:sz w:val="20"/>
            <w:szCs w:val="20"/>
            <w:u w:val="none"/>
          </w:rPr>
          <w:t xml:space="preserve">, </w:t>
        </w:r>
        <w:r>
          <w:rPr>
            <w:rStyle w:val="Hyperlink"/>
            <w:rFonts w:ascii="Times New Roman" w:eastAsia="SimSun" w:hAnsi="Times New Roman" w:cs="Times New Roman"/>
            <w:sz w:val="20"/>
            <w:szCs w:val="20"/>
            <w:u w:val="none"/>
          </w:rPr>
          <w:t>2017</w:t>
        </w:r>
      </w:hyperlink>
      <w:r>
        <w:rPr>
          <w:rFonts w:ascii="Times New Roman" w:eastAsia="SimSun" w:hAnsi="Times New Roman" w:cs="Times New Roman"/>
          <w:sz w:val="20"/>
          <w:szCs w:val="20"/>
        </w:rPr>
        <w:t>)</w:t>
      </w:r>
      <w:r>
        <w:rPr>
          <w:rFonts w:ascii="Times New Roman" w:eastAsia="Times New Roman" w:hAnsi="Times New Roman" w:cs="Times New Roman"/>
          <w:sz w:val="20"/>
          <w:szCs w:val="20"/>
        </w:rPr>
        <w:t>. Due to significant individual differences in the minimum and maximum EEG power, relative power values were used to correct for individual variations</w:t>
      </w:r>
      <w:r>
        <w:rPr>
          <w:rFonts w:ascii="Times New Roman" w:eastAsia="SimSun" w:hAnsi="Times New Roman" w:cs="Times New Roman"/>
          <w:sz w:val="20"/>
          <w:szCs w:val="20"/>
        </w:rPr>
        <w:t xml:space="preserve"> </w:t>
      </w:r>
      <w:r>
        <w:rPr>
          <w:rFonts w:ascii="Times New Roman" w:eastAsia="Times New Roman" w:hAnsi="Times New Roman" w:cs="Times New Roman"/>
          <w:sz w:val="20"/>
          <w:szCs w:val="20"/>
        </w:rPr>
        <w:t>(</w:t>
      </w:r>
      <w:hyperlink w:anchor="Han" w:history="1">
        <w:r>
          <w:rPr>
            <w:rStyle w:val="Hyperlink"/>
            <w:rFonts w:ascii="Times New Roman" w:eastAsia="Times New Roman" w:hAnsi="Times New Roman" w:cs="Times New Roman"/>
            <w:color w:val="auto"/>
            <w:sz w:val="20"/>
            <w:szCs w:val="20"/>
            <w:u w:val="none"/>
          </w:rPr>
          <w:t>Han and Chun,</w:t>
        </w:r>
        <w:r>
          <w:rPr>
            <w:rStyle w:val="Hyperlink"/>
            <w:rFonts w:ascii="Times New Roman" w:eastAsia="Times New Roman" w:hAnsi="Times New Roman" w:cs="Times New Roman"/>
            <w:sz w:val="20"/>
            <w:szCs w:val="20"/>
            <w:u w:val="none"/>
          </w:rPr>
          <w:t xml:space="preserve"> 2021</w:t>
        </w:r>
      </w:hyperlink>
      <w:r>
        <w:rPr>
          <w:rFonts w:ascii="Times New Roman" w:eastAsia="Times New Roman" w:hAnsi="Times New Roman" w:cs="Times New Roman"/>
          <w:sz w:val="20"/>
          <w:szCs w:val="20"/>
        </w:rPr>
        <w:t>).</w:t>
      </w:r>
      <w:r>
        <w:rPr>
          <w:rFonts w:ascii="Times New Roman" w:eastAsia="SimSun" w:hAnsi="Times New Roman" w:cs="Times New Roman"/>
          <w:sz w:val="20"/>
          <w:szCs w:val="20"/>
        </w:rPr>
        <w:t xml:space="preserve"> </w:t>
      </w:r>
    </w:p>
    <w:p w14:paraId="4704F9BA" w14:textId="77777777" w:rsidR="00907DC0" w:rsidRDefault="00000000">
      <w:pPr>
        <w:tabs>
          <w:tab w:val="left" w:pos="0"/>
        </w:tabs>
        <w:spacing w:line="280" w:lineRule="exact"/>
        <w:rPr>
          <w:rFonts w:ascii="Times New Roman" w:eastAsia="SimSun" w:hAnsi="Times New Roman" w:cs="Times New Roman"/>
          <w:b/>
          <w:bCs/>
          <w:sz w:val="20"/>
          <w:szCs w:val="20"/>
        </w:rPr>
      </w:pPr>
      <w:r>
        <w:rPr>
          <w:rFonts w:ascii="Times New Roman" w:eastAsia="Times New Roman" w:hAnsi="Times New Roman" w:cs="Times New Roman"/>
          <w:b/>
          <w:bCs/>
          <w:sz w:val="20"/>
          <w:szCs w:val="20"/>
        </w:rPr>
        <w:t>2.5.2 Statistical Analysis</w:t>
      </w:r>
      <w:r>
        <w:rPr>
          <w:rFonts w:ascii="Times New Roman" w:eastAsia="SimSun" w:hAnsi="Times New Roman" w:cs="Times New Roman"/>
          <w:b/>
          <w:bCs/>
          <w:sz w:val="20"/>
          <w:szCs w:val="20"/>
        </w:rPr>
        <w:t xml:space="preserve"> </w:t>
      </w:r>
    </w:p>
    <w:p w14:paraId="24ED33E2" w14:textId="77777777" w:rsidR="00907DC0" w:rsidRDefault="00000000">
      <w:pPr>
        <w:spacing w:line="280" w:lineRule="exact"/>
        <w:ind w:firstLineChars="200" w:firstLine="400"/>
        <w:rPr>
          <w:rFonts w:ascii="Times New Roman" w:eastAsia="SimSun" w:hAnsi="Times New Roman" w:cs="Times New Roman"/>
          <w:sz w:val="20"/>
          <w:szCs w:val="20"/>
        </w:rPr>
      </w:pPr>
      <w:r>
        <w:rPr>
          <w:rFonts w:ascii="Times New Roman" w:eastAsia="Times New Roman" w:hAnsi="Times New Roman" w:cs="Times New Roman"/>
          <w:sz w:val="20"/>
          <w:szCs w:val="20"/>
        </w:rPr>
        <w:t xml:space="preserve">This study analyzes the corresponding changes between panic evacuation behavior and neurophysiology in relation to different personality traits. The Kolmogorov–Smirnov (K-S) test was used to check whether the OCEAN model data conformed to the normal distribution assumption, followed by </w:t>
      </w:r>
      <w:r>
        <w:rPr>
          <w:rFonts w:ascii="Times New Roman" w:eastAsia="Times New Roman" w:hAnsi="Times New Roman" w:cs="Times New Roman"/>
          <w:sz w:val="20"/>
          <w:szCs w:val="20"/>
        </w:rPr>
        <w:t>Pearson’s correlation test to verify the relationship between personality traits and panic emotions.</w:t>
      </w:r>
      <w:r>
        <w:rPr>
          <w:rFonts w:ascii="Times New Roman" w:eastAsia="SimSun" w:hAnsi="Times New Roman" w:cs="Times New Roman"/>
          <w:sz w:val="20"/>
          <w:szCs w:val="20"/>
        </w:rPr>
        <w:t xml:space="preserve"> </w:t>
      </w:r>
    </w:p>
    <w:p w14:paraId="3AEC1A60" w14:textId="77777777" w:rsidR="00907DC0" w:rsidRDefault="00000000">
      <w:pPr>
        <w:spacing w:line="280" w:lineRule="exact"/>
        <w:ind w:firstLineChars="200" w:firstLine="400"/>
        <w:rPr>
          <w:rFonts w:ascii="Times New Roman" w:eastAsia="SimSun" w:hAnsi="Times New Roman" w:cs="Times New Roman"/>
          <w:sz w:val="20"/>
          <w:szCs w:val="20"/>
        </w:rPr>
      </w:pPr>
      <w:r>
        <w:rPr>
          <w:rFonts w:ascii="Times New Roman" w:eastAsia="Times New Roman" w:hAnsi="Times New Roman" w:cs="Times New Roman"/>
          <w:sz w:val="20"/>
          <w:szCs w:val="20"/>
        </w:rPr>
        <w:t xml:space="preserve">Next, k-means clustering analysis was used to divide all participants into two groups, and mixed-design ANOVA was used to analyze the rationality of the group classification. The Shapiro-Wilk and Levene tests were applied to conduct basic checks on SCL data and relative EEG power. </w:t>
      </w:r>
      <w:proofErr w:type="gramStart"/>
      <w:r>
        <w:rPr>
          <w:rFonts w:ascii="Times New Roman" w:eastAsia="Times New Roman" w:hAnsi="Times New Roman" w:cs="Times New Roman"/>
          <w:sz w:val="20"/>
          <w:szCs w:val="20"/>
        </w:rPr>
        <w:t>Independent-samples</w:t>
      </w:r>
      <w:proofErr w:type="gramEnd"/>
      <w:r>
        <w:rPr>
          <w:rFonts w:ascii="Times New Roman" w:eastAsia="Times New Roman" w:hAnsi="Times New Roman" w:cs="Times New Roman"/>
          <w:sz w:val="20"/>
          <w:szCs w:val="20"/>
        </w:rPr>
        <w:t xml:space="preserve"> t-tests were used to observe whether there were significant differences in EDA and EEG responses between two groups with different characteristics during Experiment 1. Since Experiment 2 focused on observing changes in EDA and EEG under emotional contagion conditions for individuals with different personality traits, paired-samples t-tests were used to compare the pre- and post-emotional contagion data for different personality traits.</w:t>
      </w:r>
      <w:r>
        <w:rPr>
          <w:rFonts w:ascii="Times New Roman" w:eastAsia="SimSun" w:hAnsi="Times New Roman" w:cs="Times New Roman"/>
          <w:sz w:val="20"/>
          <w:szCs w:val="20"/>
        </w:rPr>
        <w:t xml:space="preserve"> </w:t>
      </w:r>
    </w:p>
    <w:p w14:paraId="0EBCB456"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Data processing, analysis, and graphical visualization were performed using IBM SPSS Statistics 27. EDA and EEG signal preprocessing and analysis were done using </w:t>
      </w:r>
      <w:proofErr w:type="spellStart"/>
      <w:r>
        <w:rPr>
          <w:rFonts w:ascii="Times New Roman" w:eastAsia="Times New Roman" w:hAnsi="Times New Roman" w:cs="Times New Roman"/>
          <w:sz w:val="20"/>
          <w:szCs w:val="20"/>
        </w:rPr>
        <w:t>ErgoLAB</w:t>
      </w:r>
      <w:proofErr w:type="spellEnd"/>
      <w:r>
        <w:rPr>
          <w:rFonts w:ascii="Times New Roman" w:eastAsia="Times New Roman" w:hAnsi="Times New Roman" w:cs="Times New Roman"/>
          <w:sz w:val="20"/>
          <w:szCs w:val="20"/>
        </w:rPr>
        <w:t>, MATLAB 2019a, and EEGLAB 2021.0.</w:t>
      </w:r>
    </w:p>
    <w:p w14:paraId="785F0A73" w14:textId="77777777" w:rsidR="00907DC0" w:rsidRDefault="00000000">
      <w:pPr>
        <w:pStyle w:val="Heading3"/>
        <w:spacing w:before="156" w:after="156" w:line="280" w:lineRule="exact"/>
        <w:jc w:val="left"/>
        <w:rPr>
          <w:rFonts w:ascii="Times New Roman" w:eastAsia="SimSun" w:hAnsi="Times New Roman" w:cs="Times New Roman"/>
          <w:sz w:val="20"/>
          <w:szCs w:val="20"/>
        </w:rPr>
      </w:pPr>
      <w:r>
        <w:rPr>
          <w:rFonts w:ascii="Times New Roman" w:eastAsia="Times New Roman" w:hAnsi="Times New Roman" w:cs="Times New Roman"/>
          <w:sz w:val="20"/>
          <w:szCs w:val="20"/>
        </w:rPr>
        <w:t>3. R</w:t>
      </w:r>
      <w:r>
        <w:rPr>
          <w:rFonts w:ascii="Times New Roman" w:eastAsia="SimSun" w:hAnsi="Times New Roman" w:cs="Times New Roman" w:hint="eastAsia"/>
          <w:sz w:val="20"/>
          <w:szCs w:val="20"/>
        </w:rPr>
        <w:t>ESULTS</w:t>
      </w:r>
    </w:p>
    <w:p w14:paraId="7120DB5B" w14:textId="77777777" w:rsidR="00907DC0" w:rsidRDefault="00000000">
      <w:pPr>
        <w:tabs>
          <w:tab w:val="left" w:pos="0"/>
        </w:tabs>
        <w:spacing w:line="280" w:lineRule="exact"/>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3.1 Personality Trait Classification (OCEAN)</w:t>
      </w:r>
    </w:p>
    <w:p w14:paraId="148C1C63"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The OCEAN model includes five orthogonal dimensions: Openness (O), Conscientiousness (C), Extraversion (E), Agreeableness (A), and Neuroticism (N). Based on a carefully designed questionnaire (</w:t>
      </w:r>
      <w:hyperlink w:anchor="Krosnick" w:history="1">
        <w:r>
          <w:rPr>
            <w:rStyle w:val="Hyperlink"/>
            <w:rFonts w:ascii="Times New Roman" w:eastAsia="Times New Roman" w:hAnsi="Times New Roman" w:cs="Times New Roman"/>
            <w:color w:val="auto"/>
            <w:sz w:val="20"/>
            <w:szCs w:val="20"/>
            <w:u w:val="none"/>
          </w:rPr>
          <w:t xml:space="preserve">Krosnick, </w:t>
        </w:r>
        <w:r>
          <w:rPr>
            <w:rStyle w:val="Hyperlink"/>
            <w:rFonts w:ascii="Times New Roman" w:eastAsia="Times New Roman" w:hAnsi="Times New Roman" w:cs="Times New Roman"/>
            <w:sz w:val="20"/>
            <w:szCs w:val="20"/>
            <w:u w:val="none"/>
          </w:rPr>
          <w:t>2017</w:t>
        </w:r>
      </w:hyperlink>
      <w:r>
        <w:rPr>
          <w:rFonts w:ascii="Times New Roman" w:eastAsia="Times New Roman" w:hAnsi="Times New Roman" w:cs="Times New Roman"/>
          <w:sz w:val="20"/>
          <w:szCs w:val="20"/>
        </w:rPr>
        <w:t xml:space="preserve">), this study analyzes the impact of participants' personality traits on panic emotions. First, the frequency count of participants' OCEAN results was analyzed, and preliminary Gaussian function fitting was performed. It was found that all five dimensions of personality traits followed a normal distribution, as shown in </w:t>
      </w:r>
      <w:hyperlink w:anchor="Fig5" w:history="1">
        <w:r>
          <w:rPr>
            <w:rStyle w:val="FollowedHyperlink"/>
            <w:rFonts w:eastAsia="Times New Roman" w:cs="Times New Roman"/>
            <w:sz w:val="20"/>
            <w:szCs w:val="20"/>
            <w:u w:val="none"/>
          </w:rPr>
          <w:t>F</w:t>
        </w:r>
        <w:r>
          <w:rPr>
            <w:rStyle w:val="FollowedHyperlink"/>
            <w:rFonts w:cs="Times New Roman" w:hint="eastAsia"/>
            <w:sz w:val="20"/>
            <w:szCs w:val="20"/>
            <w:u w:val="none"/>
          </w:rPr>
          <w:t>igure</w:t>
        </w:r>
        <w:r>
          <w:rPr>
            <w:rStyle w:val="FollowedHyperlink"/>
            <w:rFonts w:eastAsia="Times New Roman" w:cs="Times New Roman"/>
            <w:sz w:val="20"/>
            <w:szCs w:val="20"/>
            <w:u w:val="none"/>
          </w:rPr>
          <w:t xml:space="preserve"> 5</w:t>
        </w:r>
      </w:hyperlink>
      <w:r>
        <w:rPr>
          <w:rFonts w:ascii="Times New Roman" w:eastAsia="Times New Roman" w:hAnsi="Times New Roman" w:cs="Times New Roman"/>
          <w:sz w:val="20"/>
          <w:szCs w:val="20"/>
        </w:rPr>
        <w:t>.</w:t>
      </w:r>
    </w:p>
    <w:p w14:paraId="5E29ABD9" w14:textId="77777777" w:rsidR="00907DC0" w:rsidRDefault="00907DC0">
      <w:pPr>
        <w:spacing w:line="280" w:lineRule="exact"/>
        <w:sectPr w:rsidR="00907DC0">
          <w:type w:val="continuous"/>
          <w:pgSz w:w="11906" w:h="16838"/>
          <w:pgMar w:top="879" w:right="850" w:bottom="879" w:left="850" w:header="1247" w:footer="1247" w:gutter="0"/>
          <w:cols w:num="2" w:space="720" w:equalWidth="0">
            <w:col w:w="4890" w:space="425"/>
            <w:col w:w="4890"/>
          </w:cols>
          <w:docGrid w:type="lines" w:linePitch="312"/>
        </w:sectPr>
      </w:pPr>
    </w:p>
    <w:tbl>
      <w:tblPr>
        <w:tblStyle w:val="TableGrid"/>
        <w:tblW w:w="0" w:type="auto"/>
        <w:tblLook w:val="04A0" w:firstRow="1" w:lastRow="0" w:firstColumn="1" w:lastColumn="0" w:noHBand="0" w:noVBand="1"/>
      </w:tblPr>
      <w:tblGrid>
        <w:gridCol w:w="3397"/>
        <w:gridCol w:w="1706"/>
        <w:gridCol w:w="1706"/>
        <w:gridCol w:w="3397"/>
      </w:tblGrid>
      <w:tr w:rsidR="00907DC0" w14:paraId="76991797" w14:textId="77777777">
        <w:tc>
          <w:tcPr>
            <w:tcW w:w="0" w:type="auto"/>
            <w:tcBorders>
              <w:top w:val="nil"/>
              <w:left w:val="nil"/>
              <w:bottom w:val="nil"/>
              <w:right w:val="nil"/>
            </w:tcBorders>
            <w:vAlign w:val="center"/>
          </w:tcPr>
          <w:p w14:paraId="7FB29246" w14:textId="77777777" w:rsidR="00907DC0" w:rsidRDefault="00000000">
            <w:pPr>
              <w:jc w:val="center"/>
              <w:rPr>
                <w:rFonts w:ascii="Times New Roman" w:hAnsi="Times New Roman" w:cs="Times New Roman"/>
              </w:rPr>
            </w:pPr>
            <w:r>
              <w:rPr>
                <w:noProof/>
              </w:rPr>
              <w:lastRenderedPageBreak/>
              <w:drawing>
                <wp:inline distT="0" distB="0" distL="114300" distR="114300" wp14:anchorId="4805E2E9" wp14:editId="24DED6C5">
                  <wp:extent cx="2160270" cy="1403985"/>
                  <wp:effectExtent l="0" t="0" r="11430" b="5715"/>
                  <wp:docPr id="2" name="图片 2"/>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16"/>
                          <a:srcRect r="278" b="14370"/>
                          <a:stretch>
                            <a:fillRect/>
                          </a:stretch>
                        </pic:blipFill>
                        <pic:spPr>
                          <a:xfrm>
                            <a:off x="0" y="0"/>
                            <a:ext cx="2160270" cy="1403985"/>
                          </a:xfrm>
                          <a:prstGeom prst="rect">
                            <a:avLst/>
                          </a:prstGeom>
                          <a:noFill/>
                          <a:ln>
                            <a:noFill/>
                          </a:ln>
                        </pic:spPr>
                      </pic:pic>
                    </a:graphicData>
                  </a:graphic>
                </wp:inline>
              </w:drawing>
            </w:r>
          </w:p>
        </w:tc>
        <w:tc>
          <w:tcPr>
            <w:tcW w:w="0" w:type="auto"/>
            <w:gridSpan w:val="2"/>
            <w:tcBorders>
              <w:top w:val="nil"/>
              <w:left w:val="nil"/>
              <w:bottom w:val="nil"/>
              <w:right w:val="nil"/>
            </w:tcBorders>
            <w:vAlign w:val="center"/>
          </w:tcPr>
          <w:p w14:paraId="00A27D99" w14:textId="77777777" w:rsidR="00907DC0" w:rsidRDefault="00000000">
            <w:pPr>
              <w:jc w:val="center"/>
              <w:rPr>
                <w:rFonts w:ascii="Times New Roman" w:hAnsi="Times New Roman" w:cs="Times New Roman"/>
              </w:rPr>
            </w:pPr>
            <w:r>
              <w:rPr>
                <w:rFonts w:ascii="Times New Roman" w:hAnsi="Times New Roman" w:cs="Times New Roman"/>
                <w:noProof/>
              </w:rPr>
              <w:drawing>
                <wp:inline distT="0" distB="0" distL="114300" distR="114300" wp14:anchorId="13E1FA0B" wp14:editId="5F422D7E">
                  <wp:extent cx="2160270" cy="1403985"/>
                  <wp:effectExtent l="0" t="0" r="11430" b="5715"/>
                  <wp:docPr id="19" name="图片 15"/>
                  <wp:cNvGraphicFramePr/>
                  <a:graphic xmlns:a="http://schemas.openxmlformats.org/drawingml/2006/main">
                    <a:graphicData uri="http://schemas.openxmlformats.org/drawingml/2006/picture">
                      <pic:pic xmlns:pic="http://schemas.openxmlformats.org/drawingml/2006/picture">
                        <pic:nvPicPr>
                          <pic:cNvPr id="19" name="图片 15"/>
                          <pic:cNvPicPr/>
                        </pic:nvPicPr>
                        <pic:blipFill>
                          <a:blip r:embed="rId17"/>
                          <a:srcRect r="12309" b="47304"/>
                          <a:stretch>
                            <a:fillRect/>
                          </a:stretch>
                        </pic:blipFill>
                        <pic:spPr>
                          <a:xfrm>
                            <a:off x="0" y="0"/>
                            <a:ext cx="2160270" cy="1403985"/>
                          </a:xfrm>
                          <a:prstGeom prst="rect">
                            <a:avLst/>
                          </a:prstGeom>
                          <a:noFill/>
                          <a:ln>
                            <a:noFill/>
                          </a:ln>
                        </pic:spPr>
                      </pic:pic>
                    </a:graphicData>
                  </a:graphic>
                </wp:inline>
              </w:drawing>
            </w:r>
          </w:p>
        </w:tc>
        <w:tc>
          <w:tcPr>
            <w:tcW w:w="0" w:type="auto"/>
            <w:tcBorders>
              <w:top w:val="nil"/>
              <w:left w:val="nil"/>
              <w:bottom w:val="nil"/>
              <w:right w:val="nil"/>
            </w:tcBorders>
            <w:vAlign w:val="center"/>
          </w:tcPr>
          <w:p w14:paraId="74B8F4ED" w14:textId="77777777" w:rsidR="00907DC0" w:rsidRDefault="00000000">
            <w:pPr>
              <w:jc w:val="center"/>
              <w:rPr>
                <w:rFonts w:ascii="Times New Roman" w:hAnsi="Times New Roman" w:cs="Times New Roman"/>
              </w:rPr>
            </w:pPr>
            <w:r>
              <w:rPr>
                <w:rFonts w:ascii="Times New Roman" w:hAnsi="Times New Roman" w:cs="Times New Roman"/>
                <w:noProof/>
              </w:rPr>
              <w:drawing>
                <wp:inline distT="0" distB="0" distL="114300" distR="114300" wp14:anchorId="08D82F24" wp14:editId="68952EEC">
                  <wp:extent cx="2160270" cy="1403985"/>
                  <wp:effectExtent l="0" t="0" r="11430" b="5715"/>
                  <wp:docPr id="16" name="图片 12"/>
                  <wp:cNvGraphicFramePr/>
                  <a:graphic xmlns:a="http://schemas.openxmlformats.org/drawingml/2006/main">
                    <a:graphicData uri="http://schemas.openxmlformats.org/drawingml/2006/picture">
                      <pic:pic xmlns:pic="http://schemas.openxmlformats.org/drawingml/2006/picture">
                        <pic:nvPicPr>
                          <pic:cNvPr id="16" name="图片 12"/>
                          <pic:cNvPicPr/>
                        </pic:nvPicPr>
                        <pic:blipFill>
                          <a:blip r:embed="rId18"/>
                          <a:srcRect r="1320" b="14775"/>
                          <a:stretch>
                            <a:fillRect/>
                          </a:stretch>
                        </pic:blipFill>
                        <pic:spPr>
                          <a:xfrm>
                            <a:off x="0" y="0"/>
                            <a:ext cx="2160270" cy="1403985"/>
                          </a:xfrm>
                          <a:prstGeom prst="rect">
                            <a:avLst/>
                          </a:prstGeom>
                          <a:noFill/>
                          <a:ln>
                            <a:noFill/>
                          </a:ln>
                        </pic:spPr>
                      </pic:pic>
                    </a:graphicData>
                  </a:graphic>
                </wp:inline>
              </w:drawing>
            </w:r>
          </w:p>
        </w:tc>
      </w:tr>
      <w:tr w:rsidR="00907DC0" w14:paraId="1EC83E65" w14:textId="77777777">
        <w:tc>
          <w:tcPr>
            <w:tcW w:w="0" w:type="auto"/>
            <w:tcBorders>
              <w:top w:val="nil"/>
              <w:left w:val="nil"/>
              <w:bottom w:val="nil"/>
              <w:right w:val="nil"/>
            </w:tcBorders>
            <w:vAlign w:val="center"/>
          </w:tcPr>
          <w:p w14:paraId="6A2AEC05" w14:textId="77777777" w:rsidR="00907DC0" w:rsidRDefault="00000000">
            <w:pPr>
              <w:spacing w:line="240" w:lineRule="exact"/>
              <w:jc w:val="center"/>
              <w:rPr>
                <w:rFonts w:ascii="Times New Roman" w:hAnsi="Times New Roman" w:cs="Times New Roman"/>
                <w:sz w:val="16"/>
                <w:szCs w:val="20"/>
              </w:rPr>
            </w:pPr>
            <w:bookmarkStart w:id="15" w:name="OLE_LINK17" w:colFirst="0" w:colLast="2"/>
            <w:r>
              <w:rPr>
                <w:rFonts w:ascii="Times New Roman" w:hAnsi="Times New Roman" w:cs="Times New Roman" w:hint="eastAsia"/>
                <w:sz w:val="16"/>
                <w:szCs w:val="20"/>
              </w:rPr>
              <w:t>a)</w:t>
            </w:r>
          </w:p>
        </w:tc>
        <w:tc>
          <w:tcPr>
            <w:tcW w:w="0" w:type="auto"/>
            <w:gridSpan w:val="2"/>
            <w:tcBorders>
              <w:top w:val="nil"/>
              <w:left w:val="nil"/>
              <w:bottom w:val="nil"/>
              <w:right w:val="nil"/>
            </w:tcBorders>
            <w:vAlign w:val="center"/>
          </w:tcPr>
          <w:p w14:paraId="0BAD78E0" w14:textId="77777777" w:rsidR="00907DC0" w:rsidRDefault="00000000">
            <w:pPr>
              <w:spacing w:line="240" w:lineRule="exact"/>
              <w:jc w:val="center"/>
              <w:rPr>
                <w:rFonts w:ascii="Times New Roman" w:hAnsi="Times New Roman" w:cs="Times New Roman"/>
                <w:sz w:val="16"/>
                <w:szCs w:val="20"/>
              </w:rPr>
            </w:pPr>
            <w:r>
              <w:rPr>
                <w:rFonts w:ascii="Times New Roman" w:hAnsi="Times New Roman" w:cs="Times New Roman" w:hint="eastAsia"/>
                <w:sz w:val="16"/>
                <w:szCs w:val="20"/>
              </w:rPr>
              <w:t>b)</w:t>
            </w:r>
          </w:p>
        </w:tc>
        <w:tc>
          <w:tcPr>
            <w:tcW w:w="0" w:type="auto"/>
            <w:tcBorders>
              <w:top w:val="nil"/>
              <w:left w:val="nil"/>
              <w:bottom w:val="nil"/>
              <w:right w:val="nil"/>
            </w:tcBorders>
            <w:vAlign w:val="center"/>
          </w:tcPr>
          <w:p w14:paraId="1902E2EC" w14:textId="77777777" w:rsidR="00907DC0" w:rsidRDefault="00000000">
            <w:pPr>
              <w:spacing w:line="240" w:lineRule="exact"/>
              <w:jc w:val="center"/>
              <w:rPr>
                <w:rFonts w:ascii="Times New Roman" w:hAnsi="Times New Roman" w:cs="Times New Roman"/>
                <w:sz w:val="16"/>
                <w:szCs w:val="20"/>
              </w:rPr>
            </w:pPr>
            <w:r>
              <w:rPr>
                <w:rFonts w:ascii="Times New Roman" w:hAnsi="Times New Roman" w:cs="Times New Roman" w:hint="eastAsia"/>
                <w:sz w:val="16"/>
                <w:szCs w:val="20"/>
              </w:rPr>
              <w:t>c)</w:t>
            </w:r>
          </w:p>
        </w:tc>
      </w:tr>
      <w:bookmarkEnd w:id="15"/>
      <w:tr w:rsidR="00907DC0" w14:paraId="43AA7791" w14:textId="77777777">
        <w:tc>
          <w:tcPr>
            <w:tcW w:w="0" w:type="auto"/>
            <w:gridSpan w:val="2"/>
            <w:tcBorders>
              <w:top w:val="nil"/>
              <w:left w:val="nil"/>
              <w:bottom w:val="nil"/>
              <w:right w:val="nil"/>
            </w:tcBorders>
            <w:vAlign w:val="center"/>
          </w:tcPr>
          <w:p w14:paraId="030E6730" w14:textId="77777777" w:rsidR="00907DC0" w:rsidRDefault="00000000">
            <w:pPr>
              <w:jc w:val="center"/>
              <w:rPr>
                <w:rFonts w:ascii="Times New Roman" w:hAnsi="Times New Roman" w:cs="Times New Roman"/>
              </w:rPr>
            </w:pPr>
            <w:r>
              <w:rPr>
                <w:rFonts w:ascii="Times New Roman" w:hAnsi="Times New Roman" w:cs="Times New Roman"/>
                <w:noProof/>
              </w:rPr>
              <w:drawing>
                <wp:inline distT="0" distB="0" distL="114300" distR="114300" wp14:anchorId="3E361270" wp14:editId="3B6E3272">
                  <wp:extent cx="2160270" cy="1403985"/>
                  <wp:effectExtent l="0" t="0" r="11430" b="5715"/>
                  <wp:docPr id="6" name="图片 9"/>
                  <wp:cNvGraphicFramePr/>
                  <a:graphic xmlns:a="http://schemas.openxmlformats.org/drawingml/2006/main">
                    <a:graphicData uri="http://schemas.openxmlformats.org/drawingml/2006/picture">
                      <pic:pic xmlns:pic="http://schemas.openxmlformats.org/drawingml/2006/picture">
                        <pic:nvPicPr>
                          <pic:cNvPr id="6" name="图片 9"/>
                          <pic:cNvPicPr/>
                        </pic:nvPicPr>
                        <pic:blipFill>
                          <a:blip r:embed="rId19"/>
                          <a:srcRect b="12918"/>
                          <a:stretch>
                            <a:fillRect/>
                          </a:stretch>
                        </pic:blipFill>
                        <pic:spPr>
                          <a:xfrm>
                            <a:off x="0" y="0"/>
                            <a:ext cx="2160270" cy="1403985"/>
                          </a:xfrm>
                          <a:prstGeom prst="rect">
                            <a:avLst/>
                          </a:prstGeom>
                          <a:noFill/>
                          <a:ln>
                            <a:noFill/>
                          </a:ln>
                        </pic:spPr>
                      </pic:pic>
                    </a:graphicData>
                  </a:graphic>
                </wp:inline>
              </w:drawing>
            </w:r>
          </w:p>
        </w:tc>
        <w:tc>
          <w:tcPr>
            <w:tcW w:w="0" w:type="auto"/>
            <w:gridSpan w:val="2"/>
            <w:tcBorders>
              <w:top w:val="nil"/>
              <w:left w:val="nil"/>
              <w:bottom w:val="nil"/>
              <w:right w:val="nil"/>
            </w:tcBorders>
            <w:vAlign w:val="center"/>
          </w:tcPr>
          <w:p w14:paraId="5A993C48" w14:textId="77777777" w:rsidR="00907DC0" w:rsidRDefault="00000000">
            <w:pPr>
              <w:jc w:val="center"/>
              <w:rPr>
                <w:rFonts w:ascii="Times New Roman" w:hAnsi="Times New Roman" w:cs="Times New Roman"/>
              </w:rPr>
            </w:pPr>
            <w:r>
              <w:rPr>
                <w:rFonts w:ascii="Times New Roman" w:hAnsi="Times New Roman" w:cs="Times New Roman"/>
                <w:noProof/>
              </w:rPr>
              <w:drawing>
                <wp:inline distT="0" distB="0" distL="114300" distR="114300" wp14:anchorId="0D921E80" wp14:editId="39A8DB3C">
                  <wp:extent cx="2160270" cy="1403985"/>
                  <wp:effectExtent l="0" t="0" r="11430" b="5715"/>
                  <wp:docPr id="20" name="图片 13"/>
                  <wp:cNvGraphicFramePr/>
                  <a:graphic xmlns:a="http://schemas.openxmlformats.org/drawingml/2006/main">
                    <a:graphicData uri="http://schemas.openxmlformats.org/drawingml/2006/picture">
                      <pic:pic xmlns:pic="http://schemas.openxmlformats.org/drawingml/2006/picture">
                        <pic:nvPicPr>
                          <pic:cNvPr id="20" name="图片 13"/>
                          <pic:cNvPicPr/>
                        </pic:nvPicPr>
                        <pic:blipFill>
                          <a:blip r:embed="rId20"/>
                          <a:srcRect r="12113" b="47285"/>
                          <a:stretch>
                            <a:fillRect/>
                          </a:stretch>
                        </pic:blipFill>
                        <pic:spPr>
                          <a:xfrm>
                            <a:off x="0" y="0"/>
                            <a:ext cx="2160270" cy="1403985"/>
                          </a:xfrm>
                          <a:prstGeom prst="rect">
                            <a:avLst/>
                          </a:prstGeom>
                          <a:noFill/>
                          <a:ln>
                            <a:noFill/>
                          </a:ln>
                        </pic:spPr>
                      </pic:pic>
                    </a:graphicData>
                  </a:graphic>
                </wp:inline>
              </w:drawing>
            </w:r>
          </w:p>
        </w:tc>
      </w:tr>
      <w:tr w:rsidR="00907DC0" w14:paraId="1EBA4492" w14:textId="77777777">
        <w:tc>
          <w:tcPr>
            <w:tcW w:w="0" w:type="auto"/>
            <w:gridSpan w:val="2"/>
            <w:tcBorders>
              <w:top w:val="nil"/>
              <w:left w:val="nil"/>
              <w:bottom w:val="nil"/>
              <w:right w:val="nil"/>
            </w:tcBorders>
            <w:vAlign w:val="center"/>
          </w:tcPr>
          <w:p w14:paraId="7DB9C53F" w14:textId="77777777" w:rsidR="00907DC0" w:rsidRDefault="00000000">
            <w:pPr>
              <w:spacing w:line="240" w:lineRule="exact"/>
              <w:jc w:val="center"/>
              <w:rPr>
                <w:rFonts w:ascii="Times New Roman" w:hAnsi="Times New Roman" w:cs="Times New Roman"/>
                <w:sz w:val="16"/>
                <w:szCs w:val="20"/>
              </w:rPr>
            </w:pPr>
            <w:bookmarkStart w:id="16" w:name="Fig5"/>
            <w:r>
              <w:rPr>
                <w:rFonts w:ascii="Times New Roman" w:hAnsi="Times New Roman" w:cs="Times New Roman" w:hint="eastAsia"/>
                <w:sz w:val="16"/>
                <w:szCs w:val="20"/>
              </w:rPr>
              <w:t>d)</w:t>
            </w:r>
          </w:p>
        </w:tc>
        <w:tc>
          <w:tcPr>
            <w:tcW w:w="0" w:type="auto"/>
            <w:gridSpan w:val="2"/>
            <w:tcBorders>
              <w:top w:val="nil"/>
              <w:left w:val="nil"/>
              <w:bottom w:val="nil"/>
              <w:right w:val="nil"/>
            </w:tcBorders>
            <w:vAlign w:val="center"/>
          </w:tcPr>
          <w:p w14:paraId="5AD0FE57" w14:textId="77777777" w:rsidR="00907DC0" w:rsidRDefault="00000000">
            <w:pPr>
              <w:spacing w:line="240" w:lineRule="exact"/>
              <w:jc w:val="center"/>
              <w:rPr>
                <w:rFonts w:ascii="Times New Roman" w:hAnsi="Times New Roman" w:cs="Times New Roman"/>
                <w:sz w:val="16"/>
                <w:szCs w:val="20"/>
              </w:rPr>
            </w:pPr>
            <w:r>
              <w:rPr>
                <w:rFonts w:ascii="Times New Roman" w:hAnsi="Times New Roman" w:cs="Times New Roman" w:hint="eastAsia"/>
                <w:sz w:val="16"/>
                <w:szCs w:val="20"/>
              </w:rPr>
              <w:t>e)</w:t>
            </w:r>
          </w:p>
        </w:tc>
      </w:tr>
      <w:tr w:rsidR="00907DC0" w14:paraId="7C37FDCC" w14:textId="77777777">
        <w:tc>
          <w:tcPr>
            <w:tcW w:w="0" w:type="auto"/>
            <w:gridSpan w:val="4"/>
            <w:tcBorders>
              <w:top w:val="nil"/>
              <w:left w:val="nil"/>
              <w:bottom w:val="nil"/>
              <w:right w:val="nil"/>
            </w:tcBorders>
            <w:vAlign w:val="center"/>
          </w:tcPr>
          <w:p w14:paraId="6AE55D45" w14:textId="77777777" w:rsidR="00907DC0" w:rsidRDefault="00000000">
            <w:pPr>
              <w:spacing w:line="240" w:lineRule="exact"/>
              <w:jc w:val="center"/>
              <w:rPr>
                <w:rFonts w:ascii="Times New Roman" w:hAnsi="Times New Roman" w:cs="Times New Roman"/>
                <w:sz w:val="22"/>
                <w:szCs w:val="28"/>
              </w:rPr>
            </w:pPr>
            <w:r>
              <w:rPr>
                <w:rFonts w:ascii="Times New Roman" w:eastAsia="Times New Roman" w:hAnsi="Times New Roman" w:cs="Times New Roman"/>
                <w:b/>
                <w:bCs/>
                <w:sz w:val="18"/>
                <w:szCs w:val="18"/>
              </w:rPr>
              <w:t>F</w:t>
            </w:r>
            <w:r>
              <w:rPr>
                <w:rFonts w:ascii="Times New Roman" w:eastAsia="SimSun" w:hAnsi="Times New Roman" w:cs="Times New Roman" w:hint="eastAsia"/>
                <w:b/>
                <w:bCs/>
                <w:sz w:val="18"/>
                <w:szCs w:val="18"/>
              </w:rPr>
              <w:t>IGURE</w:t>
            </w:r>
            <w:r>
              <w:rPr>
                <w:rFonts w:ascii="Times New Roman" w:hAnsi="Times New Roman" w:cs="Times New Roman"/>
                <w:b/>
                <w:bCs/>
                <w:sz w:val="18"/>
                <w:szCs w:val="21"/>
              </w:rPr>
              <w:t xml:space="preserve"> 5</w:t>
            </w:r>
            <w:bookmarkEnd w:id="16"/>
            <w:r>
              <w:rPr>
                <w:rFonts w:ascii="Times New Roman" w:hAnsi="Times New Roman" w:cs="Times New Roman"/>
                <w:sz w:val="18"/>
                <w:szCs w:val="21"/>
              </w:rPr>
              <w:t xml:space="preserve"> The frequency counts and Gaussian </w:t>
            </w:r>
            <w:proofErr w:type="spellStart"/>
            <w:r>
              <w:rPr>
                <w:rFonts w:ascii="Times New Roman" w:hAnsi="Times New Roman" w:cs="Times New Roman"/>
                <w:sz w:val="18"/>
                <w:szCs w:val="21"/>
              </w:rPr>
              <w:t>hunction</w:t>
            </w:r>
            <w:proofErr w:type="spellEnd"/>
            <w:r>
              <w:rPr>
                <w:rFonts w:ascii="Times New Roman" w:hAnsi="Times New Roman" w:cs="Times New Roman"/>
                <w:sz w:val="18"/>
                <w:szCs w:val="21"/>
              </w:rPr>
              <w:t xml:space="preserve"> of the OCEAN results for all subjects: (a) openness, (b) conscientiousness, (c) extroversion, (d</w:t>
            </w:r>
            <w:proofErr w:type="gramStart"/>
            <w:r>
              <w:rPr>
                <w:rFonts w:ascii="Times New Roman" w:hAnsi="Times New Roman" w:cs="Times New Roman"/>
                <w:sz w:val="18"/>
                <w:szCs w:val="21"/>
              </w:rPr>
              <w:t>)agreeableness</w:t>
            </w:r>
            <w:proofErr w:type="gramEnd"/>
            <w:r>
              <w:rPr>
                <w:rFonts w:ascii="Times New Roman" w:hAnsi="Times New Roman" w:cs="Times New Roman"/>
                <w:sz w:val="18"/>
                <w:szCs w:val="21"/>
              </w:rPr>
              <w:t xml:space="preserve"> and</w:t>
            </w:r>
            <w:r>
              <w:rPr>
                <w:rFonts w:ascii="Times New Roman" w:hAnsi="Times New Roman" w:cs="Times New Roman" w:hint="eastAsia"/>
                <w:sz w:val="18"/>
                <w:szCs w:val="21"/>
              </w:rPr>
              <w:t xml:space="preserve"> </w:t>
            </w:r>
            <w:r>
              <w:rPr>
                <w:rFonts w:ascii="Times New Roman" w:hAnsi="Times New Roman" w:cs="Times New Roman"/>
                <w:sz w:val="18"/>
                <w:szCs w:val="21"/>
              </w:rPr>
              <w:t>(e)neuroticism.</w:t>
            </w:r>
          </w:p>
        </w:tc>
      </w:tr>
    </w:tbl>
    <w:p w14:paraId="0B10844E" w14:textId="77777777" w:rsidR="00907DC0" w:rsidRDefault="00907DC0">
      <w:pPr>
        <w:spacing w:line="240" w:lineRule="exact"/>
        <w:ind w:firstLineChars="200" w:firstLine="400"/>
        <w:rPr>
          <w:rFonts w:ascii="Times New Roman" w:eastAsia="Times New Roman" w:hAnsi="Times New Roman" w:cs="Times New Roman"/>
          <w:sz w:val="20"/>
          <w:szCs w:val="20"/>
        </w:rPr>
        <w:sectPr w:rsidR="00907DC0">
          <w:type w:val="continuous"/>
          <w:pgSz w:w="11906" w:h="16838"/>
          <w:pgMar w:top="879" w:right="850" w:bottom="879" w:left="850" w:header="1247" w:footer="1247" w:gutter="0"/>
          <w:cols w:space="425"/>
          <w:docGrid w:type="lines" w:linePitch="312"/>
        </w:sectPr>
      </w:pPr>
    </w:p>
    <w:p w14:paraId="13B06E4B"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To explore the normal distribution characteristics of the personality dimensions, a Kolmogorov–Smirnov (K-S) test was conducted. </w:t>
      </w:r>
      <w:hyperlink w:anchor="Table1" w:history="1">
        <w:r>
          <w:rPr>
            <w:rStyle w:val="Hyperlink"/>
            <w:rFonts w:ascii="Times New Roman" w:eastAsia="Times New Roman" w:hAnsi="Times New Roman" w:cs="Times New Roman"/>
            <w:sz w:val="20"/>
            <w:szCs w:val="20"/>
            <w:u w:val="none"/>
          </w:rPr>
          <w:t>Table 1</w:t>
        </w:r>
      </w:hyperlink>
      <w:r>
        <w:rPr>
          <w:rFonts w:ascii="Times New Roman" w:eastAsia="Times New Roman" w:hAnsi="Times New Roman" w:cs="Times New Roman"/>
          <w:sz w:val="20"/>
          <w:szCs w:val="20"/>
        </w:rPr>
        <w:t xml:space="preserve"> shows the K-S test results for the OCEAN model. The p-values for all five personality </w:t>
      </w:r>
      <w:r>
        <w:rPr>
          <w:rFonts w:ascii="Times New Roman" w:eastAsia="Times New Roman" w:hAnsi="Times New Roman" w:cs="Times New Roman"/>
          <w:sz w:val="20"/>
          <w:szCs w:val="20"/>
        </w:rPr>
        <w:t>dimensions were greater than 0.05, indicating that the null hypothesis was not rejected and that the OCEAN results conform to a normal distribution.</w:t>
      </w:r>
    </w:p>
    <w:p w14:paraId="7283F16F" w14:textId="77777777" w:rsidR="00907DC0" w:rsidRDefault="00907DC0">
      <w:pPr>
        <w:spacing w:line="280" w:lineRule="exact"/>
        <w:jc w:val="center"/>
        <w:rPr>
          <w:rFonts w:ascii="Times New Roman" w:eastAsia="Times New Roman" w:hAnsi="Times New Roman" w:cs="Times New Roman"/>
          <w:b/>
          <w:bCs/>
          <w:sz w:val="18"/>
          <w:szCs w:val="18"/>
        </w:rPr>
        <w:sectPr w:rsidR="00907DC0">
          <w:type w:val="continuous"/>
          <w:pgSz w:w="11906" w:h="16838"/>
          <w:pgMar w:top="879" w:right="850" w:bottom="879" w:left="850" w:header="1247" w:footer="1247" w:gutter="0"/>
          <w:cols w:num="2" w:space="720" w:equalWidth="0">
            <w:col w:w="4890" w:space="425"/>
            <w:col w:w="4890"/>
          </w:cols>
          <w:docGrid w:type="lines" w:linePitch="312"/>
        </w:sectPr>
      </w:pPr>
      <w:bookmarkStart w:id="17" w:name="Table1"/>
      <w:bookmarkStart w:id="18" w:name="OLE_LINK19"/>
    </w:p>
    <w:p w14:paraId="4AD22663" w14:textId="77777777" w:rsidR="00907DC0" w:rsidRDefault="00000000">
      <w:pPr>
        <w:spacing w:line="280" w:lineRule="exact"/>
        <w:jc w:val="center"/>
        <w:rPr>
          <w:rFonts w:ascii="Times New Roman" w:eastAsia="Times New Roman" w:hAnsi="Times New Roman" w:cs="Times New Roman"/>
          <w:sz w:val="18"/>
          <w:szCs w:val="18"/>
        </w:rPr>
      </w:pPr>
      <w:r>
        <w:rPr>
          <w:rFonts w:ascii="Times New Roman" w:eastAsia="Times New Roman" w:hAnsi="Times New Roman" w:cs="Times New Roman"/>
          <w:b/>
          <w:bCs/>
          <w:sz w:val="18"/>
          <w:szCs w:val="18"/>
        </w:rPr>
        <w:t>Table 1</w:t>
      </w:r>
      <w:bookmarkEnd w:id="17"/>
      <w:r>
        <w:rPr>
          <w:rFonts w:ascii="Times New Roman" w:eastAsia="Times New Roman" w:hAnsi="Times New Roman" w:cs="Times New Roman"/>
          <w:sz w:val="18"/>
          <w:szCs w:val="18"/>
        </w:rPr>
        <w:t xml:space="preserve"> K-S Test Results for the OCEAN Model</w:t>
      </w:r>
    </w:p>
    <w:tbl>
      <w:tblPr>
        <w:tblStyle w:val="TableGrid"/>
        <w:tblW w:w="4995"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6"/>
        <w:gridCol w:w="1441"/>
        <w:gridCol w:w="1437"/>
        <w:gridCol w:w="1444"/>
        <w:gridCol w:w="1444"/>
        <w:gridCol w:w="1442"/>
        <w:gridCol w:w="1442"/>
      </w:tblGrid>
      <w:tr w:rsidR="00907DC0" w14:paraId="505423CE" w14:textId="77777777">
        <w:trPr>
          <w:trHeight w:val="340"/>
          <w:jc w:val="center"/>
        </w:trPr>
        <w:tc>
          <w:tcPr>
            <w:tcW w:w="753" w:type="pct"/>
            <w:tcBorders>
              <w:top w:val="single" w:sz="12" w:space="0" w:color="auto"/>
              <w:bottom w:val="single" w:sz="8" w:space="0" w:color="auto"/>
            </w:tcBorders>
          </w:tcPr>
          <w:bookmarkEnd w:id="18"/>
          <w:p w14:paraId="7B176F90" w14:textId="77777777" w:rsidR="00907DC0" w:rsidRDefault="00000000">
            <w:pPr>
              <w:tabs>
                <w:tab w:val="left" w:pos="0"/>
              </w:tabs>
              <w:spacing w:line="340" w:lineRule="exact"/>
              <w:jc w:val="center"/>
              <w:rPr>
                <w:rFonts w:ascii="Times New Roman" w:hAnsi="Times New Roman" w:cs="Times New Roman"/>
                <w:b/>
                <w:bCs/>
                <w:sz w:val="18"/>
                <w:szCs w:val="18"/>
              </w:rPr>
            </w:pPr>
            <w:r>
              <w:rPr>
                <w:rFonts w:ascii="Times New Roman" w:hAnsi="Times New Roman" w:cs="Times New Roman"/>
                <w:b/>
                <w:bCs/>
                <w:sz w:val="18"/>
                <w:szCs w:val="18"/>
              </w:rPr>
              <w:t>OCEAN dimensions</w:t>
            </w:r>
          </w:p>
        </w:tc>
        <w:tc>
          <w:tcPr>
            <w:tcW w:w="707" w:type="pct"/>
            <w:tcBorders>
              <w:top w:val="single" w:sz="12" w:space="0" w:color="auto"/>
              <w:bottom w:val="single" w:sz="8" w:space="0" w:color="auto"/>
            </w:tcBorders>
          </w:tcPr>
          <w:p w14:paraId="4D1FF214" w14:textId="77777777" w:rsidR="00907DC0" w:rsidRDefault="00000000">
            <w:pPr>
              <w:tabs>
                <w:tab w:val="left" w:pos="0"/>
              </w:tabs>
              <w:spacing w:line="340" w:lineRule="exact"/>
              <w:jc w:val="center"/>
              <w:rPr>
                <w:rFonts w:ascii="Times New Roman" w:hAnsi="Times New Roman" w:cs="Times New Roman"/>
                <w:b/>
                <w:bCs/>
                <w:sz w:val="18"/>
                <w:szCs w:val="18"/>
              </w:rPr>
            </w:pPr>
            <w:r>
              <w:rPr>
                <w:rFonts w:ascii="Times New Roman" w:hAnsi="Times New Roman" w:cs="Times New Roman"/>
                <w:b/>
                <w:bCs/>
                <w:sz w:val="18"/>
                <w:szCs w:val="18"/>
              </w:rPr>
              <w:t>Number of subjects</w:t>
            </w:r>
          </w:p>
        </w:tc>
        <w:tc>
          <w:tcPr>
            <w:tcW w:w="705" w:type="pct"/>
            <w:tcBorders>
              <w:top w:val="single" w:sz="12" w:space="0" w:color="auto"/>
              <w:bottom w:val="single" w:sz="8" w:space="0" w:color="auto"/>
            </w:tcBorders>
          </w:tcPr>
          <w:p w14:paraId="5D96D263" w14:textId="77777777" w:rsidR="00907DC0" w:rsidRDefault="00000000">
            <w:pPr>
              <w:tabs>
                <w:tab w:val="left" w:pos="0"/>
              </w:tabs>
              <w:spacing w:line="340" w:lineRule="exact"/>
              <w:jc w:val="center"/>
              <w:rPr>
                <w:rFonts w:ascii="Times New Roman" w:hAnsi="Times New Roman" w:cs="Times New Roman"/>
                <w:b/>
                <w:bCs/>
                <w:sz w:val="18"/>
                <w:szCs w:val="18"/>
              </w:rPr>
            </w:pPr>
            <w:r>
              <w:rPr>
                <w:rFonts w:ascii="Times New Roman" w:hAnsi="Times New Roman" w:cs="Times New Roman"/>
                <w:b/>
                <w:bCs/>
                <w:sz w:val="18"/>
                <w:szCs w:val="18"/>
              </w:rPr>
              <w:t>Mean</w:t>
            </w:r>
          </w:p>
        </w:tc>
        <w:tc>
          <w:tcPr>
            <w:tcW w:w="708" w:type="pct"/>
            <w:tcBorders>
              <w:top w:val="single" w:sz="12" w:space="0" w:color="auto"/>
              <w:bottom w:val="single" w:sz="8" w:space="0" w:color="auto"/>
            </w:tcBorders>
          </w:tcPr>
          <w:p w14:paraId="7E121A18" w14:textId="77777777" w:rsidR="00907DC0" w:rsidRDefault="00000000">
            <w:pPr>
              <w:tabs>
                <w:tab w:val="left" w:pos="0"/>
              </w:tabs>
              <w:spacing w:line="340" w:lineRule="exact"/>
              <w:jc w:val="center"/>
              <w:rPr>
                <w:rFonts w:ascii="Times New Roman" w:hAnsi="Times New Roman" w:cs="Times New Roman"/>
                <w:b/>
                <w:bCs/>
                <w:sz w:val="18"/>
                <w:szCs w:val="18"/>
              </w:rPr>
            </w:pPr>
            <w:r>
              <w:rPr>
                <w:rFonts w:ascii="Times New Roman" w:hAnsi="Times New Roman" w:cs="Times New Roman"/>
                <w:b/>
                <w:bCs/>
                <w:sz w:val="18"/>
                <w:szCs w:val="18"/>
              </w:rPr>
              <w:t>Standard deviation</w:t>
            </w:r>
          </w:p>
        </w:tc>
        <w:tc>
          <w:tcPr>
            <w:tcW w:w="708" w:type="pct"/>
            <w:tcBorders>
              <w:top w:val="single" w:sz="12" w:space="0" w:color="auto"/>
              <w:bottom w:val="single" w:sz="8" w:space="0" w:color="auto"/>
            </w:tcBorders>
          </w:tcPr>
          <w:p w14:paraId="17800DC5" w14:textId="77777777" w:rsidR="00907DC0" w:rsidRDefault="00000000">
            <w:pPr>
              <w:tabs>
                <w:tab w:val="left" w:pos="0"/>
              </w:tabs>
              <w:spacing w:line="340" w:lineRule="exact"/>
              <w:jc w:val="center"/>
              <w:rPr>
                <w:rFonts w:ascii="Times New Roman" w:hAnsi="Times New Roman" w:cs="Times New Roman"/>
                <w:b/>
                <w:bCs/>
                <w:sz w:val="18"/>
                <w:szCs w:val="18"/>
              </w:rPr>
            </w:pPr>
            <w:r>
              <w:rPr>
                <w:rFonts w:ascii="Times New Roman" w:hAnsi="Times New Roman" w:cs="Times New Roman"/>
                <w:b/>
                <w:bCs/>
                <w:sz w:val="18"/>
                <w:szCs w:val="18"/>
              </w:rPr>
              <w:t>Skewness</w:t>
            </w:r>
          </w:p>
        </w:tc>
        <w:tc>
          <w:tcPr>
            <w:tcW w:w="707" w:type="pct"/>
            <w:tcBorders>
              <w:top w:val="single" w:sz="12" w:space="0" w:color="auto"/>
              <w:bottom w:val="single" w:sz="8" w:space="0" w:color="auto"/>
            </w:tcBorders>
          </w:tcPr>
          <w:p w14:paraId="269D0C92" w14:textId="77777777" w:rsidR="00907DC0" w:rsidRDefault="00000000">
            <w:pPr>
              <w:tabs>
                <w:tab w:val="left" w:pos="0"/>
              </w:tabs>
              <w:spacing w:line="340" w:lineRule="exact"/>
              <w:jc w:val="center"/>
              <w:rPr>
                <w:rFonts w:ascii="Times New Roman" w:hAnsi="Times New Roman" w:cs="Times New Roman"/>
                <w:b/>
                <w:bCs/>
                <w:sz w:val="18"/>
                <w:szCs w:val="18"/>
              </w:rPr>
            </w:pPr>
            <w:r>
              <w:rPr>
                <w:rFonts w:ascii="Times New Roman" w:hAnsi="Times New Roman" w:cs="Times New Roman"/>
                <w:b/>
                <w:bCs/>
                <w:sz w:val="18"/>
                <w:szCs w:val="18"/>
              </w:rPr>
              <w:t>Kurtosis</w:t>
            </w:r>
          </w:p>
        </w:tc>
        <w:tc>
          <w:tcPr>
            <w:tcW w:w="707" w:type="pct"/>
            <w:tcBorders>
              <w:top w:val="single" w:sz="12" w:space="0" w:color="auto"/>
              <w:bottom w:val="single" w:sz="8" w:space="0" w:color="auto"/>
            </w:tcBorders>
          </w:tcPr>
          <w:p w14:paraId="71F7F3E2" w14:textId="77777777" w:rsidR="00907DC0" w:rsidRDefault="00000000">
            <w:pPr>
              <w:numPr>
                <w:ilvl w:val="0"/>
                <w:numId w:val="3"/>
              </w:numPr>
              <w:tabs>
                <w:tab w:val="left" w:pos="0"/>
              </w:tabs>
              <w:spacing w:line="340" w:lineRule="exact"/>
              <w:jc w:val="center"/>
              <w:rPr>
                <w:rFonts w:ascii="Times New Roman" w:hAnsi="Times New Roman" w:cs="Times New Roman"/>
                <w:b/>
                <w:bCs/>
                <w:sz w:val="18"/>
                <w:szCs w:val="18"/>
              </w:rPr>
            </w:pPr>
            <w:r>
              <w:rPr>
                <w:rFonts w:ascii="Times New Roman" w:hAnsi="Times New Roman" w:cs="Times New Roman"/>
                <w:b/>
                <w:bCs/>
                <w:sz w:val="18"/>
                <w:szCs w:val="18"/>
              </w:rPr>
              <w:t>Value</w:t>
            </w:r>
          </w:p>
        </w:tc>
      </w:tr>
      <w:tr w:rsidR="00907DC0" w14:paraId="405BC372" w14:textId="77777777">
        <w:trPr>
          <w:trHeight w:val="340"/>
          <w:jc w:val="center"/>
        </w:trPr>
        <w:tc>
          <w:tcPr>
            <w:tcW w:w="753" w:type="pct"/>
            <w:tcBorders>
              <w:top w:val="single" w:sz="8" w:space="0" w:color="auto"/>
            </w:tcBorders>
          </w:tcPr>
          <w:p w14:paraId="46EE75AB"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Openness</w:t>
            </w:r>
          </w:p>
        </w:tc>
        <w:tc>
          <w:tcPr>
            <w:tcW w:w="707" w:type="pct"/>
            <w:tcBorders>
              <w:top w:val="single" w:sz="8" w:space="0" w:color="auto"/>
            </w:tcBorders>
          </w:tcPr>
          <w:p w14:paraId="4525072C"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28</w:t>
            </w:r>
          </w:p>
        </w:tc>
        <w:tc>
          <w:tcPr>
            <w:tcW w:w="705" w:type="pct"/>
            <w:tcBorders>
              <w:top w:val="single" w:sz="8" w:space="0" w:color="auto"/>
            </w:tcBorders>
          </w:tcPr>
          <w:p w14:paraId="38910BF6"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3.27</w:t>
            </w:r>
          </w:p>
        </w:tc>
        <w:tc>
          <w:tcPr>
            <w:tcW w:w="708" w:type="pct"/>
            <w:tcBorders>
              <w:top w:val="single" w:sz="8" w:space="0" w:color="auto"/>
            </w:tcBorders>
          </w:tcPr>
          <w:p w14:paraId="2F84A234"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0.64</w:t>
            </w:r>
          </w:p>
        </w:tc>
        <w:tc>
          <w:tcPr>
            <w:tcW w:w="708" w:type="pct"/>
            <w:tcBorders>
              <w:top w:val="single" w:sz="8" w:space="0" w:color="auto"/>
            </w:tcBorders>
            <w:vAlign w:val="bottom"/>
          </w:tcPr>
          <w:p w14:paraId="0E4F6376" w14:textId="77777777" w:rsidR="00907DC0" w:rsidRDefault="00000000">
            <w:pPr>
              <w:widowControl/>
              <w:jc w:val="center"/>
              <w:textAlignment w:val="bottom"/>
              <w:rPr>
                <w:rFonts w:ascii="Times New Roman" w:hAnsi="Times New Roman" w:cs="Times New Roman"/>
                <w:sz w:val="18"/>
                <w:szCs w:val="18"/>
              </w:rPr>
            </w:pPr>
            <w:r>
              <w:rPr>
                <w:rFonts w:ascii="Times New Roman" w:hAnsi="Times New Roman" w:cs="Times New Roman"/>
                <w:kern w:val="0"/>
                <w:sz w:val="18"/>
                <w:szCs w:val="18"/>
                <w:lang w:bidi="ar"/>
              </w:rPr>
              <w:t>-0.67</w:t>
            </w:r>
          </w:p>
        </w:tc>
        <w:tc>
          <w:tcPr>
            <w:tcW w:w="707" w:type="pct"/>
            <w:tcBorders>
              <w:top w:val="single" w:sz="8" w:space="0" w:color="auto"/>
            </w:tcBorders>
            <w:vAlign w:val="bottom"/>
          </w:tcPr>
          <w:p w14:paraId="16A74CAF" w14:textId="77777777" w:rsidR="00907DC0" w:rsidRDefault="00000000">
            <w:pPr>
              <w:widowControl/>
              <w:jc w:val="center"/>
              <w:textAlignment w:val="bottom"/>
              <w:rPr>
                <w:rFonts w:ascii="Times New Roman" w:hAnsi="Times New Roman" w:cs="Times New Roman"/>
                <w:sz w:val="18"/>
                <w:szCs w:val="18"/>
              </w:rPr>
            </w:pPr>
            <w:r>
              <w:rPr>
                <w:rFonts w:ascii="Times New Roman" w:hAnsi="Times New Roman" w:cs="Times New Roman"/>
                <w:kern w:val="0"/>
                <w:sz w:val="18"/>
                <w:szCs w:val="18"/>
                <w:lang w:bidi="ar"/>
              </w:rPr>
              <w:t>-0.23</w:t>
            </w:r>
          </w:p>
        </w:tc>
        <w:tc>
          <w:tcPr>
            <w:tcW w:w="707" w:type="pct"/>
            <w:tcBorders>
              <w:top w:val="single" w:sz="8" w:space="0" w:color="auto"/>
            </w:tcBorders>
          </w:tcPr>
          <w:p w14:paraId="2B358C80"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0.07</w:t>
            </w:r>
          </w:p>
        </w:tc>
      </w:tr>
      <w:tr w:rsidR="00907DC0" w14:paraId="52E0B254" w14:textId="77777777">
        <w:trPr>
          <w:trHeight w:val="340"/>
          <w:jc w:val="center"/>
        </w:trPr>
        <w:tc>
          <w:tcPr>
            <w:tcW w:w="753" w:type="pct"/>
          </w:tcPr>
          <w:p w14:paraId="1B65C80E"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Conscientiousness</w:t>
            </w:r>
          </w:p>
        </w:tc>
        <w:tc>
          <w:tcPr>
            <w:tcW w:w="707" w:type="pct"/>
          </w:tcPr>
          <w:p w14:paraId="2AB87A2F" w14:textId="77777777" w:rsidR="00907DC0" w:rsidRDefault="00000000">
            <w:pPr>
              <w:spacing w:line="340" w:lineRule="exact"/>
              <w:jc w:val="center"/>
              <w:rPr>
                <w:rFonts w:ascii="Times New Roman" w:hAnsi="Times New Roman" w:cs="Times New Roman"/>
                <w:sz w:val="18"/>
                <w:szCs w:val="18"/>
              </w:rPr>
            </w:pPr>
            <w:r>
              <w:rPr>
                <w:rFonts w:ascii="Times New Roman" w:hAnsi="Times New Roman" w:cs="Times New Roman"/>
                <w:sz w:val="18"/>
                <w:szCs w:val="18"/>
              </w:rPr>
              <w:t>28</w:t>
            </w:r>
          </w:p>
        </w:tc>
        <w:tc>
          <w:tcPr>
            <w:tcW w:w="705" w:type="pct"/>
          </w:tcPr>
          <w:p w14:paraId="0234204A" w14:textId="77777777" w:rsidR="00907DC0" w:rsidRDefault="00000000">
            <w:pPr>
              <w:spacing w:line="340" w:lineRule="exact"/>
              <w:jc w:val="center"/>
              <w:rPr>
                <w:rFonts w:ascii="Times New Roman" w:hAnsi="Times New Roman" w:cs="Times New Roman"/>
                <w:sz w:val="18"/>
                <w:szCs w:val="18"/>
              </w:rPr>
            </w:pPr>
            <w:r>
              <w:rPr>
                <w:rFonts w:ascii="Times New Roman" w:hAnsi="Times New Roman" w:cs="Times New Roman"/>
                <w:sz w:val="18"/>
                <w:szCs w:val="18"/>
              </w:rPr>
              <w:t>3.69</w:t>
            </w:r>
          </w:p>
        </w:tc>
        <w:tc>
          <w:tcPr>
            <w:tcW w:w="708" w:type="pct"/>
          </w:tcPr>
          <w:p w14:paraId="24C767BD" w14:textId="77777777" w:rsidR="00907DC0" w:rsidRDefault="00000000">
            <w:pPr>
              <w:spacing w:line="340" w:lineRule="exact"/>
              <w:jc w:val="center"/>
              <w:rPr>
                <w:rFonts w:ascii="Times New Roman" w:hAnsi="Times New Roman" w:cs="Times New Roman"/>
                <w:sz w:val="18"/>
                <w:szCs w:val="18"/>
              </w:rPr>
            </w:pPr>
            <w:r>
              <w:rPr>
                <w:rFonts w:ascii="Times New Roman" w:hAnsi="Times New Roman" w:cs="Times New Roman"/>
                <w:sz w:val="18"/>
                <w:szCs w:val="18"/>
              </w:rPr>
              <w:t>0.45</w:t>
            </w:r>
          </w:p>
        </w:tc>
        <w:tc>
          <w:tcPr>
            <w:tcW w:w="708" w:type="pct"/>
            <w:vAlign w:val="bottom"/>
          </w:tcPr>
          <w:p w14:paraId="10E381A0" w14:textId="77777777" w:rsidR="00907DC0" w:rsidRDefault="00000000">
            <w:pPr>
              <w:widowControl/>
              <w:jc w:val="center"/>
              <w:textAlignment w:val="bottom"/>
              <w:rPr>
                <w:rFonts w:ascii="Times New Roman" w:hAnsi="Times New Roman" w:cs="Times New Roman"/>
                <w:sz w:val="18"/>
                <w:szCs w:val="18"/>
              </w:rPr>
            </w:pPr>
            <w:r>
              <w:rPr>
                <w:rFonts w:ascii="Times New Roman" w:hAnsi="Times New Roman" w:cs="Times New Roman"/>
                <w:kern w:val="0"/>
                <w:sz w:val="18"/>
                <w:szCs w:val="18"/>
                <w:lang w:bidi="ar"/>
              </w:rPr>
              <w:t>-0.04</w:t>
            </w:r>
          </w:p>
        </w:tc>
        <w:tc>
          <w:tcPr>
            <w:tcW w:w="707" w:type="pct"/>
            <w:vAlign w:val="bottom"/>
          </w:tcPr>
          <w:p w14:paraId="02F097F1" w14:textId="77777777" w:rsidR="00907DC0" w:rsidRDefault="00000000">
            <w:pPr>
              <w:widowControl/>
              <w:jc w:val="center"/>
              <w:textAlignment w:val="bottom"/>
              <w:rPr>
                <w:rFonts w:ascii="Times New Roman" w:hAnsi="Times New Roman" w:cs="Times New Roman"/>
                <w:sz w:val="18"/>
                <w:szCs w:val="18"/>
              </w:rPr>
            </w:pPr>
            <w:r>
              <w:rPr>
                <w:rFonts w:ascii="Times New Roman" w:hAnsi="Times New Roman" w:cs="Times New Roman"/>
                <w:kern w:val="0"/>
                <w:sz w:val="18"/>
                <w:szCs w:val="18"/>
                <w:lang w:bidi="ar"/>
              </w:rPr>
              <w:t>0.08</w:t>
            </w:r>
          </w:p>
        </w:tc>
        <w:tc>
          <w:tcPr>
            <w:tcW w:w="707" w:type="pct"/>
          </w:tcPr>
          <w:p w14:paraId="6301B098" w14:textId="77777777" w:rsidR="00907DC0" w:rsidRDefault="00000000">
            <w:pPr>
              <w:spacing w:line="340" w:lineRule="exact"/>
              <w:jc w:val="center"/>
              <w:rPr>
                <w:rFonts w:ascii="Times New Roman" w:hAnsi="Times New Roman" w:cs="Times New Roman"/>
                <w:sz w:val="18"/>
                <w:szCs w:val="18"/>
              </w:rPr>
            </w:pPr>
            <w:r>
              <w:rPr>
                <w:rFonts w:ascii="Times New Roman" w:hAnsi="Times New Roman" w:cs="Times New Roman"/>
                <w:sz w:val="18"/>
                <w:szCs w:val="18"/>
              </w:rPr>
              <w:t>0.05</w:t>
            </w:r>
          </w:p>
        </w:tc>
      </w:tr>
      <w:tr w:rsidR="00907DC0" w14:paraId="12704BBB" w14:textId="77777777">
        <w:trPr>
          <w:trHeight w:val="340"/>
          <w:jc w:val="center"/>
        </w:trPr>
        <w:tc>
          <w:tcPr>
            <w:tcW w:w="753" w:type="pct"/>
          </w:tcPr>
          <w:p w14:paraId="11261BB5"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Extraversion</w:t>
            </w:r>
          </w:p>
        </w:tc>
        <w:tc>
          <w:tcPr>
            <w:tcW w:w="707" w:type="pct"/>
          </w:tcPr>
          <w:p w14:paraId="7E01A466" w14:textId="77777777" w:rsidR="00907DC0" w:rsidRDefault="00000000">
            <w:pPr>
              <w:spacing w:line="340" w:lineRule="exact"/>
              <w:jc w:val="center"/>
              <w:rPr>
                <w:rFonts w:ascii="Times New Roman" w:hAnsi="Times New Roman" w:cs="Times New Roman"/>
                <w:sz w:val="18"/>
                <w:szCs w:val="18"/>
              </w:rPr>
            </w:pPr>
            <w:r>
              <w:rPr>
                <w:rFonts w:ascii="Times New Roman" w:hAnsi="Times New Roman" w:cs="Times New Roman"/>
                <w:sz w:val="18"/>
                <w:szCs w:val="18"/>
              </w:rPr>
              <w:t>28</w:t>
            </w:r>
          </w:p>
        </w:tc>
        <w:tc>
          <w:tcPr>
            <w:tcW w:w="705" w:type="pct"/>
          </w:tcPr>
          <w:p w14:paraId="200CDF5B" w14:textId="77777777" w:rsidR="00907DC0" w:rsidRDefault="00000000">
            <w:pPr>
              <w:spacing w:line="340" w:lineRule="exact"/>
              <w:jc w:val="center"/>
              <w:rPr>
                <w:rFonts w:ascii="Times New Roman" w:hAnsi="Times New Roman" w:cs="Times New Roman"/>
                <w:sz w:val="18"/>
                <w:szCs w:val="18"/>
              </w:rPr>
            </w:pPr>
            <w:r>
              <w:rPr>
                <w:rFonts w:ascii="Times New Roman" w:hAnsi="Times New Roman" w:cs="Times New Roman"/>
                <w:sz w:val="18"/>
                <w:szCs w:val="18"/>
              </w:rPr>
              <w:t>3.66</w:t>
            </w:r>
          </w:p>
        </w:tc>
        <w:tc>
          <w:tcPr>
            <w:tcW w:w="708" w:type="pct"/>
          </w:tcPr>
          <w:p w14:paraId="28E17B1B" w14:textId="77777777" w:rsidR="00907DC0" w:rsidRDefault="00000000">
            <w:pPr>
              <w:spacing w:line="340" w:lineRule="exact"/>
              <w:jc w:val="center"/>
              <w:rPr>
                <w:rFonts w:ascii="Times New Roman" w:hAnsi="Times New Roman" w:cs="Times New Roman"/>
                <w:sz w:val="18"/>
                <w:szCs w:val="18"/>
              </w:rPr>
            </w:pPr>
            <w:r>
              <w:rPr>
                <w:rFonts w:ascii="Times New Roman" w:hAnsi="Times New Roman" w:cs="Times New Roman"/>
                <w:sz w:val="18"/>
                <w:szCs w:val="18"/>
              </w:rPr>
              <w:t>0.78</w:t>
            </w:r>
          </w:p>
        </w:tc>
        <w:tc>
          <w:tcPr>
            <w:tcW w:w="708" w:type="pct"/>
            <w:vAlign w:val="bottom"/>
          </w:tcPr>
          <w:p w14:paraId="6D3C7480" w14:textId="77777777" w:rsidR="00907DC0" w:rsidRDefault="00000000">
            <w:pPr>
              <w:widowControl/>
              <w:jc w:val="center"/>
              <w:textAlignment w:val="bottom"/>
              <w:rPr>
                <w:rFonts w:ascii="Times New Roman" w:hAnsi="Times New Roman" w:cs="Times New Roman"/>
                <w:sz w:val="18"/>
                <w:szCs w:val="18"/>
              </w:rPr>
            </w:pPr>
            <w:r>
              <w:rPr>
                <w:rFonts w:ascii="Times New Roman" w:hAnsi="Times New Roman" w:cs="Times New Roman"/>
                <w:kern w:val="0"/>
                <w:sz w:val="18"/>
                <w:szCs w:val="18"/>
                <w:lang w:bidi="ar"/>
              </w:rPr>
              <w:t>-0.82</w:t>
            </w:r>
          </w:p>
        </w:tc>
        <w:tc>
          <w:tcPr>
            <w:tcW w:w="707" w:type="pct"/>
            <w:vAlign w:val="bottom"/>
          </w:tcPr>
          <w:p w14:paraId="434E4D75" w14:textId="77777777" w:rsidR="00907DC0" w:rsidRDefault="00000000">
            <w:pPr>
              <w:widowControl/>
              <w:jc w:val="center"/>
              <w:textAlignment w:val="bottom"/>
              <w:rPr>
                <w:rFonts w:ascii="Times New Roman" w:hAnsi="Times New Roman" w:cs="Times New Roman"/>
                <w:sz w:val="18"/>
                <w:szCs w:val="18"/>
              </w:rPr>
            </w:pPr>
            <w:r>
              <w:rPr>
                <w:rFonts w:ascii="Times New Roman" w:hAnsi="Times New Roman" w:cs="Times New Roman"/>
                <w:kern w:val="0"/>
                <w:sz w:val="18"/>
                <w:szCs w:val="18"/>
                <w:lang w:bidi="ar"/>
              </w:rPr>
              <w:t>0.47</w:t>
            </w:r>
          </w:p>
        </w:tc>
        <w:tc>
          <w:tcPr>
            <w:tcW w:w="707" w:type="pct"/>
          </w:tcPr>
          <w:p w14:paraId="2DFE5E31" w14:textId="77777777" w:rsidR="00907DC0" w:rsidRDefault="00000000">
            <w:pPr>
              <w:spacing w:line="340" w:lineRule="exact"/>
              <w:jc w:val="center"/>
              <w:rPr>
                <w:rFonts w:ascii="Times New Roman" w:hAnsi="Times New Roman" w:cs="Times New Roman"/>
                <w:sz w:val="18"/>
                <w:szCs w:val="18"/>
              </w:rPr>
            </w:pPr>
            <w:r>
              <w:rPr>
                <w:rFonts w:ascii="Times New Roman" w:hAnsi="Times New Roman" w:cs="Times New Roman"/>
                <w:sz w:val="18"/>
                <w:szCs w:val="18"/>
              </w:rPr>
              <w:t>0.06</w:t>
            </w:r>
          </w:p>
        </w:tc>
      </w:tr>
      <w:tr w:rsidR="00907DC0" w14:paraId="13C20E87" w14:textId="77777777">
        <w:trPr>
          <w:trHeight w:val="340"/>
          <w:jc w:val="center"/>
        </w:trPr>
        <w:tc>
          <w:tcPr>
            <w:tcW w:w="753" w:type="pct"/>
          </w:tcPr>
          <w:p w14:paraId="7915F4CF"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Agreeableness</w:t>
            </w:r>
          </w:p>
        </w:tc>
        <w:tc>
          <w:tcPr>
            <w:tcW w:w="707" w:type="pct"/>
          </w:tcPr>
          <w:p w14:paraId="5A5DAC06" w14:textId="77777777" w:rsidR="00907DC0" w:rsidRDefault="00000000">
            <w:pPr>
              <w:spacing w:line="340" w:lineRule="exact"/>
              <w:jc w:val="center"/>
              <w:rPr>
                <w:rFonts w:ascii="Times New Roman" w:hAnsi="Times New Roman" w:cs="Times New Roman"/>
                <w:sz w:val="18"/>
                <w:szCs w:val="18"/>
              </w:rPr>
            </w:pPr>
            <w:r>
              <w:rPr>
                <w:rFonts w:ascii="Times New Roman" w:hAnsi="Times New Roman" w:cs="Times New Roman"/>
                <w:sz w:val="18"/>
                <w:szCs w:val="18"/>
              </w:rPr>
              <w:t>28</w:t>
            </w:r>
          </w:p>
        </w:tc>
        <w:tc>
          <w:tcPr>
            <w:tcW w:w="705" w:type="pct"/>
          </w:tcPr>
          <w:p w14:paraId="569D41B6"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3.83</w:t>
            </w:r>
          </w:p>
        </w:tc>
        <w:tc>
          <w:tcPr>
            <w:tcW w:w="708" w:type="pct"/>
          </w:tcPr>
          <w:p w14:paraId="69EED3A8"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0.70</w:t>
            </w:r>
          </w:p>
        </w:tc>
        <w:tc>
          <w:tcPr>
            <w:tcW w:w="708" w:type="pct"/>
            <w:vAlign w:val="bottom"/>
          </w:tcPr>
          <w:p w14:paraId="0A3ACD7E" w14:textId="77777777" w:rsidR="00907DC0" w:rsidRDefault="00000000">
            <w:pPr>
              <w:widowControl/>
              <w:jc w:val="center"/>
              <w:textAlignment w:val="bottom"/>
              <w:rPr>
                <w:rFonts w:ascii="Times New Roman" w:hAnsi="Times New Roman" w:cs="Times New Roman"/>
                <w:sz w:val="18"/>
                <w:szCs w:val="18"/>
              </w:rPr>
            </w:pPr>
            <w:r>
              <w:rPr>
                <w:rFonts w:ascii="Times New Roman" w:hAnsi="Times New Roman" w:cs="Times New Roman"/>
                <w:kern w:val="0"/>
                <w:sz w:val="18"/>
                <w:szCs w:val="18"/>
                <w:lang w:bidi="ar"/>
              </w:rPr>
              <w:t>-0.62</w:t>
            </w:r>
          </w:p>
        </w:tc>
        <w:tc>
          <w:tcPr>
            <w:tcW w:w="707" w:type="pct"/>
            <w:vAlign w:val="bottom"/>
          </w:tcPr>
          <w:p w14:paraId="0CEA1F1D" w14:textId="77777777" w:rsidR="00907DC0" w:rsidRDefault="00000000">
            <w:pPr>
              <w:widowControl/>
              <w:jc w:val="center"/>
              <w:textAlignment w:val="bottom"/>
              <w:rPr>
                <w:rFonts w:ascii="Times New Roman" w:hAnsi="Times New Roman" w:cs="Times New Roman"/>
                <w:sz w:val="18"/>
                <w:szCs w:val="18"/>
              </w:rPr>
            </w:pPr>
            <w:r>
              <w:rPr>
                <w:rFonts w:ascii="Times New Roman" w:hAnsi="Times New Roman" w:cs="Times New Roman"/>
                <w:kern w:val="0"/>
                <w:sz w:val="18"/>
                <w:szCs w:val="18"/>
                <w:lang w:bidi="ar"/>
              </w:rPr>
              <w:t>-0.20</w:t>
            </w:r>
          </w:p>
        </w:tc>
        <w:tc>
          <w:tcPr>
            <w:tcW w:w="707" w:type="pct"/>
          </w:tcPr>
          <w:p w14:paraId="0CB841D4"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0.08</w:t>
            </w:r>
          </w:p>
        </w:tc>
      </w:tr>
      <w:tr w:rsidR="00907DC0" w14:paraId="7E4B1D77" w14:textId="77777777">
        <w:trPr>
          <w:trHeight w:val="340"/>
          <w:jc w:val="center"/>
        </w:trPr>
        <w:tc>
          <w:tcPr>
            <w:tcW w:w="753" w:type="pct"/>
            <w:tcBorders>
              <w:bottom w:val="single" w:sz="12" w:space="0" w:color="auto"/>
            </w:tcBorders>
          </w:tcPr>
          <w:p w14:paraId="16B4007A"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Neuroticism</w:t>
            </w:r>
          </w:p>
        </w:tc>
        <w:tc>
          <w:tcPr>
            <w:tcW w:w="707" w:type="pct"/>
            <w:tcBorders>
              <w:bottom w:val="single" w:sz="12" w:space="0" w:color="auto"/>
            </w:tcBorders>
          </w:tcPr>
          <w:p w14:paraId="1282FAFA" w14:textId="77777777" w:rsidR="00907DC0" w:rsidRDefault="00000000">
            <w:pPr>
              <w:spacing w:line="340" w:lineRule="exact"/>
              <w:jc w:val="center"/>
              <w:rPr>
                <w:rFonts w:ascii="Times New Roman" w:hAnsi="Times New Roman" w:cs="Times New Roman"/>
                <w:sz w:val="18"/>
                <w:szCs w:val="18"/>
              </w:rPr>
            </w:pPr>
            <w:r>
              <w:rPr>
                <w:rFonts w:ascii="Times New Roman" w:hAnsi="Times New Roman" w:cs="Times New Roman"/>
                <w:sz w:val="18"/>
                <w:szCs w:val="18"/>
              </w:rPr>
              <w:t>28</w:t>
            </w:r>
          </w:p>
        </w:tc>
        <w:tc>
          <w:tcPr>
            <w:tcW w:w="705" w:type="pct"/>
            <w:tcBorders>
              <w:bottom w:val="single" w:sz="12" w:space="0" w:color="auto"/>
            </w:tcBorders>
          </w:tcPr>
          <w:p w14:paraId="45E2F434"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3.08</w:t>
            </w:r>
          </w:p>
        </w:tc>
        <w:tc>
          <w:tcPr>
            <w:tcW w:w="708" w:type="pct"/>
            <w:tcBorders>
              <w:bottom w:val="single" w:sz="12" w:space="0" w:color="auto"/>
            </w:tcBorders>
          </w:tcPr>
          <w:p w14:paraId="2EBF4F40"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0.86</w:t>
            </w:r>
          </w:p>
        </w:tc>
        <w:tc>
          <w:tcPr>
            <w:tcW w:w="708" w:type="pct"/>
            <w:tcBorders>
              <w:bottom w:val="single" w:sz="12" w:space="0" w:color="auto"/>
            </w:tcBorders>
            <w:vAlign w:val="bottom"/>
          </w:tcPr>
          <w:p w14:paraId="7C50145A" w14:textId="77777777" w:rsidR="00907DC0" w:rsidRDefault="00000000">
            <w:pPr>
              <w:widowControl/>
              <w:jc w:val="center"/>
              <w:textAlignment w:val="bottom"/>
              <w:rPr>
                <w:rFonts w:ascii="Times New Roman" w:hAnsi="Times New Roman" w:cs="Times New Roman"/>
                <w:sz w:val="18"/>
                <w:szCs w:val="18"/>
              </w:rPr>
            </w:pPr>
            <w:r>
              <w:rPr>
                <w:rFonts w:ascii="Times New Roman" w:hAnsi="Times New Roman" w:cs="Times New Roman"/>
                <w:kern w:val="0"/>
                <w:sz w:val="18"/>
                <w:szCs w:val="18"/>
                <w:lang w:bidi="ar"/>
              </w:rPr>
              <w:t>-0.44</w:t>
            </w:r>
          </w:p>
        </w:tc>
        <w:tc>
          <w:tcPr>
            <w:tcW w:w="707" w:type="pct"/>
            <w:tcBorders>
              <w:bottom w:val="single" w:sz="12" w:space="0" w:color="auto"/>
            </w:tcBorders>
            <w:vAlign w:val="bottom"/>
          </w:tcPr>
          <w:p w14:paraId="2729B330" w14:textId="77777777" w:rsidR="00907DC0" w:rsidRDefault="00000000">
            <w:pPr>
              <w:widowControl/>
              <w:jc w:val="center"/>
              <w:textAlignment w:val="bottom"/>
              <w:rPr>
                <w:rFonts w:ascii="Times New Roman" w:hAnsi="Times New Roman" w:cs="Times New Roman"/>
                <w:sz w:val="18"/>
                <w:szCs w:val="18"/>
              </w:rPr>
            </w:pPr>
            <w:r>
              <w:rPr>
                <w:rFonts w:ascii="Times New Roman" w:hAnsi="Times New Roman" w:cs="Times New Roman"/>
                <w:kern w:val="0"/>
                <w:sz w:val="18"/>
                <w:szCs w:val="18"/>
                <w:lang w:bidi="ar"/>
              </w:rPr>
              <w:t>-0.88</w:t>
            </w:r>
          </w:p>
        </w:tc>
        <w:tc>
          <w:tcPr>
            <w:tcW w:w="707" w:type="pct"/>
            <w:tcBorders>
              <w:bottom w:val="single" w:sz="12" w:space="0" w:color="auto"/>
            </w:tcBorders>
          </w:tcPr>
          <w:p w14:paraId="05CC00E6"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0.10</w:t>
            </w:r>
          </w:p>
        </w:tc>
      </w:tr>
    </w:tbl>
    <w:p w14:paraId="22B65AFD" w14:textId="77777777" w:rsidR="00907DC0" w:rsidRDefault="00907DC0">
      <w:pPr>
        <w:spacing w:line="240" w:lineRule="exact"/>
        <w:ind w:firstLineChars="200" w:firstLine="400"/>
        <w:jc w:val="left"/>
        <w:rPr>
          <w:rFonts w:ascii="Times New Roman" w:eastAsia="Times New Roman" w:hAnsi="Times New Roman" w:cs="Times New Roman"/>
          <w:sz w:val="20"/>
          <w:szCs w:val="20"/>
        </w:rPr>
        <w:sectPr w:rsidR="00907DC0">
          <w:type w:val="continuous"/>
          <w:pgSz w:w="11906" w:h="16838"/>
          <w:pgMar w:top="879" w:right="850" w:bottom="879" w:left="850" w:header="1247" w:footer="1247" w:gutter="0"/>
          <w:cols w:space="425"/>
          <w:docGrid w:type="lines" w:linePitch="312"/>
        </w:sectPr>
      </w:pPr>
    </w:p>
    <w:p w14:paraId="48CD6005"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During the experiment, the influence of participants' personality traits on panic emotions became increasingly apparent, reflected in emotional expression and phototaxis behavior. To analyze the correlation between personality traits and panic emotions, Pearson's test was performed based on the panic emotion questionnaire scores. The results showed a significant positive correlation between extraversion and panic emotions (r = 0.366, p &lt; 0.01), and between neuroticism and panic emotions (r = 0.150, p &lt; 0.01). A significant positive correlation was also found between extraversion and neuroticism (r = 0.604, p &lt; 0.01). Therefore, participants were divided into two groups using K-means clustering: Low Extraversion Neuroticism (LEN) group, consisting of 9 participants, and High Extraversion Neuroticism (HEN) group, consisting of 19 participants, as shown in </w:t>
      </w:r>
      <w:hyperlink w:anchor="Fig6" w:history="1">
        <w:r>
          <w:rPr>
            <w:rStyle w:val="Hyperlink"/>
            <w:rFonts w:ascii="Times New Roman" w:eastAsia="Times New Roman" w:hAnsi="Times New Roman" w:cs="Times New Roman"/>
            <w:sz w:val="20"/>
            <w:szCs w:val="20"/>
            <w:u w:val="none"/>
          </w:rPr>
          <w:t>F</w:t>
        </w:r>
        <w:r>
          <w:rPr>
            <w:rStyle w:val="Hyperlink"/>
            <w:rFonts w:ascii="Times New Roman" w:eastAsia="SimSun" w:hAnsi="Times New Roman" w:cs="Times New Roman" w:hint="eastAsia"/>
            <w:sz w:val="20"/>
            <w:szCs w:val="20"/>
            <w:u w:val="none"/>
          </w:rPr>
          <w:t>igure</w:t>
        </w:r>
        <w:r>
          <w:rPr>
            <w:rStyle w:val="Hyperlink"/>
            <w:rFonts w:ascii="Times New Roman" w:eastAsia="Times New Roman" w:hAnsi="Times New Roman" w:cs="Times New Roman"/>
            <w:sz w:val="20"/>
            <w:szCs w:val="20"/>
            <w:u w:val="none"/>
          </w:rPr>
          <w:t xml:space="preserve"> 6</w:t>
        </w:r>
      </w:hyperlink>
      <w:r>
        <w:rPr>
          <w:rFonts w:ascii="Times New Roman" w:eastAsia="Times New Roman" w:hAnsi="Times New Roman" w:cs="Times New Roman"/>
          <w:sz w:val="20"/>
          <w:szCs w:val="20"/>
        </w:rPr>
        <w:t>.</w:t>
      </w:r>
    </w:p>
    <w:tbl>
      <w:tblPr>
        <w:tblStyle w:val="TableGrid"/>
        <w:tblW w:w="5000" w:type="pct"/>
        <w:tblLook w:val="04A0" w:firstRow="1" w:lastRow="0" w:firstColumn="1" w:lastColumn="0" w:noHBand="0" w:noVBand="1"/>
      </w:tblPr>
      <w:tblGrid>
        <w:gridCol w:w="4743"/>
      </w:tblGrid>
      <w:tr w:rsidR="00907DC0" w14:paraId="5D90CC54" w14:textId="77777777">
        <w:tc>
          <w:tcPr>
            <w:tcW w:w="5000" w:type="pct"/>
            <w:tcBorders>
              <w:top w:val="nil"/>
              <w:left w:val="nil"/>
              <w:bottom w:val="nil"/>
              <w:right w:val="nil"/>
            </w:tcBorders>
          </w:tcPr>
          <w:p w14:paraId="09E97DEE" w14:textId="77777777" w:rsidR="00907DC0" w:rsidRDefault="00000000">
            <w:pPr>
              <w:jc w:val="center"/>
              <w:rPr>
                <w:rFonts w:ascii="Times New Roman" w:hAnsi="Times New Roman" w:cs="Times New Roman"/>
                <w:sz w:val="22"/>
                <w:szCs w:val="28"/>
              </w:rPr>
            </w:pPr>
            <w:r>
              <w:rPr>
                <w:rFonts w:ascii="Times New Roman" w:hAnsi="Times New Roman" w:cs="Times New Roman"/>
                <w:noProof/>
                <w:sz w:val="22"/>
                <w:szCs w:val="28"/>
              </w:rPr>
              <w:drawing>
                <wp:inline distT="0" distB="0" distL="114300" distR="114300" wp14:anchorId="1DEF5242" wp14:editId="01337011">
                  <wp:extent cx="2995295" cy="1979930"/>
                  <wp:effectExtent l="0" t="0" r="14605" b="127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21"/>
                          <a:srcRect r="12890" b="11298"/>
                          <a:stretch>
                            <a:fillRect/>
                          </a:stretch>
                        </pic:blipFill>
                        <pic:spPr>
                          <a:xfrm>
                            <a:off x="0" y="0"/>
                            <a:ext cx="2995295" cy="1979930"/>
                          </a:xfrm>
                          <a:prstGeom prst="rect">
                            <a:avLst/>
                          </a:prstGeom>
                          <a:noFill/>
                          <a:ln>
                            <a:noFill/>
                          </a:ln>
                        </pic:spPr>
                      </pic:pic>
                    </a:graphicData>
                  </a:graphic>
                </wp:inline>
              </w:drawing>
            </w:r>
          </w:p>
        </w:tc>
      </w:tr>
      <w:tr w:rsidR="00907DC0" w14:paraId="503DB770" w14:textId="77777777">
        <w:tc>
          <w:tcPr>
            <w:tcW w:w="5000" w:type="pct"/>
            <w:tcBorders>
              <w:top w:val="nil"/>
              <w:left w:val="nil"/>
              <w:bottom w:val="nil"/>
              <w:right w:val="nil"/>
            </w:tcBorders>
          </w:tcPr>
          <w:p w14:paraId="16FBAD8D" w14:textId="77777777" w:rsidR="00907DC0" w:rsidRDefault="00000000">
            <w:pPr>
              <w:spacing w:line="240" w:lineRule="exact"/>
              <w:rPr>
                <w:rFonts w:ascii="Times New Roman" w:hAnsi="Times New Roman" w:cs="Times New Roman"/>
                <w:sz w:val="22"/>
                <w:szCs w:val="28"/>
              </w:rPr>
            </w:pPr>
            <w:bookmarkStart w:id="19" w:name="OLE_LINK16"/>
            <w:bookmarkStart w:id="20" w:name="Fig6"/>
            <w:r>
              <w:rPr>
                <w:rFonts w:ascii="Times New Roman" w:eastAsia="Times New Roman" w:hAnsi="Times New Roman" w:cs="Times New Roman"/>
                <w:b/>
                <w:bCs/>
                <w:sz w:val="18"/>
                <w:szCs w:val="18"/>
              </w:rPr>
              <w:t>F</w:t>
            </w:r>
            <w:r>
              <w:rPr>
                <w:rFonts w:ascii="Times New Roman" w:eastAsia="SimSun" w:hAnsi="Times New Roman" w:cs="Times New Roman" w:hint="eastAsia"/>
                <w:b/>
                <w:bCs/>
                <w:sz w:val="18"/>
                <w:szCs w:val="18"/>
              </w:rPr>
              <w:t xml:space="preserve">IGURE </w:t>
            </w:r>
            <w:r>
              <w:rPr>
                <w:rFonts w:ascii="Times New Roman" w:eastAsia="Times New Roman" w:hAnsi="Times New Roman" w:cs="Times New Roman"/>
                <w:b/>
                <w:bCs/>
                <w:sz w:val="18"/>
                <w:szCs w:val="18"/>
              </w:rPr>
              <w:t>6</w:t>
            </w:r>
            <w:r>
              <w:rPr>
                <w:rFonts w:ascii="Times New Roman" w:eastAsia="Times New Roman" w:hAnsi="Times New Roman" w:cs="Times New Roman"/>
                <w:sz w:val="18"/>
                <w:szCs w:val="18"/>
              </w:rPr>
              <w:t xml:space="preserve"> Participant classification results obtained through K-means clustering.</w:t>
            </w:r>
          </w:p>
        </w:tc>
      </w:tr>
    </w:tbl>
    <w:bookmarkEnd w:id="19"/>
    <w:bookmarkEnd w:id="20"/>
    <w:p w14:paraId="6AB32CE2"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Considering the two experimental conditions, participants made two path choices, and a Mixed ANOVA was conducted to further validate the rationality of the grouping. </w:t>
      </w:r>
      <w:r>
        <w:rPr>
          <w:rFonts w:ascii="Times New Roman" w:eastAsia="Times New Roman" w:hAnsi="Times New Roman" w:cs="Times New Roman"/>
          <w:sz w:val="20"/>
          <w:szCs w:val="20"/>
        </w:rPr>
        <w:lastRenderedPageBreak/>
        <w:t>Significant differences were found in the within-group effects (</w:t>
      </w:r>
      <w:proofErr w:type="gramStart"/>
      <w:r>
        <w:rPr>
          <w:rFonts w:ascii="Times New Roman" w:eastAsia="Times New Roman" w:hAnsi="Times New Roman" w:cs="Times New Roman"/>
          <w:sz w:val="20"/>
          <w:szCs w:val="20"/>
        </w:rPr>
        <w:t>F(</w:t>
      </w:r>
      <w:proofErr w:type="gramEnd"/>
      <w:r>
        <w:rPr>
          <w:rFonts w:ascii="Times New Roman" w:eastAsia="Times New Roman" w:hAnsi="Times New Roman" w:cs="Times New Roman"/>
          <w:sz w:val="20"/>
          <w:szCs w:val="20"/>
        </w:rPr>
        <w:t>1,28) = 15.83, p &lt; 0.001), indicating that the path choice significantly affected the participants' panic responses. Additionally, significant differences were observed in the between-group effects (</w:t>
      </w:r>
      <w:proofErr w:type="gramStart"/>
      <w:r>
        <w:rPr>
          <w:rFonts w:ascii="Times New Roman" w:eastAsia="Times New Roman" w:hAnsi="Times New Roman" w:cs="Times New Roman"/>
          <w:sz w:val="20"/>
          <w:szCs w:val="20"/>
        </w:rPr>
        <w:t>F(</w:t>
      </w:r>
      <w:proofErr w:type="gramEnd"/>
      <w:r>
        <w:rPr>
          <w:rFonts w:ascii="Times New Roman" w:eastAsia="Times New Roman" w:hAnsi="Times New Roman" w:cs="Times New Roman"/>
          <w:sz w:val="20"/>
          <w:szCs w:val="20"/>
        </w:rPr>
        <w:t>2,28) = 66.70, p &lt; 0.001), showing that there were significant differences in path choices between participants with different personality traits. Therefore, the classification into two groups based on personality traits was statistically significant.</w:t>
      </w:r>
    </w:p>
    <w:p w14:paraId="76CDDB33" w14:textId="77777777" w:rsidR="00907DC0" w:rsidRDefault="00000000">
      <w:pPr>
        <w:tabs>
          <w:tab w:val="left" w:pos="0"/>
        </w:tabs>
        <w:spacing w:line="280" w:lineRule="exact"/>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3.2. Phototaxis Behavior Analysis</w:t>
      </w:r>
    </w:p>
    <w:p w14:paraId="525F3275"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 Experiment 1, the path selection of two groups with different personality traits was observed to identify significant differences, thereby analyzing the impact of personality traits on phototaxis behavior. Based on the survey results, the participants' path choices under the influence of lighting were identified, and an independent samples t-test was conducted for the path selection (Exit C with no light, Exit B with light). The result showed that </w:t>
      </w:r>
      <w:proofErr w:type="gramStart"/>
      <w:r>
        <w:rPr>
          <w:rFonts w:ascii="Times New Roman" w:eastAsia="Times New Roman" w:hAnsi="Times New Roman" w:cs="Times New Roman"/>
          <w:sz w:val="20"/>
          <w:szCs w:val="20"/>
        </w:rPr>
        <w:t>t(</w:t>
      </w:r>
      <w:proofErr w:type="gramEnd"/>
      <w:r>
        <w:rPr>
          <w:rFonts w:ascii="Times New Roman" w:eastAsia="Times New Roman" w:hAnsi="Times New Roman" w:cs="Times New Roman"/>
          <w:sz w:val="20"/>
          <w:szCs w:val="20"/>
        </w:rPr>
        <w:t>28) = 2.743, p = 0.011 &lt; 0.05, IC [0.119, 0.829], d Cohen = 1.110 &gt; 0.5, indicating a significant difference in path choice between the two groups with a large effect size. Further analysis confirmed that the phototaxis response varied statistically between participants with different personality traits, with high extraversion and neuroticism participants exhibiting a more pronounced phototaxis behavior.</w:t>
      </w:r>
    </w:p>
    <w:p w14:paraId="291F80F5" w14:textId="77777777" w:rsidR="00907DC0" w:rsidRDefault="00000000">
      <w:pPr>
        <w:tabs>
          <w:tab w:val="left" w:pos="0"/>
        </w:tabs>
        <w:spacing w:line="280" w:lineRule="exact"/>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3.3. Electrodermal Activity (EDA) Analysis</w:t>
      </w:r>
    </w:p>
    <w:p w14:paraId="38A2F14D"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The analysis of SCL data confirmed that it followed a normal distribution (Shapiro-Wilk test, p &gt; 0.05) and homogeneity of variance (Levene test, p &gt; 0.05).</w:t>
      </w:r>
    </w:p>
    <w:p w14:paraId="5E0FD696"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 Experiment 1, the electrodermal response of participants with different personality traits was analyzed. An independent samples t-test was conducted for SCL, and the result showed that </w:t>
      </w:r>
      <w:proofErr w:type="gramStart"/>
      <w:r>
        <w:rPr>
          <w:rFonts w:ascii="Times New Roman" w:eastAsia="Times New Roman" w:hAnsi="Times New Roman" w:cs="Times New Roman"/>
          <w:sz w:val="20"/>
          <w:szCs w:val="20"/>
        </w:rPr>
        <w:t>t(</w:t>
      </w:r>
      <w:proofErr w:type="gramEnd"/>
      <w:r>
        <w:rPr>
          <w:rFonts w:ascii="Times New Roman" w:eastAsia="Times New Roman" w:hAnsi="Times New Roman" w:cs="Times New Roman"/>
          <w:sz w:val="20"/>
          <w:szCs w:val="20"/>
        </w:rPr>
        <w:t>28) = -3.820, p &lt; 0.01, IC [-6.710, -2.015], d Cohen = 1.546 &gt; 0.5, indicating a significant difference between the two groups with a large effect size. This suggests that the electrodermal response differs statistically based on personality traits and has practical significance.</w:t>
      </w:r>
    </w:p>
    <w:p w14:paraId="20A81A80"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 Experiment 2, the electrodermal response under emotional contagion was analyzed. A paired-samples t-test was performed on SCL for both conditions in Experiment 1 and Experiment 2. The results showed that for the LEN group, </w:t>
      </w:r>
      <w:proofErr w:type="gramStart"/>
      <w:r>
        <w:rPr>
          <w:rFonts w:ascii="Times New Roman" w:eastAsia="Times New Roman" w:hAnsi="Times New Roman" w:cs="Times New Roman"/>
          <w:sz w:val="20"/>
          <w:szCs w:val="20"/>
        </w:rPr>
        <w:t>t(</w:t>
      </w:r>
      <w:proofErr w:type="gramEnd"/>
      <w:r>
        <w:rPr>
          <w:rFonts w:ascii="Times New Roman" w:eastAsia="Times New Roman" w:hAnsi="Times New Roman" w:cs="Times New Roman"/>
          <w:sz w:val="20"/>
          <w:szCs w:val="20"/>
        </w:rPr>
        <w:t xml:space="preserve">9) = -3.944, p &lt; 0.01, IC [-5.221, -1.368], d Cohen = 1.315 &gt; 0.5, indicating a significant difference in SCL, with a large effect size. For the HEN group, </w:t>
      </w:r>
      <w:proofErr w:type="gramStart"/>
      <w:r>
        <w:rPr>
          <w:rFonts w:ascii="Times New Roman" w:eastAsia="Times New Roman" w:hAnsi="Times New Roman" w:cs="Times New Roman"/>
          <w:sz w:val="20"/>
          <w:szCs w:val="20"/>
        </w:rPr>
        <w:t>t(</w:t>
      </w:r>
      <w:proofErr w:type="gramEnd"/>
      <w:r>
        <w:rPr>
          <w:rFonts w:ascii="Times New Roman" w:eastAsia="Times New Roman" w:hAnsi="Times New Roman" w:cs="Times New Roman"/>
          <w:sz w:val="20"/>
          <w:szCs w:val="20"/>
        </w:rPr>
        <w:t xml:space="preserve">19) = 0.125, p = 0.902, IC [-1.721, 1.939], showing no significant difference in </w:t>
      </w:r>
      <w:r>
        <w:rPr>
          <w:rFonts w:ascii="Times New Roman" w:eastAsia="Times New Roman" w:hAnsi="Times New Roman" w:cs="Times New Roman"/>
          <w:sz w:val="20"/>
          <w:szCs w:val="20"/>
        </w:rPr>
        <w:t>electrodermal response. This analysis confirmed that the LEN group showed statistically significant changes in SCL in response to emotional contagion, while the HEN group did not.</w:t>
      </w:r>
      <w:r>
        <w:rPr>
          <w:rFonts w:ascii="Times New Roman" w:eastAsia="SimSun" w:hAnsi="Times New Roman" w:cs="Times New Roman" w:hint="eastAsia"/>
          <w:sz w:val="20"/>
          <w:szCs w:val="20"/>
        </w:rPr>
        <w:t xml:space="preserve"> </w:t>
      </w:r>
      <w:hyperlink w:anchor="Fig7" w:history="1">
        <w:r>
          <w:rPr>
            <w:rStyle w:val="Hyperlink"/>
            <w:rFonts w:ascii="Times New Roman" w:eastAsia="Times New Roman" w:hAnsi="Times New Roman" w:cs="Times New Roman"/>
            <w:sz w:val="20"/>
            <w:szCs w:val="20"/>
            <w:u w:val="none"/>
          </w:rPr>
          <w:t>Fig</w:t>
        </w:r>
        <w:r>
          <w:rPr>
            <w:rStyle w:val="Hyperlink"/>
            <w:rFonts w:ascii="Times New Roman" w:eastAsia="SimSun" w:hAnsi="Times New Roman" w:cs="Times New Roman" w:hint="eastAsia"/>
            <w:sz w:val="20"/>
            <w:szCs w:val="20"/>
            <w:u w:val="none"/>
          </w:rPr>
          <w:t>ure</w:t>
        </w:r>
        <w:r>
          <w:rPr>
            <w:rStyle w:val="Hyperlink"/>
            <w:rFonts w:ascii="Times New Roman" w:eastAsia="Times New Roman" w:hAnsi="Times New Roman" w:cs="Times New Roman"/>
            <w:sz w:val="20"/>
            <w:szCs w:val="20"/>
            <w:u w:val="none"/>
          </w:rPr>
          <w:t xml:space="preserve"> 7</w:t>
        </w:r>
      </w:hyperlink>
      <w:r>
        <w:rPr>
          <w:rFonts w:ascii="Times New Roman" w:eastAsia="Times New Roman" w:hAnsi="Times New Roman" w:cs="Times New Roman"/>
          <w:sz w:val="20"/>
          <w:szCs w:val="20"/>
        </w:rPr>
        <w:t xml:space="preserve"> illustrates the distribution of SCL in the two experimental conditions for different personality trait groups. The results indicate that low extraversion and neuroticism individuals (LEN group) are more susceptible to panic-induced changes in emotion, as reflected by a significant increase in SCL. In contrast, high extraversion and neuroticism individuals (HEN group) showed minimal physiological changes after experiencing panic emotion.</w:t>
      </w:r>
    </w:p>
    <w:tbl>
      <w:tblPr>
        <w:tblStyle w:val="TableGrid"/>
        <w:tblW w:w="5000" w:type="pct"/>
        <w:tblLook w:val="04A0" w:firstRow="1" w:lastRow="0" w:firstColumn="1" w:lastColumn="0" w:noHBand="0" w:noVBand="1"/>
      </w:tblPr>
      <w:tblGrid>
        <w:gridCol w:w="4743"/>
      </w:tblGrid>
      <w:tr w:rsidR="00907DC0" w14:paraId="59B9C8B1" w14:textId="77777777">
        <w:tc>
          <w:tcPr>
            <w:tcW w:w="5000" w:type="pct"/>
            <w:tcBorders>
              <w:top w:val="nil"/>
              <w:left w:val="nil"/>
              <w:bottom w:val="nil"/>
              <w:right w:val="nil"/>
            </w:tcBorders>
          </w:tcPr>
          <w:p w14:paraId="6C0D6A74" w14:textId="77777777" w:rsidR="00907DC0" w:rsidRDefault="00000000">
            <w:pPr>
              <w:jc w:val="center"/>
              <w:rPr>
                <w:rFonts w:ascii="Times New Roman" w:hAnsi="Times New Roman" w:cs="Times New Roman"/>
                <w:sz w:val="22"/>
                <w:szCs w:val="28"/>
              </w:rPr>
            </w:pPr>
            <w:r>
              <w:rPr>
                <w:rFonts w:ascii="Times New Roman" w:hAnsi="Times New Roman" w:cs="Times New Roman"/>
                <w:noProof/>
                <w:sz w:val="22"/>
                <w:szCs w:val="28"/>
              </w:rPr>
              <w:drawing>
                <wp:inline distT="0" distB="0" distL="114300" distR="114300" wp14:anchorId="2D5EF798" wp14:editId="2F4D5DA2">
                  <wp:extent cx="2693035" cy="1979930"/>
                  <wp:effectExtent l="0" t="0" r="12065" b="127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22"/>
                          <a:srcRect r="22954" b="12746"/>
                          <a:stretch>
                            <a:fillRect/>
                          </a:stretch>
                        </pic:blipFill>
                        <pic:spPr>
                          <a:xfrm>
                            <a:off x="0" y="0"/>
                            <a:ext cx="2693035" cy="1979930"/>
                          </a:xfrm>
                          <a:prstGeom prst="rect">
                            <a:avLst/>
                          </a:prstGeom>
                          <a:noFill/>
                          <a:ln>
                            <a:noFill/>
                          </a:ln>
                        </pic:spPr>
                      </pic:pic>
                    </a:graphicData>
                  </a:graphic>
                </wp:inline>
              </w:drawing>
            </w:r>
          </w:p>
        </w:tc>
      </w:tr>
      <w:tr w:rsidR="00907DC0" w14:paraId="288CEC0E" w14:textId="77777777">
        <w:tc>
          <w:tcPr>
            <w:tcW w:w="5000" w:type="pct"/>
            <w:tcBorders>
              <w:top w:val="nil"/>
              <w:left w:val="nil"/>
              <w:bottom w:val="nil"/>
              <w:right w:val="nil"/>
            </w:tcBorders>
          </w:tcPr>
          <w:p w14:paraId="47552583" w14:textId="77777777" w:rsidR="00907DC0" w:rsidRDefault="00000000">
            <w:pPr>
              <w:spacing w:line="240" w:lineRule="exact"/>
              <w:rPr>
                <w:rFonts w:ascii="Times New Roman" w:hAnsi="Times New Roman" w:cs="Times New Roman"/>
                <w:sz w:val="22"/>
                <w:szCs w:val="28"/>
              </w:rPr>
            </w:pPr>
            <w:bookmarkStart w:id="21" w:name="Fig7"/>
            <w:r>
              <w:rPr>
                <w:rFonts w:ascii="Times New Roman" w:eastAsia="Times New Roman" w:hAnsi="Times New Roman" w:cs="Times New Roman"/>
                <w:b/>
                <w:bCs/>
                <w:sz w:val="18"/>
                <w:szCs w:val="18"/>
              </w:rPr>
              <w:t>F</w:t>
            </w:r>
            <w:r>
              <w:rPr>
                <w:rFonts w:ascii="Times New Roman" w:eastAsia="SimSun" w:hAnsi="Times New Roman" w:cs="Times New Roman" w:hint="eastAsia"/>
                <w:b/>
                <w:bCs/>
                <w:sz w:val="18"/>
                <w:szCs w:val="18"/>
              </w:rPr>
              <w:t>IGURE</w:t>
            </w:r>
            <w:r>
              <w:rPr>
                <w:rFonts w:ascii="Times New Roman" w:eastAsia="Times New Roman" w:hAnsi="Times New Roman" w:cs="Times New Roman"/>
                <w:b/>
                <w:bCs/>
                <w:sz w:val="18"/>
                <w:szCs w:val="18"/>
              </w:rPr>
              <w:t xml:space="preserve"> 7</w:t>
            </w:r>
            <w:r>
              <w:rPr>
                <w:rFonts w:ascii="Times New Roman" w:eastAsia="SimSun" w:hAnsi="Times New Roman" w:cs="Times New Roman"/>
                <w:sz w:val="18"/>
                <w:szCs w:val="18"/>
              </w:rPr>
              <w:t xml:space="preserve"> </w:t>
            </w:r>
            <w:r>
              <w:rPr>
                <w:rFonts w:ascii="Times New Roman" w:eastAsia="Times New Roman" w:hAnsi="Times New Roman" w:cs="Times New Roman"/>
                <w:sz w:val="18"/>
                <w:szCs w:val="18"/>
              </w:rPr>
              <w:t>Box plot of participants' electrodermal response (SCL). Distribution of SCL for different personality trait groups in the two experimental conditions.</w:t>
            </w:r>
          </w:p>
        </w:tc>
      </w:tr>
    </w:tbl>
    <w:bookmarkEnd w:id="21"/>
    <w:p w14:paraId="4148AA48" w14:textId="77777777" w:rsidR="00907DC0" w:rsidRDefault="00000000">
      <w:pPr>
        <w:tabs>
          <w:tab w:val="left" w:pos="0"/>
        </w:tabs>
        <w:spacing w:line="280" w:lineRule="exact"/>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3.4 EEG Analysis</w:t>
      </w:r>
    </w:p>
    <w:p w14:paraId="1BB953CA"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 Experiment 1, we observed whether there were significant differences in </w:t>
      </w:r>
      <w:r>
        <w:rPr>
          <w:rFonts w:ascii="Times New Roman" w:eastAsia="SimSun" w:hAnsi="Times New Roman" w:cs="Times New Roman"/>
          <w:sz w:val="20"/>
          <w:szCs w:val="20"/>
        </w:rPr>
        <w:t>θ-band</w:t>
      </w:r>
      <w:r>
        <w:rPr>
          <w:rFonts w:ascii="Times New Roman" w:eastAsia="Times New Roman" w:hAnsi="Times New Roman" w:cs="Times New Roman"/>
          <w:sz w:val="20"/>
          <w:szCs w:val="20"/>
        </w:rPr>
        <w:t xml:space="preserve">, </w:t>
      </w:r>
      <w:r>
        <w:rPr>
          <w:rFonts w:ascii="Times New Roman" w:eastAsia="SimSun" w:hAnsi="Times New Roman" w:cs="Times New Roman"/>
          <w:sz w:val="20"/>
          <w:szCs w:val="20"/>
        </w:rPr>
        <w:t>α-band</w:t>
      </w:r>
      <w:r>
        <w:rPr>
          <w:rFonts w:ascii="Times New Roman" w:eastAsia="Times New Roman" w:hAnsi="Times New Roman" w:cs="Times New Roman"/>
          <w:sz w:val="20"/>
          <w:szCs w:val="20"/>
        </w:rPr>
        <w:t xml:space="preserve">, and </w:t>
      </w:r>
      <w:r>
        <w:rPr>
          <w:rFonts w:ascii="Times New Roman" w:eastAsia="SimSun" w:hAnsi="Times New Roman" w:cs="Times New Roman"/>
          <w:sz w:val="20"/>
          <w:szCs w:val="20"/>
        </w:rPr>
        <w:t>β-band</w:t>
      </w:r>
      <w:r>
        <w:rPr>
          <w:rFonts w:ascii="Times New Roman" w:eastAsia="Times New Roman" w:hAnsi="Times New Roman" w:cs="Times New Roman"/>
          <w:sz w:val="20"/>
          <w:szCs w:val="20"/>
        </w:rPr>
        <w:t xml:space="preserve"> between the two groups of participants with different personality traits. Independent </w:t>
      </w:r>
      <w:proofErr w:type="gramStart"/>
      <w:r>
        <w:rPr>
          <w:rFonts w:ascii="Times New Roman" w:eastAsia="Times New Roman" w:hAnsi="Times New Roman" w:cs="Times New Roman"/>
          <w:sz w:val="20"/>
          <w:szCs w:val="20"/>
        </w:rPr>
        <w:t>sample t</w:t>
      </w:r>
      <w:proofErr w:type="gramEnd"/>
      <w:r>
        <w:rPr>
          <w:rFonts w:ascii="Times New Roman" w:eastAsia="Times New Roman" w:hAnsi="Times New Roman" w:cs="Times New Roman"/>
          <w:sz w:val="20"/>
          <w:szCs w:val="20"/>
        </w:rPr>
        <w:t xml:space="preserve">-tests were conducted for the power of different </w:t>
      </w:r>
      <w:proofErr w:type="spellStart"/>
      <w:r>
        <w:rPr>
          <w:rFonts w:ascii="Times New Roman" w:eastAsia="Times New Roman" w:hAnsi="Times New Roman" w:cs="Times New Roman"/>
          <w:sz w:val="20"/>
          <w:szCs w:val="20"/>
        </w:rPr>
        <w:t>EEG</w:t>
      </w:r>
      <w:r>
        <w:rPr>
          <w:rFonts w:ascii="Times New Roman" w:eastAsia="SimSun" w:hAnsi="Times New Roman" w:cs="Times New Roman"/>
          <w:sz w:val="20"/>
          <w:szCs w:val="20"/>
        </w:rPr>
        <w:t>band</w:t>
      </w:r>
      <w:r>
        <w:rPr>
          <w:rFonts w:ascii="Times New Roman" w:eastAsia="Times New Roman" w:hAnsi="Times New Roman" w:cs="Times New Roman"/>
          <w:sz w:val="20"/>
          <w:szCs w:val="20"/>
        </w:rPr>
        <w:t>s</w:t>
      </w:r>
      <w:proofErr w:type="spellEnd"/>
      <w:r>
        <w:rPr>
          <w:rFonts w:ascii="Times New Roman" w:eastAsia="Times New Roman" w:hAnsi="Times New Roman" w:cs="Times New Roman"/>
          <w:sz w:val="20"/>
          <w:szCs w:val="20"/>
        </w:rPr>
        <w:t xml:space="preserve">, as shown in </w:t>
      </w:r>
      <w:hyperlink w:anchor="Table2" w:history="1">
        <w:r>
          <w:rPr>
            <w:rStyle w:val="Hyperlink"/>
            <w:rFonts w:ascii="Times New Roman" w:eastAsia="Times New Roman" w:hAnsi="Times New Roman" w:cs="Times New Roman"/>
            <w:sz w:val="20"/>
            <w:szCs w:val="20"/>
            <w:u w:val="none"/>
          </w:rPr>
          <w:t>Table 2</w:t>
        </w:r>
      </w:hyperlink>
      <w:r>
        <w:rPr>
          <w:rFonts w:ascii="Times New Roman" w:eastAsia="Times New Roman" w:hAnsi="Times New Roman" w:cs="Times New Roman"/>
          <w:sz w:val="20"/>
          <w:szCs w:val="20"/>
        </w:rPr>
        <w:t>.</w:t>
      </w:r>
      <w:r>
        <w:rPr>
          <w:rFonts w:ascii="Times New Roman" w:eastAsia="SimSun" w:hAnsi="Times New Roman" w:cs="Times New Roman"/>
          <w:sz w:val="20"/>
          <w:szCs w:val="20"/>
        </w:rPr>
        <w:t xml:space="preserve"> </w:t>
      </w:r>
      <w:r>
        <w:rPr>
          <w:rFonts w:ascii="Times New Roman" w:eastAsia="Times New Roman" w:hAnsi="Times New Roman" w:cs="Times New Roman"/>
          <w:sz w:val="20"/>
          <w:szCs w:val="20"/>
        </w:rPr>
        <w:t xml:space="preserve">For </w:t>
      </w:r>
      <w:r>
        <w:rPr>
          <w:rFonts w:ascii="Times New Roman" w:eastAsia="SimSun" w:hAnsi="Times New Roman" w:cs="Times New Roman"/>
          <w:sz w:val="20"/>
          <w:szCs w:val="20"/>
        </w:rPr>
        <w:t>θ-band</w:t>
      </w:r>
      <w:r>
        <w:rPr>
          <w:rFonts w:ascii="Times New Roman" w:eastAsia="Times New Roman" w:hAnsi="Times New Roman" w:cs="Times New Roman"/>
          <w:sz w:val="20"/>
          <w:szCs w:val="20"/>
        </w:rPr>
        <w:t xml:space="preserve">, the result showed t(28) = -2.322, p = 0.028 &lt; 0.05, IC [-0.074, -0.047], Cohen's d = 0.944 &gt; 0.5, indicating a significant difference between the two groups in </w:t>
      </w:r>
      <w:r>
        <w:rPr>
          <w:rFonts w:ascii="Times New Roman" w:eastAsia="SimSun" w:hAnsi="Times New Roman" w:cs="Times New Roman"/>
          <w:sz w:val="20"/>
          <w:szCs w:val="20"/>
        </w:rPr>
        <w:t>θ-band</w:t>
      </w:r>
      <w:r>
        <w:rPr>
          <w:rFonts w:ascii="Times New Roman" w:eastAsia="Times New Roman" w:hAnsi="Times New Roman" w:cs="Times New Roman"/>
          <w:sz w:val="20"/>
          <w:szCs w:val="20"/>
        </w:rPr>
        <w:t xml:space="preserve"> changes, with a large effect </w:t>
      </w:r>
      <w:proofErr w:type="spellStart"/>
      <w:r>
        <w:rPr>
          <w:rFonts w:ascii="Times New Roman" w:eastAsia="Times New Roman" w:hAnsi="Times New Roman" w:cs="Times New Roman"/>
          <w:sz w:val="20"/>
          <w:szCs w:val="20"/>
        </w:rPr>
        <w:t>size.For</w:t>
      </w:r>
      <w:proofErr w:type="spellEnd"/>
      <w:r>
        <w:rPr>
          <w:rFonts w:ascii="Times New Roman" w:eastAsia="Times New Roman" w:hAnsi="Times New Roman" w:cs="Times New Roman"/>
          <w:sz w:val="20"/>
          <w:szCs w:val="20"/>
        </w:rPr>
        <w:t xml:space="preserve"> </w:t>
      </w:r>
      <w:r>
        <w:rPr>
          <w:rFonts w:ascii="Times New Roman" w:eastAsia="SimSun" w:hAnsi="Times New Roman" w:cs="Times New Roman"/>
          <w:sz w:val="20"/>
          <w:szCs w:val="20"/>
        </w:rPr>
        <w:t>α-band</w:t>
      </w:r>
      <w:r>
        <w:rPr>
          <w:rFonts w:ascii="Times New Roman" w:eastAsia="Times New Roman" w:hAnsi="Times New Roman" w:cs="Times New Roman"/>
          <w:sz w:val="20"/>
          <w:szCs w:val="20"/>
        </w:rPr>
        <w:t xml:space="preserve">, the result showed t(28) = 0.073, p = 0.943, meaning no significant difference in </w:t>
      </w:r>
      <w:r>
        <w:rPr>
          <w:rFonts w:ascii="Times New Roman" w:eastAsia="SimSun" w:hAnsi="Times New Roman" w:cs="Times New Roman"/>
          <w:sz w:val="20"/>
          <w:szCs w:val="20"/>
        </w:rPr>
        <w:t>α-band</w:t>
      </w:r>
      <w:r>
        <w:rPr>
          <w:rFonts w:ascii="Times New Roman" w:eastAsia="Times New Roman" w:hAnsi="Times New Roman" w:cs="Times New Roman"/>
          <w:sz w:val="20"/>
          <w:szCs w:val="20"/>
        </w:rPr>
        <w:t xml:space="preserve"> changes between the two </w:t>
      </w:r>
      <w:proofErr w:type="spellStart"/>
      <w:r>
        <w:rPr>
          <w:rFonts w:ascii="Times New Roman" w:eastAsia="Times New Roman" w:hAnsi="Times New Roman" w:cs="Times New Roman"/>
          <w:sz w:val="20"/>
          <w:szCs w:val="20"/>
        </w:rPr>
        <w:t>groups.For</w:t>
      </w:r>
      <w:proofErr w:type="spellEnd"/>
      <w:r>
        <w:rPr>
          <w:rFonts w:ascii="Times New Roman" w:eastAsia="Times New Roman" w:hAnsi="Times New Roman" w:cs="Times New Roman"/>
          <w:sz w:val="20"/>
          <w:szCs w:val="20"/>
        </w:rPr>
        <w:t xml:space="preserve"> </w:t>
      </w:r>
      <w:r>
        <w:rPr>
          <w:rFonts w:ascii="Times New Roman" w:eastAsia="SimSun" w:hAnsi="Times New Roman" w:cs="Times New Roman"/>
          <w:sz w:val="20"/>
          <w:szCs w:val="20"/>
        </w:rPr>
        <w:t>β-band</w:t>
      </w:r>
      <w:r>
        <w:rPr>
          <w:rFonts w:ascii="Times New Roman" w:eastAsia="Times New Roman" w:hAnsi="Times New Roman" w:cs="Times New Roman"/>
          <w:sz w:val="20"/>
          <w:szCs w:val="20"/>
        </w:rPr>
        <w:t xml:space="preserve">, the result showed t(28) = 1.868, p = 0.073, meaning no significant difference in </w:t>
      </w:r>
      <w:r>
        <w:rPr>
          <w:rFonts w:ascii="Times New Roman" w:eastAsia="SimSun" w:hAnsi="Times New Roman" w:cs="Times New Roman"/>
          <w:sz w:val="20"/>
          <w:szCs w:val="20"/>
        </w:rPr>
        <w:t>β-band</w:t>
      </w:r>
      <w:r>
        <w:rPr>
          <w:rFonts w:ascii="Times New Roman" w:eastAsia="Times New Roman" w:hAnsi="Times New Roman" w:cs="Times New Roman"/>
          <w:sz w:val="20"/>
          <w:szCs w:val="20"/>
        </w:rPr>
        <w:t xml:space="preserve"> changes between the two </w:t>
      </w:r>
      <w:proofErr w:type="spellStart"/>
      <w:r>
        <w:rPr>
          <w:rFonts w:ascii="Times New Roman" w:eastAsia="Times New Roman" w:hAnsi="Times New Roman" w:cs="Times New Roman"/>
          <w:sz w:val="20"/>
          <w:szCs w:val="20"/>
        </w:rPr>
        <w:t>groups.Therefore</w:t>
      </w:r>
      <w:proofErr w:type="spellEnd"/>
      <w:r>
        <w:rPr>
          <w:rFonts w:ascii="Times New Roman" w:eastAsia="Times New Roman" w:hAnsi="Times New Roman" w:cs="Times New Roman"/>
          <w:sz w:val="20"/>
          <w:szCs w:val="20"/>
        </w:rPr>
        <w:t xml:space="preserve">, the analysis confirms that the </w:t>
      </w:r>
      <w:r>
        <w:rPr>
          <w:rFonts w:ascii="Times New Roman" w:eastAsia="SimSun" w:hAnsi="Times New Roman" w:cs="Times New Roman"/>
          <w:sz w:val="20"/>
          <w:szCs w:val="20"/>
        </w:rPr>
        <w:t>θ-band</w:t>
      </w:r>
      <w:r>
        <w:rPr>
          <w:rFonts w:ascii="Times New Roman" w:eastAsia="Times New Roman" w:hAnsi="Times New Roman" w:cs="Times New Roman"/>
          <w:sz w:val="20"/>
          <w:szCs w:val="20"/>
        </w:rPr>
        <w:t xml:space="preserve"> power differs statistically between individuals with different characteristics, while there are no statistical differences in </w:t>
      </w:r>
      <w:r>
        <w:rPr>
          <w:rFonts w:ascii="Times New Roman" w:eastAsia="SimSun" w:hAnsi="Times New Roman" w:cs="Times New Roman"/>
          <w:sz w:val="20"/>
          <w:szCs w:val="20"/>
        </w:rPr>
        <w:t>α-band</w:t>
      </w:r>
      <w:r>
        <w:rPr>
          <w:rFonts w:ascii="Times New Roman" w:eastAsia="Times New Roman" w:hAnsi="Times New Roman" w:cs="Times New Roman"/>
          <w:sz w:val="20"/>
          <w:szCs w:val="20"/>
        </w:rPr>
        <w:t xml:space="preserve"> and </w:t>
      </w:r>
      <w:r>
        <w:rPr>
          <w:rFonts w:ascii="Times New Roman" w:eastAsia="SimSun" w:hAnsi="Times New Roman" w:cs="Times New Roman"/>
          <w:sz w:val="20"/>
          <w:szCs w:val="20"/>
        </w:rPr>
        <w:t>β-band</w:t>
      </w:r>
      <w:r>
        <w:rPr>
          <w:rFonts w:ascii="Times New Roman" w:eastAsia="Times New Roman" w:hAnsi="Times New Roman" w:cs="Times New Roman"/>
          <w:sz w:val="20"/>
          <w:szCs w:val="20"/>
        </w:rPr>
        <w:t xml:space="preserve"> power.</w:t>
      </w:r>
    </w:p>
    <w:p w14:paraId="2FD038BC" w14:textId="77777777" w:rsidR="00907DC0" w:rsidRDefault="00907DC0">
      <w:pPr>
        <w:spacing w:line="280" w:lineRule="exact"/>
        <w:jc w:val="center"/>
        <w:rPr>
          <w:rFonts w:ascii="Times New Roman" w:eastAsia="Times New Roman" w:hAnsi="Times New Roman" w:cs="Times New Roman"/>
          <w:b/>
          <w:bCs/>
          <w:sz w:val="18"/>
          <w:szCs w:val="18"/>
        </w:rPr>
        <w:sectPr w:rsidR="00907DC0">
          <w:type w:val="continuous"/>
          <w:pgSz w:w="11906" w:h="16838"/>
          <w:pgMar w:top="879" w:right="850" w:bottom="879" w:left="850" w:header="1247" w:footer="1247" w:gutter="0"/>
          <w:cols w:num="2" w:space="720" w:equalWidth="0">
            <w:col w:w="4890" w:space="425"/>
            <w:col w:w="4890"/>
          </w:cols>
          <w:docGrid w:type="lines" w:linePitch="312"/>
        </w:sectPr>
      </w:pPr>
      <w:bookmarkStart w:id="22" w:name="Table2"/>
      <w:bookmarkStart w:id="23" w:name="OLE_LINK18"/>
    </w:p>
    <w:p w14:paraId="621D61A8" w14:textId="77777777" w:rsidR="00907DC0" w:rsidRDefault="00000000">
      <w:pPr>
        <w:spacing w:line="280" w:lineRule="exact"/>
        <w:jc w:val="center"/>
        <w:rPr>
          <w:rFonts w:ascii="Times New Roman" w:eastAsia="Times New Roman" w:hAnsi="Times New Roman" w:cs="Times New Roman"/>
          <w:sz w:val="20"/>
          <w:szCs w:val="20"/>
        </w:rPr>
      </w:pPr>
      <w:r>
        <w:rPr>
          <w:rFonts w:ascii="Times New Roman" w:eastAsia="Times New Roman" w:hAnsi="Times New Roman" w:cs="Times New Roman"/>
          <w:b/>
          <w:bCs/>
          <w:sz w:val="20"/>
          <w:szCs w:val="20"/>
        </w:rPr>
        <w:t>Table 2</w:t>
      </w:r>
      <w:bookmarkEnd w:id="22"/>
      <w:r>
        <w:rPr>
          <w:rFonts w:ascii="Times New Roman" w:eastAsia="SimSun" w:hAnsi="Times New Roman" w:cs="Times New Roman"/>
          <w:sz w:val="20"/>
          <w:szCs w:val="20"/>
        </w:rPr>
        <w:t xml:space="preserve"> </w:t>
      </w:r>
      <w:r>
        <w:rPr>
          <w:rFonts w:ascii="Times New Roman" w:eastAsia="Times New Roman" w:hAnsi="Times New Roman" w:cs="Times New Roman"/>
          <w:sz w:val="20"/>
          <w:szCs w:val="20"/>
        </w:rPr>
        <w:t xml:space="preserve">Paired Sample t-test for </w:t>
      </w:r>
      <w:r>
        <w:rPr>
          <w:rFonts w:ascii="Times New Roman" w:eastAsia="SimSun" w:hAnsi="Times New Roman" w:cs="Times New Roman"/>
          <w:sz w:val="20"/>
          <w:szCs w:val="20"/>
        </w:rPr>
        <w:t>θ-</w:t>
      </w:r>
      <w:proofErr w:type="gramStart"/>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w:t>
      </w:r>
      <w:proofErr w:type="gramEnd"/>
      <w:r>
        <w:rPr>
          <w:rFonts w:ascii="Times New Roman" w:eastAsia="Times New Roman" w:hAnsi="Times New Roman" w:cs="Times New Roman"/>
          <w:sz w:val="20"/>
          <w:szCs w:val="20"/>
        </w:rPr>
        <w:t xml:space="preserve"> </w:t>
      </w:r>
      <w:bookmarkStart w:id="24" w:name="OLE_LINK10"/>
      <w:r>
        <w:rPr>
          <w:rFonts w:ascii="Times New Roman" w:eastAsia="Times New Roman" w:hAnsi="Times New Roman" w:cs="Times New Roman"/>
          <w:sz w:val="20"/>
          <w:szCs w:val="20"/>
        </w:rPr>
        <w:t>α</w:t>
      </w:r>
      <w:bookmarkEnd w:id="24"/>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 and β</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for Participants with Different Personality Traits</w:t>
      </w:r>
      <w:bookmarkEnd w:id="3"/>
      <w:bookmarkEnd w:id="23"/>
    </w:p>
    <w:tbl>
      <w:tblPr>
        <w:tblStyle w:val="TableGrid"/>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12"/>
        <w:gridCol w:w="1285"/>
        <w:gridCol w:w="1143"/>
        <w:gridCol w:w="1548"/>
        <w:gridCol w:w="621"/>
        <w:gridCol w:w="711"/>
        <w:gridCol w:w="1258"/>
        <w:gridCol w:w="1252"/>
        <w:gridCol w:w="776"/>
      </w:tblGrid>
      <w:tr w:rsidR="00907DC0" w14:paraId="0C75B531" w14:textId="77777777">
        <w:trPr>
          <w:trHeight w:val="340"/>
          <w:jc w:val="center"/>
        </w:trPr>
        <w:tc>
          <w:tcPr>
            <w:tcW w:w="802" w:type="pct"/>
            <w:vMerge w:val="restart"/>
            <w:tcBorders>
              <w:top w:val="single" w:sz="12" w:space="0" w:color="auto"/>
            </w:tcBorders>
            <w:vAlign w:val="center"/>
          </w:tcPr>
          <w:p w14:paraId="1C385050"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EEG</w:t>
            </w:r>
            <w:r>
              <w:rPr>
                <w:rFonts w:ascii="Times New Roman" w:hAnsi="Times New Roman" w:cs="Times New Roman" w:hint="eastAsia"/>
                <w:sz w:val="18"/>
                <w:szCs w:val="18"/>
              </w:rPr>
              <w:t xml:space="preserve"> </w:t>
            </w:r>
            <w:r>
              <w:rPr>
                <w:rFonts w:ascii="Times New Roman" w:hAnsi="Times New Roman" w:cs="Times New Roman"/>
                <w:sz w:val="18"/>
                <w:szCs w:val="18"/>
              </w:rPr>
              <w:t>band Classification</w:t>
            </w:r>
          </w:p>
        </w:tc>
        <w:tc>
          <w:tcPr>
            <w:tcW w:w="642" w:type="pct"/>
            <w:vMerge w:val="restart"/>
            <w:tcBorders>
              <w:top w:val="single" w:sz="12" w:space="0" w:color="auto"/>
            </w:tcBorders>
            <w:vAlign w:val="center"/>
          </w:tcPr>
          <w:p w14:paraId="376DBE37"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Number of subjects</w:t>
            </w:r>
          </w:p>
        </w:tc>
        <w:tc>
          <w:tcPr>
            <w:tcW w:w="572" w:type="pct"/>
            <w:vMerge w:val="restart"/>
            <w:tcBorders>
              <w:top w:val="single" w:sz="12" w:space="0" w:color="auto"/>
            </w:tcBorders>
            <w:vAlign w:val="center"/>
          </w:tcPr>
          <w:p w14:paraId="082723D1"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Mean</w:t>
            </w:r>
            <w:r>
              <w:rPr>
                <w:rFonts w:ascii="Times New Roman" w:hAnsi="Times New Roman" w:cs="Times New Roman" w:hint="eastAsia"/>
                <w:sz w:val="18"/>
                <w:szCs w:val="18"/>
              </w:rPr>
              <w:t xml:space="preserve"> difference</w:t>
            </w:r>
          </w:p>
        </w:tc>
        <w:tc>
          <w:tcPr>
            <w:tcW w:w="770" w:type="pct"/>
            <w:vMerge w:val="restart"/>
            <w:tcBorders>
              <w:top w:val="single" w:sz="12" w:space="0" w:color="auto"/>
            </w:tcBorders>
            <w:vAlign w:val="center"/>
          </w:tcPr>
          <w:p w14:paraId="6095C89D"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 xml:space="preserve">Standard </w:t>
            </w:r>
            <w:proofErr w:type="spellStart"/>
            <w:r>
              <w:rPr>
                <w:rFonts w:ascii="Times New Roman" w:hAnsi="Times New Roman" w:cs="Times New Roman"/>
                <w:sz w:val="18"/>
                <w:szCs w:val="18"/>
              </w:rPr>
              <w:t>eror</w:t>
            </w:r>
            <w:proofErr w:type="spellEnd"/>
            <w:r>
              <w:rPr>
                <w:rFonts w:ascii="Times New Roman" w:hAnsi="Times New Roman" w:cs="Times New Roman"/>
                <w:sz w:val="18"/>
                <w:szCs w:val="18"/>
              </w:rPr>
              <w:t xml:space="preserve"> </w:t>
            </w:r>
            <w:r>
              <w:rPr>
                <w:rFonts w:ascii="Times New Roman" w:hAnsi="Times New Roman" w:cs="Times New Roman" w:hint="eastAsia"/>
                <w:sz w:val="18"/>
                <w:szCs w:val="18"/>
              </w:rPr>
              <w:t>difference</w:t>
            </w:r>
          </w:p>
        </w:tc>
        <w:tc>
          <w:tcPr>
            <w:tcW w:w="302" w:type="pct"/>
            <w:vMerge w:val="restart"/>
            <w:tcBorders>
              <w:top w:val="single" w:sz="12" w:space="0" w:color="auto"/>
            </w:tcBorders>
            <w:vAlign w:val="center"/>
          </w:tcPr>
          <w:p w14:paraId="6D3E1802"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t</w:t>
            </w:r>
          </w:p>
        </w:tc>
        <w:tc>
          <w:tcPr>
            <w:tcW w:w="314" w:type="pct"/>
            <w:vMerge w:val="restart"/>
            <w:tcBorders>
              <w:top w:val="single" w:sz="12" w:space="0" w:color="auto"/>
            </w:tcBorders>
            <w:vAlign w:val="center"/>
          </w:tcPr>
          <w:p w14:paraId="022BF0ED"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p</w:t>
            </w:r>
          </w:p>
        </w:tc>
        <w:tc>
          <w:tcPr>
            <w:tcW w:w="1253" w:type="pct"/>
            <w:gridSpan w:val="2"/>
            <w:tcBorders>
              <w:top w:val="single" w:sz="12" w:space="0" w:color="auto"/>
              <w:bottom w:val="single" w:sz="8" w:space="0" w:color="auto"/>
            </w:tcBorders>
            <w:shd w:val="clear" w:color="auto" w:fill="FFFFFF"/>
            <w:vAlign w:val="center"/>
          </w:tcPr>
          <w:p w14:paraId="6AC672A9"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95% Confidence interval of the difference</w:t>
            </w:r>
          </w:p>
        </w:tc>
        <w:tc>
          <w:tcPr>
            <w:tcW w:w="342" w:type="pct"/>
            <w:vMerge w:val="restart"/>
            <w:tcBorders>
              <w:top w:val="single" w:sz="12" w:space="0" w:color="auto"/>
            </w:tcBorders>
            <w:vAlign w:val="center"/>
          </w:tcPr>
          <w:p w14:paraId="5A29B0EF" w14:textId="77777777" w:rsidR="00907DC0" w:rsidRDefault="00000000">
            <w:pPr>
              <w:tabs>
                <w:tab w:val="left" w:pos="0"/>
              </w:tabs>
              <w:spacing w:line="340" w:lineRule="exact"/>
              <w:jc w:val="center"/>
              <w:rPr>
                <w:rFonts w:ascii="Times New Roman" w:hAnsi="Times New Roman" w:cs="Times New Roman"/>
                <w:sz w:val="18"/>
                <w:szCs w:val="18"/>
              </w:rPr>
            </w:pPr>
            <w:proofErr w:type="spellStart"/>
            <w:r>
              <w:rPr>
                <w:rFonts w:ascii="Times New Roman" w:hAnsi="Times New Roman" w:cs="Times New Roman"/>
                <w:sz w:val="18"/>
                <w:szCs w:val="18"/>
              </w:rPr>
              <w:t>dCohen</w:t>
            </w:r>
            <w:proofErr w:type="spellEnd"/>
          </w:p>
        </w:tc>
      </w:tr>
      <w:tr w:rsidR="00907DC0" w14:paraId="614FB967" w14:textId="77777777">
        <w:trPr>
          <w:trHeight w:val="340"/>
          <w:jc w:val="center"/>
        </w:trPr>
        <w:tc>
          <w:tcPr>
            <w:tcW w:w="802" w:type="pct"/>
            <w:vMerge/>
            <w:tcBorders>
              <w:bottom w:val="single" w:sz="8" w:space="0" w:color="auto"/>
            </w:tcBorders>
          </w:tcPr>
          <w:p w14:paraId="1AB4CFA7"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642" w:type="pct"/>
            <w:vMerge/>
            <w:tcBorders>
              <w:bottom w:val="single" w:sz="8" w:space="0" w:color="auto"/>
            </w:tcBorders>
          </w:tcPr>
          <w:p w14:paraId="258EEBA6"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572" w:type="pct"/>
            <w:vMerge/>
            <w:tcBorders>
              <w:bottom w:val="single" w:sz="8" w:space="0" w:color="auto"/>
            </w:tcBorders>
          </w:tcPr>
          <w:p w14:paraId="76F2F8B2"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770" w:type="pct"/>
            <w:vMerge/>
            <w:tcBorders>
              <w:bottom w:val="single" w:sz="8" w:space="0" w:color="auto"/>
            </w:tcBorders>
          </w:tcPr>
          <w:p w14:paraId="623BCA1C"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302" w:type="pct"/>
            <w:vMerge/>
            <w:tcBorders>
              <w:bottom w:val="single" w:sz="8" w:space="0" w:color="auto"/>
            </w:tcBorders>
          </w:tcPr>
          <w:p w14:paraId="2AC58158"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314" w:type="pct"/>
            <w:vMerge/>
            <w:tcBorders>
              <w:bottom w:val="single" w:sz="8" w:space="0" w:color="auto"/>
            </w:tcBorders>
          </w:tcPr>
          <w:p w14:paraId="75FFD965"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628" w:type="pct"/>
            <w:tcBorders>
              <w:top w:val="single" w:sz="8" w:space="0" w:color="auto"/>
              <w:bottom w:val="single" w:sz="8" w:space="0" w:color="auto"/>
            </w:tcBorders>
            <w:shd w:val="clear" w:color="auto" w:fill="FFFFFF"/>
            <w:vAlign w:val="center"/>
          </w:tcPr>
          <w:p w14:paraId="7343DC05"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Lower</w:t>
            </w:r>
          </w:p>
        </w:tc>
        <w:tc>
          <w:tcPr>
            <w:tcW w:w="624" w:type="pct"/>
            <w:tcBorders>
              <w:top w:val="single" w:sz="8" w:space="0" w:color="auto"/>
              <w:bottom w:val="single" w:sz="8" w:space="0" w:color="auto"/>
            </w:tcBorders>
            <w:shd w:val="clear" w:color="auto" w:fill="FFFFFF"/>
            <w:vAlign w:val="center"/>
          </w:tcPr>
          <w:p w14:paraId="0D5C8E0D"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Upper</w:t>
            </w:r>
          </w:p>
        </w:tc>
        <w:tc>
          <w:tcPr>
            <w:tcW w:w="342" w:type="pct"/>
            <w:vMerge/>
            <w:tcBorders>
              <w:bottom w:val="single" w:sz="8" w:space="0" w:color="auto"/>
            </w:tcBorders>
          </w:tcPr>
          <w:p w14:paraId="32C2414B" w14:textId="77777777" w:rsidR="00907DC0" w:rsidRDefault="00907DC0">
            <w:pPr>
              <w:tabs>
                <w:tab w:val="left" w:pos="0"/>
              </w:tabs>
              <w:spacing w:line="340" w:lineRule="exact"/>
              <w:jc w:val="center"/>
              <w:rPr>
                <w:rFonts w:ascii="Times New Roman" w:hAnsi="Times New Roman" w:cs="Times New Roman"/>
                <w:b/>
                <w:bCs/>
                <w:sz w:val="18"/>
                <w:szCs w:val="18"/>
              </w:rPr>
            </w:pPr>
          </w:p>
        </w:tc>
      </w:tr>
      <w:tr w:rsidR="00907DC0" w14:paraId="6FA77999" w14:textId="77777777">
        <w:trPr>
          <w:trHeight w:val="90"/>
          <w:jc w:val="center"/>
        </w:trPr>
        <w:tc>
          <w:tcPr>
            <w:tcW w:w="802" w:type="pct"/>
            <w:tcBorders>
              <w:top w:val="single" w:sz="8" w:space="0" w:color="auto"/>
            </w:tcBorders>
          </w:tcPr>
          <w:p w14:paraId="4A88987B"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θ-band</w:t>
            </w:r>
          </w:p>
        </w:tc>
        <w:tc>
          <w:tcPr>
            <w:tcW w:w="642" w:type="pct"/>
            <w:tcBorders>
              <w:top w:val="single" w:sz="8" w:space="0" w:color="auto"/>
            </w:tcBorders>
            <w:shd w:val="clear" w:color="auto" w:fill="auto"/>
            <w:vAlign w:val="center"/>
          </w:tcPr>
          <w:p w14:paraId="754E8E62"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28</w:t>
            </w:r>
          </w:p>
        </w:tc>
        <w:tc>
          <w:tcPr>
            <w:tcW w:w="572" w:type="pct"/>
            <w:tcBorders>
              <w:top w:val="single" w:sz="8" w:space="0" w:color="auto"/>
            </w:tcBorders>
            <w:shd w:val="clear" w:color="auto" w:fill="F9F9FB"/>
            <w:vAlign w:val="center"/>
          </w:tcPr>
          <w:p w14:paraId="61B92E6D"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-0.039</w:t>
            </w:r>
          </w:p>
        </w:tc>
        <w:tc>
          <w:tcPr>
            <w:tcW w:w="770" w:type="pct"/>
            <w:tcBorders>
              <w:top w:val="single" w:sz="8" w:space="0" w:color="auto"/>
            </w:tcBorders>
            <w:shd w:val="clear" w:color="auto" w:fill="F9F9FB"/>
            <w:vAlign w:val="center"/>
          </w:tcPr>
          <w:p w14:paraId="1836E9EF"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0.017</w:t>
            </w:r>
          </w:p>
        </w:tc>
        <w:tc>
          <w:tcPr>
            <w:tcW w:w="302" w:type="pct"/>
            <w:tcBorders>
              <w:top w:val="single" w:sz="8" w:space="0" w:color="auto"/>
            </w:tcBorders>
            <w:shd w:val="clear" w:color="auto" w:fill="F9F9FB"/>
            <w:vAlign w:val="center"/>
          </w:tcPr>
          <w:p w14:paraId="0DB9439A"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-2.332</w:t>
            </w:r>
          </w:p>
        </w:tc>
        <w:tc>
          <w:tcPr>
            <w:tcW w:w="314" w:type="pct"/>
            <w:tcBorders>
              <w:top w:val="single" w:sz="8" w:space="0" w:color="auto"/>
            </w:tcBorders>
            <w:shd w:val="clear" w:color="auto" w:fill="F9F9FB"/>
            <w:vAlign w:val="center"/>
          </w:tcPr>
          <w:p w14:paraId="17633341"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0.028</w:t>
            </w:r>
            <w:r>
              <w:rPr>
                <w:rFonts w:ascii="Times New Roman" w:eastAsia="SimSun" w:hAnsi="Times New Roman" w:cs="Times New Roman"/>
                <w:sz w:val="18"/>
                <w:szCs w:val="18"/>
              </w:rPr>
              <w:t>*</w:t>
            </w:r>
          </w:p>
        </w:tc>
        <w:tc>
          <w:tcPr>
            <w:tcW w:w="628" w:type="pct"/>
            <w:tcBorders>
              <w:top w:val="single" w:sz="8" w:space="0" w:color="auto"/>
            </w:tcBorders>
            <w:shd w:val="clear" w:color="auto" w:fill="F9F9FB"/>
            <w:vAlign w:val="center"/>
          </w:tcPr>
          <w:p w14:paraId="53B202F4"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-0.074</w:t>
            </w:r>
          </w:p>
        </w:tc>
        <w:tc>
          <w:tcPr>
            <w:tcW w:w="624" w:type="pct"/>
            <w:tcBorders>
              <w:top w:val="single" w:sz="8" w:space="0" w:color="auto"/>
            </w:tcBorders>
            <w:shd w:val="clear" w:color="auto" w:fill="F9F9FB"/>
            <w:vAlign w:val="center"/>
          </w:tcPr>
          <w:p w14:paraId="6F282946"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-0.005</w:t>
            </w:r>
          </w:p>
        </w:tc>
        <w:tc>
          <w:tcPr>
            <w:tcW w:w="342" w:type="pct"/>
            <w:tcBorders>
              <w:top w:val="single" w:sz="8" w:space="0" w:color="auto"/>
            </w:tcBorders>
            <w:shd w:val="clear" w:color="auto" w:fill="auto"/>
            <w:vAlign w:val="center"/>
          </w:tcPr>
          <w:p w14:paraId="72C44C13"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0.944</w:t>
            </w:r>
          </w:p>
        </w:tc>
      </w:tr>
      <w:tr w:rsidR="00907DC0" w14:paraId="5DC7626C" w14:textId="77777777">
        <w:trPr>
          <w:trHeight w:val="350"/>
          <w:jc w:val="center"/>
        </w:trPr>
        <w:tc>
          <w:tcPr>
            <w:tcW w:w="802" w:type="pct"/>
          </w:tcPr>
          <w:p w14:paraId="06F0D6CD"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α-band</w:t>
            </w:r>
          </w:p>
        </w:tc>
        <w:tc>
          <w:tcPr>
            <w:tcW w:w="642" w:type="pct"/>
            <w:shd w:val="clear" w:color="auto" w:fill="auto"/>
            <w:vAlign w:val="center"/>
          </w:tcPr>
          <w:p w14:paraId="606D1F75"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28</w:t>
            </w:r>
          </w:p>
        </w:tc>
        <w:tc>
          <w:tcPr>
            <w:tcW w:w="572" w:type="pct"/>
            <w:shd w:val="clear" w:color="auto" w:fill="F9F9FB"/>
            <w:vAlign w:val="center"/>
          </w:tcPr>
          <w:p w14:paraId="555CB30E"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0.001</w:t>
            </w:r>
          </w:p>
        </w:tc>
        <w:tc>
          <w:tcPr>
            <w:tcW w:w="770" w:type="pct"/>
            <w:shd w:val="clear" w:color="auto" w:fill="F9F9FB"/>
            <w:vAlign w:val="center"/>
          </w:tcPr>
          <w:p w14:paraId="604DFAF9"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0.007</w:t>
            </w:r>
          </w:p>
        </w:tc>
        <w:tc>
          <w:tcPr>
            <w:tcW w:w="302" w:type="pct"/>
            <w:shd w:val="clear" w:color="auto" w:fill="F9F9FB"/>
            <w:vAlign w:val="center"/>
          </w:tcPr>
          <w:p w14:paraId="2AA208F6"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0.073</w:t>
            </w:r>
          </w:p>
        </w:tc>
        <w:tc>
          <w:tcPr>
            <w:tcW w:w="314" w:type="pct"/>
            <w:shd w:val="clear" w:color="auto" w:fill="F9F9FB"/>
            <w:vAlign w:val="center"/>
          </w:tcPr>
          <w:p w14:paraId="253E8B6D"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0.943</w:t>
            </w:r>
          </w:p>
        </w:tc>
        <w:tc>
          <w:tcPr>
            <w:tcW w:w="628" w:type="pct"/>
            <w:shd w:val="clear" w:color="auto" w:fill="F9F9FB"/>
            <w:vAlign w:val="center"/>
          </w:tcPr>
          <w:p w14:paraId="6B77A811"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-0.014</w:t>
            </w:r>
          </w:p>
        </w:tc>
        <w:tc>
          <w:tcPr>
            <w:tcW w:w="624" w:type="pct"/>
            <w:shd w:val="clear" w:color="auto" w:fill="F9F9FB"/>
            <w:vAlign w:val="center"/>
          </w:tcPr>
          <w:p w14:paraId="68777B5A"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0.015</w:t>
            </w:r>
          </w:p>
        </w:tc>
        <w:tc>
          <w:tcPr>
            <w:tcW w:w="342" w:type="pct"/>
            <w:shd w:val="clear" w:color="auto" w:fill="auto"/>
            <w:vAlign w:val="center"/>
          </w:tcPr>
          <w:p w14:paraId="4AC40A2E"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0.029</w:t>
            </w:r>
          </w:p>
        </w:tc>
      </w:tr>
      <w:tr w:rsidR="00907DC0" w14:paraId="06CB6CD3" w14:textId="77777777">
        <w:trPr>
          <w:trHeight w:val="340"/>
          <w:jc w:val="center"/>
        </w:trPr>
        <w:tc>
          <w:tcPr>
            <w:tcW w:w="802" w:type="pct"/>
            <w:tcBorders>
              <w:bottom w:val="single" w:sz="12" w:space="0" w:color="auto"/>
            </w:tcBorders>
          </w:tcPr>
          <w:p w14:paraId="4517AFA9"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lastRenderedPageBreak/>
              <w:t>β-band</w:t>
            </w:r>
          </w:p>
        </w:tc>
        <w:tc>
          <w:tcPr>
            <w:tcW w:w="642" w:type="pct"/>
            <w:tcBorders>
              <w:bottom w:val="single" w:sz="12" w:space="0" w:color="auto"/>
            </w:tcBorders>
            <w:shd w:val="clear" w:color="auto" w:fill="auto"/>
            <w:vAlign w:val="center"/>
          </w:tcPr>
          <w:p w14:paraId="38BACBD9"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28</w:t>
            </w:r>
          </w:p>
        </w:tc>
        <w:tc>
          <w:tcPr>
            <w:tcW w:w="572" w:type="pct"/>
            <w:tcBorders>
              <w:bottom w:val="single" w:sz="12" w:space="0" w:color="auto"/>
            </w:tcBorders>
            <w:shd w:val="clear" w:color="auto" w:fill="F9F9FB"/>
            <w:vAlign w:val="center"/>
          </w:tcPr>
          <w:p w14:paraId="712B1B6C"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0.028</w:t>
            </w:r>
          </w:p>
        </w:tc>
        <w:tc>
          <w:tcPr>
            <w:tcW w:w="770" w:type="pct"/>
            <w:tcBorders>
              <w:bottom w:val="single" w:sz="12" w:space="0" w:color="auto"/>
            </w:tcBorders>
            <w:shd w:val="clear" w:color="auto" w:fill="F9F9FB"/>
            <w:vAlign w:val="center"/>
          </w:tcPr>
          <w:p w14:paraId="1DC7E50A"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0.015</w:t>
            </w:r>
          </w:p>
        </w:tc>
        <w:tc>
          <w:tcPr>
            <w:tcW w:w="302" w:type="pct"/>
            <w:tcBorders>
              <w:bottom w:val="single" w:sz="12" w:space="0" w:color="auto"/>
            </w:tcBorders>
            <w:shd w:val="clear" w:color="auto" w:fill="F9F9FB"/>
            <w:vAlign w:val="center"/>
          </w:tcPr>
          <w:p w14:paraId="18AA6C34"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1.868</w:t>
            </w:r>
          </w:p>
        </w:tc>
        <w:tc>
          <w:tcPr>
            <w:tcW w:w="314" w:type="pct"/>
            <w:tcBorders>
              <w:bottom w:val="single" w:sz="12" w:space="0" w:color="auto"/>
            </w:tcBorders>
            <w:shd w:val="clear" w:color="auto" w:fill="F9F9FB"/>
            <w:vAlign w:val="center"/>
          </w:tcPr>
          <w:p w14:paraId="5D05C9E0"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0.073</w:t>
            </w:r>
          </w:p>
        </w:tc>
        <w:tc>
          <w:tcPr>
            <w:tcW w:w="628" w:type="pct"/>
            <w:tcBorders>
              <w:bottom w:val="single" w:sz="12" w:space="0" w:color="auto"/>
            </w:tcBorders>
            <w:shd w:val="clear" w:color="auto" w:fill="F9F9FB"/>
            <w:vAlign w:val="center"/>
          </w:tcPr>
          <w:p w14:paraId="421E7F0D"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-0.003</w:t>
            </w:r>
          </w:p>
        </w:tc>
        <w:tc>
          <w:tcPr>
            <w:tcW w:w="624" w:type="pct"/>
            <w:tcBorders>
              <w:bottom w:val="single" w:sz="12" w:space="0" w:color="auto"/>
            </w:tcBorders>
            <w:shd w:val="clear" w:color="auto" w:fill="F9F9FB"/>
            <w:vAlign w:val="center"/>
          </w:tcPr>
          <w:p w14:paraId="26FCE60C"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0.059</w:t>
            </w:r>
          </w:p>
        </w:tc>
        <w:tc>
          <w:tcPr>
            <w:tcW w:w="342" w:type="pct"/>
            <w:tcBorders>
              <w:bottom w:val="single" w:sz="12" w:space="0" w:color="auto"/>
            </w:tcBorders>
            <w:shd w:val="clear" w:color="auto" w:fill="auto"/>
            <w:vAlign w:val="center"/>
          </w:tcPr>
          <w:p w14:paraId="4F122968"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0.756</w:t>
            </w:r>
          </w:p>
        </w:tc>
      </w:tr>
    </w:tbl>
    <w:p w14:paraId="451A9FA9" w14:textId="77777777" w:rsidR="00907DC0" w:rsidRDefault="00907DC0">
      <w:pPr>
        <w:spacing w:line="240" w:lineRule="exact"/>
        <w:ind w:firstLineChars="200" w:firstLine="400"/>
        <w:rPr>
          <w:rFonts w:ascii="Times New Roman" w:eastAsia="Times New Roman" w:hAnsi="Times New Roman" w:cs="Times New Roman"/>
          <w:sz w:val="20"/>
          <w:szCs w:val="20"/>
        </w:rPr>
        <w:sectPr w:rsidR="00907DC0">
          <w:type w:val="continuous"/>
          <w:pgSz w:w="11906" w:h="16838"/>
          <w:pgMar w:top="879" w:right="850" w:bottom="879" w:left="850" w:header="1247" w:footer="1247" w:gutter="0"/>
          <w:cols w:space="425"/>
          <w:docGrid w:type="lines" w:linePitch="312"/>
        </w:sectPr>
      </w:pPr>
    </w:p>
    <w:p w14:paraId="296BFB66"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In Experiment 2, the differences in θ, α, and β</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s under emotional contagion were observed in participants with different personality traits. A </w:t>
      </w:r>
      <w:proofErr w:type="gramStart"/>
      <w:r>
        <w:rPr>
          <w:rFonts w:ascii="Times New Roman" w:eastAsia="Times New Roman" w:hAnsi="Times New Roman" w:cs="Times New Roman"/>
          <w:sz w:val="20"/>
          <w:szCs w:val="20"/>
        </w:rPr>
        <w:t>paired-sample</w:t>
      </w:r>
      <w:proofErr w:type="gramEnd"/>
      <w:r>
        <w:rPr>
          <w:rFonts w:ascii="Times New Roman" w:eastAsia="Times New Roman" w:hAnsi="Times New Roman" w:cs="Times New Roman"/>
          <w:sz w:val="20"/>
          <w:szCs w:val="20"/>
        </w:rPr>
        <w:t xml:space="preserve"> t-test was conducted on the EEG frequency data for both Experiment 1 and Experiment 2, as shown in </w:t>
      </w:r>
      <w:hyperlink w:anchor="Table3" w:history="1">
        <w:r>
          <w:rPr>
            <w:rStyle w:val="Hyperlink"/>
            <w:rFonts w:ascii="Times New Roman" w:eastAsia="Times New Roman" w:hAnsi="Times New Roman" w:cs="Times New Roman"/>
            <w:sz w:val="20"/>
            <w:szCs w:val="20"/>
            <w:u w:val="none"/>
          </w:rPr>
          <w:t>Table 3</w:t>
        </w:r>
      </w:hyperlink>
      <w:r>
        <w:rPr>
          <w:rFonts w:ascii="Times New Roman" w:eastAsia="Times New Roman" w:hAnsi="Times New Roman" w:cs="Times New Roman"/>
          <w:sz w:val="20"/>
          <w:szCs w:val="20"/>
        </w:rPr>
        <w:t>.</w:t>
      </w:r>
    </w:p>
    <w:p w14:paraId="2E984C33"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The results indicated that, for θ</w:t>
      </w:r>
      <w:r>
        <w:rPr>
          <w:rFonts w:ascii="Times New Roman" w:eastAsia="SimSun" w:hAnsi="Times New Roman" w:cs="Times New Roman"/>
          <w:sz w:val="20"/>
          <w:szCs w:val="20"/>
        </w:rPr>
        <w:t>-band</w:t>
      </w:r>
      <w:r>
        <w:rPr>
          <w:rFonts w:ascii="Times New Roman" w:eastAsia="Times New Roman" w:hAnsi="Times New Roman" w:cs="Times New Roman"/>
          <w:sz w:val="20"/>
          <w:szCs w:val="20"/>
        </w:rPr>
        <w:t>, both the LEN group and HEN group exhibited significant differences with and without emotional contagion (p &lt; 0.05), with large effect sizes (</w:t>
      </w:r>
      <w:proofErr w:type="spellStart"/>
      <w:r>
        <w:rPr>
          <w:rFonts w:ascii="Times New Roman" w:eastAsia="Times New Roman" w:hAnsi="Times New Roman" w:cs="Times New Roman"/>
          <w:sz w:val="20"/>
          <w:szCs w:val="20"/>
        </w:rPr>
        <w:t>dCohen</w:t>
      </w:r>
      <w:proofErr w:type="spellEnd"/>
      <w:r>
        <w:rPr>
          <w:rFonts w:ascii="Times New Roman" w:eastAsia="Times New Roman" w:hAnsi="Times New Roman" w:cs="Times New Roman"/>
          <w:sz w:val="20"/>
          <w:szCs w:val="20"/>
        </w:rPr>
        <w:t xml:space="preserve"> &gt; 0.5). Specifically, under emotional contagion, the LEN group showed a significant decrease in </w:t>
      </w:r>
      <w:r>
        <w:rPr>
          <w:rFonts w:ascii="Times New Roman" w:eastAsia="SimSun" w:hAnsi="Times New Roman" w:cs="Times New Roman"/>
          <w:sz w:val="20"/>
          <w:szCs w:val="20"/>
        </w:rPr>
        <w:t>θ-band</w:t>
      </w:r>
      <w:r>
        <w:rPr>
          <w:rFonts w:ascii="Times New Roman" w:eastAsia="Times New Roman" w:hAnsi="Times New Roman" w:cs="Times New Roman"/>
          <w:sz w:val="20"/>
          <w:szCs w:val="20"/>
        </w:rPr>
        <w:t xml:space="preserve">, while the HEN group showed a significant increase. For </w:t>
      </w:r>
      <w:r>
        <w:rPr>
          <w:rFonts w:ascii="Times New Roman" w:eastAsia="SimSun" w:hAnsi="Times New Roman" w:cs="Times New Roman"/>
          <w:sz w:val="20"/>
          <w:szCs w:val="20"/>
        </w:rPr>
        <w:t>α-band</w:t>
      </w:r>
      <w:r>
        <w:rPr>
          <w:rFonts w:ascii="Times New Roman" w:eastAsia="Times New Roman" w:hAnsi="Times New Roman" w:cs="Times New Roman"/>
          <w:sz w:val="20"/>
          <w:szCs w:val="20"/>
        </w:rPr>
        <w:t xml:space="preserve"> (α), the LEN group exhibited significant differences with and without emotional contagion (p &lt; 0.05), with large effect sizes (</w:t>
      </w:r>
      <w:proofErr w:type="spellStart"/>
      <w:r>
        <w:rPr>
          <w:rFonts w:ascii="Times New Roman" w:eastAsia="Times New Roman" w:hAnsi="Times New Roman" w:cs="Times New Roman"/>
          <w:sz w:val="20"/>
          <w:szCs w:val="20"/>
        </w:rPr>
        <w:t>dCohen</w:t>
      </w:r>
      <w:proofErr w:type="spellEnd"/>
      <w:r>
        <w:rPr>
          <w:rFonts w:ascii="Times New Roman" w:eastAsia="Times New Roman" w:hAnsi="Times New Roman" w:cs="Times New Roman"/>
          <w:sz w:val="20"/>
          <w:szCs w:val="20"/>
        </w:rPr>
        <w:t xml:space="preserve"> &gt; 0.5). However, the HEN group showed no significant difference (p &gt; 0.05). Under emotional contagion, the LEN group exhibited a significant increase in </w:t>
      </w:r>
      <w:r>
        <w:rPr>
          <w:rFonts w:ascii="Times New Roman" w:eastAsia="SimSun" w:hAnsi="Times New Roman" w:cs="Times New Roman"/>
          <w:sz w:val="20"/>
          <w:szCs w:val="20"/>
        </w:rPr>
        <w:t>α-band</w:t>
      </w:r>
      <w:r>
        <w:rPr>
          <w:rFonts w:ascii="Times New Roman" w:eastAsia="Times New Roman" w:hAnsi="Times New Roman" w:cs="Times New Roman"/>
          <w:sz w:val="20"/>
          <w:szCs w:val="20"/>
        </w:rPr>
        <w:t xml:space="preserve">. For </w:t>
      </w:r>
      <w:r>
        <w:rPr>
          <w:rFonts w:ascii="Times New Roman" w:eastAsia="SimSun" w:hAnsi="Times New Roman" w:cs="Times New Roman"/>
          <w:sz w:val="20"/>
          <w:szCs w:val="20"/>
        </w:rPr>
        <w:t>β-band</w:t>
      </w:r>
      <w:r>
        <w:rPr>
          <w:rFonts w:ascii="Times New Roman" w:eastAsia="Times New Roman" w:hAnsi="Times New Roman" w:cs="Times New Roman"/>
          <w:sz w:val="20"/>
          <w:szCs w:val="20"/>
        </w:rPr>
        <w:t xml:space="preserve"> (β), no significant differences were observed in either the LEN or HEN groups with or without emotional contagion (p &gt; 0.05</w:t>
      </w:r>
      <w:proofErr w:type="gramStart"/>
      <w:r>
        <w:rPr>
          <w:rFonts w:ascii="Times New Roman" w:eastAsia="Times New Roman" w:hAnsi="Times New Roman" w:cs="Times New Roman"/>
          <w:sz w:val="20"/>
          <w:szCs w:val="20"/>
        </w:rPr>
        <w:t>).Therefore</w:t>
      </w:r>
      <w:proofErr w:type="gramEnd"/>
      <w:r>
        <w:rPr>
          <w:rFonts w:ascii="Times New Roman" w:eastAsia="Times New Roman" w:hAnsi="Times New Roman" w:cs="Times New Roman"/>
          <w:sz w:val="20"/>
          <w:szCs w:val="20"/>
        </w:rPr>
        <w:t xml:space="preserve">, the analysis confirms that the EEG power of the LEN group differed statistically with and without emotional contagion, mainly manifested as a significant decrease in </w:t>
      </w:r>
      <w:r>
        <w:rPr>
          <w:rFonts w:ascii="Times New Roman" w:eastAsia="SimSun" w:hAnsi="Times New Roman" w:cs="Times New Roman"/>
          <w:sz w:val="20"/>
          <w:szCs w:val="20"/>
        </w:rPr>
        <w:t>θ-band</w:t>
      </w:r>
      <w:r>
        <w:rPr>
          <w:rFonts w:ascii="Times New Roman" w:eastAsia="Times New Roman" w:hAnsi="Times New Roman" w:cs="Times New Roman"/>
          <w:sz w:val="20"/>
          <w:szCs w:val="20"/>
        </w:rPr>
        <w:t xml:space="preserve"> and a significant increase in </w:t>
      </w:r>
      <w:r>
        <w:rPr>
          <w:rFonts w:ascii="Times New Roman" w:eastAsia="SimSun" w:hAnsi="Times New Roman" w:cs="Times New Roman"/>
          <w:sz w:val="20"/>
          <w:szCs w:val="20"/>
        </w:rPr>
        <w:t>α-band</w:t>
      </w:r>
      <w:r>
        <w:rPr>
          <w:rFonts w:ascii="Times New Roman" w:eastAsia="Times New Roman" w:hAnsi="Times New Roman" w:cs="Times New Roman"/>
          <w:sz w:val="20"/>
          <w:szCs w:val="20"/>
        </w:rPr>
        <w:t xml:space="preserve">. This suggests that individuals with low extraversion and neuroticism are more sensitive to panic emotions, leading to significant changes in </w:t>
      </w:r>
      <w:r>
        <w:rPr>
          <w:rFonts w:ascii="Times New Roman" w:eastAsia="SimSun" w:hAnsi="Times New Roman" w:cs="Times New Roman"/>
          <w:sz w:val="20"/>
          <w:szCs w:val="20"/>
        </w:rPr>
        <w:t>θ</w:t>
      </w:r>
      <w:r>
        <w:rPr>
          <w:rFonts w:ascii="Times New Roman" w:eastAsia="Times New Roman" w:hAnsi="Times New Roman" w:cs="Times New Roman"/>
          <w:sz w:val="20"/>
          <w:szCs w:val="20"/>
        </w:rPr>
        <w:t xml:space="preserve"> and </w:t>
      </w:r>
      <w:r>
        <w:rPr>
          <w:rFonts w:ascii="Times New Roman" w:eastAsia="SimSun" w:hAnsi="Times New Roman" w:cs="Times New Roman"/>
          <w:sz w:val="20"/>
          <w:szCs w:val="20"/>
        </w:rPr>
        <w:t>α-band</w:t>
      </w:r>
      <w:r>
        <w:rPr>
          <w:rFonts w:ascii="Times New Roman" w:eastAsia="Times New Roman" w:hAnsi="Times New Roman" w:cs="Times New Roman"/>
          <w:sz w:val="20"/>
          <w:szCs w:val="20"/>
        </w:rPr>
        <w:t xml:space="preserve">. In contrast, the HEN group showed a significant increase in </w:t>
      </w:r>
      <w:r>
        <w:rPr>
          <w:rFonts w:ascii="Times New Roman" w:eastAsia="SimSun" w:hAnsi="Times New Roman" w:cs="Times New Roman"/>
          <w:sz w:val="20"/>
          <w:szCs w:val="20"/>
        </w:rPr>
        <w:t>θ-band</w:t>
      </w:r>
      <w:r>
        <w:rPr>
          <w:rFonts w:ascii="Times New Roman" w:eastAsia="Times New Roman" w:hAnsi="Times New Roman" w:cs="Times New Roman"/>
          <w:sz w:val="20"/>
          <w:szCs w:val="20"/>
        </w:rPr>
        <w:t xml:space="preserve"> under emotional contagion, suggesting that individuals with high extraversion and neuroticism are less affected by panic emotions compared to those with low extraversion and neuroticism.</w:t>
      </w:r>
      <w:r>
        <w:rPr>
          <w:rFonts w:ascii="Times New Roman" w:eastAsia="SimSun" w:hAnsi="Times New Roman" w:cs="Times New Roman"/>
          <w:sz w:val="20"/>
          <w:szCs w:val="20"/>
        </w:rPr>
        <w:t xml:space="preserve"> </w:t>
      </w:r>
      <w:hyperlink w:anchor="Fig8" w:history="1">
        <w:r>
          <w:rPr>
            <w:rStyle w:val="Hyperlink"/>
            <w:rFonts w:ascii="Times New Roman" w:eastAsia="Times New Roman" w:hAnsi="Times New Roman" w:cs="Times New Roman"/>
            <w:sz w:val="20"/>
            <w:szCs w:val="20"/>
            <w:u w:val="none"/>
          </w:rPr>
          <w:t>F</w:t>
        </w:r>
        <w:r>
          <w:rPr>
            <w:rStyle w:val="Hyperlink"/>
            <w:rFonts w:ascii="Times New Roman" w:eastAsia="SimSun" w:hAnsi="Times New Roman" w:cs="Times New Roman" w:hint="eastAsia"/>
            <w:sz w:val="20"/>
            <w:szCs w:val="20"/>
            <w:u w:val="none"/>
          </w:rPr>
          <w:t>igure</w:t>
        </w:r>
        <w:r>
          <w:rPr>
            <w:rStyle w:val="Hyperlink"/>
            <w:rFonts w:ascii="Times New Roman" w:eastAsia="Times New Roman" w:hAnsi="Times New Roman" w:cs="Times New Roman"/>
            <w:sz w:val="20"/>
            <w:szCs w:val="20"/>
            <w:u w:val="none"/>
          </w:rPr>
          <w:t xml:space="preserve"> 8</w:t>
        </w:r>
      </w:hyperlink>
      <w:r>
        <w:rPr>
          <w:rFonts w:ascii="Times New Roman" w:eastAsia="Times New Roman" w:hAnsi="Times New Roman" w:cs="Times New Roman"/>
          <w:sz w:val="20"/>
          <w:szCs w:val="20"/>
        </w:rPr>
        <w:t xml:space="preserve"> presents the box plot of relative EEG power responses, reflecting the distribution of </w:t>
      </w:r>
      <w:r>
        <w:rPr>
          <w:rFonts w:ascii="Times New Roman" w:eastAsia="SimSun" w:hAnsi="Times New Roman" w:cs="Times New Roman"/>
          <w:sz w:val="20"/>
          <w:szCs w:val="20"/>
        </w:rPr>
        <w:t>θ</w:t>
      </w:r>
      <w:r>
        <w:rPr>
          <w:rFonts w:ascii="Times New Roman" w:eastAsia="Times New Roman" w:hAnsi="Times New Roman" w:cs="Times New Roman"/>
          <w:sz w:val="20"/>
          <w:szCs w:val="20"/>
        </w:rPr>
        <w:t xml:space="preserve">, </w:t>
      </w:r>
      <w:r>
        <w:rPr>
          <w:rFonts w:ascii="Times New Roman" w:eastAsia="SimSun" w:hAnsi="Times New Roman" w:cs="Times New Roman"/>
          <w:sz w:val="20"/>
          <w:szCs w:val="20"/>
        </w:rPr>
        <w:t>α</w:t>
      </w:r>
      <w:r>
        <w:rPr>
          <w:rFonts w:ascii="Times New Roman" w:eastAsia="Times New Roman" w:hAnsi="Times New Roman" w:cs="Times New Roman"/>
          <w:sz w:val="20"/>
          <w:szCs w:val="20"/>
        </w:rPr>
        <w:t xml:space="preserve">, and </w:t>
      </w:r>
      <w:r>
        <w:rPr>
          <w:rFonts w:ascii="Times New Roman" w:eastAsia="SimSun" w:hAnsi="Times New Roman" w:cs="Times New Roman"/>
          <w:sz w:val="20"/>
          <w:szCs w:val="20"/>
        </w:rPr>
        <w:t>β-band</w:t>
      </w:r>
      <w:r>
        <w:rPr>
          <w:rFonts w:ascii="Times New Roman" w:eastAsia="Times New Roman" w:hAnsi="Times New Roman" w:cs="Times New Roman"/>
          <w:sz w:val="20"/>
          <w:szCs w:val="20"/>
        </w:rPr>
        <w:t xml:space="preserve"> in both experiments for different personality trait groups.</w:t>
      </w:r>
    </w:p>
    <w:p w14:paraId="23B019B2" w14:textId="77777777" w:rsidR="00907DC0" w:rsidRDefault="00907DC0">
      <w:pPr>
        <w:spacing w:line="280" w:lineRule="exact"/>
        <w:ind w:firstLineChars="200" w:firstLine="402"/>
        <w:jc w:val="left"/>
        <w:rPr>
          <w:rFonts w:ascii="Times New Roman" w:eastAsia="Times New Roman" w:hAnsi="Times New Roman" w:cs="Times New Roman"/>
          <w:b/>
          <w:bCs/>
          <w:sz w:val="20"/>
          <w:szCs w:val="20"/>
        </w:rPr>
        <w:sectPr w:rsidR="00907DC0">
          <w:type w:val="continuous"/>
          <w:pgSz w:w="11906" w:h="16838"/>
          <w:pgMar w:top="879" w:right="850" w:bottom="879" w:left="850" w:header="1247" w:footer="1247" w:gutter="0"/>
          <w:cols w:num="2" w:space="720" w:equalWidth="0">
            <w:col w:w="4890" w:space="425"/>
            <w:col w:w="4890"/>
          </w:cols>
          <w:docGrid w:type="lines" w:linePitch="312"/>
        </w:sectPr>
      </w:pPr>
      <w:bookmarkStart w:id="25" w:name="Table3"/>
    </w:p>
    <w:p w14:paraId="35D67AFC" w14:textId="77777777" w:rsidR="00907DC0" w:rsidRDefault="00000000">
      <w:pPr>
        <w:spacing w:line="280" w:lineRule="exact"/>
        <w:jc w:val="left"/>
        <w:rPr>
          <w:rFonts w:ascii="Times New Roman" w:eastAsia="Times New Roman" w:hAnsi="Times New Roman" w:cs="Times New Roman"/>
          <w:sz w:val="20"/>
          <w:szCs w:val="20"/>
        </w:rPr>
      </w:pPr>
      <w:r>
        <w:rPr>
          <w:rFonts w:ascii="Times New Roman" w:eastAsia="Times New Roman" w:hAnsi="Times New Roman" w:cs="Times New Roman"/>
          <w:b/>
          <w:bCs/>
          <w:sz w:val="20"/>
          <w:szCs w:val="20"/>
        </w:rPr>
        <w:t>Table 3</w:t>
      </w:r>
      <w:bookmarkEnd w:id="25"/>
      <w:r>
        <w:rPr>
          <w:rFonts w:ascii="Times New Roman" w:eastAsia="Times New Roman" w:hAnsi="Times New Roman" w:cs="Times New Roman"/>
          <w:sz w:val="20"/>
          <w:szCs w:val="20"/>
        </w:rPr>
        <w:t xml:space="preserve"> Paired-</w:t>
      </w:r>
      <w:proofErr w:type="gramStart"/>
      <w:r>
        <w:rPr>
          <w:rFonts w:ascii="Times New Roman" w:eastAsia="Times New Roman" w:hAnsi="Times New Roman" w:cs="Times New Roman"/>
          <w:sz w:val="20"/>
          <w:szCs w:val="20"/>
        </w:rPr>
        <w:t>Sample t</w:t>
      </w:r>
      <w:proofErr w:type="gramEnd"/>
      <w:r>
        <w:rPr>
          <w:rFonts w:ascii="Times New Roman" w:eastAsia="Times New Roman" w:hAnsi="Times New Roman" w:cs="Times New Roman"/>
          <w:sz w:val="20"/>
          <w:szCs w:val="20"/>
        </w:rPr>
        <w:t>-Test for θ, α, and β</w:t>
      </w:r>
      <w:r>
        <w:rPr>
          <w:rFonts w:ascii="Times New Roman" w:eastAsia="SimSun" w:hAnsi="Times New Roman" w:cs="Times New Roman"/>
          <w:sz w:val="20"/>
          <w:szCs w:val="20"/>
        </w:rPr>
        <w:t>bands</w:t>
      </w:r>
      <w:r>
        <w:rPr>
          <w:rFonts w:ascii="Times New Roman" w:eastAsia="Times New Roman" w:hAnsi="Times New Roman" w:cs="Times New Roman"/>
          <w:sz w:val="20"/>
          <w:szCs w:val="20"/>
        </w:rPr>
        <w:t xml:space="preserve"> under Emotional Contagion in Participants with Different Personality Traits.</w:t>
      </w:r>
    </w:p>
    <w:tbl>
      <w:tblPr>
        <w:tblStyle w:val="TableGrid"/>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2"/>
        <w:gridCol w:w="1422"/>
        <w:gridCol w:w="947"/>
        <w:gridCol w:w="663"/>
        <w:gridCol w:w="1000"/>
        <w:gridCol w:w="988"/>
        <w:gridCol w:w="663"/>
        <w:gridCol w:w="711"/>
        <w:gridCol w:w="855"/>
        <w:gridCol w:w="849"/>
        <w:gridCol w:w="776"/>
      </w:tblGrid>
      <w:tr w:rsidR="00907DC0" w14:paraId="33BDC605" w14:textId="77777777">
        <w:trPr>
          <w:trHeight w:val="340"/>
          <w:jc w:val="center"/>
        </w:trPr>
        <w:tc>
          <w:tcPr>
            <w:tcW w:w="654" w:type="pct"/>
            <w:vMerge w:val="restart"/>
            <w:tcBorders>
              <w:top w:val="single" w:sz="12" w:space="0" w:color="auto"/>
            </w:tcBorders>
            <w:vAlign w:val="center"/>
          </w:tcPr>
          <w:p w14:paraId="0038EDAB" w14:textId="77777777" w:rsidR="00907DC0" w:rsidRDefault="00000000">
            <w:pPr>
              <w:tabs>
                <w:tab w:val="left" w:pos="0"/>
              </w:tabs>
              <w:spacing w:line="340" w:lineRule="exact"/>
              <w:jc w:val="center"/>
              <w:rPr>
                <w:rFonts w:ascii="Times New Roman" w:hAnsi="Times New Roman" w:cs="Times New Roman"/>
                <w:sz w:val="18"/>
                <w:szCs w:val="18"/>
              </w:rPr>
            </w:pPr>
            <w:bookmarkStart w:id="26" w:name="OLE_LINK21"/>
            <w:r>
              <w:rPr>
                <w:rFonts w:ascii="Times New Roman" w:hAnsi="Times New Roman" w:cs="Times New Roman"/>
                <w:sz w:val="18"/>
                <w:szCs w:val="18"/>
              </w:rPr>
              <w:t>EEG</w:t>
            </w:r>
            <w:r>
              <w:rPr>
                <w:rFonts w:ascii="Times New Roman" w:hAnsi="Times New Roman" w:cs="Times New Roman" w:hint="eastAsia"/>
                <w:sz w:val="18"/>
                <w:szCs w:val="18"/>
              </w:rPr>
              <w:t xml:space="preserve"> </w:t>
            </w:r>
            <w:r>
              <w:rPr>
                <w:rFonts w:ascii="Times New Roman" w:hAnsi="Times New Roman" w:cs="Times New Roman"/>
                <w:sz w:val="18"/>
                <w:szCs w:val="18"/>
              </w:rPr>
              <w:t>band Classification</w:t>
            </w:r>
          </w:p>
        </w:tc>
        <w:tc>
          <w:tcPr>
            <w:tcW w:w="698" w:type="pct"/>
            <w:vMerge w:val="restart"/>
            <w:tcBorders>
              <w:top w:val="single" w:sz="12" w:space="0" w:color="auto"/>
            </w:tcBorders>
            <w:vAlign w:val="center"/>
          </w:tcPr>
          <w:p w14:paraId="23025D9D"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Personality Trait Classification</w:t>
            </w:r>
          </w:p>
        </w:tc>
        <w:tc>
          <w:tcPr>
            <w:tcW w:w="465" w:type="pct"/>
            <w:vMerge w:val="restart"/>
            <w:tcBorders>
              <w:top w:val="single" w:sz="12" w:space="0" w:color="auto"/>
            </w:tcBorders>
            <w:vAlign w:val="center"/>
          </w:tcPr>
          <w:p w14:paraId="2CCE151F"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Number of subjects</w:t>
            </w:r>
          </w:p>
        </w:tc>
        <w:tc>
          <w:tcPr>
            <w:tcW w:w="326" w:type="pct"/>
            <w:vMerge w:val="restart"/>
            <w:tcBorders>
              <w:top w:val="single" w:sz="12" w:space="0" w:color="auto"/>
            </w:tcBorders>
            <w:vAlign w:val="center"/>
          </w:tcPr>
          <w:p w14:paraId="790D1A41"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Mean</w:t>
            </w:r>
          </w:p>
        </w:tc>
        <w:tc>
          <w:tcPr>
            <w:tcW w:w="491" w:type="pct"/>
            <w:vMerge w:val="restart"/>
            <w:tcBorders>
              <w:top w:val="single" w:sz="12" w:space="0" w:color="auto"/>
            </w:tcBorders>
            <w:vAlign w:val="center"/>
          </w:tcPr>
          <w:p w14:paraId="06B52135"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Standard deviation</w:t>
            </w:r>
          </w:p>
        </w:tc>
        <w:tc>
          <w:tcPr>
            <w:tcW w:w="485" w:type="pct"/>
            <w:vMerge w:val="restart"/>
            <w:tcBorders>
              <w:top w:val="single" w:sz="12" w:space="0" w:color="auto"/>
            </w:tcBorders>
            <w:vAlign w:val="center"/>
          </w:tcPr>
          <w:p w14:paraId="6DC7AFD0"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 xml:space="preserve">Standard </w:t>
            </w:r>
            <w:proofErr w:type="spellStart"/>
            <w:r>
              <w:rPr>
                <w:rFonts w:ascii="Times New Roman" w:hAnsi="Times New Roman" w:cs="Times New Roman"/>
                <w:sz w:val="18"/>
                <w:szCs w:val="18"/>
              </w:rPr>
              <w:t>eror</w:t>
            </w:r>
            <w:proofErr w:type="spellEnd"/>
            <w:r>
              <w:rPr>
                <w:rFonts w:ascii="Times New Roman" w:hAnsi="Times New Roman" w:cs="Times New Roman"/>
                <w:sz w:val="18"/>
                <w:szCs w:val="18"/>
              </w:rPr>
              <w:t xml:space="preserve"> mean</w:t>
            </w:r>
          </w:p>
        </w:tc>
        <w:tc>
          <w:tcPr>
            <w:tcW w:w="326" w:type="pct"/>
            <w:vMerge w:val="restart"/>
            <w:tcBorders>
              <w:top w:val="single" w:sz="12" w:space="0" w:color="auto"/>
            </w:tcBorders>
            <w:vAlign w:val="center"/>
          </w:tcPr>
          <w:p w14:paraId="20B0BC4B"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t</w:t>
            </w:r>
          </w:p>
        </w:tc>
        <w:tc>
          <w:tcPr>
            <w:tcW w:w="341" w:type="pct"/>
            <w:vMerge w:val="restart"/>
            <w:tcBorders>
              <w:top w:val="single" w:sz="12" w:space="0" w:color="auto"/>
            </w:tcBorders>
            <w:vAlign w:val="center"/>
          </w:tcPr>
          <w:p w14:paraId="37345B4B"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p</w:t>
            </w:r>
          </w:p>
        </w:tc>
        <w:tc>
          <w:tcPr>
            <w:tcW w:w="837" w:type="pct"/>
            <w:gridSpan w:val="2"/>
            <w:tcBorders>
              <w:top w:val="single" w:sz="12" w:space="0" w:color="auto"/>
              <w:bottom w:val="single" w:sz="8" w:space="0" w:color="auto"/>
            </w:tcBorders>
            <w:shd w:val="clear" w:color="auto" w:fill="FFFFFF"/>
            <w:vAlign w:val="center"/>
          </w:tcPr>
          <w:p w14:paraId="6E9F221D"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95% Confidence interval of the difference</w:t>
            </w:r>
          </w:p>
        </w:tc>
        <w:tc>
          <w:tcPr>
            <w:tcW w:w="372" w:type="pct"/>
            <w:vMerge w:val="restart"/>
            <w:tcBorders>
              <w:top w:val="single" w:sz="12" w:space="0" w:color="auto"/>
            </w:tcBorders>
            <w:vAlign w:val="center"/>
          </w:tcPr>
          <w:p w14:paraId="69EC9284" w14:textId="77777777" w:rsidR="00907DC0" w:rsidRDefault="00000000">
            <w:pPr>
              <w:tabs>
                <w:tab w:val="left" w:pos="0"/>
              </w:tabs>
              <w:spacing w:line="340" w:lineRule="exact"/>
              <w:jc w:val="center"/>
              <w:rPr>
                <w:rFonts w:ascii="Times New Roman" w:hAnsi="Times New Roman" w:cs="Times New Roman"/>
                <w:sz w:val="18"/>
                <w:szCs w:val="18"/>
              </w:rPr>
            </w:pPr>
            <w:proofErr w:type="spellStart"/>
            <w:r>
              <w:rPr>
                <w:rFonts w:ascii="Times New Roman" w:hAnsi="Times New Roman" w:cs="Times New Roman"/>
                <w:sz w:val="18"/>
                <w:szCs w:val="18"/>
              </w:rPr>
              <w:t>dCohen</w:t>
            </w:r>
            <w:proofErr w:type="spellEnd"/>
          </w:p>
        </w:tc>
      </w:tr>
      <w:tr w:rsidR="00907DC0" w14:paraId="731ADEE3" w14:textId="77777777">
        <w:trPr>
          <w:trHeight w:val="340"/>
          <w:jc w:val="center"/>
        </w:trPr>
        <w:tc>
          <w:tcPr>
            <w:tcW w:w="654" w:type="pct"/>
            <w:vMerge/>
            <w:tcBorders>
              <w:bottom w:val="single" w:sz="8" w:space="0" w:color="auto"/>
            </w:tcBorders>
          </w:tcPr>
          <w:p w14:paraId="12626F28"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698" w:type="pct"/>
            <w:vMerge/>
            <w:tcBorders>
              <w:bottom w:val="single" w:sz="8" w:space="0" w:color="auto"/>
            </w:tcBorders>
          </w:tcPr>
          <w:p w14:paraId="654F13FE"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465" w:type="pct"/>
            <w:vMerge/>
            <w:tcBorders>
              <w:bottom w:val="single" w:sz="8" w:space="0" w:color="auto"/>
            </w:tcBorders>
          </w:tcPr>
          <w:p w14:paraId="25BED589"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326" w:type="pct"/>
            <w:vMerge/>
            <w:tcBorders>
              <w:bottom w:val="single" w:sz="8" w:space="0" w:color="auto"/>
            </w:tcBorders>
          </w:tcPr>
          <w:p w14:paraId="2512AF94"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491" w:type="pct"/>
            <w:vMerge/>
            <w:tcBorders>
              <w:bottom w:val="single" w:sz="8" w:space="0" w:color="auto"/>
            </w:tcBorders>
          </w:tcPr>
          <w:p w14:paraId="58E68D31"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485" w:type="pct"/>
            <w:vMerge/>
            <w:tcBorders>
              <w:bottom w:val="single" w:sz="8" w:space="0" w:color="auto"/>
            </w:tcBorders>
          </w:tcPr>
          <w:p w14:paraId="1FC37522"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326" w:type="pct"/>
            <w:vMerge/>
            <w:tcBorders>
              <w:bottom w:val="single" w:sz="8" w:space="0" w:color="auto"/>
            </w:tcBorders>
          </w:tcPr>
          <w:p w14:paraId="28715525"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341" w:type="pct"/>
            <w:vMerge/>
            <w:tcBorders>
              <w:bottom w:val="single" w:sz="8" w:space="0" w:color="auto"/>
            </w:tcBorders>
          </w:tcPr>
          <w:p w14:paraId="1EDC4456" w14:textId="77777777" w:rsidR="00907DC0" w:rsidRDefault="00907DC0">
            <w:pPr>
              <w:tabs>
                <w:tab w:val="left" w:pos="0"/>
              </w:tabs>
              <w:spacing w:line="340" w:lineRule="exact"/>
              <w:jc w:val="center"/>
              <w:rPr>
                <w:rFonts w:ascii="Times New Roman" w:hAnsi="Times New Roman" w:cs="Times New Roman"/>
                <w:b/>
                <w:bCs/>
                <w:sz w:val="18"/>
                <w:szCs w:val="18"/>
              </w:rPr>
            </w:pPr>
          </w:p>
        </w:tc>
        <w:tc>
          <w:tcPr>
            <w:tcW w:w="420" w:type="pct"/>
            <w:tcBorders>
              <w:top w:val="single" w:sz="8" w:space="0" w:color="auto"/>
              <w:bottom w:val="single" w:sz="8" w:space="0" w:color="auto"/>
            </w:tcBorders>
            <w:shd w:val="clear" w:color="auto" w:fill="FFFFFF"/>
            <w:vAlign w:val="center"/>
          </w:tcPr>
          <w:p w14:paraId="03364D32"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Lower</w:t>
            </w:r>
          </w:p>
        </w:tc>
        <w:tc>
          <w:tcPr>
            <w:tcW w:w="417" w:type="pct"/>
            <w:tcBorders>
              <w:top w:val="single" w:sz="8" w:space="0" w:color="auto"/>
              <w:bottom w:val="single" w:sz="8" w:space="0" w:color="auto"/>
            </w:tcBorders>
            <w:shd w:val="clear" w:color="auto" w:fill="FFFFFF"/>
            <w:vAlign w:val="center"/>
          </w:tcPr>
          <w:p w14:paraId="553C223F"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Upper</w:t>
            </w:r>
          </w:p>
        </w:tc>
        <w:tc>
          <w:tcPr>
            <w:tcW w:w="372" w:type="pct"/>
            <w:vMerge/>
            <w:tcBorders>
              <w:bottom w:val="single" w:sz="8" w:space="0" w:color="auto"/>
            </w:tcBorders>
          </w:tcPr>
          <w:p w14:paraId="7EFAB5BC" w14:textId="77777777" w:rsidR="00907DC0" w:rsidRDefault="00907DC0">
            <w:pPr>
              <w:tabs>
                <w:tab w:val="left" w:pos="0"/>
              </w:tabs>
              <w:spacing w:line="340" w:lineRule="exact"/>
              <w:jc w:val="center"/>
              <w:rPr>
                <w:rFonts w:ascii="Times New Roman" w:hAnsi="Times New Roman" w:cs="Times New Roman"/>
                <w:b/>
                <w:bCs/>
                <w:sz w:val="18"/>
                <w:szCs w:val="18"/>
              </w:rPr>
            </w:pPr>
          </w:p>
        </w:tc>
      </w:tr>
      <w:tr w:rsidR="00907DC0" w14:paraId="17AD57C2" w14:textId="77777777">
        <w:trPr>
          <w:trHeight w:val="90"/>
          <w:jc w:val="center"/>
        </w:trPr>
        <w:tc>
          <w:tcPr>
            <w:tcW w:w="654" w:type="pct"/>
            <w:tcBorders>
              <w:top w:val="single" w:sz="8" w:space="0" w:color="auto"/>
            </w:tcBorders>
          </w:tcPr>
          <w:p w14:paraId="68E59263"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θ-band</w:t>
            </w:r>
          </w:p>
        </w:tc>
        <w:tc>
          <w:tcPr>
            <w:tcW w:w="698" w:type="pct"/>
            <w:tcBorders>
              <w:top w:val="single" w:sz="8" w:space="0" w:color="auto"/>
            </w:tcBorders>
          </w:tcPr>
          <w:p w14:paraId="4A2DDDC5"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LEN</w:t>
            </w:r>
          </w:p>
        </w:tc>
        <w:tc>
          <w:tcPr>
            <w:tcW w:w="465" w:type="pct"/>
            <w:tcBorders>
              <w:top w:val="single" w:sz="8" w:space="0" w:color="auto"/>
            </w:tcBorders>
          </w:tcPr>
          <w:p w14:paraId="5CA1A76E"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9</w:t>
            </w:r>
          </w:p>
        </w:tc>
        <w:tc>
          <w:tcPr>
            <w:tcW w:w="326" w:type="pct"/>
            <w:tcBorders>
              <w:top w:val="single" w:sz="8" w:space="0" w:color="auto"/>
            </w:tcBorders>
          </w:tcPr>
          <w:p w14:paraId="40A11122"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-0.040</w:t>
            </w:r>
          </w:p>
        </w:tc>
        <w:tc>
          <w:tcPr>
            <w:tcW w:w="491" w:type="pct"/>
            <w:tcBorders>
              <w:top w:val="single" w:sz="8" w:space="0" w:color="auto"/>
            </w:tcBorders>
          </w:tcPr>
          <w:p w14:paraId="7E1B2DF3"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0.036</w:t>
            </w:r>
          </w:p>
        </w:tc>
        <w:tc>
          <w:tcPr>
            <w:tcW w:w="485" w:type="pct"/>
            <w:tcBorders>
              <w:top w:val="single" w:sz="8" w:space="0" w:color="auto"/>
            </w:tcBorders>
            <w:vAlign w:val="bottom"/>
          </w:tcPr>
          <w:p w14:paraId="73BEB2FE"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0.012</w:t>
            </w:r>
          </w:p>
        </w:tc>
        <w:tc>
          <w:tcPr>
            <w:tcW w:w="326" w:type="pct"/>
            <w:tcBorders>
              <w:top w:val="single" w:sz="8" w:space="0" w:color="auto"/>
            </w:tcBorders>
            <w:vAlign w:val="bottom"/>
          </w:tcPr>
          <w:p w14:paraId="75E5B3E1"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-3.361</w:t>
            </w:r>
          </w:p>
        </w:tc>
        <w:tc>
          <w:tcPr>
            <w:tcW w:w="341" w:type="pct"/>
            <w:tcBorders>
              <w:top w:val="single" w:sz="8" w:space="0" w:color="auto"/>
            </w:tcBorders>
            <w:vAlign w:val="bottom"/>
          </w:tcPr>
          <w:p w14:paraId="0832B774"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0.010</w:t>
            </w:r>
            <w:r>
              <w:rPr>
                <w:rFonts w:ascii="Times New Roman" w:eastAsia="SimSun" w:hAnsi="Times New Roman" w:cs="Times New Roman"/>
                <w:sz w:val="18"/>
                <w:szCs w:val="18"/>
              </w:rPr>
              <w:t>*</w:t>
            </w:r>
          </w:p>
        </w:tc>
        <w:tc>
          <w:tcPr>
            <w:tcW w:w="420" w:type="pct"/>
            <w:tcBorders>
              <w:top w:val="single" w:sz="8" w:space="0" w:color="auto"/>
            </w:tcBorders>
          </w:tcPr>
          <w:p w14:paraId="1CB4823C"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-0.067</w:t>
            </w:r>
          </w:p>
        </w:tc>
        <w:tc>
          <w:tcPr>
            <w:tcW w:w="417" w:type="pct"/>
            <w:tcBorders>
              <w:top w:val="single" w:sz="8" w:space="0" w:color="auto"/>
            </w:tcBorders>
          </w:tcPr>
          <w:p w14:paraId="53F4E7E6"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-0.013</w:t>
            </w:r>
          </w:p>
        </w:tc>
        <w:tc>
          <w:tcPr>
            <w:tcW w:w="372" w:type="pct"/>
            <w:tcBorders>
              <w:top w:val="single" w:sz="8" w:space="0" w:color="auto"/>
            </w:tcBorders>
          </w:tcPr>
          <w:p w14:paraId="757153EB"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1.120</w:t>
            </w:r>
          </w:p>
        </w:tc>
      </w:tr>
      <w:tr w:rsidR="00907DC0" w14:paraId="289ED9DB" w14:textId="77777777">
        <w:trPr>
          <w:trHeight w:val="340"/>
          <w:jc w:val="center"/>
        </w:trPr>
        <w:tc>
          <w:tcPr>
            <w:tcW w:w="654" w:type="pct"/>
          </w:tcPr>
          <w:p w14:paraId="700C6AD7"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θ</w:t>
            </w:r>
            <w:bookmarkStart w:id="27" w:name="OLE_LINK14"/>
            <w:r>
              <w:rPr>
                <w:rFonts w:ascii="Times New Roman" w:hAnsi="Times New Roman" w:cs="Times New Roman"/>
                <w:sz w:val="18"/>
                <w:szCs w:val="18"/>
              </w:rPr>
              <w:t>-band</w:t>
            </w:r>
            <w:bookmarkEnd w:id="27"/>
          </w:p>
        </w:tc>
        <w:tc>
          <w:tcPr>
            <w:tcW w:w="698" w:type="pct"/>
          </w:tcPr>
          <w:p w14:paraId="276BB13E"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HEN</w:t>
            </w:r>
          </w:p>
        </w:tc>
        <w:tc>
          <w:tcPr>
            <w:tcW w:w="465" w:type="pct"/>
          </w:tcPr>
          <w:p w14:paraId="697B6A2B"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19</w:t>
            </w:r>
          </w:p>
        </w:tc>
        <w:tc>
          <w:tcPr>
            <w:tcW w:w="326" w:type="pct"/>
          </w:tcPr>
          <w:p w14:paraId="3EA4DADF"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0.029</w:t>
            </w:r>
          </w:p>
        </w:tc>
        <w:tc>
          <w:tcPr>
            <w:tcW w:w="491" w:type="pct"/>
          </w:tcPr>
          <w:p w14:paraId="556D8264"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0.058</w:t>
            </w:r>
          </w:p>
        </w:tc>
        <w:tc>
          <w:tcPr>
            <w:tcW w:w="485" w:type="pct"/>
            <w:vAlign w:val="bottom"/>
          </w:tcPr>
          <w:p w14:paraId="653006F3"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0.013</w:t>
            </w:r>
          </w:p>
        </w:tc>
        <w:tc>
          <w:tcPr>
            <w:tcW w:w="326" w:type="pct"/>
            <w:vAlign w:val="bottom"/>
          </w:tcPr>
          <w:p w14:paraId="7E878332"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2.179</w:t>
            </w:r>
          </w:p>
        </w:tc>
        <w:tc>
          <w:tcPr>
            <w:tcW w:w="341" w:type="pct"/>
            <w:vAlign w:val="bottom"/>
          </w:tcPr>
          <w:p w14:paraId="2FC11D16"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0.043</w:t>
            </w:r>
            <w:r>
              <w:rPr>
                <w:rFonts w:ascii="Times New Roman" w:eastAsia="SimSun" w:hAnsi="Times New Roman" w:cs="Times New Roman"/>
                <w:sz w:val="18"/>
                <w:szCs w:val="18"/>
              </w:rPr>
              <w:t>*</w:t>
            </w:r>
          </w:p>
        </w:tc>
        <w:tc>
          <w:tcPr>
            <w:tcW w:w="420" w:type="pct"/>
          </w:tcPr>
          <w:p w14:paraId="1E859BA7"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0.001</w:t>
            </w:r>
          </w:p>
        </w:tc>
        <w:tc>
          <w:tcPr>
            <w:tcW w:w="417" w:type="pct"/>
          </w:tcPr>
          <w:p w14:paraId="06B11429"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0.057</w:t>
            </w:r>
          </w:p>
        </w:tc>
        <w:tc>
          <w:tcPr>
            <w:tcW w:w="372" w:type="pct"/>
          </w:tcPr>
          <w:p w14:paraId="525F2F1A"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0.500</w:t>
            </w:r>
          </w:p>
        </w:tc>
      </w:tr>
      <w:tr w:rsidR="00907DC0" w14:paraId="43E2242D" w14:textId="77777777">
        <w:trPr>
          <w:trHeight w:val="350"/>
          <w:jc w:val="center"/>
        </w:trPr>
        <w:tc>
          <w:tcPr>
            <w:tcW w:w="654" w:type="pct"/>
          </w:tcPr>
          <w:p w14:paraId="71185F20"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α-band</w:t>
            </w:r>
          </w:p>
        </w:tc>
        <w:tc>
          <w:tcPr>
            <w:tcW w:w="698" w:type="pct"/>
          </w:tcPr>
          <w:p w14:paraId="4F065426"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LEN</w:t>
            </w:r>
          </w:p>
        </w:tc>
        <w:tc>
          <w:tcPr>
            <w:tcW w:w="465" w:type="pct"/>
          </w:tcPr>
          <w:p w14:paraId="40D703A8"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9</w:t>
            </w:r>
          </w:p>
        </w:tc>
        <w:tc>
          <w:tcPr>
            <w:tcW w:w="326" w:type="pct"/>
            <w:shd w:val="clear" w:color="auto" w:fill="F9F9FB"/>
          </w:tcPr>
          <w:p w14:paraId="13B4134F"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0.013</w:t>
            </w:r>
          </w:p>
        </w:tc>
        <w:tc>
          <w:tcPr>
            <w:tcW w:w="491" w:type="pct"/>
            <w:shd w:val="clear" w:color="auto" w:fill="F9F9FB"/>
          </w:tcPr>
          <w:p w14:paraId="7E5577EA"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0.013</w:t>
            </w:r>
          </w:p>
        </w:tc>
        <w:tc>
          <w:tcPr>
            <w:tcW w:w="485" w:type="pct"/>
            <w:shd w:val="clear" w:color="auto" w:fill="F9F9FB"/>
          </w:tcPr>
          <w:p w14:paraId="2FE65162"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0.004</w:t>
            </w:r>
          </w:p>
        </w:tc>
        <w:tc>
          <w:tcPr>
            <w:tcW w:w="326" w:type="pct"/>
            <w:shd w:val="clear" w:color="auto" w:fill="F9F9FB"/>
          </w:tcPr>
          <w:p w14:paraId="31CCDC5E"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3.024</w:t>
            </w:r>
          </w:p>
        </w:tc>
        <w:tc>
          <w:tcPr>
            <w:tcW w:w="341" w:type="pct"/>
            <w:shd w:val="clear" w:color="auto" w:fill="F9F9FB"/>
          </w:tcPr>
          <w:p w14:paraId="1B2ECBBB"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0.016</w:t>
            </w:r>
            <w:r>
              <w:rPr>
                <w:rFonts w:ascii="Times New Roman" w:eastAsia="SimSun" w:hAnsi="Times New Roman" w:cs="Times New Roman"/>
                <w:sz w:val="18"/>
                <w:szCs w:val="18"/>
              </w:rPr>
              <w:t>*</w:t>
            </w:r>
          </w:p>
        </w:tc>
        <w:tc>
          <w:tcPr>
            <w:tcW w:w="420" w:type="pct"/>
            <w:shd w:val="clear" w:color="auto" w:fill="F9F9FB"/>
          </w:tcPr>
          <w:p w14:paraId="6D4A86A5"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0.003</w:t>
            </w:r>
          </w:p>
        </w:tc>
        <w:tc>
          <w:tcPr>
            <w:tcW w:w="417" w:type="pct"/>
            <w:shd w:val="clear" w:color="auto" w:fill="F9F9FB"/>
          </w:tcPr>
          <w:p w14:paraId="5F1C4D3E"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0.026</w:t>
            </w:r>
          </w:p>
        </w:tc>
        <w:tc>
          <w:tcPr>
            <w:tcW w:w="372" w:type="pct"/>
          </w:tcPr>
          <w:p w14:paraId="5BCC338A"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1.008</w:t>
            </w:r>
          </w:p>
        </w:tc>
      </w:tr>
      <w:tr w:rsidR="00907DC0" w14:paraId="5F507A1A" w14:textId="77777777">
        <w:trPr>
          <w:trHeight w:val="340"/>
          <w:jc w:val="center"/>
        </w:trPr>
        <w:tc>
          <w:tcPr>
            <w:tcW w:w="654" w:type="pct"/>
          </w:tcPr>
          <w:p w14:paraId="5592B387"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α-band</w:t>
            </w:r>
          </w:p>
        </w:tc>
        <w:tc>
          <w:tcPr>
            <w:tcW w:w="698" w:type="pct"/>
          </w:tcPr>
          <w:p w14:paraId="77FE326F"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HEN</w:t>
            </w:r>
          </w:p>
        </w:tc>
        <w:tc>
          <w:tcPr>
            <w:tcW w:w="465" w:type="pct"/>
          </w:tcPr>
          <w:p w14:paraId="6DE1B7D8"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19</w:t>
            </w:r>
          </w:p>
        </w:tc>
        <w:tc>
          <w:tcPr>
            <w:tcW w:w="326" w:type="pct"/>
            <w:shd w:val="clear" w:color="auto" w:fill="F9F9FB"/>
          </w:tcPr>
          <w:p w14:paraId="0756CC7D"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-0.010</w:t>
            </w:r>
          </w:p>
        </w:tc>
        <w:tc>
          <w:tcPr>
            <w:tcW w:w="491" w:type="pct"/>
            <w:shd w:val="clear" w:color="auto" w:fill="F9F9FB"/>
          </w:tcPr>
          <w:p w14:paraId="27EF83FF"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0.030</w:t>
            </w:r>
          </w:p>
        </w:tc>
        <w:tc>
          <w:tcPr>
            <w:tcW w:w="485" w:type="pct"/>
            <w:shd w:val="clear" w:color="auto" w:fill="F9F9FB"/>
          </w:tcPr>
          <w:p w14:paraId="2AA78409"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0.007</w:t>
            </w:r>
          </w:p>
        </w:tc>
        <w:tc>
          <w:tcPr>
            <w:tcW w:w="326" w:type="pct"/>
            <w:shd w:val="clear" w:color="auto" w:fill="F9F9FB"/>
          </w:tcPr>
          <w:p w14:paraId="77812229"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-1.435</w:t>
            </w:r>
          </w:p>
        </w:tc>
        <w:tc>
          <w:tcPr>
            <w:tcW w:w="341" w:type="pct"/>
            <w:shd w:val="clear" w:color="auto" w:fill="F9F9FB"/>
          </w:tcPr>
          <w:p w14:paraId="30087761"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0.168</w:t>
            </w:r>
          </w:p>
        </w:tc>
        <w:tc>
          <w:tcPr>
            <w:tcW w:w="420" w:type="pct"/>
            <w:shd w:val="clear" w:color="auto" w:fill="F9F9FB"/>
          </w:tcPr>
          <w:p w14:paraId="4FD8A113"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-0.025</w:t>
            </w:r>
          </w:p>
        </w:tc>
        <w:tc>
          <w:tcPr>
            <w:tcW w:w="417" w:type="pct"/>
            <w:shd w:val="clear" w:color="auto" w:fill="F9F9FB"/>
          </w:tcPr>
          <w:p w14:paraId="44A831C4"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0.005</w:t>
            </w:r>
          </w:p>
        </w:tc>
        <w:tc>
          <w:tcPr>
            <w:tcW w:w="372" w:type="pct"/>
          </w:tcPr>
          <w:p w14:paraId="0389FA35"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-0.329</w:t>
            </w:r>
          </w:p>
        </w:tc>
      </w:tr>
      <w:tr w:rsidR="00907DC0" w14:paraId="62C1CFFD" w14:textId="77777777">
        <w:trPr>
          <w:trHeight w:val="340"/>
          <w:jc w:val="center"/>
        </w:trPr>
        <w:tc>
          <w:tcPr>
            <w:tcW w:w="654" w:type="pct"/>
          </w:tcPr>
          <w:p w14:paraId="2D690FCA"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β-band</w:t>
            </w:r>
          </w:p>
        </w:tc>
        <w:tc>
          <w:tcPr>
            <w:tcW w:w="698" w:type="pct"/>
          </w:tcPr>
          <w:p w14:paraId="328F71C7"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LEN</w:t>
            </w:r>
          </w:p>
        </w:tc>
        <w:tc>
          <w:tcPr>
            <w:tcW w:w="465" w:type="pct"/>
          </w:tcPr>
          <w:p w14:paraId="440CBE61"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9</w:t>
            </w:r>
          </w:p>
        </w:tc>
        <w:tc>
          <w:tcPr>
            <w:tcW w:w="326" w:type="pct"/>
            <w:shd w:val="clear" w:color="auto" w:fill="F9F9FB"/>
          </w:tcPr>
          <w:p w14:paraId="37F055F9"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0.013</w:t>
            </w:r>
          </w:p>
        </w:tc>
        <w:tc>
          <w:tcPr>
            <w:tcW w:w="491" w:type="pct"/>
            <w:shd w:val="clear" w:color="auto" w:fill="F9F9FB"/>
          </w:tcPr>
          <w:p w14:paraId="1A1EF6EB"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0.031</w:t>
            </w:r>
          </w:p>
        </w:tc>
        <w:tc>
          <w:tcPr>
            <w:tcW w:w="485" w:type="pct"/>
            <w:shd w:val="clear" w:color="auto" w:fill="F9F9FB"/>
          </w:tcPr>
          <w:p w14:paraId="30F35776"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0.010</w:t>
            </w:r>
          </w:p>
        </w:tc>
        <w:tc>
          <w:tcPr>
            <w:tcW w:w="326" w:type="pct"/>
            <w:shd w:val="clear" w:color="auto" w:fill="F9F9FB"/>
          </w:tcPr>
          <w:p w14:paraId="026F054A"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1.298</w:t>
            </w:r>
          </w:p>
        </w:tc>
        <w:tc>
          <w:tcPr>
            <w:tcW w:w="341" w:type="pct"/>
            <w:shd w:val="clear" w:color="auto" w:fill="F9F9FB"/>
          </w:tcPr>
          <w:p w14:paraId="782A9CEE"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0.231</w:t>
            </w:r>
          </w:p>
        </w:tc>
        <w:tc>
          <w:tcPr>
            <w:tcW w:w="420" w:type="pct"/>
            <w:shd w:val="clear" w:color="auto" w:fill="F9F9FB"/>
          </w:tcPr>
          <w:p w14:paraId="15D34762"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-0.010</w:t>
            </w:r>
          </w:p>
        </w:tc>
        <w:tc>
          <w:tcPr>
            <w:tcW w:w="417" w:type="pct"/>
            <w:shd w:val="clear" w:color="auto" w:fill="F9F9FB"/>
          </w:tcPr>
          <w:p w14:paraId="65663AD0"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0.037</w:t>
            </w:r>
          </w:p>
        </w:tc>
        <w:tc>
          <w:tcPr>
            <w:tcW w:w="372" w:type="pct"/>
          </w:tcPr>
          <w:p w14:paraId="1DEB30F4"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0.433</w:t>
            </w:r>
          </w:p>
        </w:tc>
      </w:tr>
      <w:tr w:rsidR="00907DC0" w14:paraId="3E899E29" w14:textId="77777777">
        <w:trPr>
          <w:trHeight w:val="340"/>
          <w:jc w:val="center"/>
        </w:trPr>
        <w:tc>
          <w:tcPr>
            <w:tcW w:w="654" w:type="pct"/>
            <w:tcBorders>
              <w:bottom w:val="single" w:sz="12" w:space="0" w:color="auto"/>
            </w:tcBorders>
          </w:tcPr>
          <w:p w14:paraId="40550476"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β-band</w:t>
            </w:r>
          </w:p>
        </w:tc>
        <w:tc>
          <w:tcPr>
            <w:tcW w:w="698" w:type="pct"/>
            <w:tcBorders>
              <w:bottom w:val="single" w:sz="12" w:space="0" w:color="auto"/>
            </w:tcBorders>
          </w:tcPr>
          <w:p w14:paraId="1898FDC2"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HEN</w:t>
            </w:r>
          </w:p>
        </w:tc>
        <w:tc>
          <w:tcPr>
            <w:tcW w:w="465" w:type="pct"/>
            <w:tcBorders>
              <w:bottom w:val="single" w:sz="12" w:space="0" w:color="auto"/>
            </w:tcBorders>
          </w:tcPr>
          <w:p w14:paraId="404BBB9E"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19</w:t>
            </w:r>
          </w:p>
        </w:tc>
        <w:tc>
          <w:tcPr>
            <w:tcW w:w="326" w:type="pct"/>
            <w:tcBorders>
              <w:bottom w:val="single" w:sz="12" w:space="0" w:color="auto"/>
            </w:tcBorders>
            <w:shd w:val="clear" w:color="auto" w:fill="F9F9FB"/>
          </w:tcPr>
          <w:p w14:paraId="34696275"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-0.018</w:t>
            </w:r>
          </w:p>
        </w:tc>
        <w:tc>
          <w:tcPr>
            <w:tcW w:w="491" w:type="pct"/>
            <w:tcBorders>
              <w:bottom w:val="single" w:sz="12" w:space="0" w:color="auto"/>
            </w:tcBorders>
            <w:shd w:val="clear" w:color="auto" w:fill="F9F9FB"/>
          </w:tcPr>
          <w:p w14:paraId="49F2F5F9"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0.062</w:t>
            </w:r>
          </w:p>
        </w:tc>
        <w:tc>
          <w:tcPr>
            <w:tcW w:w="485" w:type="pct"/>
            <w:tcBorders>
              <w:bottom w:val="single" w:sz="12" w:space="0" w:color="auto"/>
            </w:tcBorders>
            <w:shd w:val="clear" w:color="auto" w:fill="F9F9FB"/>
          </w:tcPr>
          <w:p w14:paraId="08D338A3"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0.014</w:t>
            </w:r>
          </w:p>
        </w:tc>
        <w:tc>
          <w:tcPr>
            <w:tcW w:w="326" w:type="pct"/>
            <w:tcBorders>
              <w:bottom w:val="single" w:sz="12" w:space="0" w:color="auto"/>
            </w:tcBorders>
            <w:shd w:val="clear" w:color="auto" w:fill="F9F9FB"/>
          </w:tcPr>
          <w:p w14:paraId="2A307D43"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-1.295</w:t>
            </w:r>
          </w:p>
        </w:tc>
        <w:tc>
          <w:tcPr>
            <w:tcW w:w="341" w:type="pct"/>
            <w:tcBorders>
              <w:bottom w:val="single" w:sz="12" w:space="0" w:color="auto"/>
            </w:tcBorders>
            <w:shd w:val="clear" w:color="auto" w:fill="F9F9FB"/>
          </w:tcPr>
          <w:p w14:paraId="21424816"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0.212</w:t>
            </w:r>
          </w:p>
        </w:tc>
        <w:tc>
          <w:tcPr>
            <w:tcW w:w="420" w:type="pct"/>
            <w:tcBorders>
              <w:bottom w:val="single" w:sz="12" w:space="0" w:color="auto"/>
            </w:tcBorders>
            <w:shd w:val="clear" w:color="auto" w:fill="F9F9FB"/>
          </w:tcPr>
          <w:p w14:paraId="06D4382E"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-0.048</w:t>
            </w:r>
          </w:p>
        </w:tc>
        <w:tc>
          <w:tcPr>
            <w:tcW w:w="417" w:type="pct"/>
            <w:tcBorders>
              <w:bottom w:val="single" w:sz="12" w:space="0" w:color="auto"/>
            </w:tcBorders>
            <w:shd w:val="clear" w:color="auto" w:fill="F9F9FB"/>
          </w:tcPr>
          <w:p w14:paraId="167BFB6E"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0.011</w:t>
            </w:r>
          </w:p>
        </w:tc>
        <w:tc>
          <w:tcPr>
            <w:tcW w:w="372" w:type="pct"/>
            <w:tcBorders>
              <w:bottom w:val="single" w:sz="12" w:space="0" w:color="auto"/>
            </w:tcBorders>
          </w:tcPr>
          <w:p w14:paraId="2D695FB6" w14:textId="77777777" w:rsidR="00907DC0" w:rsidRDefault="00000000">
            <w:pPr>
              <w:tabs>
                <w:tab w:val="left" w:pos="0"/>
              </w:tabs>
              <w:spacing w:line="340" w:lineRule="exact"/>
              <w:jc w:val="center"/>
              <w:rPr>
                <w:rFonts w:ascii="Times New Roman" w:hAnsi="Times New Roman" w:cs="Times New Roman"/>
                <w:sz w:val="18"/>
                <w:szCs w:val="18"/>
              </w:rPr>
            </w:pPr>
            <w:r>
              <w:rPr>
                <w:rFonts w:ascii="Times New Roman" w:hAnsi="Times New Roman" w:cs="Times New Roman"/>
                <w:sz w:val="18"/>
                <w:szCs w:val="18"/>
              </w:rPr>
              <w:t>-0.297</w:t>
            </w:r>
          </w:p>
        </w:tc>
      </w:tr>
      <w:tr w:rsidR="00907DC0" w14:paraId="5964E73C" w14:textId="77777777">
        <w:trPr>
          <w:trHeight w:val="340"/>
          <w:jc w:val="center"/>
        </w:trPr>
        <w:tc>
          <w:tcPr>
            <w:tcW w:w="5000" w:type="pct"/>
            <w:gridSpan w:val="11"/>
            <w:tcBorders>
              <w:top w:val="single" w:sz="12" w:space="0" w:color="auto"/>
              <w:bottom w:val="nil"/>
            </w:tcBorders>
          </w:tcPr>
          <w:p w14:paraId="40856AF4" w14:textId="77777777" w:rsidR="00907DC0" w:rsidRDefault="00000000">
            <w:pPr>
              <w:jc w:val="left"/>
              <w:rPr>
                <w:rFonts w:ascii="Times New Roman" w:hAnsi="Times New Roman" w:cs="Times New Roman"/>
                <w:sz w:val="18"/>
                <w:szCs w:val="18"/>
              </w:rPr>
            </w:pPr>
            <w:r>
              <w:rPr>
                <w:rFonts w:ascii="Times New Roman" w:eastAsia="SimSun" w:hAnsi="Times New Roman" w:cs="Times New Roman"/>
                <w:sz w:val="18"/>
                <w:szCs w:val="18"/>
              </w:rPr>
              <w:t>*. The correlation is significant at the 0.05 level (two-tailed).</w:t>
            </w:r>
          </w:p>
        </w:tc>
      </w:tr>
      <w:bookmarkEnd w:id="26"/>
    </w:tbl>
    <w:p w14:paraId="0F07C569" w14:textId="77777777" w:rsidR="00907DC0" w:rsidRDefault="00907DC0">
      <w:pPr>
        <w:rPr>
          <w:rFonts w:ascii="Times New Roman" w:hAnsi="Times New Roman" w:cs="Times New Roman"/>
          <w:sz w:val="22"/>
          <w:szCs w:val="28"/>
        </w:rPr>
      </w:pPr>
    </w:p>
    <w:tbl>
      <w:tblPr>
        <w:tblStyle w:val="TableGrid"/>
        <w:tblW w:w="4999" w:type="pct"/>
        <w:jc w:val="center"/>
        <w:tblLook w:val="04A0" w:firstRow="1" w:lastRow="0" w:firstColumn="1" w:lastColumn="0" w:noHBand="0" w:noVBand="1"/>
      </w:tblPr>
      <w:tblGrid>
        <w:gridCol w:w="3402"/>
        <w:gridCol w:w="3402"/>
        <w:gridCol w:w="3402"/>
      </w:tblGrid>
      <w:tr w:rsidR="00907DC0" w14:paraId="6818EB6C" w14:textId="77777777">
        <w:trPr>
          <w:trHeight w:val="2406"/>
          <w:jc w:val="center"/>
        </w:trPr>
        <w:tc>
          <w:tcPr>
            <w:tcW w:w="1591" w:type="pct"/>
            <w:tcBorders>
              <w:top w:val="nil"/>
              <w:left w:val="nil"/>
              <w:bottom w:val="nil"/>
              <w:right w:val="nil"/>
            </w:tcBorders>
          </w:tcPr>
          <w:p w14:paraId="382D141A" w14:textId="77777777" w:rsidR="00907DC0" w:rsidRDefault="00000000">
            <w:pPr>
              <w:rPr>
                <w:rFonts w:ascii="Times New Roman" w:hAnsi="Times New Roman" w:cs="Times New Roman"/>
                <w:sz w:val="20"/>
                <w:szCs w:val="20"/>
              </w:rPr>
            </w:pPr>
            <w:r>
              <w:rPr>
                <w:rFonts w:ascii="Times New Roman" w:hAnsi="Times New Roman" w:cs="Times New Roman"/>
                <w:noProof/>
                <w:sz w:val="20"/>
                <w:szCs w:val="20"/>
              </w:rPr>
              <w:drawing>
                <wp:inline distT="0" distB="0" distL="114300" distR="114300" wp14:anchorId="460DE5E8" wp14:editId="1E39D382">
                  <wp:extent cx="2160270" cy="1727835"/>
                  <wp:effectExtent l="0" t="0" r="11430" b="5715"/>
                  <wp:docPr id="22" name="图片 2"/>
                  <wp:cNvGraphicFramePr/>
                  <a:graphic xmlns:a="http://schemas.openxmlformats.org/drawingml/2006/main">
                    <a:graphicData uri="http://schemas.openxmlformats.org/drawingml/2006/picture">
                      <pic:pic xmlns:pic="http://schemas.openxmlformats.org/drawingml/2006/picture">
                        <pic:nvPicPr>
                          <pic:cNvPr id="22" name="图片 2"/>
                          <pic:cNvPicPr/>
                        </pic:nvPicPr>
                        <pic:blipFill>
                          <a:blip r:embed="rId23"/>
                          <a:srcRect l="2175" r="31154" b="45482"/>
                          <a:stretch>
                            <a:fillRect/>
                          </a:stretch>
                        </pic:blipFill>
                        <pic:spPr>
                          <a:xfrm>
                            <a:off x="0" y="0"/>
                            <a:ext cx="2160270" cy="1727835"/>
                          </a:xfrm>
                          <a:prstGeom prst="rect">
                            <a:avLst/>
                          </a:prstGeom>
                          <a:noFill/>
                          <a:ln>
                            <a:noFill/>
                          </a:ln>
                        </pic:spPr>
                      </pic:pic>
                    </a:graphicData>
                  </a:graphic>
                </wp:inline>
              </w:drawing>
            </w:r>
          </w:p>
        </w:tc>
        <w:tc>
          <w:tcPr>
            <w:tcW w:w="1654" w:type="pct"/>
            <w:tcBorders>
              <w:top w:val="nil"/>
              <w:left w:val="nil"/>
              <w:bottom w:val="nil"/>
              <w:right w:val="nil"/>
            </w:tcBorders>
          </w:tcPr>
          <w:p w14:paraId="346903CF" w14:textId="77777777" w:rsidR="00907DC0" w:rsidRDefault="00000000">
            <w:pPr>
              <w:rPr>
                <w:rFonts w:ascii="Times New Roman" w:hAnsi="Times New Roman" w:cs="Times New Roman"/>
                <w:sz w:val="20"/>
                <w:szCs w:val="20"/>
              </w:rPr>
            </w:pPr>
            <w:r>
              <w:rPr>
                <w:rFonts w:ascii="Times New Roman" w:hAnsi="Times New Roman" w:cs="Times New Roman"/>
                <w:noProof/>
                <w:sz w:val="20"/>
                <w:szCs w:val="20"/>
              </w:rPr>
              <w:drawing>
                <wp:inline distT="0" distB="0" distL="114300" distR="114300" wp14:anchorId="2B73D255" wp14:editId="1558D1E3">
                  <wp:extent cx="2160270" cy="1727835"/>
                  <wp:effectExtent l="0" t="0" r="11430" b="5715"/>
                  <wp:docPr id="23" name="图片 3"/>
                  <wp:cNvGraphicFramePr/>
                  <a:graphic xmlns:a="http://schemas.openxmlformats.org/drawingml/2006/main">
                    <a:graphicData uri="http://schemas.openxmlformats.org/drawingml/2006/picture">
                      <pic:pic xmlns:pic="http://schemas.openxmlformats.org/drawingml/2006/picture">
                        <pic:nvPicPr>
                          <pic:cNvPr id="23" name="图片 3"/>
                          <pic:cNvPicPr/>
                        </pic:nvPicPr>
                        <pic:blipFill>
                          <a:blip r:embed="rId24"/>
                          <a:srcRect l="2483" r="23072" b="12366"/>
                          <a:stretch>
                            <a:fillRect/>
                          </a:stretch>
                        </pic:blipFill>
                        <pic:spPr>
                          <a:xfrm>
                            <a:off x="0" y="0"/>
                            <a:ext cx="2160270" cy="1727835"/>
                          </a:xfrm>
                          <a:prstGeom prst="rect">
                            <a:avLst/>
                          </a:prstGeom>
                          <a:noFill/>
                          <a:ln>
                            <a:noFill/>
                          </a:ln>
                        </pic:spPr>
                      </pic:pic>
                    </a:graphicData>
                  </a:graphic>
                </wp:inline>
              </w:drawing>
            </w:r>
          </w:p>
        </w:tc>
        <w:tc>
          <w:tcPr>
            <w:tcW w:w="1754" w:type="pct"/>
            <w:tcBorders>
              <w:top w:val="nil"/>
              <w:left w:val="nil"/>
              <w:bottom w:val="nil"/>
              <w:right w:val="nil"/>
            </w:tcBorders>
          </w:tcPr>
          <w:p w14:paraId="3BC3F849" w14:textId="77777777" w:rsidR="00907DC0" w:rsidRDefault="00000000">
            <w:pPr>
              <w:rPr>
                <w:rFonts w:ascii="Times New Roman" w:hAnsi="Times New Roman" w:cs="Times New Roman"/>
                <w:sz w:val="20"/>
                <w:szCs w:val="20"/>
              </w:rPr>
            </w:pPr>
            <w:r>
              <w:rPr>
                <w:rFonts w:ascii="Times New Roman" w:hAnsi="Times New Roman" w:cs="Times New Roman"/>
                <w:noProof/>
                <w:sz w:val="20"/>
                <w:szCs w:val="20"/>
              </w:rPr>
              <w:drawing>
                <wp:inline distT="0" distB="0" distL="114300" distR="114300" wp14:anchorId="0B789E20" wp14:editId="2D56EEFE">
                  <wp:extent cx="2160270" cy="1727835"/>
                  <wp:effectExtent l="0" t="0" r="11430" b="5715"/>
                  <wp:docPr id="24" name="图片 4"/>
                  <wp:cNvGraphicFramePr/>
                  <a:graphic xmlns:a="http://schemas.openxmlformats.org/drawingml/2006/main">
                    <a:graphicData uri="http://schemas.openxmlformats.org/drawingml/2006/picture">
                      <pic:pic xmlns:pic="http://schemas.openxmlformats.org/drawingml/2006/picture">
                        <pic:nvPicPr>
                          <pic:cNvPr id="24" name="图片 4"/>
                          <pic:cNvPicPr/>
                        </pic:nvPicPr>
                        <pic:blipFill>
                          <a:blip r:embed="rId25"/>
                          <a:srcRect l="2216" r="22585" b="12580"/>
                          <a:stretch>
                            <a:fillRect/>
                          </a:stretch>
                        </pic:blipFill>
                        <pic:spPr>
                          <a:xfrm>
                            <a:off x="0" y="0"/>
                            <a:ext cx="2160270" cy="1727835"/>
                          </a:xfrm>
                          <a:prstGeom prst="rect">
                            <a:avLst/>
                          </a:prstGeom>
                          <a:noFill/>
                          <a:ln>
                            <a:noFill/>
                          </a:ln>
                        </pic:spPr>
                      </pic:pic>
                    </a:graphicData>
                  </a:graphic>
                </wp:inline>
              </w:drawing>
            </w:r>
          </w:p>
        </w:tc>
      </w:tr>
      <w:tr w:rsidR="00907DC0" w14:paraId="5B3DEB74" w14:textId="77777777">
        <w:trPr>
          <w:trHeight w:val="260"/>
          <w:jc w:val="center"/>
        </w:trPr>
        <w:tc>
          <w:tcPr>
            <w:tcW w:w="1591" w:type="pct"/>
            <w:tcBorders>
              <w:top w:val="nil"/>
              <w:left w:val="nil"/>
              <w:bottom w:val="nil"/>
              <w:right w:val="nil"/>
            </w:tcBorders>
            <w:shd w:val="clear" w:color="auto" w:fill="auto"/>
          </w:tcPr>
          <w:p w14:paraId="1F0C8573" w14:textId="77777777" w:rsidR="00907DC0" w:rsidRDefault="00000000">
            <w:pPr>
              <w:spacing w:line="240" w:lineRule="exact"/>
              <w:jc w:val="center"/>
              <w:rPr>
                <w:rFonts w:ascii="Times New Roman" w:hAnsi="Times New Roman" w:cs="Times New Roman"/>
                <w:sz w:val="18"/>
                <w:szCs w:val="18"/>
              </w:rPr>
            </w:pPr>
            <w:bookmarkStart w:id="28" w:name="Fig8"/>
            <w:r>
              <w:rPr>
                <w:rFonts w:ascii="Times New Roman" w:hAnsi="Times New Roman" w:cs="Times New Roman" w:hint="eastAsia"/>
                <w:sz w:val="18"/>
                <w:szCs w:val="18"/>
              </w:rPr>
              <w:t>a)</w:t>
            </w:r>
          </w:p>
        </w:tc>
        <w:tc>
          <w:tcPr>
            <w:tcW w:w="1654" w:type="pct"/>
            <w:tcBorders>
              <w:top w:val="nil"/>
              <w:left w:val="nil"/>
              <w:bottom w:val="nil"/>
              <w:right w:val="nil"/>
            </w:tcBorders>
            <w:shd w:val="clear" w:color="auto" w:fill="auto"/>
          </w:tcPr>
          <w:p w14:paraId="3E683FE1" w14:textId="77777777" w:rsidR="00907DC0" w:rsidRDefault="00000000">
            <w:pPr>
              <w:spacing w:line="240" w:lineRule="exact"/>
              <w:jc w:val="center"/>
              <w:rPr>
                <w:rFonts w:ascii="Times New Roman" w:hAnsi="Times New Roman" w:cs="Times New Roman"/>
                <w:sz w:val="18"/>
                <w:szCs w:val="18"/>
              </w:rPr>
            </w:pPr>
            <w:r>
              <w:rPr>
                <w:rFonts w:ascii="Times New Roman" w:hAnsi="Times New Roman" w:cs="Times New Roman" w:hint="eastAsia"/>
                <w:sz w:val="18"/>
                <w:szCs w:val="18"/>
              </w:rPr>
              <w:t>b)</w:t>
            </w:r>
          </w:p>
        </w:tc>
        <w:tc>
          <w:tcPr>
            <w:tcW w:w="1754" w:type="pct"/>
            <w:tcBorders>
              <w:top w:val="nil"/>
              <w:left w:val="nil"/>
              <w:bottom w:val="nil"/>
              <w:right w:val="nil"/>
            </w:tcBorders>
            <w:shd w:val="clear" w:color="auto" w:fill="auto"/>
          </w:tcPr>
          <w:p w14:paraId="40676FEF" w14:textId="77777777" w:rsidR="00907DC0" w:rsidRDefault="00000000">
            <w:pPr>
              <w:spacing w:line="240" w:lineRule="exact"/>
              <w:jc w:val="center"/>
              <w:rPr>
                <w:rFonts w:ascii="Times New Roman" w:hAnsi="Times New Roman" w:cs="Times New Roman"/>
                <w:sz w:val="18"/>
                <w:szCs w:val="18"/>
              </w:rPr>
            </w:pPr>
            <w:r>
              <w:rPr>
                <w:rFonts w:ascii="Times New Roman" w:hAnsi="Times New Roman" w:cs="Times New Roman" w:hint="eastAsia"/>
                <w:sz w:val="18"/>
                <w:szCs w:val="18"/>
              </w:rPr>
              <w:t>c)</w:t>
            </w:r>
          </w:p>
        </w:tc>
      </w:tr>
      <w:tr w:rsidR="00907DC0" w14:paraId="24C6B5EC" w14:textId="77777777">
        <w:trPr>
          <w:trHeight w:val="260"/>
          <w:jc w:val="center"/>
        </w:trPr>
        <w:tc>
          <w:tcPr>
            <w:tcW w:w="5000" w:type="pct"/>
            <w:gridSpan w:val="3"/>
            <w:tcBorders>
              <w:top w:val="nil"/>
              <w:left w:val="nil"/>
              <w:bottom w:val="nil"/>
              <w:right w:val="nil"/>
            </w:tcBorders>
            <w:shd w:val="clear" w:color="auto" w:fill="auto"/>
          </w:tcPr>
          <w:p w14:paraId="717EB3DA" w14:textId="77777777" w:rsidR="00907DC0" w:rsidRDefault="00000000">
            <w:pPr>
              <w:spacing w:line="240" w:lineRule="exact"/>
              <w:jc w:val="center"/>
              <w:rPr>
                <w:rFonts w:ascii="Times New Roman" w:hAnsi="Times New Roman" w:cs="Times New Roman"/>
                <w:sz w:val="18"/>
                <w:szCs w:val="18"/>
              </w:rPr>
            </w:pPr>
            <w:r>
              <w:rPr>
                <w:rFonts w:ascii="Times New Roman" w:eastAsia="Times New Roman" w:hAnsi="Times New Roman" w:cs="Times New Roman"/>
                <w:b/>
                <w:bCs/>
                <w:sz w:val="18"/>
                <w:szCs w:val="18"/>
              </w:rPr>
              <w:t>F</w:t>
            </w:r>
            <w:r>
              <w:rPr>
                <w:rFonts w:ascii="Times New Roman" w:eastAsia="SimSun" w:hAnsi="Times New Roman" w:cs="Times New Roman" w:hint="eastAsia"/>
                <w:b/>
                <w:bCs/>
                <w:sz w:val="18"/>
                <w:szCs w:val="18"/>
              </w:rPr>
              <w:t xml:space="preserve">IGURE </w:t>
            </w:r>
            <w:r>
              <w:rPr>
                <w:rFonts w:ascii="Times New Roman" w:eastAsia="Times New Roman" w:hAnsi="Times New Roman" w:cs="Times New Roman"/>
                <w:b/>
                <w:bCs/>
                <w:sz w:val="18"/>
                <w:szCs w:val="18"/>
              </w:rPr>
              <w:t>8</w:t>
            </w:r>
            <w:r>
              <w:rPr>
                <w:rFonts w:ascii="Times New Roman" w:eastAsia="Times New Roman" w:hAnsi="Times New Roman" w:cs="Times New Roman"/>
                <w:sz w:val="18"/>
                <w:szCs w:val="18"/>
              </w:rPr>
              <w:t xml:space="preserve"> Box plot of relative EEG power response. Distribution of </w:t>
            </w:r>
            <w:r>
              <w:rPr>
                <w:rFonts w:ascii="Times New Roman" w:eastAsia="SimSun" w:hAnsi="Times New Roman" w:cs="Times New Roman"/>
                <w:sz w:val="18"/>
                <w:szCs w:val="18"/>
              </w:rPr>
              <w:t>θ-band</w:t>
            </w:r>
            <w:r>
              <w:rPr>
                <w:rFonts w:ascii="Times New Roman" w:eastAsia="Times New Roman" w:hAnsi="Times New Roman" w:cs="Times New Roman"/>
                <w:sz w:val="18"/>
                <w:szCs w:val="18"/>
              </w:rPr>
              <w:t xml:space="preserve">, </w:t>
            </w:r>
            <w:r>
              <w:rPr>
                <w:rFonts w:ascii="Times New Roman" w:eastAsia="SimSun" w:hAnsi="Times New Roman" w:cs="Times New Roman"/>
                <w:sz w:val="18"/>
                <w:szCs w:val="18"/>
              </w:rPr>
              <w:t>α-band</w:t>
            </w:r>
            <w:r>
              <w:rPr>
                <w:rFonts w:ascii="Times New Roman" w:eastAsia="Times New Roman" w:hAnsi="Times New Roman" w:cs="Times New Roman"/>
                <w:sz w:val="18"/>
                <w:szCs w:val="18"/>
              </w:rPr>
              <w:t xml:space="preserve">, and </w:t>
            </w:r>
            <w:r>
              <w:rPr>
                <w:rFonts w:ascii="Times New Roman" w:eastAsia="SimSun" w:hAnsi="Times New Roman" w:cs="Times New Roman"/>
                <w:sz w:val="18"/>
                <w:szCs w:val="18"/>
              </w:rPr>
              <w:t>β-band</w:t>
            </w:r>
            <w:r>
              <w:rPr>
                <w:rFonts w:ascii="Times New Roman" w:eastAsia="Times New Roman" w:hAnsi="Times New Roman" w:cs="Times New Roman"/>
                <w:sz w:val="18"/>
                <w:szCs w:val="18"/>
              </w:rPr>
              <w:t xml:space="preserve"> in the two experimental groups based on different personality trait classifications.</w:t>
            </w:r>
          </w:p>
        </w:tc>
      </w:tr>
      <w:bookmarkEnd w:id="28"/>
    </w:tbl>
    <w:p w14:paraId="763DDECC" w14:textId="77777777" w:rsidR="00907DC0" w:rsidRDefault="00907DC0">
      <w:pPr>
        <w:spacing w:line="240" w:lineRule="exact"/>
        <w:ind w:firstLineChars="200" w:firstLine="400"/>
        <w:rPr>
          <w:rFonts w:ascii="Times New Roman" w:eastAsia="Times New Roman" w:hAnsi="Times New Roman" w:cs="Times New Roman"/>
          <w:sz w:val="20"/>
          <w:szCs w:val="20"/>
        </w:rPr>
        <w:sectPr w:rsidR="00907DC0">
          <w:type w:val="continuous"/>
          <w:pgSz w:w="11906" w:h="16838"/>
          <w:pgMar w:top="879" w:right="850" w:bottom="879" w:left="850" w:header="1247" w:footer="1247" w:gutter="0"/>
          <w:cols w:space="425"/>
          <w:docGrid w:type="lines" w:linePitch="312"/>
        </w:sectPr>
      </w:pPr>
    </w:p>
    <w:p w14:paraId="3E991D90"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To observe the EEG activity of participants with different personality traits more clearly, we investigated the </w:t>
      </w:r>
      <w:r>
        <w:rPr>
          <w:rFonts w:ascii="Times New Roman" w:eastAsia="Times New Roman" w:hAnsi="Times New Roman" w:cs="Times New Roman"/>
          <w:sz w:val="20"/>
          <w:szCs w:val="20"/>
        </w:rPr>
        <w:t xml:space="preserve">differences in brain activity response power and regions. We selected the average power scalp maps for the two groups on </w:t>
      </w:r>
      <w:r>
        <w:rPr>
          <w:rFonts w:ascii="Times New Roman" w:eastAsia="Times New Roman" w:hAnsi="Times New Roman" w:cs="Times New Roman"/>
          <w:sz w:val="20"/>
          <w:szCs w:val="20"/>
        </w:rPr>
        <w:lastRenderedPageBreak/>
        <w:t>three relative EEG power</w:t>
      </w:r>
      <w:r>
        <w:rPr>
          <w:rFonts w:ascii="Times New Roman" w:eastAsia="SimSun" w:hAnsi="Times New Roman" w:cs="Times New Roman"/>
          <w:sz w:val="20"/>
          <w:szCs w:val="20"/>
        </w:rPr>
        <w:t>band</w:t>
      </w:r>
      <w:r>
        <w:rPr>
          <w:rFonts w:ascii="Times New Roman" w:eastAsia="Times New Roman" w:hAnsi="Times New Roman" w:cs="Times New Roman"/>
          <w:sz w:val="20"/>
          <w:szCs w:val="20"/>
        </w:rPr>
        <w:t>s. Blue represents lower brain activity or power levels, usually associated with reduced activity in specific brain regions. In contrast, green, yellow, and red indicate progressively higher EEG activity or power values, typically related to enhanced activity in these regions.</w:t>
      </w:r>
    </w:p>
    <w:p w14:paraId="130FF50E" w14:textId="77777777" w:rsidR="00907DC0" w:rsidRDefault="00000000">
      <w:pPr>
        <w:spacing w:line="280" w:lineRule="exact"/>
        <w:ind w:firstLineChars="200" w:firstLine="400"/>
        <w:rPr>
          <w:rFonts w:ascii="Times New Roman" w:eastAsia="Times New Roman" w:hAnsi="Times New Roman" w:cs="Times New Roman"/>
          <w:sz w:val="20"/>
          <w:szCs w:val="20"/>
        </w:rPr>
      </w:pPr>
      <w:hyperlink w:anchor="fig9" w:history="1">
        <w:r>
          <w:rPr>
            <w:rStyle w:val="Hyperlink"/>
            <w:rFonts w:ascii="Times New Roman" w:eastAsia="Times New Roman" w:hAnsi="Times New Roman" w:cs="Times New Roman"/>
            <w:sz w:val="20"/>
            <w:szCs w:val="20"/>
            <w:u w:val="none"/>
          </w:rPr>
          <w:t>F</w:t>
        </w:r>
        <w:r>
          <w:rPr>
            <w:rStyle w:val="Hyperlink"/>
            <w:rFonts w:ascii="Times New Roman" w:eastAsia="SimSun" w:hAnsi="Times New Roman" w:cs="Times New Roman" w:hint="eastAsia"/>
            <w:sz w:val="20"/>
            <w:szCs w:val="20"/>
            <w:u w:val="none"/>
          </w:rPr>
          <w:t>igure</w:t>
        </w:r>
        <w:r>
          <w:rPr>
            <w:rStyle w:val="Hyperlink"/>
            <w:rFonts w:ascii="Times New Roman" w:eastAsia="Times New Roman" w:hAnsi="Times New Roman" w:cs="Times New Roman"/>
            <w:sz w:val="20"/>
            <w:szCs w:val="20"/>
            <w:u w:val="none"/>
          </w:rPr>
          <w:t xml:space="preserve"> 9</w:t>
        </w:r>
      </w:hyperlink>
      <w:r>
        <w:rPr>
          <w:rFonts w:ascii="Times New Roman" w:eastAsia="Times New Roman" w:hAnsi="Times New Roman" w:cs="Times New Roman"/>
          <w:sz w:val="20"/>
          <w:szCs w:val="20"/>
        </w:rPr>
        <w:t xml:space="preserve"> a) and b) show the scalp topography distribution of </w:t>
      </w:r>
      <w:r>
        <w:rPr>
          <w:rFonts w:ascii="Times New Roman" w:eastAsia="SimSun" w:hAnsi="Times New Roman" w:cs="Times New Roman"/>
          <w:sz w:val="20"/>
          <w:szCs w:val="20"/>
        </w:rPr>
        <w:t>θ-band</w:t>
      </w:r>
      <w:r>
        <w:rPr>
          <w:rFonts w:ascii="Times New Roman" w:eastAsia="Times New Roman" w:hAnsi="Times New Roman" w:cs="Times New Roman"/>
          <w:sz w:val="20"/>
          <w:szCs w:val="20"/>
        </w:rPr>
        <w:t xml:space="preserve">, </w:t>
      </w:r>
      <w:r>
        <w:rPr>
          <w:rFonts w:ascii="Times New Roman" w:eastAsia="SimSun" w:hAnsi="Times New Roman" w:cs="Times New Roman"/>
          <w:sz w:val="20"/>
          <w:szCs w:val="20"/>
        </w:rPr>
        <w:t>α-band</w:t>
      </w:r>
      <w:r>
        <w:rPr>
          <w:rFonts w:ascii="Times New Roman" w:eastAsia="Times New Roman" w:hAnsi="Times New Roman" w:cs="Times New Roman"/>
          <w:sz w:val="20"/>
          <w:szCs w:val="20"/>
        </w:rPr>
        <w:t xml:space="preserve">, and </w:t>
      </w:r>
      <w:r>
        <w:rPr>
          <w:rFonts w:ascii="Times New Roman" w:eastAsia="SimSun" w:hAnsi="Times New Roman" w:cs="Times New Roman"/>
          <w:sz w:val="20"/>
          <w:szCs w:val="20"/>
        </w:rPr>
        <w:t>β-band</w:t>
      </w:r>
      <w:r>
        <w:rPr>
          <w:rFonts w:ascii="Times New Roman" w:eastAsia="Times New Roman" w:hAnsi="Times New Roman" w:cs="Times New Roman"/>
          <w:sz w:val="20"/>
          <w:szCs w:val="20"/>
        </w:rPr>
        <w:t xml:space="preserve"> for participants in different personality trait groups during the two experimental conditions. Based on the scalp topography maps, it is evident </w:t>
      </w:r>
      <w:r>
        <w:rPr>
          <w:rFonts w:ascii="Times New Roman" w:eastAsia="Times New Roman" w:hAnsi="Times New Roman" w:cs="Times New Roman"/>
          <w:sz w:val="20"/>
          <w:szCs w:val="20"/>
        </w:rPr>
        <w:t xml:space="preserve">that, when affected by panic emotions, different </w:t>
      </w:r>
      <w:proofErr w:type="spellStart"/>
      <w:r>
        <w:rPr>
          <w:rFonts w:ascii="Times New Roman" w:eastAsia="Times New Roman" w:hAnsi="Times New Roman" w:cs="Times New Roman"/>
          <w:sz w:val="20"/>
          <w:szCs w:val="20"/>
        </w:rPr>
        <w:t>EEG</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powers change significantly in the two participant groups. For LEN trait participants, </w:t>
      </w:r>
      <w:r>
        <w:rPr>
          <w:rFonts w:ascii="Times New Roman" w:eastAsia="SimSun" w:hAnsi="Times New Roman" w:cs="Times New Roman"/>
          <w:sz w:val="20"/>
          <w:szCs w:val="20"/>
        </w:rPr>
        <w:t>α-band</w:t>
      </w:r>
      <w:r>
        <w:rPr>
          <w:rFonts w:ascii="Times New Roman" w:eastAsia="Times New Roman" w:hAnsi="Times New Roman" w:cs="Times New Roman"/>
          <w:sz w:val="20"/>
          <w:szCs w:val="20"/>
        </w:rPr>
        <w:t xml:space="preserve"> show a noticeable increase after experiencing emotional contagion. For HEN trait participants, </w:t>
      </w:r>
      <w:r>
        <w:rPr>
          <w:rFonts w:ascii="Times New Roman" w:eastAsia="SimSun" w:hAnsi="Times New Roman" w:cs="Times New Roman"/>
          <w:sz w:val="20"/>
          <w:szCs w:val="20"/>
        </w:rPr>
        <w:t>θ-band</w:t>
      </w:r>
      <w:r>
        <w:rPr>
          <w:rFonts w:ascii="Times New Roman" w:eastAsia="Times New Roman" w:hAnsi="Times New Roman" w:cs="Times New Roman"/>
          <w:sz w:val="20"/>
          <w:szCs w:val="20"/>
        </w:rPr>
        <w:t xml:space="preserve"> show a noticeable increase after experiencing emotional contagion. Specifically, emotional contagion primarily affects the EEG power in the frontal and parietal regions.</w:t>
      </w:r>
    </w:p>
    <w:p w14:paraId="6638E875" w14:textId="77777777" w:rsidR="00907DC0" w:rsidRDefault="00907DC0">
      <w:pPr>
        <w:spacing w:line="280" w:lineRule="exact"/>
        <w:jc w:val="center"/>
        <w:rPr>
          <w:rFonts w:ascii="Times New Roman" w:hAnsi="Times New Roman" w:cs="Times New Roman"/>
          <w:sz w:val="18"/>
          <w:szCs w:val="18"/>
        </w:rPr>
        <w:sectPr w:rsidR="00907DC0">
          <w:type w:val="continuous"/>
          <w:pgSz w:w="11906" w:h="16838"/>
          <w:pgMar w:top="879" w:right="850" w:bottom="879" w:left="850" w:header="1247" w:footer="1247" w:gutter="0"/>
          <w:cols w:num="2" w:space="720" w:equalWidth="0">
            <w:col w:w="4890" w:space="425"/>
            <w:col w:w="4890"/>
          </w:cols>
          <w:docGrid w:type="lines" w:linePitch="312"/>
        </w:sectPr>
      </w:pPr>
    </w:p>
    <w:tbl>
      <w:tblPr>
        <w:tblStyle w:val="TableGrid"/>
        <w:tblW w:w="5055" w:type="pct"/>
        <w:tblLayout w:type="fixed"/>
        <w:tblLook w:val="04A0" w:firstRow="1" w:lastRow="0" w:firstColumn="1" w:lastColumn="0" w:noHBand="0" w:noVBand="1"/>
      </w:tblPr>
      <w:tblGrid>
        <w:gridCol w:w="575"/>
        <w:gridCol w:w="1339"/>
        <w:gridCol w:w="1339"/>
        <w:gridCol w:w="1339"/>
        <w:gridCol w:w="563"/>
        <w:gridCol w:w="574"/>
        <w:gridCol w:w="1385"/>
        <w:gridCol w:w="1339"/>
        <w:gridCol w:w="1339"/>
        <w:gridCol w:w="526"/>
      </w:tblGrid>
      <w:tr w:rsidR="00907DC0" w14:paraId="7C3C5243" w14:textId="77777777">
        <w:trPr>
          <w:trHeight w:val="227"/>
        </w:trPr>
        <w:tc>
          <w:tcPr>
            <w:tcW w:w="278" w:type="pct"/>
            <w:tcBorders>
              <w:top w:val="nil"/>
              <w:left w:val="nil"/>
              <w:bottom w:val="nil"/>
              <w:right w:val="nil"/>
            </w:tcBorders>
            <w:vAlign w:val="center"/>
          </w:tcPr>
          <w:p w14:paraId="303AD08F" w14:textId="77777777" w:rsidR="00907DC0" w:rsidRDefault="00907DC0">
            <w:pPr>
              <w:jc w:val="center"/>
              <w:rPr>
                <w:rFonts w:ascii="Times New Roman" w:hAnsi="Times New Roman" w:cs="Times New Roman"/>
                <w:sz w:val="18"/>
                <w:szCs w:val="18"/>
              </w:rPr>
            </w:pPr>
          </w:p>
        </w:tc>
        <w:tc>
          <w:tcPr>
            <w:tcW w:w="649" w:type="pct"/>
            <w:tcBorders>
              <w:top w:val="nil"/>
              <w:left w:val="nil"/>
              <w:bottom w:val="nil"/>
              <w:right w:val="nil"/>
            </w:tcBorders>
            <w:shd w:val="clear" w:color="auto" w:fill="auto"/>
          </w:tcPr>
          <w:p w14:paraId="5B5FC1AF" w14:textId="77777777" w:rsidR="00907DC0" w:rsidRDefault="00000000">
            <w:pPr>
              <w:jc w:val="center"/>
              <w:rPr>
                <w:rFonts w:ascii="Times New Roman" w:hAnsi="Times New Roman" w:cs="Times New Roman"/>
                <w:sz w:val="18"/>
                <w:szCs w:val="18"/>
              </w:rPr>
            </w:pPr>
            <w:bookmarkStart w:id="29" w:name="OLE_LINK1"/>
            <w:r>
              <w:rPr>
                <w:rFonts w:ascii="Times New Roman" w:hAnsi="Times New Roman" w:cs="Times New Roman"/>
                <w:sz w:val="18"/>
                <w:szCs w:val="18"/>
              </w:rPr>
              <w:t>θ-band</w:t>
            </w:r>
            <w:bookmarkEnd w:id="29"/>
          </w:p>
        </w:tc>
        <w:tc>
          <w:tcPr>
            <w:tcW w:w="649" w:type="pct"/>
            <w:tcBorders>
              <w:top w:val="nil"/>
              <w:left w:val="nil"/>
              <w:bottom w:val="nil"/>
              <w:right w:val="nil"/>
            </w:tcBorders>
            <w:vAlign w:val="center"/>
          </w:tcPr>
          <w:p w14:paraId="03963836" w14:textId="77777777" w:rsidR="00907DC0" w:rsidRDefault="00000000">
            <w:pPr>
              <w:jc w:val="center"/>
              <w:rPr>
                <w:rFonts w:ascii="Times New Roman" w:hAnsi="Times New Roman" w:cs="Times New Roman"/>
                <w:sz w:val="18"/>
                <w:szCs w:val="18"/>
              </w:rPr>
            </w:pPr>
            <w:r>
              <w:rPr>
                <w:rFonts w:ascii="Times New Roman" w:hAnsi="Times New Roman" w:cs="Times New Roman"/>
                <w:sz w:val="18"/>
                <w:szCs w:val="18"/>
              </w:rPr>
              <w:t>α-band</w:t>
            </w:r>
          </w:p>
        </w:tc>
        <w:tc>
          <w:tcPr>
            <w:tcW w:w="649" w:type="pct"/>
            <w:tcBorders>
              <w:top w:val="nil"/>
              <w:left w:val="nil"/>
              <w:bottom w:val="nil"/>
              <w:right w:val="nil"/>
            </w:tcBorders>
          </w:tcPr>
          <w:p w14:paraId="34F716BB" w14:textId="77777777" w:rsidR="00907DC0" w:rsidRDefault="00000000">
            <w:pPr>
              <w:jc w:val="center"/>
              <w:rPr>
                <w:rFonts w:ascii="Times New Roman" w:hAnsi="Times New Roman" w:cs="Times New Roman"/>
                <w:sz w:val="18"/>
                <w:szCs w:val="18"/>
              </w:rPr>
            </w:pPr>
            <w:r>
              <w:rPr>
                <w:rFonts w:ascii="Times New Roman" w:hAnsi="Times New Roman" w:cs="Times New Roman"/>
                <w:sz w:val="18"/>
                <w:szCs w:val="18"/>
              </w:rPr>
              <w:t>β-band</w:t>
            </w:r>
          </w:p>
        </w:tc>
        <w:tc>
          <w:tcPr>
            <w:tcW w:w="273" w:type="pct"/>
            <w:tcBorders>
              <w:top w:val="nil"/>
              <w:left w:val="nil"/>
              <w:bottom w:val="nil"/>
              <w:right w:val="single" w:sz="4" w:space="0" w:color="auto"/>
            </w:tcBorders>
            <w:shd w:val="clear" w:color="auto" w:fill="auto"/>
            <w:vAlign w:val="center"/>
          </w:tcPr>
          <w:p w14:paraId="062FD6BC" w14:textId="77777777" w:rsidR="00907DC0" w:rsidRDefault="00907DC0">
            <w:pPr>
              <w:jc w:val="center"/>
              <w:rPr>
                <w:rFonts w:ascii="Times New Roman" w:hAnsi="Times New Roman" w:cs="Times New Roman"/>
                <w:sz w:val="18"/>
                <w:szCs w:val="18"/>
              </w:rPr>
            </w:pPr>
          </w:p>
        </w:tc>
        <w:tc>
          <w:tcPr>
            <w:tcW w:w="278" w:type="pct"/>
            <w:tcBorders>
              <w:top w:val="nil"/>
              <w:left w:val="single" w:sz="4" w:space="0" w:color="auto"/>
              <w:bottom w:val="nil"/>
              <w:right w:val="nil"/>
            </w:tcBorders>
            <w:shd w:val="clear" w:color="auto" w:fill="auto"/>
            <w:vAlign w:val="center"/>
          </w:tcPr>
          <w:p w14:paraId="744D92C1" w14:textId="77777777" w:rsidR="00907DC0" w:rsidRDefault="00907DC0">
            <w:pPr>
              <w:jc w:val="center"/>
              <w:rPr>
                <w:rFonts w:ascii="Times New Roman" w:hAnsi="Times New Roman" w:cs="Times New Roman"/>
                <w:sz w:val="18"/>
                <w:szCs w:val="18"/>
              </w:rPr>
            </w:pPr>
          </w:p>
        </w:tc>
        <w:tc>
          <w:tcPr>
            <w:tcW w:w="671" w:type="pct"/>
            <w:tcBorders>
              <w:top w:val="nil"/>
              <w:left w:val="nil"/>
              <w:bottom w:val="nil"/>
              <w:right w:val="nil"/>
            </w:tcBorders>
          </w:tcPr>
          <w:p w14:paraId="5F03F99C" w14:textId="77777777" w:rsidR="00907DC0" w:rsidRDefault="00000000">
            <w:pPr>
              <w:jc w:val="center"/>
              <w:rPr>
                <w:rFonts w:ascii="Times New Roman" w:hAnsi="Times New Roman" w:cs="Times New Roman"/>
                <w:sz w:val="18"/>
                <w:szCs w:val="18"/>
              </w:rPr>
            </w:pPr>
            <w:r>
              <w:rPr>
                <w:rFonts w:ascii="Times New Roman" w:hAnsi="Times New Roman" w:cs="Times New Roman"/>
                <w:sz w:val="18"/>
                <w:szCs w:val="18"/>
              </w:rPr>
              <w:t>θ-band</w:t>
            </w:r>
          </w:p>
        </w:tc>
        <w:tc>
          <w:tcPr>
            <w:tcW w:w="649" w:type="pct"/>
            <w:tcBorders>
              <w:top w:val="nil"/>
              <w:left w:val="nil"/>
              <w:bottom w:val="nil"/>
              <w:right w:val="nil"/>
            </w:tcBorders>
            <w:vAlign w:val="center"/>
          </w:tcPr>
          <w:p w14:paraId="368BCD7C" w14:textId="77777777" w:rsidR="00907DC0" w:rsidRDefault="00000000">
            <w:pPr>
              <w:jc w:val="center"/>
              <w:rPr>
                <w:rFonts w:ascii="Times New Roman" w:hAnsi="Times New Roman" w:cs="Times New Roman"/>
                <w:sz w:val="18"/>
                <w:szCs w:val="18"/>
              </w:rPr>
            </w:pPr>
            <w:r>
              <w:rPr>
                <w:rFonts w:ascii="Times New Roman" w:hAnsi="Times New Roman" w:cs="Times New Roman"/>
                <w:sz w:val="18"/>
                <w:szCs w:val="18"/>
              </w:rPr>
              <w:t>α-band</w:t>
            </w:r>
          </w:p>
        </w:tc>
        <w:tc>
          <w:tcPr>
            <w:tcW w:w="649" w:type="pct"/>
            <w:tcBorders>
              <w:top w:val="nil"/>
              <w:left w:val="nil"/>
              <w:bottom w:val="nil"/>
              <w:right w:val="nil"/>
            </w:tcBorders>
          </w:tcPr>
          <w:p w14:paraId="2C56D288" w14:textId="77777777" w:rsidR="00907DC0" w:rsidRDefault="00000000">
            <w:pPr>
              <w:jc w:val="center"/>
              <w:rPr>
                <w:rFonts w:ascii="Times New Roman" w:hAnsi="Times New Roman" w:cs="Times New Roman"/>
                <w:sz w:val="18"/>
                <w:szCs w:val="18"/>
              </w:rPr>
            </w:pPr>
            <w:r>
              <w:rPr>
                <w:rFonts w:ascii="Times New Roman" w:hAnsi="Times New Roman" w:cs="Times New Roman"/>
                <w:sz w:val="18"/>
                <w:szCs w:val="18"/>
              </w:rPr>
              <w:t>β-band</w:t>
            </w:r>
          </w:p>
        </w:tc>
        <w:tc>
          <w:tcPr>
            <w:tcW w:w="253" w:type="pct"/>
            <w:tcBorders>
              <w:top w:val="nil"/>
              <w:left w:val="nil"/>
              <w:bottom w:val="nil"/>
              <w:right w:val="nil"/>
            </w:tcBorders>
            <w:vAlign w:val="center"/>
          </w:tcPr>
          <w:p w14:paraId="19D785FF" w14:textId="77777777" w:rsidR="00907DC0" w:rsidRDefault="00907DC0">
            <w:pPr>
              <w:jc w:val="center"/>
              <w:rPr>
                <w:rFonts w:ascii="Times New Roman" w:hAnsi="Times New Roman" w:cs="Times New Roman"/>
                <w:sz w:val="20"/>
                <w:szCs w:val="20"/>
              </w:rPr>
            </w:pPr>
          </w:p>
        </w:tc>
      </w:tr>
      <w:tr w:rsidR="00907DC0" w14:paraId="0C56E90F" w14:textId="77777777">
        <w:trPr>
          <w:trHeight w:val="1304"/>
        </w:trPr>
        <w:tc>
          <w:tcPr>
            <w:tcW w:w="278" w:type="pct"/>
            <w:tcBorders>
              <w:top w:val="nil"/>
              <w:left w:val="nil"/>
              <w:bottom w:val="nil"/>
              <w:right w:val="nil"/>
            </w:tcBorders>
            <w:vAlign w:val="center"/>
          </w:tcPr>
          <w:p w14:paraId="312CD13F" w14:textId="77777777" w:rsidR="00907DC0" w:rsidRDefault="00000000">
            <w:pPr>
              <w:jc w:val="center"/>
              <w:rPr>
                <w:rFonts w:ascii="Times New Roman" w:hAnsi="Times New Roman" w:cs="Times New Roman"/>
                <w:sz w:val="18"/>
                <w:szCs w:val="18"/>
              </w:rPr>
            </w:pPr>
            <w:r>
              <w:rPr>
                <w:rFonts w:ascii="Times New Roman" w:hAnsi="Times New Roman" w:cs="Times New Roman"/>
                <w:sz w:val="18"/>
                <w:szCs w:val="18"/>
              </w:rPr>
              <w:t>LEN</w:t>
            </w:r>
          </w:p>
        </w:tc>
        <w:tc>
          <w:tcPr>
            <w:tcW w:w="649" w:type="pct"/>
            <w:tcBorders>
              <w:top w:val="nil"/>
              <w:left w:val="nil"/>
              <w:bottom w:val="nil"/>
              <w:right w:val="nil"/>
            </w:tcBorders>
            <w:shd w:val="clear" w:color="auto" w:fill="auto"/>
            <w:vAlign w:val="center"/>
          </w:tcPr>
          <w:p w14:paraId="1F642FEF"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7B1B570B" wp14:editId="62E739DB">
                  <wp:extent cx="803910" cy="791845"/>
                  <wp:effectExtent l="0" t="0" r="15240" b="8255"/>
                  <wp:docPr id="4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0"/>
                          <pic:cNvPicPr>
                            <a:picLocks noChangeAspect="1"/>
                          </pic:cNvPicPr>
                        </pic:nvPicPr>
                        <pic:blipFill>
                          <a:blip r:embed="rId26"/>
                          <a:stretch>
                            <a:fillRect/>
                          </a:stretch>
                        </pic:blipFill>
                        <pic:spPr>
                          <a:xfrm>
                            <a:off x="0" y="0"/>
                            <a:ext cx="803910" cy="791845"/>
                          </a:xfrm>
                          <a:prstGeom prst="rect">
                            <a:avLst/>
                          </a:prstGeom>
                          <a:noFill/>
                          <a:ln>
                            <a:noFill/>
                          </a:ln>
                        </pic:spPr>
                      </pic:pic>
                    </a:graphicData>
                  </a:graphic>
                </wp:inline>
              </w:drawing>
            </w:r>
          </w:p>
        </w:tc>
        <w:tc>
          <w:tcPr>
            <w:tcW w:w="649" w:type="pct"/>
            <w:tcBorders>
              <w:top w:val="nil"/>
              <w:left w:val="nil"/>
              <w:bottom w:val="nil"/>
              <w:right w:val="nil"/>
            </w:tcBorders>
            <w:vAlign w:val="center"/>
          </w:tcPr>
          <w:p w14:paraId="618FB9B1"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5BA35FF2" wp14:editId="25A4BB81">
                  <wp:extent cx="791845" cy="791845"/>
                  <wp:effectExtent l="0" t="0" r="8255" b="8255"/>
                  <wp:docPr id="32" name="图片 2"/>
                  <wp:cNvGraphicFramePr/>
                  <a:graphic xmlns:a="http://schemas.openxmlformats.org/drawingml/2006/main">
                    <a:graphicData uri="http://schemas.openxmlformats.org/drawingml/2006/picture">
                      <pic:pic xmlns:pic="http://schemas.openxmlformats.org/drawingml/2006/picture">
                        <pic:nvPicPr>
                          <pic:cNvPr id="32" name="图片 2"/>
                          <pic:cNvPicPr/>
                        </pic:nvPicPr>
                        <pic:blipFill>
                          <a:blip r:embed="rId27"/>
                          <a:stretch>
                            <a:fillRect/>
                          </a:stretch>
                        </pic:blipFill>
                        <pic:spPr>
                          <a:xfrm>
                            <a:off x="0" y="0"/>
                            <a:ext cx="791845" cy="791845"/>
                          </a:xfrm>
                          <a:prstGeom prst="rect">
                            <a:avLst/>
                          </a:prstGeom>
                          <a:noFill/>
                          <a:ln>
                            <a:noFill/>
                          </a:ln>
                        </pic:spPr>
                      </pic:pic>
                    </a:graphicData>
                  </a:graphic>
                </wp:inline>
              </w:drawing>
            </w:r>
          </w:p>
        </w:tc>
        <w:tc>
          <w:tcPr>
            <w:tcW w:w="649" w:type="pct"/>
            <w:tcBorders>
              <w:top w:val="nil"/>
              <w:left w:val="nil"/>
              <w:bottom w:val="nil"/>
              <w:right w:val="nil"/>
            </w:tcBorders>
            <w:vAlign w:val="center"/>
          </w:tcPr>
          <w:p w14:paraId="61D39B48"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3BBA0F9E" wp14:editId="6BF5EC60">
                  <wp:extent cx="791845" cy="791845"/>
                  <wp:effectExtent l="0" t="0" r="8255" b="8255"/>
                  <wp:docPr id="26" name="图片 26" descr="ab633e31f9b07c8f10d9180a76f18b7"/>
                  <wp:cNvGraphicFramePr/>
                  <a:graphic xmlns:a="http://schemas.openxmlformats.org/drawingml/2006/main">
                    <a:graphicData uri="http://schemas.openxmlformats.org/drawingml/2006/picture">
                      <pic:pic xmlns:pic="http://schemas.openxmlformats.org/drawingml/2006/picture">
                        <pic:nvPicPr>
                          <pic:cNvPr id="26" name="图片 26" descr="ab633e31f9b07c8f10d9180a76f18b7"/>
                          <pic:cNvPicPr/>
                        </pic:nvPicPr>
                        <pic:blipFill>
                          <a:blip r:embed="rId28"/>
                          <a:stretch>
                            <a:fillRect/>
                          </a:stretch>
                        </pic:blipFill>
                        <pic:spPr>
                          <a:xfrm>
                            <a:off x="0" y="0"/>
                            <a:ext cx="791845" cy="791845"/>
                          </a:xfrm>
                          <a:prstGeom prst="rect">
                            <a:avLst/>
                          </a:prstGeom>
                        </pic:spPr>
                      </pic:pic>
                    </a:graphicData>
                  </a:graphic>
                </wp:inline>
              </w:drawing>
            </w:r>
          </w:p>
        </w:tc>
        <w:tc>
          <w:tcPr>
            <w:tcW w:w="273" w:type="pct"/>
            <w:vMerge w:val="restart"/>
            <w:tcBorders>
              <w:top w:val="nil"/>
              <w:left w:val="nil"/>
              <w:bottom w:val="nil"/>
              <w:right w:val="single" w:sz="4" w:space="0" w:color="auto"/>
            </w:tcBorders>
            <w:shd w:val="clear" w:color="auto" w:fill="auto"/>
            <w:vAlign w:val="center"/>
          </w:tcPr>
          <w:p w14:paraId="0DF90D26"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5479FFC2" wp14:editId="67558A12">
                  <wp:extent cx="222885" cy="1296035"/>
                  <wp:effectExtent l="0" t="0" r="5715" b="14605"/>
                  <wp:docPr id="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4"/>
                          <pic:cNvPicPr>
                            <a:picLocks noChangeAspect="1"/>
                          </pic:cNvPicPr>
                        </pic:nvPicPr>
                        <pic:blipFill>
                          <a:blip r:embed="rId29"/>
                          <a:stretch>
                            <a:fillRect/>
                          </a:stretch>
                        </pic:blipFill>
                        <pic:spPr>
                          <a:xfrm>
                            <a:off x="0" y="0"/>
                            <a:ext cx="222885" cy="1296035"/>
                          </a:xfrm>
                          <a:prstGeom prst="rect">
                            <a:avLst/>
                          </a:prstGeom>
                          <a:noFill/>
                          <a:ln>
                            <a:noFill/>
                          </a:ln>
                        </pic:spPr>
                      </pic:pic>
                    </a:graphicData>
                  </a:graphic>
                </wp:inline>
              </w:drawing>
            </w:r>
          </w:p>
        </w:tc>
        <w:tc>
          <w:tcPr>
            <w:tcW w:w="278" w:type="pct"/>
            <w:tcBorders>
              <w:top w:val="nil"/>
              <w:left w:val="single" w:sz="4" w:space="0" w:color="auto"/>
              <w:bottom w:val="nil"/>
              <w:right w:val="nil"/>
            </w:tcBorders>
            <w:shd w:val="clear" w:color="auto" w:fill="auto"/>
            <w:vAlign w:val="center"/>
          </w:tcPr>
          <w:p w14:paraId="267A252D" w14:textId="77777777" w:rsidR="00907DC0" w:rsidRDefault="00000000">
            <w:pPr>
              <w:jc w:val="center"/>
              <w:rPr>
                <w:rFonts w:ascii="Times New Roman" w:hAnsi="Times New Roman" w:cs="Times New Roman"/>
                <w:sz w:val="18"/>
                <w:szCs w:val="18"/>
              </w:rPr>
            </w:pPr>
            <w:r>
              <w:rPr>
                <w:rFonts w:ascii="Times New Roman" w:hAnsi="Times New Roman" w:cs="Times New Roman"/>
                <w:sz w:val="18"/>
                <w:szCs w:val="18"/>
              </w:rPr>
              <w:t>LEN</w:t>
            </w:r>
          </w:p>
        </w:tc>
        <w:tc>
          <w:tcPr>
            <w:tcW w:w="671" w:type="pct"/>
            <w:tcBorders>
              <w:top w:val="nil"/>
              <w:left w:val="nil"/>
              <w:bottom w:val="nil"/>
              <w:right w:val="nil"/>
            </w:tcBorders>
            <w:vAlign w:val="center"/>
          </w:tcPr>
          <w:p w14:paraId="36F0F5EE"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579EB126" wp14:editId="7DFEEC1F">
                  <wp:extent cx="828040" cy="791845"/>
                  <wp:effectExtent l="0" t="0" r="10160" b="8255"/>
                  <wp:docPr id="40" name="图片 18"/>
                  <wp:cNvGraphicFramePr/>
                  <a:graphic xmlns:a="http://schemas.openxmlformats.org/drawingml/2006/main">
                    <a:graphicData uri="http://schemas.openxmlformats.org/drawingml/2006/picture">
                      <pic:pic xmlns:pic="http://schemas.openxmlformats.org/drawingml/2006/picture">
                        <pic:nvPicPr>
                          <pic:cNvPr id="40" name="图片 18"/>
                          <pic:cNvPicPr/>
                        </pic:nvPicPr>
                        <pic:blipFill>
                          <a:blip r:embed="rId30"/>
                          <a:srcRect b="1852"/>
                          <a:stretch>
                            <a:fillRect/>
                          </a:stretch>
                        </pic:blipFill>
                        <pic:spPr>
                          <a:xfrm>
                            <a:off x="0" y="0"/>
                            <a:ext cx="828040" cy="791845"/>
                          </a:xfrm>
                          <a:prstGeom prst="rect">
                            <a:avLst/>
                          </a:prstGeom>
                          <a:noFill/>
                          <a:ln>
                            <a:noFill/>
                          </a:ln>
                        </pic:spPr>
                      </pic:pic>
                    </a:graphicData>
                  </a:graphic>
                </wp:inline>
              </w:drawing>
            </w:r>
          </w:p>
        </w:tc>
        <w:tc>
          <w:tcPr>
            <w:tcW w:w="649" w:type="pct"/>
            <w:tcBorders>
              <w:top w:val="nil"/>
              <w:left w:val="nil"/>
              <w:bottom w:val="nil"/>
              <w:right w:val="nil"/>
            </w:tcBorders>
            <w:vAlign w:val="center"/>
          </w:tcPr>
          <w:p w14:paraId="55178958"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37B561FD" wp14:editId="447D0326">
                  <wp:extent cx="791845" cy="791845"/>
                  <wp:effectExtent l="0" t="0" r="8255" b="8255"/>
                  <wp:docPr id="34" name="图片 3"/>
                  <wp:cNvGraphicFramePr/>
                  <a:graphic xmlns:a="http://schemas.openxmlformats.org/drawingml/2006/main">
                    <a:graphicData uri="http://schemas.openxmlformats.org/drawingml/2006/picture">
                      <pic:pic xmlns:pic="http://schemas.openxmlformats.org/drawingml/2006/picture">
                        <pic:nvPicPr>
                          <pic:cNvPr id="34" name="图片 3"/>
                          <pic:cNvPicPr/>
                        </pic:nvPicPr>
                        <pic:blipFill>
                          <a:blip r:embed="rId31"/>
                          <a:stretch>
                            <a:fillRect/>
                          </a:stretch>
                        </pic:blipFill>
                        <pic:spPr>
                          <a:xfrm>
                            <a:off x="0" y="0"/>
                            <a:ext cx="791845" cy="791845"/>
                          </a:xfrm>
                          <a:prstGeom prst="rect">
                            <a:avLst/>
                          </a:prstGeom>
                          <a:noFill/>
                          <a:ln>
                            <a:noFill/>
                          </a:ln>
                        </pic:spPr>
                      </pic:pic>
                    </a:graphicData>
                  </a:graphic>
                </wp:inline>
              </w:drawing>
            </w:r>
          </w:p>
        </w:tc>
        <w:tc>
          <w:tcPr>
            <w:tcW w:w="649" w:type="pct"/>
            <w:tcBorders>
              <w:top w:val="nil"/>
              <w:left w:val="nil"/>
              <w:bottom w:val="nil"/>
              <w:right w:val="nil"/>
            </w:tcBorders>
            <w:vAlign w:val="center"/>
          </w:tcPr>
          <w:p w14:paraId="02FCE5AA"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0AEE9349" wp14:editId="7D95201F">
                  <wp:extent cx="791845" cy="791845"/>
                  <wp:effectExtent l="0" t="0" r="8255" b="8255"/>
                  <wp:docPr id="28" name="图片 6"/>
                  <wp:cNvGraphicFramePr/>
                  <a:graphic xmlns:a="http://schemas.openxmlformats.org/drawingml/2006/main">
                    <a:graphicData uri="http://schemas.openxmlformats.org/drawingml/2006/picture">
                      <pic:pic xmlns:pic="http://schemas.openxmlformats.org/drawingml/2006/picture">
                        <pic:nvPicPr>
                          <pic:cNvPr id="28" name="图片 6"/>
                          <pic:cNvPicPr/>
                        </pic:nvPicPr>
                        <pic:blipFill>
                          <a:blip r:embed="rId32"/>
                          <a:stretch>
                            <a:fillRect/>
                          </a:stretch>
                        </pic:blipFill>
                        <pic:spPr>
                          <a:xfrm>
                            <a:off x="0" y="0"/>
                            <a:ext cx="791845" cy="791845"/>
                          </a:xfrm>
                          <a:prstGeom prst="rect">
                            <a:avLst/>
                          </a:prstGeom>
                          <a:noFill/>
                          <a:ln>
                            <a:noFill/>
                          </a:ln>
                        </pic:spPr>
                      </pic:pic>
                    </a:graphicData>
                  </a:graphic>
                </wp:inline>
              </w:drawing>
            </w:r>
          </w:p>
        </w:tc>
        <w:tc>
          <w:tcPr>
            <w:tcW w:w="253" w:type="pct"/>
            <w:vMerge w:val="restart"/>
            <w:tcBorders>
              <w:top w:val="nil"/>
              <w:left w:val="nil"/>
              <w:bottom w:val="nil"/>
              <w:right w:val="nil"/>
            </w:tcBorders>
            <w:vAlign w:val="center"/>
          </w:tcPr>
          <w:p w14:paraId="3B03656D" w14:textId="77777777" w:rsidR="00907DC0" w:rsidRDefault="00000000">
            <w:pPr>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114300" distR="114300" wp14:anchorId="5CFE45D6" wp14:editId="21CA1742">
                  <wp:extent cx="222885" cy="1296035"/>
                  <wp:effectExtent l="0" t="0" r="5715" b="1460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29"/>
                          <a:stretch>
                            <a:fillRect/>
                          </a:stretch>
                        </pic:blipFill>
                        <pic:spPr>
                          <a:xfrm>
                            <a:off x="0" y="0"/>
                            <a:ext cx="222885" cy="1296035"/>
                          </a:xfrm>
                          <a:prstGeom prst="rect">
                            <a:avLst/>
                          </a:prstGeom>
                          <a:noFill/>
                          <a:ln>
                            <a:noFill/>
                          </a:ln>
                        </pic:spPr>
                      </pic:pic>
                    </a:graphicData>
                  </a:graphic>
                </wp:inline>
              </w:drawing>
            </w:r>
          </w:p>
        </w:tc>
      </w:tr>
      <w:tr w:rsidR="00907DC0" w14:paraId="504FCDE9" w14:textId="77777777">
        <w:trPr>
          <w:trHeight w:val="1304"/>
        </w:trPr>
        <w:tc>
          <w:tcPr>
            <w:tcW w:w="278" w:type="pct"/>
            <w:tcBorders>
              <w:top w:val="nil"/>
              <w:left w:val="nil"/>
              <w:bottom w:val="nil"/>
              <w:right w:val="nil"/>
            </w:tcBorders>
            <w:vAlign w:val="center"/>
          </w:tcPr>
          <w:p w14:paraId="7D37A27D" w14:textId="77777777" w:rsidR="00907DC0" w:rsidRDefault="00000000">
            <w:pPr>
              <w:jc w:val="center"/>
              <w:rPr>
                <w:rFonts w:ascii="Times New Roman" w:hAnsi="Times New Roman" w:cs="Times New Roman"/>
                <w:sz w:val="18"/>
                <w:szCs w:val="18"/>
              </w:rPr>
            </w:pPr>
            <w:r>
              <w:rPr>
                <w:rFonts w:ascii="Times New Roman" w:hAnsi="Times New Roman" w:cs="Times New Roman"/>
                <w:sz w:val="18"/>
                <w:szCs w:val="18"/>
              </w:rPr>
              <w:t>HEN</w:t>
            </w:r>
          </w:p>
        </w:tc>
        <w:tc>
          <w:tcPr>
            <w:tcW w:w="649" w:type="pct"/>
            <w:tcBorders>
              <w:top w:val="nil"/>
              <w:left w:val="nil"/>
              <w:bottom w:val="nil"/>
              <w:right w:val="nil"/>
            </w:tcBorders>
            <w:shd w:val="clear" w:color="auto" w:fill="auto"/>
            <w:vAlign w:val="center"/>
          </w:tcPr>
          <w:p w14:paraId="5A617E89"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60EB03C2" wp14:editId="32FC1FF0">
                  <wp:extent cx="791845" cy="791845"/>
                  <wp:effectExtent l="0" t="0" r="8255" b="8255"/>
                  <wp:docPr id="31" name="图片 9"/>
                  <wp:cNvGraphicFramePr/>
                  <a:graphic xmlns:a="http://schemas.openxmlformats.org/drawingml/2006/main">
                    <a:graphicData uri="http://schemas.openxmlformats.org/drawingml/2006/picture">
                      <pic:pic xmlns:pic="http://schemas.openxmlformats.org/drawingml/2006/picture">
                        <pic:nvPicPr>
                          <pic:cNvPr id="31" name="图片 9"/>
                          <pic:cNvPicPr/>
                        </pic:nvPicPr>
                        <pic:blipFill>
                          <a:blip r:embed="rId33"/>
                          <a:stretch>
                            <a:fillRect/>
                          </a:stretch>
                        </pic:blipFill>
                        <pic:spPr>
                          <a:xfrm>
                            <a:off x="0" y="0"/>
                            <a:ext cx="791845" cy="791845"/>
                          </a:xfrm>
                          <a:prstGeom prst="rect">
                            <a:avLst/>
                          </a:prstGeom>
                          <a:noFill/>
                          <a:ln>
                            <a:noFill/>
                          </a:ln>
                        </pic:spPr>
                      </pic:pic>
                    </a:graphicData>
                  </a:graphic>
                </wp:inline>
              </w:drawing>
            </w:r>
          </w:p>
        </w:tc>
        <w:tc>
          <w:tcPr>
            <w:tcW w:w="649" w:type="pct"/>
            <w:tcBorders>
              <w:top w:val="nil"/>
              <w:left w:val="nil"/>
              <w:bottom w:val="nil"/>
              <w:right w:val="nil"/>
            </w:tcBorders>
            <w:vAlign w:val="center"/>
          </w:tcPr>
          <w:p w14:paraId="6940219D"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0D621AB3" wp14:editId="07A6F6B5">
                  <wp:extent cx="791845" cy="791845"/>
                  <wp:effectExtent l="0" t="0" r="8255" b="8255"/>
                  <wp:docPr id="35" name="图片 11"/>
                  <wp:cNvGraphicFramePr/>
                  <a:graphic xmlns:a="http://schemas.openxmlformats.org/drawingml/2006/main">
                    <a:graphicData uri="http://schemas.openxmlformats.org/drawingml/2006/picture">
                      <pic:pic xmlns:pic="http://schemas.openxmlformats.org/drawingml/2006/picture">
                        <pic:nvPicPr>
                          <pic:cNvPr id="35" name="图片 11"/>
                          <pic:cNvPicPr/>
                        </pic:nvPicPr>
                        <pic:blipFill>
                          <a:blip r:embed="rId34"/>
                          <a:stretch>
                            <a:fillRect/>
                          </a:stretch>
                        </pic:blipFill>
                        <pic:spPr>
                          <a:xfrm>
                            <a:off x="0" y="0"/>
                            <a:ext cx="791845" cy="791845"/>
                          </a:xfrm>
                          <a:prstGeom prst="rect">
                            <a:avLst/>
                          </a:prstGeom>
                          <a:noFill/>
                          <a:ln>
                            <a:noFill/>
                          </a:ln>
                        </pic:spPr>
                      </pic:pic>
                    </a:graphicData>
                  </a:graphic>
                </wp:inline>
              </w:drawing>
            </w:r>
          </w:p>
        </w:tc>
        <w:tc>
          <w:tcPr>
            <w:tcW w:w="649" w:type="pct"/>
            <w:tcBorders>
              <w:top w:val="nil"/>
              <w:left w:val="nil"/>
              <w:bottom w:val="nil"/>
              <w:right w:val="nil"/>
            </w:tcBorders>
            <w:vAlign w:val="center"/>
          </w:tcPr>
          <w:p w14:paraId="5C5667B0"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2B5341A4" wp14:editId="3409F9C9">
                  <wp:extent cx="791845" cy="791845"/>
                  <wp:effectExtent l="0" t="0" r="8255" b="8255"/>
                  <wp:docPr id="39" name="图片 17"/>
                  <wp:cNvGraphicFramePr/>
                  <a:graphic xmlns:a="http://schemas.openxmlformats.org/drawingml/2006/main">
                    <a:graphicData uri="http://schemas.openxmlformats.org/drawingml/2006/picture">
                      <pic:pic xmlns:pic="http://schemas.openxmlformats.org/drawingml/2006/picture">
                        <pic:nvPicPr>
                          <pic:cNvPr id="39" name="图片 17"/>
                          <pic:cNvPicPr/>
                        </pic:nvPicPr>
                        <pic:blipFill>
                          <a:blip r:embed="rId35"/>
                          <a:stretch>
                            <a:fillRect/>
                          </a:stretch>
                        </pic:blipFill>
                        <pic:spPr>
                          <a:xfrm>
                            <a:off x="0" y="0"/>
                            <a:ext cx="791845" cy="791845"/>
                          </a:xfrm>
                          <a:prstGeom prst="rect">
                            <a:avLst/>
                          </a:prstGeom>
                          <a:noFill/>
                          <a:ln>
                            <a:noFill/>
                          </a:ln>
                        </pic:spPr>
                      </pic:pic>
                    </a:graphicData>
                  </a:graphic>
                </wp:inline>
              </w:drawing>
            </w:r>
          </w:p>
        </w:tc>
        <w:tc>
          <w:tcPr>
            <w:tcW w:w="273" w:type="pct"/>
            <w:vMerge/>
            <w:tcBorders>
              <w:top w:val="nil"/>
              <w:left w:val="nil"/>
              <w:bottom w:val="nil"/>
              <w:right w:val="single" w:sz="4" w:space="0" w:color="auto"/>
            </w:tcBorders>
            <w:shd w:val="clear" w:color="auto" w:fill="auto"/>
            <w:vAlign w:val="center"/>
          </w:tcPr>
          <w:p w14:paraId="79D4BB1A" w14:textId="77777777" w:rsidR="00907DC0" w:rsidRDefault="00907DC0">
            <w:pPr>
              <w:jc w:val="center"/>
              <w:rPr>
                <w:rFonts w:ascii="Times New Roman" w:hAnsi="Times New Roman" w:cs="Times New Roman"/>
                <w:sz w:val="18"/>
                <w:szCs w:val="18"/>
              </w:rPr>
            </w:pPr>
          </w:p>
        </w:tc>
        <w:tc>
          <w:tcPr>
            <w:tcW w:w="278" w:type="pct"/>
            <w:tcBorders>
              <w:top w:val="nil"/>
              <w:left w:val="single" w:sz="4" w:space="0" w:color="auto"/>
              <w:bottom w:val="nil"/>
              <w:right w:val="nil"/>
            </w:tcBorders>
            <w:shd w:val="clear" w:color="auto" w:fill="auto"/>
            <w:vAlign w:val="center"/>
          </w:tcPr>
          <w:p w14:paraId="711AD16C" w14:textId="77777777" w:rsidR="00907DC0" w:rsidRDefault="00000000">
            <w:pPr>
              <w:jc w:val="center"/>
              <w:rPr>
                <w:rFonts w:ascii="Times New Roman" w:hAnsi="Times New Roman" w:cs="Times New Roman"/>
                <w:sz w:val="18"/>
                <w:szCs w:val="18"/>
              </w:rPr>
            </w:pPr>
            <w:r>
              <w:rPr>
                <w:rFonts w:ascii="Times New Roman" w:hAnsi="Times New Roman" w:cs="Times New Roman"/>
                <w:sz w:val="18"/>
                <w:szCs w:val="18"/>
              </w:rPr>
              <w:t>HEN</w:t>
            </w:r>
          </w:p>
        </w:tc>
        <w:tc>
          <w:tcPr>
            <w:tcW w:w="671" w:type="pct"/>
            <w:tcBorders>
              <w:top w:val="nil"/>
              <w:left w:val="nil"/>
              <w:bottom w:val="nil"/>
              <w:right w:val="nil"/>
            </w:tcBorders>
            <w:vAlign w:val="center"/>
          </w:tcPr>
          <w:p w14:paraId="2CE11B8A"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7DC05940" wp14:editId="572CE628">
                  <wp:extent cx="791845" cy="791845"/>
                  <wp:effectExtent l="0" t="0" r="8255" b="8255"/>
                  <wp:docPr id="37" name="图片 15"/>
                  <wp:cNvGraphicFramePr/>
                  <a:graphic xmlns:a="http://schemas.openxmlformats.org/drawingml/2006/main">
                    <a:graphicData uri="http://schemas.openxmlformats.org/drawingml/2006/picture">
                      <pic:pic xmlns:pic="http://schemas.openxmlformats.org/drawingml/2006/picture">
                        <pic:nvPicPr>
                          <pic:cNvPr id="37" name="图片 15"/>
                          <pic:cNvPicPr/>
                        </pic:nvPicPr>
                        <pic:blipFill>
                          <a:blip r:embed="rId36"/>
                          <a:stretch>
                            <a:fillRect/>
                          </a:stretch>
                        </pic:blipFill>
                        <pic:spPr>
                          <a:xfrm>
                            <a:off x="0" y="0"/>
                            <a:ext cx="791845" cy="791845"/>
                          </a:xfrm>
                          <a:prstGeom prst="rect">
                            <a:avLst/>
                          </a:prstGeom>
                          <a:noFill/>
                          <a:ln>
                            <a:noFill/>
                          </a:ln>
                        </pic:spPr>
                      </pic:pic>
                    </a:graphicData>
                  </a:graphic>
                </wp:inline>
              </w:drawing>
            </w:r>
          </w:p>
        </w:tc>
        <w:tc>
          <w:tcPr>
            <w:tcW w:w="649" w:type="pct"/>
            <w:tcBorders>
              <w:top w:val="nil"/>
              <w:left w:val="nil"/>
              <w:bottom w:val="nil"/>
              <w:right w:val="nil"/>
            </w:tcBorders>
            <w:vAlign w:val="center"/>
          </w:tcPr>
          <w:p w14:paraId="52EA47FC"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70867AC0" wp14:editId="721FF901">
                  <wp:extent cx="803275" cy="791845"/>
                  <wp:effectExtent l="0" t="0" r="15875" b="8255"/>
                  <wp:docPr id="3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8"/>
                          <pic:cNvPicPr>
                            <a:picLocks noChangeAspect="1"/>
                          </pic:cNvPicPr>
                        </pic:nvPicPr>
                        <pic:blipFill>
                          <a:blip r:embed="rId37"/>
                          <a:stretch>
                            <a:fillRect/>
                          </a:stretch>
                        </pic:blipFill>
                        <pic:spPr>
                          <a:xfrm>
                            <a:off x="0" y="0"/>
                            <a:ext cx="803275" cy="791845"/>
                          </a:xfrm>
                          <a:prstGeom prst="rect">
                            <a:avLst/>
                          </a:prstGeom>
                          <a:noFill/>
                          <a:ln>
                            <a:noFill/>
                          </a:ln>
                        </pic:spPr>
                      </pic:pic>
                    </a:graphicData>
                  </a:graphic>
                </wp:inline>
              </w:drawing>
            </w:r>
          </w:p>
        </w:tc>
        <w:tc>
          <w:tcPr>
            <w:tcW w:w="649" w:type="pct"/>
            <w:tcBorders>
              <w:top w:val="nil"/>
              <w:left w:val="nil"/>
              <w:bottom w:val="nil"/>
              <w:right w:val="nil"/>
            </w:tcBorders>
            <w:vAlign w:val="center"/>
          </w:tcPr>
          <w:p w14:paraId="00D87A00" w14:textId="77777777" w:rsidR="00907DC0"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4FA092E0" wp14:editId="5E2F6A6C">
                  <wp:extent cx="791845" cy="791845"/>
                  <wp:effectExtent l="0" t="0" r="8255" b="8255"/>
                  <wp:docPr id="38" name="图片 16"/>
                  <wp:cNvGraphicFramePr/>
                  <a:graphic xmlns:a="http://schemas.openxmlformats.org/drawingml/2006/main">
                    <a:graphicData uri="http://schemas.openxmlformats.org/drawingml/2006/picture">
                      <pic:pic xmlns:pic="http://schemas.openxmlformats.org/drawingml/2006/picture">
                        <pic:nvPicPr>
                          <pic:cNvPr id="38" name="图片 16"/>
                          <pic:cNvPicPr/>
                        </pic:nvPicPr>
                        <pic:blipFill>
                          <a:blip r:embed="rId38"/>
                          <a:stretch>
                            <a:fillRect/>
                          </a:stretch>
                        </pic:blipFill>
                        <pic:spPr>
                          <a:xfrm>
                            <a:off x="0" y="0"/>
                            <a:ext cx="791845" cy="791845"/>
                          </a:xfrm>
                          <a:prstGeom prst="rect">
                            <a:avLst/>
                          </a:prstGeom>
                          <a:noFill/>
                          <a:ln>
                            <a:noFill/>
                          </a:ln>
                        </pic:spPr>
                      </pic:pic>
                    </a:graphicData>
                  </a:graphic>
                </wp:inline>
              </w:drawing>
            </w:r>
          </w:p>
        </w:tc>
        <w:tc>
          <w:tcPr>
            <w:tcW w:w="253" w:type="pct"/>
            <w:vMerge/>
            <w:tcBorders>
              <w:top w:val="nil"/>
              <w:left w:val="nil"/>
              <w:bottom w:val="nil"/>
              <w:right w:val="nil"/>
            </w:tcBorders>
            <w:vAlign w:val="center"/>
          </w:tcPr>
          <w:p w14:paraId="0BCCF140" w14:textId="77777777" w:rsidR="00907DC0" w:rsidRDefault="00907DC0">
            <w:pPr>
              <w:jc w:val="center"/>
              <w:rPr>
                <w:rFonts w:ascii="Times New Roman" w:hAnsi="Times New Roman" w:cs="Times New Roman"/>
                <w:sz w:val="20"/>
                <w:szCs w:val="20"/>
              </w:rPr>
            </w:pPr>
          </w:p>
        </w:tc>
      </w:tr>
      <w:tr w:rsidR="00907DC0" w14:paraId="3DC0A5D3" w14:textId="77777777">
        <w:tc>
          <w:tcPr>
            <w:tcW w:w="2498" w:type="pct"/>
            <w:gridSpan w:val="5"/>
            <w:tcBorders>
              <w:top w:val="nil"/>
              <w:left w:val="nil"/>
              <w:bottom w:val="nil"/>
              <w:right w:val="single" w:sz="4" w:space="0" w:color="auto"/>
            </w:tcBorders>
            <w:vAlign w:val="center"/>
          </w:tcPr>
          <w:p w14:paraId="209B48B0" w14:textId="77777777" w:rsidR="00907DC0" w:rsidRDefault="00000000">
            <w:pPr>
              <w:jc w:val="center"/>
              <w:rPr>
                <w:rFonts w:ascii="Times New Roman" w:hAnsi="Times New Roman" w:cs="Times New Roman"/>
                <w:sz w:val="18"/>
                <w:szCs w:val="18"/>
              </w:rPr>
            </w:pPr>
            <w:r>
              <w:rPr>
                <w:rFonts w:ascii="Times New Roman" w:hAnsi="Times New Roman" w:cs="Times New Roman"/>
                <w:sz w:val="18"/>
                <w:szCs w:val="18"/>
              </w:rPr>
              <w:t>a) Experiment 1</w:t>
            </w:r>
          </w:p>
        </w:tc>
        <w:tc>
          <w:tcPr>
            <w:tcW w:w="2501" w:type="pct"/>
            <w:gridSpan w:val="5"/>
            <w:tcBorders>
              <w:top w:val="nil"/>
              <w:left w:val="single" w:sz="4" w:space="0" w:color="auto"/>
              <w:bottom w:val="nil"/>
              <w:right w:val="nil"/>
            </w:tcBorders>
            <w:shd w:val="clear" w:color="auto" w:fill="auto"/>
            <w:vAlign w:val="center"/>
          </w:tcPr>
          <w:p w14:paraId="00404C6D" w14:textId="77777777" w:rsidR="00907DC0" w:rsidRDefault="00000000">
            <w:pPr>
              <w:jc w:val="center"/>
              <w:rPr>
                <w:rFonts w:ascii="Times New Roman" w:hAnsi="Times New Roman" w:cs="Times New Roman"/>
                <w:sz w:val="18"/>
                <w:szCs w:val="18"/>
              </w:rPr>
            </w:pPr>
            <w:r>
              <w:rPr>
                <w:rFonts w:ascii="Times New Roman" w:hAnsi="Times New Roman" w:cs="Times New Roman"/>
                <w:sz w:val="18"/>
                <w:szCs w:val="18"/>
              </w:rPr>
              <w:t>b) Experiment 2</w:t>
            </w:r>
          </w:p>
        </w:tc>
      </w:tr>
      <w:tr w:rsidR="00907DC0" w14:paraId="62E26115" w14:textId="77777777">
        <w:tc>
          <w:tcPr>
            <w:tcW w:w="5000" w:type="pct"/>
            <w:gridSpan w:val="10"/>
            <w:tcBorders>
              <w:top w:val="nil"/>
              <w:left w:val="nil"/>
              <w:bottom w:val="nil"/>
              <w:right w:val="nil"/>
            </w:tcBorders>
            <w:vAlign w:val="center"/>
          </w:tcPr>
          <w:p w14:paraId="22A65A49" w14:textId="77777777" w:rsidR="00907DC0" w:rsidRDefault="00000000">
            <w:pPr>
              <w:jc w:val="center"/>
              <w:rPr>
                <w:rFonts w:ascii="Times New Roman" w:hAnsi="Times New Roman" w:cs="Times New Roman"/>
                <w:sz w:val="18"/>
                <w:szCs w:val="18"/>
              </w:rPr>
            </w:pPr>
            <w:bookmarkStart w:id="30" w:name="fig9"/>
            <w:r>
              <w:rPr>
                <w:rFonts w:ascii="Times New Roman" w:eastAsia="Times New Roman" w:hAnsi="Times New Roman" w:cs="Times New Roman"/>
                <w:b/>
                <w:bCs/>
                <w:sz w:val="18"/>
                <w:szCs w:val="18"/>
              </w:rPr>
              <w:t>F</w:t>
            </w:r>
            <w:r>
              <w:rPr>
                <w:rFonts w:ascii="Times New Roman" w:eastAsia="SimSun" w:hAnsi="Times New Roman" w:cs="Times New Roman" w:hint="eastAsia"/>
                <w:b/>
                <w:bCs/>
                <w:sz w:val="18"/>
                <w:szCs w:val="18"/>
              </w:rPr>
              <w:t xml:space="preserve">IGURE </w:t>
            </w:r>
            <w:r>
              <w:rPr>
                <w:rFonts w:ascii="Times New Roman" w:hAnsi="Times New Roman" w:cs="Times New Roman"/>
                <w:b/>
                <w:bCs/>
                <w:sz w:val="18"/>
                <w:szCs w:val="18"/>
              </w:rPr>
              <w:t>9</w:t>
            </w:r>
            <w:bookmarkEnd w:id="30"/>
            <w:r>
              <w:rPr>
                <w:rFonts w:ascii="Times New Roman" w:hAnsi="Times New Roman" w:cs="Times New Roman"/>
                <w:sz w:val="18"/>
                <w:szCs w:val="18"/>
              </w:rPr>
              <w:t xml:space="preserve"> Scalp topography maps of relative EEG power. The distribution of </w:t>
            </w:r>
            <w:bookmarkStart w:id="31" w:name="OLE_LINK13"/>
            <w:r>
              <w:rPr>
                <w:rFonts w:ascii="Times New Roman" w:hAnsi="Times New Roman" w:cs="Times New Roman"/>
                <w:sz w:val="18"/>
                <w:szCs w:val="18"/>
              </w:rPr>
              <w:t>θ</w:t>
            </w:r>
            <w:bookmarkStart w:id="32" w:name="OLE_LINK5"/>
            <w:bookmarkEnd w:id="31"/>
            <w:r>
              <w:rPr>
                <w:rFonts w:ascii="Times New Roman" w:hAnsi="Times New Roman" w:cs="Times New Roman"/>
                <w:sz w:val="18"/>
                <w:szCs w:val="18"/>
              </w:rPr>
              <w:t>-band</w:t>
            </w:r>
            <w:bookmarkEnd w:id="32"/>
            <w:r>
              <w:rPr>
                <w:rFonts w:ascii="Times New Roman" w:hAnsi="Times New Roman" w:cs="Times New Roman"/>
                <w:sz w:val="18"/>
                <w:szCs w:val="18"/>
              </w:rPr>
              <w:t xml:space="preserve">, </w:t>
            </w:r>
            <w:bookmarkStart w:id="33" w:name="OLE_LINK12"/>
            <w:r>
              <w:rPr>
                <w:rFonts w:ascii="Times New Roman" w:hAnsi="Times New Roman" w:cs="Times New Roman"/>
                <w:sz w:val="18"/>
                <w:szCs w:val="18"/>
              </w:rPr>
              <w:t>α</w:t>
            </w:r>
            <w:bookmarkEnd w:id="33"/>
            <w:r>
              <w:rPr>
                <w:rFonts w:ascii="Times New Roman" w:hAnsi="Times New Roman" w:cs="Times New Roman"/>
                <w:sz w:val="18"/>
                <w:szCs w:val="18"/>
              </w:rPr>
              <w:t xml:space="preserve"> -band, and </w:t>
            </w:r>
            <w:bookmarkStart w:id="34" w:name="OLE_LINK11"/>
            <w:r>
              <w:rPr>
                <w:rFonts w:ascii="Times New Roman" w:hAnsi="Times New Roman" w:cs="Times New Roman"/>
                <w:sz w:val="18"/>
                <w:szCs w:val="18"/>
              </w:rPr>
              <w:t>β</w:t>
            </w:r>
            <w:bookmarkEnd w:id="34"/>
            <w:r>
              <w:rPr>
                <w:rFonts w:ascii="Times New Roman" w:hAnsi="Times New Roman" w:cs="Times New Roman"/>
                <w:sz w:val="18"/>
                <w:szCs w:val="18"/>
              </w:rPr>
              <w:t xml:space="preserve"> -band on the scalp in two experimental conditions for different personality trait groups.</w:t>
            </w:r>
          </w:p>
        </w:tc>
      </w:tr>
    </w:tbl>
    <w:p w14:paraId="21B3562C" w14:textId="77777777" w:rsidR="00907DC0" w:rsidRDefault="00000000">
      <w:pPr>
        <w:pStyle w:val="Heading3"/>
        <w:spacing w:before="156" w:after="156" w:line="280" w:lineRule="exact"/>
        <w:jc w:val="left"/>
        <w:rPr>
          <w:rFonts w:ascii="Times New Roman" w:eastAsia="SimSun" w:hAnsi="Times New Roman" w:cs="Times New Roman"/>
          <w:sz w:val="20"/>
          <w:szCs w:val="20"/>
        </w:rPr>
      </w:pPr>
      <w:r>
        <w:rPr>
          <w:rFonts w:ascii="Times New Roman" w:eastAsia="Times New Roman" w:hAnsi="Times New Roman" w:cs="Times New Roman"/>
          <w:sz w:val="20"/>
          <w:szCs w:val="20"/>
        </w:rPr>
        <w:t>4. D</w:t>
      </w:r>
      <w:r>
        <w:rPr>
          <w:rFonts w:ascii="Times New Roman" w:eastAsia="SimSun" w:hAnsi="Times New Roman" w:cs="Times New Roman" w:hint="eastAsia"/>
          <w:sz w:val="20"/>
          <w:szCs w:val="20"/>
        </w:rPr>
        <w:t>ISCUSSION</w:t>
      </w:r>
    </w:p>
    <w:p w14:paraId="77FD8CE7" w14:textId="77777777" w:rsidR="00907DC0" w:rsidRDefault="00907DC0">
      <w:pPr>
        <w:spacing w:line="280" w:lineRule="exact"/>
        <w:ind w:firstLineChars="200" w:firstLine="400"/>
        <w:rPr>
          <w:rFonts w:ascii="Times New Roman" w:eastAsia="Times New Roman" w:hAnsi="Times New Roman" w:cs="Times New Roman"/>
          <w:sz w:val="20"/>
          <w:szCs w:val="20"/>
        </w:rPr>
        <w:sectPr w:rsidR="00907DC0">
          <w:type w:val="continuous"/>
          <w:pgSz w:w="11906" w:h="16838"/>
          <w:pgMar w:top="879" w:right="850" w:bottom="879" w:left="850" w:header="1247" w:footer="1247" w:gutter="0"/>
          <w:cols w:space="425"/>
          <w:docGrid w:type="lines" w:linePitch="312"/>
        </w:sectPr>
      </w:pPr>
    </w:p>
    <w:p w14:paraId="55137F97"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aim of this study is to observe the influence of personality traits on panic-induced emotional contagion and phototaxis behavior. We conducted two virtual reality experiments with a combination of physiological measurements </w:t>
      </w:r>
      <w:r>
        <w:rPr>
          <w:rFonts w:ascii="Times New Roman" w:eastAsia="SimSun" w:hAnsi="Times New Roman" w:cs="Times New Roman"/>
          <w:sz w:val="20"/>
          <w:szCs w:val="20"/>
        </w:rPr>
        <w:t>(</w:t>
      </w:r>
      <w:r>
        <w:rPr>
          <w:rFonts w:ascii="Times New Roman" w:eastAsia="Times New Roman" w:hAnsi="Times New Roman" w:cs="Times New Roman"/>
          <w:sz w:val="20"/>
          <w:szCs w:val="20"/>
        </w:rPr>
        <w:t xml:space="preserve">SCL and EEG) and personality traits (OCEAN) to assess the effects on phototaxis behavior, skin conductance, and relative </w:t>
      </w: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activity, revealing the corresponding changes in panic evacuation behavior and neurophysiology across different personality traits.</w:t>
      </w:r>
    </w:p>
    <w:p w14:paraId="68129F7E"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Based on the OCEAN model, the 28 participants were divided into two groups: high extraversion-neuroticism (HEN) group (9 participants) and low extraversion-neuroticism (LEN) group (19 participants). We analyzed the emotional expression and phototaxis behavior of both groups and found significant differences in path selection within each group, and between groups, with different personality traits showing notable differences in path choice</w:t>
      </w:r>
      <w:r>
        <w:rPr>
          <w:rFonts w:ascii="Times New Roman" w:eastAsia="SimSun" w:hAnsi="Times New Roman" w:cs="Times New Roman"/>
          <w:sz w:val="20"/>
          <w:szCs w:val="20"/>
        </w:rPr>
        <w:t xml:space="preserve"> (</w:t>
      </w:r>
      <w:hyperlink w:anchor="LiJ2021" w:history="1">
        <w:r>
          <w:rPr>
            <w:rStyle w:val="Hyperlink"/>
            <w:rFonts w:ascii="Times New Roman" w:eastAsia="SimSun" w:hAnsi="Times New Roman" w:cs="Times New Roman"/>
            <w:color w:val="auto"/>
            <w:sz w:val="20"/>
            <w:szCs w:val="20"/>
            <w:u w:val="none"/>
          </w:rPr>
          <w:t xml:space="preserve">Li, </w:t>
        </w:r>
        <w:r>
          <w:rPr>
            <w:rStyle w:val="Hyperlink"/>
            <w:rFonts w:ascii="Times New Roman" w:eastAsia="SimSun" w:hAnsi="Times New Roman" w:cs="Times New Roman"/>
            <w:sz w:val="20"/>
            <w:szCs w:val="20"/>
            <w:u w:val="none"/>
          </w:rPr>
          <w:t>2021</w:t>
        </w:r>
      </w:hyperlink>
      <w:r>
        <w:rPr>
          <w:rFonts w:ascii="Times New Roman" w:eastAsia="SimSun" w:hAnsi="Times New Roman" w:cs="Times New Roman"/>
          <w:sz w:val="20"/>
          <w:szCs w:val="20"/>
        </w:rPr>
        <w:t xml:space="preserve">; </w:t>
      </w:r>
      <w:hyperlink w:anchor="Deng" w:history="1">
        <w:r>
          <w:rPr>
            <w:rStyle w:val="Hyperlink"/>
            <w:rFonts w:ascii="Times New Roman" w:eastAsia="SimSun" w:hAnsi="Times New Roman" w:cs="Times New Roman"/>
            <w:color w:val="auto"/>
            <w:sz w:val="20"/>
            <w:szCs w:val="20"/>
            <w:u w:val="none"/>
          </w:rPr>
          <w:t>Deng et al.,</w:t>
        </w:r>
        <w:r>
          <w:rPr>
            <w:rStyle w:val="Hyperlink"/>
            <w:rFonts w:ascii="Times New Roman" w:eastAsia="SimSun" w:hAnsi="Times New Roman" w:cs="Times New Roman"/>
            <w:sz w:val="20"/>
            <w:szCs w:val="20"/>
            <w:u w:val="none"/>
          </w:rPr>
          <w:t xml:space="preserve"> 2024</w:t>
        </w:r>
      </w:hyperlink>
      <w:r>
        <w:rPr>
          <w:rFonts w:ascii="Times New Roman" w:eastAsia="SimSun" w:hAnsi="Times New Roman" w:cs="Times New Roman"/>
          <w:sz w:val="20"/>
          <w:szCs w:val="20"/>
        </w:rPr>
        <w:t xml:space="preserve">; </w:t>
      </w:r>
      <w:hyperlink w:anchor="Song" w:history="1">
        <w:r>
          <w:rPr>
            <w:rStyle w:val="Hyperlink"/>
            <w:rFonts w:ascii="Times New Roman" w:eastAsia="SimSun" w:hAnsi="Times New Roman" w:cs="Times New Roman"/>
            <w:color w:val="auto"/>
            <w:sz w:val="20"/>
            <w:szCs w:val="20"/>
            <w:u w:val="none"/>
          </w:rPr>
          <w:t>Song et al.,</w:t>
        </w:r>
        <w:r>
          <w:rPr>
            <w:rStyle w:val="Hyperlink"/>
            <w:rFonts w:ascii="Times New Roman" w:eastAsia="SimSun" w:hAnsi="Times New Roman" w:cs="Times New Roman"/>
            <w:sz w:val="20"/>
            <w:szCs w:val="20"/>
            <w:u w:val="none"/>
          </w:rPr>
          <w:t xml:space="preserve"> 2024</w:t>
        </w:r>
      </w:hyperlink>
      <w:r>
        <w:rPr>
          <w:rFonts w:ascii="Times New Roman" w:eastAsia="SimSun" w:hAnsi="Times New Roman" w:cs="Times New Roman"/>
          <w:sz w:val="20"/>
          <w:szCs w:val="20"/>
        </w:rPr>
        <w:t>)</w:t>
      </w:r>
      <w:r>
        <w:rPr>
          <w:rFonts w:ascii="Times New Roman" w:eastAsia="Times New Roman" w:hAnsi="Times New Roman" w:cs="Times New Roman"/>
          <w:sz w:val="20"/>
          <w:szCs w:val="20"/>
        </w:rPr>
        <w:t>. The analysis of phototaxis behavior revealed that people with HEN exhibited more pronounced phototaxis, suggesting they are more sensitive to light and tend to choose brighter exits compared to those with LEN.</w:t>
      </w:r>
    </w:p>
    <w:p w14:paraId="2D7D843C"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skin conductance data showed significant differences between personality traits. In Experiment 1, under varying light intensities, we observed significant differences in skin conductance reactions between the two groups. In Experiment 2, after emotional contagion, there was a significant increase in SCL in the LEN group, while there was </w:t>
      </w:r>
      <w:r>
        <w:rPr>
          <w:rFonts w:ascii="Times New Roman" w:eastAsia="Times New Roman" w:hAnsi="Times New Roman" w:cs="Times New Roman"/>
          <w:sz w:val="20"/>
          <w:szCs w:val="20"/>
        </w:rPr>
        <w:t xml:space="preserve">no significant change in the HEN group. This indicates that </w:t>
      </w:r>
      <w:r>
        <w:rPr>
          <w:rFonts w:ascii="Times New Roman" w:eastAsia="SimSun" w:hAnsi="Times New Roman" w:cs="Times New Roman"/>
          <w:sz w:val="20"/>
          <w:szCs w:val="20"/>
        </w:rPr>
        <w:t>LEN</w:t>
      </w:r>
      <w:r>
        <w:rPr>
          <w:rFonts w:ascii="Times New Roman" w:eastAsia="Times New Roman" w:hAnsi="Times New Roman" w:cs="Times New Roman"/>
          <w:sz w:val="20"/>
          <w:szCs w:val="20"/>
        </w:rPr>
        <w:t xml:space="preserve"> participants are more susceptible to panic emotions, while </w:t>
      </w:r>
      <w:r>
        <w:rPr>
          <w:rFonts w:ascii="Times New Roman" w:eastAsia="SimSun" w:hAnsi="Times New Roman" w:cs="Times New Roman"/>
          <w:sz w:val="20"/>
          <w:szCs w:val="20"/>
        </w:rPr>
        <w:t>HEN</w:t>
      </w:r>
      <w:r>
        <w:rPr>
          <w:rFonts w:ascii="Times New Roman" w:eastAsia="Times New Roman" w:hAnsi="Times New Roman" w:cs="Times New Roman"/>
          <w:sz w:val="20"/>
          <w:szCs w:val="20"/>
        </w:rPr>
        <w:t xml:space="preserve"> participants show minimal physiological change in response to panic. These findings are consistent with existing literature</w:t>
      </w:r>
      <w:r>
        <w:rPr>
          <w:rFonts w:ascii="Times New Roman" w:eastAsia="SimSun" w:hAnsi="Times New Roman" w:cs="Times New Roman"/>
          <w:sz w:val="20"/>
          <w:szCs w:val="20"/>
        </w:rPr>
        <w:t xml:space="preserve"> </w:t>
      </w:r>
      <w:r>
        <w:rPr>
          <w:rFonts w:ascii="Times New Roman" w:eastAsia="Times New Roman" w:hAnsi="Times New Roman" w:cs="Times New Roman"/>
          <w:sz w:val="20"/>
          <w:szCs w:val="20"/>
        </w:rPr>
        <w:t>(</w:t>
      </w:r>
      <w:hyperlink w:anchor="Chen" w:history="1">
        <w:r>
          <w:rPr>
            <w:rStyle w:val="Hyperlink"/>
            <w:rFonts w:ascii="Times New Roman" w:eastAsia="Times New Roman" w:hAnsi="Times New Roman" w:cs="Times New Roman"/>
            <w:color w:val="auto"/>
            <w:sz w:val="20"/>
            <w:szCs w:val="20"/>
            <w:u w:val="none"/>
          </w:rPr>
          <w:t>Chen et al.,</w:t>
        </w:r>
        <w:r>
          <w:rPr>
            <w:rStyle w:val="Hyperlink"/>
            <w:rFonts w:ascii="Times New Roman" w:eastAsia="Times New Roman" w:hAnsi="Times New Roman" w:cs="Times New Roman"/>
            <w:sz w:val="20"/>
            <w:szCs w:val="20"/>
            <w:u w:val="none"/>
          </w:rPr>
          <w:t xml:space="preserve"> 2024</w:t>
        </w:r>
      </w:hyperlink>
      <w:r>
        <w:rPr>
          <w:rFonts w:ascii="Times New Roman" w:eastAsia="Times New Roman" w:hAnsi="Times New Roman" w:cs="Times New Roman"/>
          <w:sz w:val="20"/>
          <w:szCs w:val="20"/>
        </w:rPr>
        <w:t>).</w:t>
      </w:r>
    </w:p>
    <w:p w14:paraId="4346B502" w14:textId="77777777" w:rsidR="00907DC0" w:rsidRDefault="00000000">
      <w:pPr>
        <w:spacing w:line="280" w:lineRule="exact"/>
        <w:ind w:firstLineChars="200" w:firstLine="40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data also showed significant differences between personality traits. In Experiment 1, we observed significant differences in θ-</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power between the two groups, but no significant differences in α-</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and β-</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power. Personality traits can affect individuals' responses to emotional stimuli, with θ-</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playing a key role in working memory and alertness. The environmental changes due to different light conditions likely triggered the participants' alertness or anxiety responses, reflected in significant changes in θ-</w:t>
      </w:r>
      <w:r>
        <w:rPr>
          <w:rFonts w:ascii="Times New Roman" w:eastAsia="SimSun" w:hAnsi="Times New Roman" w:cs="Times New Roman"/>
          <w:sz w:val="20"/>
          <w:szCs w:val="20"/>
        </w:rPr>
        <w:t>band</w:t>
      </w:r>
      <w:r>
        <w:rPr>
          <w:rFonts w:ascii="Times New Roman" w:eastAsia="Times New Roman" w:hAnsi="Times New Roman" w:cs="Times New Roman"/>
          <w:sz w:val="20"/>
          <w:szCs w:val="20"/>
        </w:rPr>
        <w:t>, while α-</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and β-</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are more related to cognitive processing and attention, possibly linked to emotional regulation and cognitive processing styles.</w:t>
      </w:r>
    </w:p>
    <w:p w14:paraId="0A9AE4F2"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 Experiment 2, we observed the effect of emotional contagion on </w:t>
      </w: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power in different personality traits. The </w:t>
      </w: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power under emotional contagion conditions showed significant differences, mainly affecting the frontal and parietal regions. In the LEN group, θ-</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decreased significantly, while α-</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increased significantly. In contrast, in the HEN group, θ-</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increased significantly under emotional contagion. θ-</w:t>
      </w:r>
      <w:r>
        <w:rPr>
          <w:rFonts w:ascii="Times New Roman" w:eastAsia="SimSun" w:hAnsi="Times New Roman" w:cs="Times New Roman"/>
          <w:sz w:val="20"/>
          <w:szCs w:val="20"/>
        </w:rPr>
        <w:t>band</w:t>
      </w:r>
      <w:r>
        <w:rPr>
          <w:rFonts w:ascii="Times New Roman" w:eastAsia="Times New Roman" w:hAnsi="Times New Roman" w:cs="Times New Roman"/>
          <w:sz w:val="20"/>
          <w:szCs w:val="20"/>
        </w:rPr>
        <w:t>s are typically associated with emotional regulation, attention, and activation of working memory (</w:t>
      </w:r>
      <w:proofErr w:type="spellStart"/>
      <w:r>
        <w:rPr>
          <w:rFonts w:ascii="Times New Roman" w:eastAsia="Times New Roman" w:hAnsi="Times New Roman" w:cs="Times New Roman"/>
          <w:sz w:val="20"/>
          <w:szCs w:val="20"/>
        </w:rPr>
        <w:fldChar w:fldCharType="begin"/>
      </w:r>
      <w:r>
        <w:rPr>
          <w:rFonts w:ascii="Times New Roman" w:eastAsia="Times New Roman" w:hAnsi="Times New Roman" w:cs="Times New Roman"/>
          <w:sz w:val="20"/>
          <w:szCs w:val="20"/>
        </w:rPr>
        <w:instrText xml:space="preserve"> HYPERLINK \l "Kosachenko" </w:instrText>
      </w:r>
      <w:r>
        <w:rPr>
          <w:rFonts w:ascii="Times New Roman" w:eastAsia="Times New Roman" w:hAnsi="Times New Roman" w:cs="Times New Roman"/>
          <w:sz w:val="20"/>
          <w:szCs w:val="20"/>
        </w:rPr>
      </w:r>
      <w:r>
        <w:rPr>
          <w:rFonts w:ascii="Times New Roman" w:eastAsia="Times New Roman" w:hAnsi="Times New Roman" w:cs="Times New Roman"/>
          <w:sz w:val="20"/>
          <w:szCs w:val="20"/>
        </w:rPr>
        <w:fldChar w:fldCharType="separate"/>
      </w:r>
      <w:r>
        <w:rPr>
          <w:rStyle w:val="Hyperlink"/>
          <w:rFonts w:ascii="Times New Roman" w:eastAsia="Times New Roman" w:hAnsi="Times New Roman" w:cs="Times New Roman"/>
          <w:color w:val="auto"/>
          <w:sz w:val="20"/>
          <w:szCs w:val="20"/>
          <w:u w:val="none"/>
        </w:rPr>
        <w:t>Kosachenko</w:t>
      </w:r>
      <w:proofErr w:type="spellEnd"/>
      <w:r>
        <w:rPr>
          <w:rStyle w:val="Hyperlink"/>
          <w:rFonts w:ascii="Times New Roman" w:eastAsia="Times New Roman" w:hAnsi="Times New Roman" w:cs="Times New Roman"/>
          <w:color w:val="auto"/>
          <w:sz w:val="20"/>
          <w:szCs w:val="20"/>
          <w:u w:val="none"/>
        </w:rPr>
        <w:t xml:space="preserve"> et al., </w:t>
      </w:r>
      <w:r>
        <w:rPr>
          <w:rStyle w:val="Hyperlink"/>
          <w:rFonts w:ascii="Times New Roman" w:eastAsia="Times New Roman" w:hAnsi="Times New Roman" w:cs="Times New Roman"/>
          <w:sz w:val="20"/>
          <w:szCs w:val="20"/>
          <w:u w:val="none"/>
        </w:rPr>
        <w:t>2023</w:t>
      </w:r>
      <w:r>
        <w:rPr>
          <w:rFonts w:ascii="Times New Roman" w:eastAsia="Times New Roman" w:hAnsi="Times New Roman" w:cs="Times New Roman"/>
          <w:sz w:val="20"/>
          <w:szCs w:val="20"/>
        </w:rPr>
        <w:fldChar w:fldCharType="end"/>
      </w:r>
      <w:r>
        <w:rPr>
          <w:rFonts w:ascii="Times New Roman" w:eastAsia="Times New Roman" w:hAnsi="Times New Roman" w:cs="Times New Roman"/>
          <w:sz w:val="20"/>
          <w:szCs w:val="20"/>
        </w:rPr>
        <w:t xml:space="preserve">). </w:t>
      </w:r>
      <w:r>
        <w:rPr>
          <w:rFonts w:ascii="Times New Roman" w:eastAsia="SimSun" w:hAnsi="Times New Roman" w:cs="Times New Roman"/>
          <w:sz w:val="20"/>
          <w:szCs w:val="20"/>
        </w:rPr>
        <w:t>LEN</w:t>
      </w:r>
      <w:r>
        <w:rPr>
          <w:rFonts w:ascii="Times New Roman" w:eastAsia="Times New Roman" w:hAnsi="Times New Roman" w:cs="Times New Roman"/>
          <w:sz w:val="20"/>
          <w:szCs w:val="20"/>
        </w:rPr>
        <w:t xml:space="preserve"> participants are </w:t>
      </w:r>
      <w:r>
        <w:rPr>
          <w:rFonts w:ascii="Times New Roman" w:eastAsia="Times New Roman" w:hAnsi="Times New Roman" w:cs="Times New Roman"/>
          <w:sz w:val="20"/>
          <w:szCs w:val="20"/>
        </w:rPr>
        <w:lastRenderedPageBreak/>
        <w:t>more affected by negative emotions, as evidenced by the significant decrease in θ-</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during emotional contagion. This is likely due to their poorer emotional regulation abilities and lower emotional stability. In contrast, </w:t>
      </w:r>
      <w:r>
        <w:rPr>
          <w:rFonts w:ascii="Times New Roman" w:eastAsia="SimSun" w:hAnsi="Times New Roman" w:cs="Times New Roman"/>
          <w:sz w:val="20"/>
          <w:szCs w:val="20"/>
        </w:rPr>
        <w:t>HEN</w:t>
      </w:r>
      <w:r>
        <w:rPr>
          <w:rFonts w:ascii="Times New Roman" w:eastAsia="Times New Roman" w:hAnsi="Times New Roman" w:cs="Times New Roman"/>
          <w:sz w:val="20"/>
          <w:szCs w:val="20"/>
        </w:rPr>
        <w:t xml:space="preserve"> participants showed a significant increase in θ-</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indicating they may be more sensitive to others' emotions, which influenced their </w:t>
      </w: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activity. α-</w:t>
      </w:r>
      <w:r>
        <w:rPr>
          <w:rFonts w:ascii="Times New Roman" w:eastAsia="SimSun" w:hAnsi="Times New Roman" w:cs="Times New Roman"/>
          <w:sz w:val="20"/>
          <w:szCs w:val="20"/>
        </w:rPr>
        <w:t>band</w:t>
      </w:r>
      <w:r>
        <w:rPr>
          <w:rFonts w:ascii="Times New Roman" w:eastAsia="Times New Roman" w:hAnsi="Times New Roman" w:cs="Times New Roman"/>
          <w:sz w:val="20"/>
          <w:szCs w:val="20"/>
        </w:rPr>
        <w:t>s are usually associated with relaxation, attention, and cognitive load</w:t>
      </w:r>
      <w:r>
        <w:rPr>
          <w:rFonts w:ascii="Times New Roman" w:eastAsia="SimSun" w:hAnsi="Times New Roman" w:cs="Times New Roman"/>
          <w:sz w:val="20"/>
          <w:szCs w:val="20"/>
        </w:rPr>
        <w:t xml:space="preserve"> (</w:t>
      </w:r>
      <w:hyperlink w:anchor="Romeo" w:history="1">
        <w:r>
          <w:rPr>
            <w:rStyle w:val="Hyperlink"/>
            <w:rFonts w:ascii="Times New Roman" w:eastAsia="SimSun" w:hAnsi="Times New Roman" w:cs="Times New Roman"/>
            <w:color w:val="auto"/>
            <w:sz w:val="20"/>
            <w:szCs w:val="20"/>
            <w:u w:val="none"/>
          </w:rPr>
          <w:t xml:space="preserve">Romeo et al., </w:t>
        </w:r>
        <w:r>
          <w:rPr>
            <w:rStyle w:val="Hyperlink"/>
            <w:rFonts w:ascii="Times New Roman" w:eastAsia="SimSun" w:hAnsi="Times New Roman" w:cs="Times New Roman"/>
            <w:sz w:val="20"/>
            <w:szCs w:val="20"/>
            <w:u w:val="none"/>
          </w:rPr>
          <w:t>2024</w:t>
        </w:r>
      </w:hyperlink>
      <w:r>
        <w:rPr>
          <w:rFonts w:ascii="Times New Roman" w:eastAsia="SimSun" w:hAnsi="Times New Roman" w:cs="Times New Roman"/>
          <w:sz w:val="20"/>
          <w:szCs w:val="20"/>
        </w:rPr>
        <w:t>)</w:t>
      </w:r>
      <w:r>
        <w:rPr>
          <w:rFonts w:ascii="Times New Roman" w:eastAsia="Times New Roman" w:hAnsi="Times New Roman" w:cs="Times New Roman"/>
          <w:sz w:val="20"/>
          <w:szCs w:val="20"/>
        </w:rPr>
        <w:t>. The significant increase in α-</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in the LEN group after emotional contagion may suggest that </w:t>
      </w:r>
      <w:r>
        <w:rPr>
          <w:rFonts w:ascii="Times New Roman" w:eastAsia="SimSun" w:hAnsi="Times New Roman" w:cs="Times New Roman"/>
          <w:sz w:val="20"/>
          <w:szCs w:val="20"/>
        </w:rPr>
        <w:t>LEN</w:t>
      </w:r>
      <w:r>
        <w:rPr>
          <w:rFonts w:ascii="Times New Roman" w:eastAsia="Times New Roman" w:hAnsi="Times New Roman" w:cs="Times New Roman"/>
          <w:sz w:val="20"/>
          <w:szCs w:val="20"/>
        </w:rPr>
        <w:t xml:space="preserve"> individuals tend to cope with emotional fluctuations through self-regulation and a calmer approach. On the other hand, </w:t>
      </w:r>
      <w:proofErr w:type="gramStart"/>
      <w:r>
        <w:rPr>
          <w:rFonts w:ascii="Times New Roman" w:eastAsia="Times New Roman" w:hAnsi="Times New Roman" w:cs="Times New Roman"/>
          <w:sz w:val="20"/>
          <w:szCs w:val="20"/>
        </w:rPr>
        <w:t>HEN</w:t>
      </w:r>
      <w:proofErr w:type="gramEnd"/>
      <w:r>
        <w:rPr>
          <w:rFonts w:ascii="Times New Roman" w:eastAsia="Times New Roman" w:hAnsi="Times New Roman" w:cs="Times New Roman"/>
          <w:sz w:val="20"/>
          <w:szCs w:val="20"/>
        </w:rPr>
        <w:t xml:space="preserve"> group showed no significant changes in α-</w:t>
      </w:r>
      <w:r>
        <w:rPr>
          <w:rFonts w:ascii="Times New Roman" w:eastAsia="SimSun" w:hAnsi="Times New Roman" w:cs="Times New Roman"/>
          <w:sz w:val="20"/>
          <w:szCs w:val="20"/>
        </w:rPr>
        <w:t>band</w:t>
      </w:r>
      <w:r>
        <w:rPr>
          <w:rFonts w:ascii="Times New Roman" w:eastAsia="Times New Roman" w:hAnsi="Times New Roman" w:cs="Times New Roman"/>
          <w:sz w:val="20"/>
          <w:szCs w:val="20"/>
        </w:rPr>
        <w:t>, which may indicate their stronger emotional regulation mechanisms. β-</w:t>
      </w:r>
      <w:r>
        <w:rPr>
          <w:rFonts w:ascii="Times New Roman" w:eastAsia="SimSun" w:hAnsi="Times New Roman" w:cs="Times New Roman"/>
          <w:sz w:val="20"/>
          <w:szCs w:val="20"/>
        </w:rPr>
        <w:t>band</w:t>
      </w:r>
      <w:r>
        <w:rPr>
          <w:rFonts w:ascii="Times New Roman" w:eastAsia="Times New Roman" w:hAnsi="Times New Roman" w:cs="Times New Roman"/>
          <w:sz w:val="20"/>
          <w:szCs w:val="20"/>
        </w:rPr>
        <w:t>s are generally related to focused attention, anxiety, or cognitive tasks</w:t>
      </w:r>
      <w:r>
        <w:rPr>
          <w:rFonts w:ascii="Times New Roman" w:eastAsia="SimSun" w:hAnsi="Times New Roman" w:cs="Times New Roman"/>
          <w:sz w:val="20"/>
          <w:szCs w:val="20"/>
        </w:rPr>
        <w:t xml:space="preserve"> (</w:t>
      </w:r>
      <w:hyperlink w:anchor="Jiang" w:history="1">
        <w:r>
          <w:rPr>
            <w:rStyle w:val="Hyperlink"/>
            <w:rFonts w:ascii="Times New Roman" w:eastAsia="SimSun" w:hAnsi="Times New Roman" w:cs="Times New Roman"/>
            <w:color w:val="auto"/>
            <w:sz w:val="20"/>
            <w:szCs w:val="20"/>
            <w:u w:val="none"/>
          </w:rPr>
          <w:t>Jiang et al.,</w:t>
        </w:r>
        <w:r>
          <w:rPr>
            <w:rStyle w:val="Hyperlink"/>
            <w:rFonts w:ascii="Times New Roman" w:eastAsia="SimSun" w:hAnsi="Times New Roman" w:cs="Times New Roman"/>
            <w:sz w:val="20"/>
            <w:szCs w:val="20"/>
            <w:u w:val="none"/>
          </w:rPr>
          <w:t xml:space="preserve"> 2020</w:t>
        </w:r>
      </w:hyperlink>
      <w:r>
        <w:rPr>
          <w:rFonts w:ascii="Times New Roman" w:eastAsia="SimSun" w:hAnsi="Times New Roman" w:cs="Times New Roman"/>
          <w:sz w:val="20"/>
          <w:szCs w:val="20"/>
        </w:rPr>
        <w:t>)</w:t>
      </w:r>
      <w:r>
        <w:rPr>
          <w:rFonts w:ascii="Times New Roman" w:eastAsia="Times New Roman" w:hAnsi="Times New Roman" w:cs="Times New Roman"/>
          <w:sz w:val="20"/>
          <w:szCs w:val="20"/>
        </w:rPr>
        <w:t>. However, in this experiment, emotional contagion did not significantly affect β-</w:t>
      </w:r>
      <w:r>
        <w:rPr>
          <w:rFonts w:ascii="Times New Roman" w:eastAsia="SimSun" w:hAnsi="Times New Roman" w:cs="Times New Roman"/>
          <w:sz w:val="20"/>
          <w:szCs w:val="20"/>
        </w:rPr>
        <w:t>band</w:t>
      </w:r>
      <w:r>
        <w:rPr>
          <w:rFonts w:ascii="Times New Roman" w:eastAsia="Times New Roman" w:hAnsi="Times New Roman" w:cs="Times New Roman"/>
          <w:sz w:val="20"/>
          <w:szCs w:val="20"/>
        </w:rPr>
        <w:t xml:space="preserve"> changes, suggesting that emotional contagion primarily influenced emotional responses rather than cognitive load or attention.</w:t>
      </w:r>
    </w:p>
    <w:p w14:paraId="734DDBDF"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By analyzing phototaxis behavior, skin conductance, and relative </w:t>
      </w: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activity, we have clarified the significant impact of personality traits on phototaxis behavior, skin conductance reactions, and </w:t>
      </w: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activity. Given the differences in participant traits, this study highlights the responses and behaviors of individuals with different personality traits in panic evacuation situations. This suggests the limitations of implementing a unified evacuation strategy and emphasizes the importance of personalized evacuation training. The results provide a foundation for individualized and scientifically based evacuation training plans, helping reduce training costs and increase overall evacuation efficiency. Moreover, by revealing the patterns of emotional contagion and decision-making behavior in panic situations, the study offers valuable insights for optimizing evacuation guidance strategies and supports the development of more efficient evacuation management systems.</w:t>
      </w:r>
    </w:p>
    <w:p w14:paraId="0CF8F08D"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Although the conclusions drawn from this study hold certain reference value, there are some limitations. First, considering the feasibility and operability of the experiment, the participants were university students and faculty from Chinese universities. Despite efforts to expand the age range of the sample, there remains a difference compared to actual passengers, limiting the generalizability of the results. Second, the sense of immersion and realism of the scenario needs further refinement, including the closeness of the stimuli to real-life scenarios and whether the emotional arousal effects meet the standards. These are areas for improvement in future research.</w:t>
      </w:r>
    </w:p>
    <w:p w14:paraId="4531127C"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Therefore, in future studies, we will increase participant diversity and group representation, while improving the ecological validity of virtual reality to enhance the realism and reliability of evacuation simulations</w:t>
      </w:r>
      <w:r>
        <w:rPr>
          <w:rFonts w:ascii="Times New Roman" w:eastAsia="SimSun" w:hAnsi="Times New Roman" w:cs="Times New Roman"/>
          <w:sz w:val="20"/>
          <w:szCs w:val="20"/>
        </w:rPr>
        <w:t xml:space="preserve"> (</w:t>
      </w:r>
      <w:hyperlink w:anchor="ZouHliN" w:history="1">
        <w:r>
          <w:rPr>
            <w:rStyle w:val="FollowedHyperlink"/>
            <w:rFonts w:cs="Times New Roman"/>
            <w:color w:val="auto"/>
            <w:sz w:val="20"/>
            <w:szCs w:val="20"/>
            <w:u w:val="none"/>
          </w:rPr>
          <w:t>Zou et al.,</w:t>
        </w:r>
        <w:r>
          <w:rPr>
            <w:rStyle w:val="FollowedHyperlink"/>
            <w:rFonts w:cs="Times New Roman"/>
            <w:sz w:val="20"/>
            <w:szCs w:val="20"/>
            <w:u w:val="none"/>
          </w:rPr>
          <w:t xml:space="preserve"> 2017</w:t>
        </w:r>
      </w:hyperlink>
      <w:r>
        <w:rPr>
          <w:rFonts w:ascii="Times New Roman" w:eastAsia="SimSun" w:hAnsi="Times New Roman" w:cs="Times New Roman"/>
          <w:sz w:val="20"/>
          <w:szCs w:val="20"/>
        </w:rPr>
        <w:t>)</w:t>
      </w:r>
      <w:r>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 xml:space="preserve">aiming for broader applicability to real-life situations. Our </w:t>
      </w:r>
      <w:proofErr w:type="gramStart"/>
      <w:r>
        <w:rPr>
          <w:rFonts w:ascii="Times New Roman" w:eastAsia="Times New Roman" w:hAnsi="Times New Roman" w:cs="Times New Roman"/>
          <w:sz w:val="20"/>
          <w:szCs w:val="20"/>
        </w:rPr>
        <w:t>ultimate goal</w:t>
      </w:r>
      <w:proofErr w:type="gramEnd"/>
      <w:r>
        <w:rPr>
          <w:rFonts w:ascii="Times New Roman" w:eastAsia="Times New Roman" w:hAnsi="Times New Roman" w:cs="Times New Roman"/>
          <w:sz w:val="20"/>
          <w:szCs w:val="20"/>
        </w:rPr>
        <w:t xml:space="preserve"> is to apply the research findings to emergency evacuation management practices, optimize evacuation guidance strategies, and improve the effectiveness of personalized training, contributing to the establishment of more efficient evacuation management systems</w:t>
      </w:r>
      <w:r>
        <w:rPr>
          <w:rFonts w:ascii="Times New Roman" w:eastAsia="SimSun" w:hAnsi="Times New Roman" w:cs="Times New Roman"/>
          <w:sz w:val="20"/>
          <w:szCs w:val="20"/>
        </w:rPr>
        <w:t xml:space="preserve"> (</w:t>
      </w:r>
      <w:hyperlink w:anchor="ZouH2017" w:history="1">
        <w:r>
          <w:rPr>
            <w:rStyle w:val="FollowedHyperlink"/>
            <w:rFonts w:eastAsia="Times New Roman" w:cs="Times New Roman"/>
            <w:color w:val="auto"/>
            <w:sz w:val="20"/>
            <w:szCs w:val="20"/>
            <w:u w:val="none"/>
          </w:rPr>
          <w:t>Zou,</w:t>
        </w:r>
        <w:r>
          <w:rPr>
            <w:rStyle w:val="FollowedHyperlink"/>
            <w:rFonts w:eastAsia="Times New Roman" w:cs="Times New Roman"/>
            <w:sz w:val="20"/>
            <w:szCs w:val="20"/>
            <w:u w:val="none"/>
          </w:rPr>
          <w:t xml:space="preserve"> 2017</w:t>
        </w:r>
      </w:hyperlink>
      <w:r>
        <w:rPr>
          <w:rFonts w:ascii="Times New Roman" w:eastAsia="Times New Roman" w:hAnsi="Times New Roman" w:cs="Times New Roman"/>
          <w:sz w:val="20"/>
          <w:szCs w:val="20"/>
        </w:rPr>
        <w:t xml:space="preserve">). However, it is undeniable that personality traits significantly impact evacuation efficiency, as evidenced by the differences in behavior, skin conductance, and </w:t>
      </w: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data, which provides a theoretical foundation for subsequent research.</w:t>
      </w:r>
    </w:p>
    <w:p w14:paraId="069F00E8" w14:textId="77777777" w:rsidR="00907DC0" w:rsidRDefault="00000000">
      <w:pPr>
        <w:pStyle w:val="Heading3"/>
        <w:spacing w:before="156" w:after="156" w:line="280" w:lineRule="exact"/>
        <w:jc w:val="left"/>
        <w:rPr>
          <w:rFonts w:ascii="Times New Roman" w:eastAsia="SimSun" w:hAnsi="Times New Roman" w:cs="Times New Roman"/>
          <w:sz w:val="20"/>
          <w:szCs w:val="20"/>
        </w:rPr>
      </w:pPr>
      <w:r>
        <w:rPr>
          <w:rFonts w:ascii="Times New Roman" w:eastAsia="Times New Roman" w:hAnsi="Times New Roman" w:cs="Times New Roman"/>
          <w:sz w:val="20"/>
          <w:szCs w:val="20"/>
        </w:rPr>
        <w:t>5. C</w:t>
      </w:r>
      <w:r>
        <w:rPr>
          <w:rFonts w:ascii="Times New Roman" w:eastAsia="SimSun" w:hAnsi="Times New Roman" w:cs="Times New Roman" w:hint="eastAsia"/>
          <w:sz w:val="20"/>
          <w:szCs w:val="20"/>
        </w:rPr>
        <w:t>ONCLUSION</w:t>
      </w:r>
    </w:p>
    <w:p w14:paraId="1CF2804D" w14:textId="77777777" w:rsidR="00907DC0" w:rsidRDefault="00000000">
      <w:pPr>
        <w:spacing w:line="280" w:lineRule="exact"/>
        <w:ind w:firstLineChars="200" w:firstLine="40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This study explored the impact of personality traits on panic-induced emotional contagion and phototaxis behavior through two virtual reality experiments. We analyzed phototaxis behavior, skin conductance reactions, and </w:t>
      </w: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activity to reveal corresponding changes in panic evacuation behavior and neurophysiology across different personality traits. All participants were divided into two groups: HEN</w:t>
      </w:r>
      <w:r>
        <w:rPr>
          <w:rFonts w:ascii="Times New Roman" w:eastAsia="SimSun" w:hAnsi="Times New Roman" w:cs="Times New Roman"/>
          <w:sz w:val="20"/>
          <w:szCs w:val="20"/>
        </w:rPr>
        <w:t xml:space="preserve"> </w:t>
      </w:r>
      <w:r>
        <w:rPr>
          <w:rFonts w:ascii="Times New Roman" w:eastAsia="Times New Roman" w:hAnsi="Times New Roman" w:cs="Times New Roman"/>
          <w:sz w:val="20"/>
          <w:szCs w:val="20"/>
        </w:rPr>
        <w:t>and</w:t>
      </w:r>
      <w:r>
        <w:rPr>
          <w:rFonts w:ascii="Times New Roman" w:eastAsia="SimSun" w:hAnsi="Times New Roman" w:cs="Times New Roman"/>
          <w:sz w:val="20"/>
          <w:szCs w:val="20"/>
        </w:rPr>
        <w:t xml:space="preserve"> </w:t>
      </w:r>
      <w:r>
        <w:rPr>
          <w:rFonts w:ascii="Times New Roman" w:eastAsia="Times New Roman" w:hAnsi="Times New Roman" w:cs="Times New Roman"/>
          <w:sz w:val="20"/>
          <w:szCs w:val="20"/>
        </w:rPr>
        <w:t xml:space="preserve">LEN, with significant differences observed in personality traits, phototaxis behavior, SCL, and EEG. The study found that, after grouping by personality traits, high extraversion-neuroticism individuals exhibited more pronounced phototaxis and greater sensitivity to light compared to </w:t>
      </w:r>
      <w:r>
        <w:rPr>
          <w:rFonts w:ascii="Times New Roman" w:eastAsia="SimSun" w:hAnsi="Times New Roman" w:cs="Times New Roman"/>
          <w:sz w:val="20"/>
          <w:szCs w:val="20"/>
        </w:rPr>
        <w:t>LEN</w:t>
      </w:r>
      <w:r>
        <w:rPr>
          <w:rFonts w:ascii="Times New Roman" w:eastAsia="Times New Roman" w:hAnsi="Times New Roman" w:cs="Times New Roman"/>
          <w:sz w:val="20"/>
          <w:szCs w:val="20"/>
        </w:rPr>
        <w:t xml:space="preserve"> individuals. Skin conductance data indicated that </w:t>
      </w:r>
      <w:r>
        <w:rPr>
          <w:rFonts w:ascii="Times New Roman" w:eastAsia="SimSun" w:hAnsi="Times New Roman" w:cs="Times New Roman"/>
          <w:sz w:val="20"/>
          <w:szCs w:val="20"/>
        </w:rPr>
        <w:t>LEN</w:t>
      </w:r>
      <w:r>
        <w:rPr>
          <w:rFonts w:ascii="Times New Roman" w:eastAsia="Times New Roman" w:hAnsi="Times New Roman" w:cs="Times New Roman"/>
          <w:sz w:val="20"/>
          <w:szCs w:val="20"/>
        </w:rPr>
        <w:t xml:space="preserve"> individuals were more susceptible to panic emotions, while </w:t>
      </w:r>
      <w:r>
        <w:rPr>
          <w:rFonts w:ascii="Times New Roman" w:eastAsia="SimSun" w:hAnsi="Times New Roman" w:cs="Times New Roman"/>
          <w:sz w:val="20"/>
          <w:szCs w:val="20"/>
        </w:rPr>
        <w:t>HEN</w:t>
      </w:r>
      <w:r>
        <w:rPr>
          <w:rFonts w:ascii="Times New Roman" w:eastAsia="Times New Roman" w:hAnsi="Times New Roman" w:cs="Times New Roman"/>
          <w:sz w:val="20"/>
          <w:szCs w:val="20"/>
        </w:rPr>
        <w:t xml:space="preserve"> individuals exhibited minimal physiological change in response to panic. </w:t>
      </w: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data demonstrated that personality traits significantly influenced </w:t>
      </w: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changes under emotional contagion, particularly affecting </w:t>
      </w:r>
      <w:proofErr w:type="spellStart"/>
      <w:r>
        <w:rPr>
          <w:rFonts w:ascii="Times New Roman" w:eastAsia="Times New Roman" w:hAnsi="Times New Roman" w:cs="Times New Roman"/>
          <w:sz w:val="20"/>
          <w:szCs w:val="20"/>
        </w:rPr>
        <w:t>brain</w:t>
      </w:r>
      <w:r>
        <w:rPr>
          <w:rFonts w:ascii="Times New Roman" w:eastAsia="SimSun" w:hAnsi="Times New Roman" w:cs="Times New Roman"/>
          <w:sz w:val="20"/>
          <w:szCs w:val="20"/>
        </w:rPr>
        <w:t>band</w:t>
      </w:r>
      <w:proofErr w:type="spellEnd"/>
      <w:r>
        <w:rPr>
          <w:rFonts w:ascii="Times New Roman" w:eastAsia="Times New Roman" w:hAnsi="Times New Roman" w:cs="Times New Roman"/>
          <w:sz w:val="20"/>
          <w:szCs w:val="20"/>
        </w:rPr>
        <w:t xml:space="preserve"> power in the frontal and parietal regions. This study, through analyzing the reactions and behaviors of different personality traits in panic evacuation, provides valuable insights into individual psychological processes and corresponding neurophysiological mechanisms, emphasizing the importance of personalized evacuation plans and optimized evacuation strategies for panic evacuation guidance and crowd management.</w:t>
      </w:r>
    </w:p>
    <w:p w14:paraId="195AD982" w14:textId="77777777" w:rsidR="00907DC0" w:rsidRDefault="00000000">
      <w:pPr>
        <w:pStyle w:val="Heading3"/>
        <w:spacing w:before="156" w:after="156" w:line="280" w:lineRule="exact"/>
        <w:jc w:val="left"/>
        <w:rPr>
          <w:rFonts w:ascii="Times New Roman" w:eastAsia="Times New Roman" w:hAnsi="Times New Roman" w:cs="Times New Roman"/>
          <w:sz w:val="20"/>
          <w:szCs w:val="20"/>
        </w:rPr>
      </w:pPr>
      <w:r>
        <w:rPr>
          <w:rFonts w:ascii="Times New Roman" w:eastAsia="Times New Roman" w:hAnsi="Times New Roman" w:cs="Times New Roman"/>
          <w:sz w:val="20"/>
          <w:szCs w:val="20"/>
        </w:rPr>
        <w:t>ACKNOWLEDGMENTS</w:t>
      </w:r>
    </w:p>
    <w:p w14:paraId="4D570A25" w14:textId="77777777" w:rsidR="00907DC0" w:rsidRDefault="00000000">
      <w:pPr>
        <w:spacing w:line="280" w:lineRule="exact"/>
        <w:ind w:firstLineChars="200" w:firstLine="400"/>
        <w:rPr>
          <w:rFonts w:ascii="Times New Roman" w:eastAsia="SimSun" w:hAnsi="Times New Roman" w:cs="Times New Roman"/>
          <w:sz w:val="20"/>
          <w:szCs w:val="20"/>
        </w:rPr>
      </w:pPr>
      <w:r>
        <w:rPr>
          <w:rFonts w:ascii="Times New Roman" w:eastAsia="Times New Roman" w:hAnsi="Times New Roman" w:cs="Times New Roman"/>
          <w:sz w:val="20"/>
          <w:szCs w:val="20"/>
        </w:rPr>
        <w:t xml:space="preserve">This research was supported by the </w:t>
      </w:r>
      <w:bookmarkStart w:id="35" w:name="OLE_LINK22"/>
      <w:r>
        <w:rPr>
          <w:rFonts w:ascii="Times New Roman" w:eastAsia="Times New Roman" w:hAnsi="Times New Roman" w:cs="Times New Roman"/>
          <w:sz w:val="20"/>
          <w:szCs w:val="20"/>
        </w:rPr>
        <w:t xml:space="preserve">National Natural Science Foundation of </w:t>
      </w:r>
      <w:proofErr w:type="gramStart"/>
      <w:r>
        <w:rPr>
          <w:rFonts w:ascii="Times New Roman" w:eastAsia="Times New Roman" w:hAnsi="Times New Roman" w:cs="Times New Roman"/>
          <w:sz w:val="20"/>
          <w:szCs w:val="20"/>
        </w:rPr>
        <w:t>China</w:t>
      </w:r>
      <w:bookmarkEnd w:id="35"/>
      <w:r>
        <w:rPr>
          <w:rFonts w:ascii="Times New Roman" w:eastAsia="Times New Roman" w:hAnsi="Times New Roman" w:cs="Times New Roman"/>
          <w:sz w:val="20"/>
          <w:szCs w:val="20"/>
        </w:rPr>
        <w:t>(</w:t>
      </w:r>
      <w:proofErr w:type="gramEnd"/>
      <w:r>
        <w:rPr>
          <w:rFonts w:ascii="Times New Roman" w:eastAsia="Times New Roman" w:hAnsi="Times New Roman" w:cs="Times New Roman"/>
          <w:sz w:val="20"/>
          <w:szCs w:val="20"/>
        </w:rPr>
        <w:t xml:space="preserve">Grant No. </w:t>
      </w:r>
      <w:bookmarkStart w:id="36" w:name="OLE_LINK24"/>
      <w:r>
        <w:rPr>
          <w:rFonts w:ascii="Times New Roman" w:eastAsia="Times New Roman" w:hAnsi="Times New Roman" w:cs="Times New Roman"/>
          <w:sz w:val="20"/>
          <w:szCs w:val="20"/>
        </w:rPr>
        <w:t>51974189</w:t>
      </w:r>
      <w:bookmarkEnd w:id="36"/>
      <w:r>
        <w:rPr>
          <w:rFonts w:ascii="Times New Roman" w:eastAsia="Times New Roman" w:hAnsi="Times New Roman" w:cs="Times New Roman"/>
          <w:sz w:val="20"/>
          <w:szCs w:val="20"/>
        </w:rPr>
        <w:t xml:space="preserve">), </w:t>
      </w:r>
      <w:bookmarkStart w:id="37" w:name="OLE_LINK25"/>
      <w:r>
        <w:rPr>
          <w:rFonts w:ascii="Times New Roman" w:eastAsia="Times New Roman" w:hAnsi="Times New Roman" w:cs="Times New Roman"/>
          <w:sz w:val="20"/>
          <w:szCs w:val="20"/>
        </w:rPr>
        <w:t>the Key Research and Development Program of the Science and Technology Department of Liaoning Province</w:t>
      </w:r>
      <w:bookmarkEnd w:id="37"/>
      <w:r>
        <w:rPr>
          <w:rFonts w:ascii="Times New Roman" w:eastAsia="Times New Roman" w:hAnsi="Times New Roman" w:cs="Times New Roman"/>
          <w:sz w:val="20"/>
          <w:szCs w:val="20"/>
        </w:rPr>
        <w:t xml:space="preserve">(Grant No. </w:t>
      </w:r>
      <w:bookmarkStart w:id="38" w:name="OLE_LINK26"/>
      <w:r>
        <w:rPr>
          <w:rFonts w:ascii="Times New Roman" w:eastAsia="Times New Roman" w:hAnsi="Times New Roman" w:cs="Times New Roman"/>
          <w:sz w:val="20"/>
          <w:szCs w:val="20"/>
        </w:rPr>
        <w:t>1553842646217</w:t>
      </w:r>
      <w:bookmarkEnd w:id="38"/>
      <w:r>
        <w:rPr>
          <w:rFonts w:ascii="Times New Roman" w:eastAsia="Times New Roman" w:hAnsi="Times New Roman" w:cs="Times New Roman"/>
          <w:sz w:val="20"/>
          <w:szCs w:val="20"/>
        </w:rPr>
        <w:t xml:space="preserve">), and </w:t>
      </w:r>
      <w:bookmarkStart w:id="39" w:name="OLE_LINK27"/>
      <w:r>
        <w:rPr>
          <w:rFonts w:ascii="Times New Roman" w:eastAsia="Times New Roman" w:hAnsi="Times New Roman" w:cs="Times New Roman"/>
          <w:sz w:val="20"/>
          <w:szCs w:val="20"/>
        </w:rPr>
        <w:t>the Liaoning Provincial Department of Education Project</w:t>
      </w:r>
      <w:bookmarkEnd w:id="39"/>
      <w:r>
        <w:rPr>
          <w:rFonts w:ascii="Times New Roman" w:eastAsia="Times New Roman" w:hAnsi="Times New Roman" w:cs="Times New Roman"/>
          <w:sz w:val="20"/>
          <w:szCs w:val="20"/>
        </w:rPr>
        <w:t xml:space="preserve"> (Grant No. </w:t>
      </w:r>
      <w:bookmarkStart w:id="40" w:name="OLE_LINK28"/>
      <w:r>
        <w:rPr>
          <w:rFonts w:ascii="Times New Roman" w:eastAsia="Times New Roman" w:hAnsi="Times New Roman" w:cs="Times New Roman"/>
          <w:sz w:val="20"/>
          <w:szCs w:val="20"/>
        </w:rPr>
        <w:t>lnqn202005</w:t>
      </w:r>
      <w:bookmarkEnd w:id="40"/>
      <w:r>
        <w:rPr>
          <w:rFonts w:ascii="Times New Roman" w:eastAsia="Times New Roman" w:hAnsi="Times New Roman" w:cs="Times New Roman"/>
          <w:sz w:val="20"/>
          <w:szCs w:val="20"/>
        </w:rPr>
        <w:t>).</w:t>
      </w:r>
    </w:p>
    <w:p w14:paraId="1F2D16F1" w14:textId="77777777" w:rsidR="00907DC0" w:rsidRDefault="00000000">
      <w:pPr>
        <w:pStyle w:val="Heading3"/>
        <w:spacing w:before="156" w:after="156" w:line="280" w:lineRule="exact"/>
        <w:jc w:val="left"/>
        <w:rPr>
          <w:rFonts w:ascii="Times New Roman" w:eastAsia="Times New Roman" w:hAnsi="Times New Roman" w:cs="Times New Roman"/>
          <w:sz w:val="20"/>
          <w:szCs w:val="20"/>
        </w:rPr>
      </w:pPr>
      <w:r>
        <w:rPr>
          <w:rFonts w:ascii="Times New Roman" w:eastAsia="Times New Roman" w:hAnsi="Times New Roman" w:cs="Times New Roman"/>
          <w:sz w:val="20"/>
          <w:szCs w:val="20"/>
        </w:rPr>
        <w:t>REFERENCES</w:t>
      </w:r>
    </w:p>
    <w:p w14:paraId="1FD5EBCD"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ADDIN EN.REFLIST </w:instrText>
      </w:r>
      <w:r>
        <w:rPr>
          <w:rFonts w:ascii="Times New Roman" w:hAnsi="Times New Roman" w:cs="Times New Roman"/>
          <w:sz w:val="18"/>
          <w:szCs w:val="18"/>
        </w:rPr>
        <w:fldChar w:fldCharType="separate"/>
      </w:r>
      <w:bookmarkStart w:id="41" w:name="Aft"/>
      <w:r>
        <w:rPr>
          <w:rFonts w:ascii="Times New Roman" w:hAnsi="Times New Roman" w:cs="Times New Roman"/>
          <w:sz w:val="18"/>
          <w:szCs w:val="18"/>
        </w:rPr>
        <w:t xml:space="preserve">Aftanas, L.I., Pavlov, S.V., Reva, N.V., Varlamov, A.A., 2003. Trait anxiety impact on the EEG thetaband power changes during appraisal of threatening and pleasant visual stimuli. Int. J. Psychophysiol. 50 (3), 205–212. </w:t>
      </w:r>
      <w:hyperlink r:id="rId39" w:history="1">
        <w:r>
          <w:rPr>
            <w:rStyle w:val="Hyperlink"/>
            <w:rFonts w:ascii="Times New Roman" w:hAnsi="Times New Roman" w:cs="Times New Roman"/>
            <w:sz w:val="18"/>
            <w:szCs w:val="18"/>
            <w:u w:val="none"/>
          </w:rPr>
          <w:t>https://doi.org/10.1016/S0167-8760(03)00156-9</w:t>
        </w:r>
      </w:hyperlink>
    </w:p>
    <w:p w14:paraId="6CC3DF8D"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42" w:name="arm"/>
      <w:bookmarkEnd w:id="41"/>
      <w:r>
        <w:rPr>
          <w:rFonts w:ascii="Times New Roman" w:hAnsi="Times New Roman" w:cs="Times New Roman"/>
          <w:sz w:val="18"/>
          <w:szCs w:val="18"/>
        </w:rPr>
        <w:t xml:space="preserve">Armougum, A., Orriols, E., Gaston-Bellegarde, A., Marle, C.J.L., </w:t>
      </w:r>
      <w:r>
        <w:rPr>
          <w:rFonts w:ascii="Times New Roman" w:hAnsi="Times New Roman" w:cs="Times New Roman"/>
          <w:sz w:val="18"/>
          <w:szCs w:val="18"/>
        </w:rPr>
        <w:lastRenderedPageBreak/>
        <w:t xml:space="preserve">Piolino, P., 2019. Virtual reality: A new method to investigate cognitive load during navigation. J. Environ. Psychol. 65, 101338. </w:t>
      </w:r>
      <w:hyperlink r:id="rId40" w:history="1">
        <w:r>
          <w:rPr>
            <w:rStyle w:val="Hyperlink"/>
            <w:rFonts w:ascii="Times New Roman" w:hAnsi="Times New Roman" w:cs="Times New Roman"/>
            <w:sz w:val="18"/>
            <w:szCs w:val="18"/>
            <w:u w:val="none"/>
          </w:rPr>
          <w:t>https://doi.org/10.1016/J.JENVP.2019.101338</w:t>
        </w:r>
      </w:hyperlink>
    </w:p>
    <w:p w14:paraId="31641A63"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43" w:name="Boucsein"/>
      <w:bookmarkEnd w:id="42"/>
      <w:r>
        <w:rPr>
          <w:rFonts w:ascii="Times New Roman" w:hAnsi="Times New Roman" w:cs="Times New Roman"/>
          <w:sz w:val="18"/>
          <w:szCs w:val="18"/>
        </w:rPr>
        <w:t>Boucsein</w:t>
      </w:r>
      <w:bookmarkEnd w:id="43"/>
      <w:r>
        <w:rPr>
          <w:rFonts w:ascii="Times New Roman" w:hAnsi="Times New Roman" w:cs="Times New Roman"/>
          <w:sz w:val="18"/>
          <w:szCs w:val="18"/>
        </w:rPr>
        <w:t>, W., 2012. Electrodermal activity. 2nd ed. Springer, Cham.</w:t>
      </w:r>
    </w:p>
    <w:p w14:paraId="68550CAC"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44" w:name="Bradley"/>
      <w:r>
        <w:rPr>
          <w:rFonts w:ascii="Times New Roman" w:hAnsi="Times New Roman" w:cs="Times New Roman"/>
          <w:sz w:val="18"/>
          <w:szCs w:val="18"/>
        </w:rPr>
        <w:t>Bradley</w:t>
      </w:r>
      <w:bookmarkEnd w:id="44"/>
      <w:r>
        <w:rPr>
          <w:rFonts w:ascii="Times New Roman" w:hAnsi="Times New Roman" w:cs="Times New Roman"/>
          <w:sz w:val="18"/>
          <w:szCs w:val="18"/>
        </w:rPr>
        <w:t>, M., Lang, P.J., 1999. The international affective digitized sounds (IADS). NIMH Center for the Study of Emotion and Attention, Gainesville.</w:t>
      </w:r>
    </w:p>
    <w:p w14:paraId="21D411FB"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45" w:name="Buck"/>
      <w:r>
        <w:rPr>
          <w:rFonts w:ascii="Times New Roman" w:hAnsi="Times New Roman" w:cs="Times New Roman"/>
          <w:sz w:val="18"/>
          <w:szCs w:val="18"/>
        </w:rPr>
        <w:t>Buck</w:t>
      </w:r>
      <w:bookmarkEnd w:id="45"/>
      <w:r>
        <w:rPr>
          <w:rFonts w:ascii="Times New Roman" w:hAnsi="Times New Roman" w:cs="Times New Roman"/>
          <w:sz w:val="18"/>
          <w:szCs w:val="18"/>
        </w:rPr>
        <w:t xml:space="preserve">, R., 1999. The biological affects: A typology. Psychol. Rev. 106 (2), 301–336. </w:t>
      </w:r>
      <w:hyperlink r:id="rId41" w:history="1">
        <w:r>
          <w:rPr>
            <w:rStyle w:val="Hyperlink"/>
            <w:rFonts w:ascii="Times New Roman" w:hAnsi="Times New Roman" w:cs="Times New Roman"/>
            <w:sz w:val="18"/>
            <w:szCs w:val="18"/>
            <w:u w:val="none"/>
          </w:rPr>
          <w:t>https://doi.org/10.1037/0033-295X.106.2.301</w:t>
        </w:r>
      </w:hyperlink>
    </w:p>
    <w:p w14:paraId="5FC28873"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46" w:name="Bulagang"/>
      <w:r>
        <w:rPr>
          <w:rFonts w:ascii="Times New Roman" w:hAnsi="Times New Roman" w:cs="Times New Roman"/>
          <w:sz w:val="18"/>
          <w:szCs w:val="18"/>
        </w:rPr>
        <w:t>Bulagang</w:t>
      </w:r>
      <w:bookmarkEnd w:id="46"/>
      <w:r>
        <w:rPr>
          <w:rFonts w:ascii="Times New Roman" w:hAnsi="Times New Roman" w:cs="Times New Roman"/>
          <w:sz w:val="18"/>
          <w:szCs w:val="18"/>
        </w:rPr>
        <w:t xml:space="preserve">, A.F., Weng, N.G., Mountstephens, J., Teo, J., 2020. A review of recent approaches for emotion classification using electrocardiography and electrodermography signals. Informatics Med. Unlocked 20, 100363. </w:t>
      </w:r>
      <w:hyperlink r:id="rId42" w:history="1">
        <w:r>
          <w:rPr>
            <w:rStyle w:val="Hyperlink"/>
            <w:rFonts w:ascii="Times New Roman" w:hAnsi="Times New Roman" w:cs="Times New Roman"/>
            <w:sz w:val="18"/>
            <w:szCs w:val="18"/>
            <w:u w:val="none"/>
          </w:rPr>
          <w:t>https://doi.org/10.1016/J.IMU.2020.100363</w:t>
        </w:r>
      </w:hyperlink>
    </w:p>
    <w:p w14:paraId="44F97B72"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47" w:name="Chen"/>
      <w:r>
        <w:rPr>
          <w:rFonts w:ascii="Times New Roman" w:hAnsi="Times New Roman" w:cs="Times New Roman"/>
          <w:sz w:val="18"/>
          <w:szCs w:val="18"/>
        </w:rPr>
        <w:t>Chen, Z</w:t>
      </w:r>
      <w:bookmarkEnd w:id="47"/>
      <w:r>
        <w:rPr>
          <w:rFonts w:ascii="Times New Roman" w:hAnsi="Times New Roman" w:cs="Times New Roman"/>
          <w:sz w:val="18"/>
          <w:szCs w:val="18"/>
        </w:rPr>
        <w:t xml:space="preserve">., Li, M., Li, H., Ma, Y., 2024. Research on panic evacuation model considering personality differences. Journal of Wuhan University of Technology (4), 528–533. </w:t>
      </w:r>
      <w:hyperlink r:id="rId43" w:history="1">
        <w:r>
          <w:rPr>
            <w:rStyle w:val="Hyperlink"/>
            <w:rFonts w:ascii="Times New Roman" w:hAnsi="Times New Roman" w:cs="Times New Roman"/>
            <w:sz w:val="18"/>
            <w:szCs w:val="18"/>
            <w:u w:val="none"/>
          </w:rPr>
          <w:t>https://doi.org/10.3963/j.issn.2095-3852.2024.04.002</w:t>
        </w:r>
      </w:hyperlink>
    </w:p>
    <w:p w14:paraId="32018BD2"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48" w:name="Delorme"/>
      <w:r>
        <w:rPr>
          <w:rFonts w:ascii="Times New Roman" w:hAnsi="Times New Roman" w:cs="Times New Roman"/>
          <w:sz w:val="18"/>
          <w:szCs w:val="18"/>
        </w:rPr>
        <w:t>Delorme</w:t>
      </w:r>
      <w:bookmarkEnd w:id="48"/>
      <w:r>
        <w:rPr>
          <w:rFonts w:ascii="Times New Roman" w:hAnsi="Times New Roman" w:cs="Times New Roman"/>
          <w:sz w:val="18"/>
          <w:szCs w:val="18"/>
        </w:rPr>
        <w:t xml:space="preserve">, A., Makeig, S., 2004. EEGLAB: An open source toolbox for analysis of single-trial EEG dynamics including independent component analysis. J. Neurosci. Methods 134 (1), 9–21. </w:t>
      </w:r>
      <w:hyperlink r:id="rId44" w:history="1">
        <w:r>
          <w:rPr>
            <w:rStyle w:val="Hyperlink"/>
            <w:rFonts w:ascii="Times New Roman" w:hAnsi="Times New Roman" w:cs="Times New Roman"/>
            <w:sz w:val="18"/>
            <w:szCs w:val="18"/>
            <w:u w:val="none"/>
          </w:rPr>
          <w:t>https://doi.org/10.1016/j.jneumeth.2003.10.009</w:t>
        </w:r>
      </w:hyperlink>
    </w:p>
    <w:p w14:paraId="005DD51A"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49" w:name="Deng"/>
      <w:r>
        <w:rPr>
          <w:rFonts w:ascii="Times New Roman" w:hAnsi="Times New Roman" w:cs="Times New Roman"/>
          <w:sz w:val="18"/>
          <w:szCs w:val="18"/>
        </w:rPr>
        <w:t>Deng,</w:t>
      </w:r>
      <w:bookmarkEnd w:id="49"/>
      <w:r>
        <w:rPr>
          <w:rFonts w:ascii="Times New Roman" w:hAnsi="Times New Roman" w:cs="Times New Roman"/>
          <w:sz w:val="18"/>
          <w:szCs w:val="18"/>
        </w:rPr>
        <w:t xml:space="preserve"> S., Yu, Y., Zhang, J., Zhang, C., Qian, F., Yu, S., 2024. Improved social force model based on analysis of pedestrian panic emotion. China Saf. Sci. J. 34 (2), 45–52. </w:t>
      </w:r>
      <w:hyperlink r:id="rId45" w:history="1">
        <w:r>
          <w:rPr>
            <w:rStyle w:val="Hyperlink"/>
            <w:rFonts w:ascii="Times New Roman" w:hAnsi="Times New Roman" w:cs="Times New Roman"/>
            <w:sz w:val="18"/>
            <w:szCs w:val="18"/>
            <w:u w:val="none"/>
          </w:rPr>
          <w:t>https://doi.org/10.16265/J.CNKI.ISSN1003-3033.2024.02.1277</w:t>
        </w:r>
      </w:hyperlink>
    </w:p>
    <w:p w14:paraId="2AC509CF"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50" w:name="Foster"/>
      <w:r>
        <w:rPr>
          <w:rFonts w:ascii="Times New Roman" w:hAnsi="Times New Roman" w:cs="Times New Roman"/>
          <w:sz w:val="18"/>
          <w:szCs w:val="18"/>
        </w:rPr>
        <w:t>Foster</w:t>
      </w:r>
      <w:bookmarkEnd w:id="50"/>
      <w:r>
        <w:rPr>
          <w:rFonts w:ascii="Times New Roman" w:hAnsi="Times New Roman" w:cs="Times New Roman"/>
          <w:sz w:val="18"/>
          <w:szCs w:val="18"/>
        </w:rPr>
        <w:t xml:space="preserve">, J.J., Sutterer, D.W., Serences, J.T., Vogel, E.K., Awh, E., 2017. Alpha-band oscillations enable spatially and temporally resolved tracking of covert spatial attention. Psychol. Sci. 28 (7), 929–941. </w:t>
      </w:r>
      <w:hyperlink r:id="rId46" w:history="1">
        <w:r>
          <w:rPr>
            <w:rStyle w:val="Hyperlink"/>
            <w:rFonts w:ascii="Times New Roman" w:hAnsi="Times New Roman" w:cs="Times New Roman"/>
            <w:sz w:val="18"/>
            <w:szCs w:val="18"/>
            <w:u w:val="none"/>
          </w:rPr>
          <w:t>https://doi.org/10.1177/0956797617699167</w:t>
        </w:r>
      </w:hyperlink>
    </w:p>
    <w:p w14:paraId="641608FD"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51" w:name="Guo"/>
      <w:r>
        <w:rPr>
          <w:rFonts w:ascii="Times New Roman" w:hAnsi="Times New Roman" w:cs="Times New Roman"/>
          <w:sz w:val="18"/>
          <w:szCs w:val="18"/>
        </w:rPr>
        <w:t>Guo</w:t>
      </w:r>
      <w:bookmarkEnd w:id="51"/>
      <w:r>
        <w:rPr>
          <w:rFonts w:ascii="Times New Roman" w:hAnsi="Times New Roman" w:cs="Times New Roman"/>
          <w:sz w:val="18"/>
          <w:szCs w:val="18"/>
        </w:rPr>
        <w:t xml:space="preserve">, C., Huo, F., Li, C., Li, Y., 2023. An evacuation model considering the phototactic behavior of panic pedestrians under limited visual field. Phys. A Stat. Mech. its Appl. 615, 128602. </w:t>
      </w:r>
      <w:hyperlink r:id="rId47" w:history="1">
        <w:r>
          <w:rPr>
            <w:rStyle w:val="Hyperlink"/>
            <w:rFonts w:ascii="Times New Roman" w:hAnsi="Times New Roman" w:cs="Times New Roman"/>
            <w:sz w:val="18"/>
            <w:szCs w:val="18"/>
            <w:u w:val="none"/>
          </w:rPr>
          <w:t>https://doi.org/10.1016/J.PHYSA.2023.128602</w:t>
        </w:r>
      </w:hyperlink>
    </w:p>
    <w:p w14:paraId="3C63C261"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52" w:name="Han"/>
      <w:r>
        <w:rPr>
          <w:rFonts w:ascii="Times New Roman" w:hAnsi="Times New Roman" w:cs="Times New Roman"/>
          <w:sz w:val="18"/>
          <w:szCs w:val="18"/>
        </w:rPr>
        <w:t>Han</w:t>
      </w:r>
      <w:bookmarkEnd w:id="52"/>
      <w:r>
        <w:rPr>
          <w:rFonts w:ascii="Times New Roman" w:hAnsi="Times New Roman" w:cs="Times New Roman"/>
          <w:sz w:val="18"/>
          <w:szCs w:val="18"/>
        </w:rPr>
        <w:t xml:space="preserve">, J., Chun, C., 2021. Differences between EEG during thermal discomfort and thermal displeasure. Build. Environ. 204, 108220. </w:t>
      </w:r>
      <w:hyperlink r:id="rId48" w:history="1">
        <w:r>
          <w:rPr>
            <w:rStyle w:val="Hyperlink"/>
            <w:rFonts w:ascii="Times New Roman" w:hAnsi="Times New Roman" w:cs="Times New Roman"/>
            <w:sz w:val="18"/>
            <w:szCs w:val="18"/>
            <w:u w:val="none"/>
          </w:rPr>
          <w:t>https://doi.org/10.1016/J.BUILDENV.2021.108220</w:t>
        </w:r>
      </w:hyperlink>
    </w:p>
    <w:p w14:paraId="5A24CF5D"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53" w:name="Huang"/>
      <w:r>
        <w:rPr>
          <w:rFonts w:ascii="Times New Roman" w:hAnsi="Times New Roman" w:cs="Times New Roman"/>
          <w:sz w:val="18"/>
          <w:szCs w:val="18"/>
        </w:rPr>
        <w:t>Huang</w:t>
      </w:r>
      <w:bookmarkEnd w:id="53"/>
      <w:r>
        <w:rPr>
          <w:rFonts w:ascii="Times New Roman" w:hAnsi="Times New Roman" w:cs="Times New Roman"/>
          <w:sz w:val="18"/>
          <w:szCs w:val="18"/>
        </w:rPr>
        <w:t>, L., 2021. Research on virtual crowd evacuation sign perception and group behavior modeling. MSc thesis, University of Chinese Academy of Sciences (Aerospace Information Research Institute, CAS).</w:t>
      </w:r>
    </w:p>
    <w:p w14:paraId="5134119A"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54" w:name="Jiang"/>
      <w:r>
        <w:rPr>
          <w:rFonts w:ascii="Times New Roman" w:hAnsi="Times New Roman" w:cs="Times New Roman"/>
          <w:sz w:val="18"/>
          <w:szCs w:val="18"/>
        </w:rPr>
        <w:t>Jiang</w:t>
      </w:r>
      <w:bookmarkEnd w:id="54"/>
      <w:r>
        <w:rPr>
          <w:rFonts w:ascii="Times New Roman" w:hAnsi="Times New Roman" w:cs="Times New Roman"/>
          <w:sz w:val="18"/>
          <w:szCs w:val="18"/>
        </w:rPr>
        <w:t xml:space="preserve">, M., Hassan, A., Chen, Q., Liu, Y., 2020. Effects of different landscape visual stimuli on psychophysiological responses in Chinese students. Indoor Built Environ. 29 (7), 1006–1016. </w:t>
      </w:r>
      <w:hyperlink r:id="rId49" w:history="1">
        <w:r>
          <w:rPr>
            <w:rStyle w:val="Hyperlink"/>
            <w:rFonts w:ascii="Times New Roman" w:hAnsi="Times New Roman" w:cs="Times New Roman"/>
            <w:sz w:val="18"/>
            <w:szCs w:val="18"/>
            <w:u w:val="none"/>
          </w:rPr>
          <w:t>https://doi.org/10.1177/1420326X19870578</w:t>
        </w:r>
      </w:hyperlink>
    </w:p>
    <w:p w14:paraId="55943396"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55" w:name="Kinateder"/>
      <w:r>
        <w:rPr>
          <w:rFonts w:ascii="Times New Roman" w:hAnsi="Times New Roman" w:cs="Times New Roman"/>
          <w:sz w:val="18"/>
          <w:szCs w:val="18"/>
        </w:rPr>
        <w:t>Kinateder</w:t>
      </w:r>
      <w:bookmarkEnd w:id="55"/>
      <w:r>
        <w:rPr>
          <w:rFonts w:ascii="Times New Roman" w:hAnsi="Times New Roman" w:cs="Times New Roman"/>
          <w:sz w:val="18"/>
          <w:szCs w:val="18"/>
        </w:rPr>
        <w:t>, M., Ronchi, E., Nilsson, D., Kobes, M., Müller, M., Pauli, P., Mühlberger, A., 2014. Virtual reality for fire evacuation research. 2014 Federated Conference on Computer Science and Information Systems, Warsaw, Poland.</w:t>
      </w:r>
    </w:p>
    <w:p w14:paraId="318BD7E3"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56" w:name="Kosachenko"/>
      <w:r>
        <w:rPr>
          <w:rFonts w:ascii="Times New Roman" w:hAnsi="Times New Roman" w:cs="Times New Roman"/>
          <w:sz w:val="18"/>
          <w:szCs w:val="18"/>
        </w:rPr>
        <w:t>Kosachenko</w:t>
      </w:r>
      <w:bookmarkEnd w:id="56"/>
      <w:r>
        <w:rPr>
          <w:rFonts w:ascii="Times New Roman" w:hAnsi="Times New Roman" w:cs="Times New Roman"/>
          <w:sz w:val="18"/>
          <w:szCs w:val="18"/>
        </w:rPr>
        <w:t xml:space="preserve">, A.I., Kasanov, D., Kotyusov, A.I., Pavlov, Y.G., 2023. EEG and pupillometric signatures of working memory overload. Psychophysiology 60 (6), e14275. </w:t>
      </w:r>
      <w:hyperlink r:id="rId50" w:history="1">
        <w:r>
          <w:rPr>
            <w:rStyle w:val="Hyperlink"/>
            <w:rFonts w:ascii="Times New Roman" w:hAnsi="Times New Roman" w:cs="Times New Roman"/>
            <w:sz w:val="18"/>
            <w:szCs w:val="18"/>
            <w:u w:val="none"/>
          </w:rPr>
          <w:t>https://doi.org/10.1111/PSYP.14275</w:t>
        </w:r>
      </w:hyperlink>
    </w:p>
    <w:p w14:paraId="5CE5E380"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57" w:name="Krosnick"/>
      <w:r>
        <w:rPr>
          <w:rFonts w:ascii="Times New Roman" w:hAnsi="Times New Roman" w:cs="Times New Roman"/>
          <w:sz w:val="18"/>
          <w:szCs w:val="18"/>
        </w:rPr>
        <w:t>Krosnick</w:t>
      </w:r>
      <w:bookmarkEnd w:id="57"/>
      <w:r>
        <w:rPr>
          <w:rFonts w:ascii="Times New Roman" w:hAnsi="Times New Roman" w:cs="Times New Roman"/>
          <w:sz w:val="18"/>
          <w:szCs w:val="18"/>
        </w:rPr>
        <w:t>, J.A., 2017. Questionnaire design, in: Vannette, D., Krosnick, J. (Eds.), The Palgrave handbook of survey research. Springer, Cham, pp. 439–455.</w:t>
      </w:r>
    </w:p>
    <w:p w14:paraId="7A557CA3"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58" w:name="Kuribayashi"/>
      <w:r>
        <w:rPr>
          <w:rFonts w:ascii="Times New Roman" w:hAnsi="Times New Roman" w:cs="Times New Roman"/>
          <w:sz w:val="18"/>
          <w:szCs w:val="18"/>
        </w:rPr>
        <w:t>Kuribayashi</w:t>
      </w:r>
      <w:bookmarkEnd w:id="58"/>
      <w:r>
        <w:rPr>
          <w:rFonts w:ascii="Times New Roman" w:hAnsi="Times New Roman" w:cs="Times New Roman"/>
          <w:sz w:val="18"/>
          <w:szCs w:val="18"/>
        </w:rPr>
        <w:t xml:space="preserve">, R., Nittono, H., 2017. High-resolution audio with inaudible high-frequency components induces a relaxed attentional state without conscious awareness. Front. Psychol. 8, 93. </w:t>
      </w:r>
      <w:hyperlink r:id="rId51" w:history="1">
        <w:r>
          <w:rPr>
            <w:rStyle w:val="Hyperlink"/>
            <w:rFonts w:ascii="Times New Roman" w:hAnsi="Times New Roman" w:cs="Times New Roman"/>
            <w:sz w:val="18"/>
            <w:szCs w:val="18"/>
            <w:u w:val="none"/>
          </w:rPr>
          <w:t>https://doi.org/10.3389/FPSYG.2017.00093</w:t>
        </w:r>
      </w:hyperlink>
    </w:p>
    <w:p w14:paraId="3C9B82EF"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59" w:name="LiBJ"/>
      <w:r>
        <w:rPr>
          <w:rFonts w:ascii="Times New Roman" w:hAnsi="Times New Roman" w:cs="Times New Roman"/>
          <w:sz w:val="18"/>
          <w:szCs w:val="18"/>
        </w:rPr>
        <w:t>Li, B.J.</w:t>
      </w:r>
      <w:bookmarkEnd w:id="59"/>
      <w:r>
        <w:rPr>
          <w:rFonts w:ascii="Times New Roman" w:hAnsi="Times New Roman" w:cs="Times New Roman"/>
          <w:sz w:val="18"/>
          <w:szCs w:val="18"/>
        </w:rPr>
        <w:t xml:space="preserve">, Bailenson, J.N., Pines, A., Greenleaf, W.J., Williams, L.M., 2017. A public database of immersive VR videos with corresponding ratings of arousal, valence, and correlations between head movements and self report measures. Front. Psychol. 8, 2116. </w:t>
      </w:r>
      <w:hyperlink r:id="rId52" w:history="1">
        <w:r>
          <w:rPr>
            <w:rStyle w:val="Hyperlink"/>
            <w:rFonts w:ascii="Times New Roman" w:hAnsi="Times New Roman" w:cs="Times New Roman"/>
            <w:sz w:val="18"/>
            <w:szCs w:val="18"/>
            <w:u w:val="none"/>
          </w:rPr>
          <w:t>https://doi.org/10.3389/FPSYG.2017.02116</w:t>
        </w:r>
      </w:hyperlink>
    </w:p>
    <w:p w14:paraId="34FADF45"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60" w:name="LiJ2021"/>
      <w:r>
        <w:rPr>
          <w:rFonts w:ascii="Times New Roman" w:hAnsi="Times New Roman" w:cs="Times New Roman"/>
          <w:sz w:val="18"/>
          <w:szCs w:val="18"/>
        </w:rPr>
        <w:t>Li, J</w:t>
      </w:r>
      <w:bookmarkEnd w:id="60"/>
      <w:r>
        <w:rPr>
          <w:rFonts w:ascii="Times New Roman" w:hAnsi="Times New Roman" w:cs="Times New Roman"/>
          <w:sz w:val="18"/>
          <w:szCs w:val="18"/>
        </w:rPr>
        <w:t>., 2021. Simulation of comprehensive hub evacuation based on CA-SIR model. MSc thesis, Chongqing Jiaotong University.</w:t>
      </w:r>
    </w:p>
    <w:p w14:paraId="175428BE"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61" w:name="LinJ2020"/>
      <w:r>
        <w:rPr>
          <w:rFonts w:ascii="Times New Roman" w:hAnsi="Times New Roman" w:cs="Times New Roman"/>
          <w:sz w:val="18"/>
          <w:szCs w:val="18"/>
        </w:rPr>
        <w:t>Lin, J., 2020</w:t>
      </w:r>
      <w:bookmarkEnd w:id="61"/>
      <w:r>
        <w:rPr>
          <w:rFonts w:ascii="Times New Roman" w:hAnsi="Times New Roman" w:cs="Times New Roman"/>
          <w:sz w:val="18"/>
          <w:szCs w:val="18"/>
        </w:rPr>
        <w:t>. Research on individual wayfinding behavior in building fires. MSc thesis, Tsinghua University.</w:t>
      </w:r>
    </w:p>
    <w:p w14:paraId="12ABD03A"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62" w:name="liu"/>
      <w:r>
        <w:rPr>
          <w:rFonts w:ascii="Times New Roman" w:hAnsi="Times New Roman" w:cs="Times New Roman"/>
          <w:sz w:val="18"/>
          <w:szCs w:val="18"/>
        </w:rPr>
        <w:t>Liu</w:t>
      </w:r>
      <w:bookmarkEnd w:id="62"/>
      <w:r>
        <w:rPr>
          <w:rFonts w:ascii="Times New Roman" w:hAnsi="Times New Roman" w:cs="Times New Roman"/>
          <w:sz w:val="18"/>
          <w:szCs w:val="18"/>
        </w:rPr>
        <w:t xml:space="preserve">, T., Luo, Y., Ma, H., Huang, Y., 2006. Compilation and evaluation of a localized emotional sound database. Psych. Sci. (2), 406–408. </w:t>
      </w:r>
      <w:hyperlink r:id="rId53" w:history="1">
        <w:r>
          <w:rPr>
            <w:rStyle w:val="Hyperlink"/>
            <w:rFonts w:ascii="Times New Roman" w:hAnsi="Times New Roman" w:cs="Times New Roman"/>
            <w:sz w:val="18"/>
            <w:szCs w:val="18"/>
            <w:u w:val="none"/>
          </w:rPr>
          <w:t>https://doi.org/10.16719/j.cnki.1671-6981.2006.02.040</w:t>
        </w:r>
      </w:hyperlink>
    </w:p>
    <w:p w14:paraId="645FF452"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63" w:name="Lovreglio"/>
      <w:r>
        <w:rPr>
          <w:rFonts w:ascii="Times New Roman" w:hAnsi="Times New Roman" w:cs="Times New Roman"/>
          <w:sz w:val="18"/>
          <w:szCs w:val="18"/>
        </w:rPr>
        <w:t>Lovreglio</w:t>
      </w:r>
      <w:bookmarkEnd w:id="63"/>
      <w:r>
        <w:rPr>
          <w:rFonts w:ascii="Times New Roman" w:hAnsi="Times New Roman" w:cs="Times New Roman"/>
          <w:sz w:val="18"/>
          <w:szCs w:val="18"/>
        </w:rPr>
        <w:t xml:space="preserve">, R., Fonzone, A., Dell'Olio, L., 2016. A mixed logit model for predicting exit choice during building evacuations. Transp. Res. Part A Policy Pract. 92, 59–75. </w:t>
      </w:r>
      <w:hyperlink r:id="rId54" w:history="1">
        <w:r>
          <w:rPr>
            <w:rStyle w:val="Hyperlink"/>
            <w:rFonts w:ascii="Times New Roman" w:hAnsi="Times New Roman" w:cs="Times New Roman"/>
            <w:sz w:val="18"/>
            <w:szCs w:val="18"/>
            <w:u w:val="none"/>
          </w:rPr>
          <w:t>https://doi.org/10.1016/J.TRA.2016.06.018</w:t>
        </w:r>
      </w:hyperlink>
    </w:p>
    <w:p w14:paraId="502CD0EB"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64" w:name="Occhialini"/>
      <w:r>
        <w:rPr>
          <w:rFonts w:ascii="Times New Roman" w:hAnsi="Times New Roman" w:cs="Times New Roman"/>
          <w:sz w:val="18"/>
          <w:szCs w:val="18"/>
        </w:rPr>
        <w:t>Occhialini</w:t>
      </w:r>
      <w:bookmarkEnd w:id="64"/>
      <w:r>
        <w:rPr>
          <w:rFonts w:ascii="Times New Roman" w:hAnsi="Times New Roman" w:cs="Times New Roman"/>
          <w:sz w:val="18"/>
          <w:szCs w:val="18"/>
        </w:rPr>
        <w:t xml:space="preserve">, M., Bernardini, G., Ferracuti, F., Iarlori, S., D'Orazio, M., Longhi, S., 2016. Fire exit signs: The use of neurological activity analysis for quantitative evaluations on their perceptiveness in a virtual environment. Fire Saf. J. 82, 63–75. </w:t>
      </w:r>
      <w:hyperlink r:id="rId55" w:history="1">
        <w:r>
          <w:rPr>
            <w:rStyle w:val="Hyperlink"/>
            <w:rFonts w:ascii="Times New Roman" w:hAnsi="Times New Roman" w:cs="Times New Roman"/>
            <w:sz w:val="18"/>
            <w:szCs w:val="18"/>
            <w:u w:val="none"/>
          </w:rPr>
          <w:t>https://doi.org/10.1016/J.FIRESAF.2016.03.003</w:t>
        </w:r>
      </w:hyperlink>
    </w:p>
    <w:p w14:paraId="6257AD1F"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65" w:name="Romeo"/>
      <w:r>
        <w:rPr>
          <w:rFonts w:ascii="Times New Roman" w:hAnsi="Times New Roman" w:cs="Times New Roman"/>
          <w:sz w:val="18"/>
          <w:szCs w:val="18"/>
        </w:rPr>
        <w:t>Romeo</w:t>
      </w:r>
      <w:bookmarkEnd w:id="65"/>
      <w:r>
        <w:rPr>
          <w:rFonts w:ascii="Times New Roman" w:hAnsi="Times New Roman" w:cs="Times New Roman"/>
          <w:sz w:val="18"/>
          <w:szCs w:val="18"/>
        </w:rPr>
        <w:t xml:space="preserve">, Z., Angrilli, A., Spironelli, C., 2024. Gender effect in affective processing: Alpha EEG source analysis on emotional slides and film-clips. Psychophysiology 61 (7), e14568. </w:t>
      </w:r>
      <w:hyperlink r:id="rId56" w:history="1">
        <w:r>
          <w:rPr>
            <w:rStyle w:val="Hyperlink"/>
            <w:rFonts w:ascii="Times New Roman" w:hAnsi="Times New Roman" w:cs="Times New Roman"/>
            <w:sz w:val="18"/>
            <w:szCs w:val="18"/>
            <w:u w:val="none"/>
          </w:rPr>
          <w:t>https://doi.org/10.1111/PSYP.14568</w:t>
        </w:r>
      </w:hyperlink>
    </w:p>
    <w:p w14:paraId="589971BA"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66" w:name="Schaefer"/>
      <w:r>
        <w:rPr>
          <w:rFonts w:ascii="Times New Roman" w:hAnsi="Times New Roman" w:cs="Times New Roman"/>
          <w:sz w:val="18"/>
          <w:szCs w:val="18"/>
        </w:rPr>
        <w:t>Schaefer</w:t>
      </w:r>
      <w:bookmarkEnd w:id="66"/>
      <w:r>
        <w:rPr>
          <w:rFonts w:ascii="Times New Roman" w:hAnsi="Times New Roman" w:cs="Times New Roman"/>
          <w:sz w:val="18"/>
          <w:szCs w:val="18"/>
        </w:rPr>
        <w:t xml:space="preserve">, A., Nils, F., Philippot, P., Sanchez, X., 2010. Assessing the effectiveness of a large database of emotion-eliciting films: A new tool for emotion researchers. Cogn. Emot.Cogn. Emot. 24 (7), 1153–1172. </w:t>
      </w:r>
      <w:hyperlink r:id="rId57" w:history="1">
        <w:r>
          <w:rPr>
            <w:rStyle w:val="Hyperlink"/>
            <w:rFonts w:ascii="Times New Roman" w:hAnsi="Times New Roman" w:cs="Times New Roman"/>
            <w:sz w:val="18"/>
            <w:szCs w:val="18"/>
            <w:u w:val="none"/>
          </w:rPr>
          <w:t>https://doi.org/10.1080/02699930903274322</w:t>
        </w:r>
      </w:hyperlink>
    </w:p>
    <w:p w14:paraId="11ACC2E4"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67" w:name="Schoffelen"/>
      <w:r>
        <w:rPr>
          <w:rFonts w:ascii="Times New Roman" w:hAnsi="Times New Roman" w:cs="Times New Roman"/>
          <w:sz w:val="18"/>
          <w:szCs w:val="18"/>
        </w:rPr>
        <w:t>Schoffelen</w:t>
      </w:r>
      <w:bookmarkEnd w:id="67"/>
      <w:r>
        <w:rPr>
          <w:rFonts w:ascii="Times New Roman" w:hAnsi="Times New Roman" w:cs="Times New Roman"/>
          <w:sz w:val="18"/>
          <w:szCs w:val="18"/>
        </w:rPr>
        <w:t xml:space="preserve">, J.M., Poort, J., Oostenveld, R., Fries, P., 2011. Selective movement preparation is subserved by selective increases in corticomuscular gamma-band coherence. J. Neurosci. 31 (18), 6750–6758. </w:t>
      </w:r>
      <w:hyperlink r:id="rId58" w:history="1">
        <w:r>
          <w:rPr>
            <w:rStyle w:val="Hyperlink"/>
            <w:rFonts w:ascii="Times New Roman" w:hAnsi="Times New Roman" w:cs="Times New Roman"/>
            <w:sz w:val="18"/>
            <w:szCs w:val="18"/>
            <w:u w:val="none"/>
          </w:rPr>
          <w:t>https://doi.org/10.1523/JNEUROSCI.4882-10.2011</w:t>
        </w:r>
      </w:hyperlink>
    </w:p>
    <w:p w14:paraId="2BBD61E5"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68" w:name="Shen"/>
      <w:r>
        <w:rPr>
          <w:rFonts w:ascii="Times New Roman" w:hAnsi="Times New Roman" w:cs="Times New Roman"/>
          <w:sz w:val="18"/>
          <w:szCs w:val="18"/>
        </w:rPr>
        <w:t>Shen</w:t>
      </w:r>
      <w:bookmarkEnd w:id="68"/>
      <w:r>
        <w:rPr>
          <w:rFonts w:ascii="Times New Roman" w:hAnsi="Times New Roman" w:cs="Times New Roman"/>
          <w:sz w:val="18"/>
          <w:szCs w:val="18"/>
        </w:rPr>
        <w:t xml:space="preserve">, J.Q., Wang, X.W., Jiang, L.L., 2018. The influence of panic on the efficiency of escape. Phys. A Stat. Mech. its Appl. 491, 613–618. </w:t>
      </w:r>
      <w:hyperlink r:id="rId59" w:history="1">
        <w:r>
          <w:rPr>
            <w:rStyle w:val="Hyperlink"/>
            <w:rFonts w:ascii="Times New Roman" w:hAnsi="Times New Roman" w:cs="Times New Roman"/>
            <w:sz w:val="18"/>
            <w:szCs w:val="18"/>
            <w:u w:val="none"/>
          </w:rPr>
          <w:t>https://doi.org/10.1016/J.PHYSA.2017.08.156</w:t>
        </w:r>
      </w:hyperlink>
    </w:p>
    <w:p w14:paraId="1B616975"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69" w:name="Song"/>
      <w:r>
        <w:rPr>
          <w:rFonts w:ascii="Times New Roman" w:hAnsi="Times New Roman" w:cs="Times New Roman"/>
          <w:sz w:val="18"/>
          <w:szCs w:val="18"/>
        </w:rPr>
        <w:t xml:space="preserve">Song, Y., Li, J., Guo, C., 2024. Simulation of pedestrian evacuation considering panic emotions and information </w:t>
      </w:r>
      <w:bookmarkEnd w:id="69"/>
      <w:r>
        <w:rPr>
          <w:rFonts w:ascii="Times New Roman" w:hAnsi="Times New Roman" w:cs="Times New Roman"/>
          <w:sz w:val="18"/>
          <w:szCs w:val="18"/>
        </w:rPr>
        <w:t xml:space="preserve">transmission. Journal of Safety Science and Technology in China (5), 155–161. </w:t>
      </w:r>
      <w:hyperlink r:id="rId60" w:history="1">
        <w:r>
          <w:rPr>
            <w:rStyle w:val="Hyperlink"/>
            <w:rFonts w:ascii="Times New Roman" w:hAnsi="Times New Roman" w:cs="Times New Roman"/>
            <w:sz w:val="18"/>
            <w:szCs w:val="18"/>
            <w:u w:val="none"/>
          </w:rPr>
          <w:t>https://doi.org/10.11731/j.issn.1673-193x.2024.05.021</w:t>
        </w:r>
      </w:hyperlink>
    </w:p>
    <w:p w14:paraId="03176A20"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70" w:name="Sun"/>
      <w:r>
        <w:rPr>
          <w:rFonts w:ascii="Times New Roman" w:hAnsi="Times New Roman" w:cs="Times New Roman"/>
          <w:sz w:val="18"/>
          <w:szCs w:val="18"/>
        </w:rPr>
        <w:t>Sun</w:t>
      </w:r>
      <w:bookmarkEnd w:id="70"/>
      <w:r>
        <w:rPr>
          <w:rFonts w:ascii="Times New Roman" w:hAnsi="Times New Roman" w:cs="Times New Roman"/>
          <w:sz w:val="18"/>
          <w:szCs w:val="18"/>
        </w:rPr>
        <w:t xml:space="preserve">, H.K., Chen, C.K., 2023. Model considering panic emotion and personality traits for crowd evacuation. Chinese Phys. B 32 (5), 050401. </w:t>
      </w:r>
      <w:hyperlink r:id="rId61" w:history="1">
        <w:r>
          <w:rPr>
            <w:rStyle w:val="Hyperlink"/>
            <w:rFonts w:ascii="Times New Roman" w:hAnsi="Times New Roman" w:cs="Times New Roman"/>
            <w:sz w:val="18"/>
            <w:szCs w:val="18"/>
            <w:u w:val="none"/>
          </w:rPr>
          <w:t>https://doi.org/10.1088/1674-1056/AC9E94</w:t>
        </w:r>
      </w:hyperlink>
    </w:p>
    <w:p w14:paraId="344EFF14"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71" w:name="Vilar"/>
      <w:r>
        <w:rPr>
          <w:rFonts w:ascii="Times New Roman" w:hAnsi="Times New Roman" w:cs="Times New Roman"/>
          <w:sz w:val="18"/>
          <w:szCs w:val="18"/>
        </w:rPr>
        <w:t>Vilar</w:t>
      </w:r>
      <w:bookmarkEnd w:id="71"/>
      <w:r>
        <w:rPr>
          <w:rFonts w:ascii="Times New Roman" w:hAnsi="Times New Roman" w:cs="Times New Roman"/>
          <w:sz w:val="18"/>
          <w:szCs w:val="18"/>
        </w:rPr>
        <w:t xml:space="preserve">, E., Rebelo, F., Noriega, P., Duarte, E., Mayhorn, C.B., 2014. Effects of competing environmental variables and signage on route-choices in simulated everyday and emergency wayfinding situations. Ergonomics 57 (4), 511–524. </w:t>
      </w:r>
      <w:hyperlink r:id="rId62" w:history="1">
        <w:r>
          <w:rPr>
            <w:rStyle w:val="Hyperlink"/>
            <w:rFonts w:ascii="Times New Roman" w:hAnsi="Times New Roman" w:cs="Times New Roman"/>
            <w:sz w:val="18"/>
            <w:szCs w:val="18"/>
            <w:u w:val="none"/>
          </w:rPr>
          <w:t>https://doi.org/10.1080/00140139.2014.895054</w:t>
        </w:r>
      </w:hyperlink>
    </w:p>
    <w:p w14:paraId="559C779C"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72" w:name="WangD"/>
      <w:r>
        <w:rPr>
          <w:rFonts w:ascii="Times New Roman" w:hAnsi="Times New Roman" w:cs="Times New Roman"/>
          <w:sz w:val="18"/>
          <w:szCs w:val="18"/>
        </w:rPr>
        <w:t>Wang, D</w:t>
      </w:r>
      <w:bookmarkEnd w:id="72"/>
      <w:r>
        <w:rPr>
          <w:rFonts w:ascii="Times New Roman" w:hAnsi="Times New Roman" w:cs="Times New Roman"/>
          <w:sz w:val="18"/>
          <w:szCs w:val="18"/>
        </w:rPr>
        <w:t xml:space="preserve">., Liang, S., Chen, B., Wu, C., 2022. Investigation on the impacts of natural lighting on occupants' wayfinding behavior during emergency evacuation in underground space. Energy Build. 255, 111613. </w:t>
      </w:r>
      <w:hyperlink r:id="rId63" w:history="1">
        <w:r>
          <w:rPr>
            <w:rStyle w:val="Hyperlink"/>
            <w:rFonts w:ascii="Times New Roman" w:hAnsi="Times New Roman" w:cs="Times New Roman"/>
            <w:sz w:val="18"/>
            <w:szCs w:val="18"/>
            <w:u w:val="none"/>
          </w:rPr>
          <w:t>https://doi.org/10.1016/J.ENBUILD.2021.111613</w:t>
        </w:r>
      </w:hyperlink>
    </w:p>
    <w:p w14:paraId="6EA5883E"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73" w:name="WangG"/>
      <w:r>
        <w:rPr>
          <w:rFonts w:ascii="Times New Roman" w:hAnsi="Times New Roman" w:cs="Times New Roman"/>
          <w:sz w:val="18"/>
          <w:szCs w:val="18"/>
        </w:rPr>
        <w:t>Wang, G</w:t>
      </w:r>
      <w:bookmarkEnd w:id="73"/>
      <w:r>
        <w:rPr>
          <w:rFonts w:ascii="Times New Roman" w:hAnsi="Times New Roman" w:cs="Times New Roman"/>
          <w:sz w:val="18"/>
          <w:szCs w:val="18"/>
        </w:rPr>
        <w:t xml:space="preserve">., Chen, T., Zheng, H., Wang, J., Hu, X., Deng, K., Tao, Z., Luo, N., 2023. Heterogeneous crowd dynamics considering the impact of personality traits under a fire emergency: A questionnaire &amp; simulation-based approach. Phys. A Stat. Mech. its Appl. 610, 128411. </w:t>
      </w:r>
      <w:hyperlink r:id="rId64" w:history="1">
        <w:r>
          <w:rPr>
            <w:rStyle w:val="Hyperlink"/>
            <w:rFonts w:ascii="Times New Roman" w:hAnsi="Times New Roman" w:cs="Times New Roman"/>
            <w:sz w:val="18"/>
            <w:szCs w:val="18"/>
            <w:u w:val="none"/>
          </w:rPr>
          <w:t>https://doi.org/10.1016/J.PHYSA.2022.128411</w:t>
        </w:r>
      </w:hyperlink>
    </w:p>
    <w:p w14:paraId="5F6893EE"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74" w:name="WangJ"/>
      <w:r>
        <w:rPr>
          <w:rFonts w:ascii="Times New Roman" w:hAnsi="Times New Roman" w:cs="Times New Roman"/>
          <w:sz w:val="18"/>
          <w:szCs w:val="18"/>
        </w:rPr>
        <w:t>Wang, J</w:t>
      </w:r>
      <w:bookmarkEnd w:id="74"/>
      <w:r>
        <w:rPr>
          <w:rFonts w:ascii="Times New Roman" w:hAnsi="Times New Roman" w:cs="Times New Roman"/>
          <w:sz w:val="18"/>
          <w:szCs w:val="18"/>
        </w:rPr>
        <w:t xml:space="preserve">., Zhang, L., Shi, Q., Yang, P., Hu, X., 2015. Modeling and </w:t>
      </w:r>
      <w:r>
        <w:rPr>
          <w:rFonts w:ascii="Times New Roman" w:hAnsi="Times New Roman" w:cs="Times New Roman"/>
          <w:sz w:val="18"/>
          <w:szCs w:val="18"/>
        </w:rPr>
        <w:lastRenderedPageBreak/>
        <w:t xml:space="preserve">simulating for congestion pedestrian evacuation with panic. Phys. A Stat. Mech. its Appl. 428, 396–409. </w:t>
      </w:r>
      <w:hyperlink r:id="rId65" w:history="1">
        <w:r>
          <w:rPr>
            <w:rStyle w:val="Hyperlink"/>
            <w:rFonts w:ascii="Times New Roman" w:hAnsi="Times New Roman" w:cs="Times New Roman"/>
            <w:sz w:val="18"/>
            <w:szCs w:val="18"/>
            <w:u w:val="none"/>
          </w:rPr>
          <w:t>https://doi.org/10.1016/J.PHYSA.2015.01.057</w:t>
        </w:r>
      </w:hyperlink>
    </w:p>
    <w:p w14:paraId="49FFF065"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75" w:name="Winkler"/>
      <w:r>
        <w:rPr>
          <w:rFonts w:ascii="Times New Roman" w:hAnsi="Times New Roman" w:cs="Times New Roman"/>
          <w:sz w:val="18"/>
          <w:szCs w:val="18"/>
        </w:rPr>
        <w:t>Winkler</w:t>
      </w:r>
      <w:bookmarkEnd w:id="75"/>
      <w:r>
        <w:rPr>
          <w:rFonts w:ascii="Times New Roman" w:hAnsi="Times New Roman" w:cs="Times New Roman"/>
          <w:sz w:val="18"/>
          <w:szCs w:val="18"/>
        </w:rPr>
        <w:t xml:space="preserve">, I., Haufe, S., Tangermann, M., 2011. Automatic classification of artifactual ICA-components for artifact removal in EEG signals. Behav. Brain Funct. 7, 30. </w:t>
      </w:r>
      <w:hyperlink r:id="rId66" w:history="1">
        <w:r>
          <w:rPr>
            <w:rStyle w:val="Hyperlink"/>
            <w:rFonts w:ascii="Times New Roman" w:hAnsi="Times New Roman" w:cs="Times New Roman"/>
            <w:sz w:val="18"/>
            <w:szCs w:val="18"/>
            <w:u w:val="none"/>
          </w:rPr>
          <w:t>https://doi.org/10.1186/1744-9081-7-30</w:t>
        </w:r>
      </w:hyperlink>
    </w:p>
    <w:p w14:paraId="7AB631D9"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76" w:name="Xiong"/>
      <w:r>
        <w:rPr>
          <w:rFonts w:ascii="Times New Roman" w:hAnsi="Times New Roman" w:cs="Times New Roman"/>
          <w:sz w:val="18"/>
          <w:szCs w:val="18"/>
        </w:rPr>
        <w:t>Xiong</w:t>
      </w:r>
      <w:bookmarkEnd w:id="76"/>
      <w:r>
        <w:rPr>
          <w:rFonts w:ascii="Times New Roman" w:hAnsi="Times New Roman" w:cs="Times New Roman"/>
          <w:sz w:val="18"/>
          <w:szCs w:val="18"/>
        </w:rPr>
        <w:t xml:space="preserve">, L., Chen, J., Shi, D., 2015. Emergency evacuation study considering physiological and psychological disturbances by acoustic and optical stimulation. Journal of Safety Science in China (9), 171–176. </w:t>
      </w:r>
      <w:hyperlink r:id="rId67" w:history="1">
        <w:r>
          <w:rPr>
            <w:rStyle w:val="Hyperlink"/>
            <w:rFonts w:ascii="Times New Roman" w:hAnsi="Times New Roman" w:cs="Times New Roman"/>
            <w:sz w:val="18"/>
            <w:szCs w:val="18"/>
            <w:u w:val="none"/>
          </w:rPr>
          <w:t>https://doi.org/10.16265/j.cnki.issn1003-3033.2015.09.028</w:t>
        </w:r>
      </w:hyperlink>
    </w:p>
    <w:p w14:paraId="3AA345E6"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77" w:name="Yeom"/>
      <w:r>
        <w:rPr>
          <w:rFonts w:ascii="Times New Roman" w:hAnsi="Times New Roman" w:cs="Times New Roman"/>
          <w:sz w:val="18"/>
          <w:szCs w:val="18"/>
        </w:rPr>
        <w:t>Yeom</w:t>
      </w:r>
      <w:bookmarkEnd w:id="77"/>
      <w:r>
        <w:rPr>
          <w:rFonts w:ascii="Times New Roman" w:hAnsi="Times New Roman" w:cs="Times New Roman"/>
          <w:sz w:val="18"/>
          <w:szCs w:val="18"/>
        </w:rPr>
        <w:t xml:space="preserve">, S., Kim, H., Hong, T., 2021. Psychological and physiological effects of a green wall on occupants: A cross-over study in virtual reality. Build. Environ. 204, 108134. </w:t>
      </w:r>
      <w:hyperlink r:id="rId68" w:history="1">
        <w:r>
          <w:rPr>
            <w:rStyle w:val="Hyperlink"/>
            <w:rFonts w:ascii="Times New Roman" w:hAnsi="Times New Roman" w:cs="Times New Roman"/>
            <w:sz w:val="18"/>
            <w:szCs w:val="18"/>
            <w:u w:val="none"/>
          </w:rPr>
          <w:t>https://doi.org/10.1016/J.BUILDENV.2021.108134</w:t>
        </w:r>
      </w:hyperlink>
    </w:p>
    <w:p w14:paraId="24BD49F8"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78" w:name="Zheng"/>
      <w:r>
        <w:rPr>
          <w:rFonts w:ascii="Times New Roman" w:hAnsi="Times New Roman" w:cs="Times New Roman"/>
          <w:sz w:val="18"/>
          <w:szCs w:val="18"/>
        </w:rPr>
        <w:t>Zheng</w:t>
      </w:r>
      <w:bookmarkEnd w:id="78"/>
      <w:r>
        <w:rPr>
          <w:rFonts w:ascii="Times New Roman" w:hAnsi="Times New Roman" w:cs="Times New Roman"/>
          <w:sz w:val="18"/>
          <w:szCs w:val="18"/>
        </w:rPr>
        <w:t xml:space="preserve">, L., Peng, X., Wang, L., Sun, D., 2019. Simulation of pedestrian evacuation considering emergency spread and pedestrian panic. Phys. A Stat. Mech. its Appl. 522, 167–181. </w:t>
      </w:r>
      <w:hyperlink r:id="rId69" w:history="1">
        <w:r>
          <w:rPr>
            <w:rStyle w:val="Hyperlink"/>
            <w:rFonts w:ascii="Times New Roman" w:hAnsi="Times New Roman" w:cs="Times New Roman"/>
            <w:sz w:val="18"/>
            <w:szCs w:val="18"/>
            <w:u w:val="none"/>
          </w:rPr>
          <w:t>https://doi.org/10.1016/J.PHYSA.2019.01.128</w:t>
        </w:r>
      </w:hyperlink>
    </w:p>
    <w:p w14:paraId="0CCB7887"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79" w:name="ZhouR"/>
      <w:r>
        <w:rPr>
          <w:rFonts w:ascii="Times New Roman" w:hAnsi="Times New Roman" w:cs="Times New Roman"/>
          <w:sz w:val="18"/>
          <w:szCs w:val="18"/>
        </w:rPr>
        <w:t>Zhou</w:t>
      </w:r>
      <w:bookmarkEnd w:id="79"/>
      <w:r>
        <w:rPr>
          <w:rFonts w:ascii="Times New Roman" w:hAnsi="Times New Roman" w:cs="Times New Roman"/>
          <w:sz w:val="18"/>
          <w:szCs w:val="18"/>
        </w:rPr>
        <w:t xml:space="preserve">, R., Ou, Y., Tang, W., Wang, Q., Yu, B., 2020. An emergency evacuation behavior simulation method combines personality traits and emotion contagion. IEEE Access 8, 66693–66706. </w:t>
      </w:r>
      <w:hyperlink r:id="rId70" w:history="1">
        <w:r>
          <w:rPr>
            <w:rStyle w:val="Hyperlink"/>
            <w:rFonts w:ascii="Times New Roman" w:hAnsi="Times New Roman" w:cs="Times New Roman"/>
            <w:sz w:val="18"/>
            <w:szCs w:val="18"/>
            <w:u w:val="none"/>
          </w:rPr>
          <w:t>https://doi.org/10.1109/ACCESS.2020.2985987</w:t>
        </w:r>
      </w:hyperlink>
    </w:p>
    <w:p w14:paraId="74DB86D1"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80" w:name="ZouH2017"/>
      <w:r>
        <w:rPr>
          <w:rFonts w:ascii="Times New Roman" w:hAnsi="Times New Roman" w:cs="Times New Roman"/>
          <w:sz w:val="18"/>
          <w:szCs w:val="18"/>
        </w:rPr>
        <w:t>Zou, H</w:t>
      </w:r>
      <w:bookmarkEnd w:id="80"/>
      <w:r>
        <w:rPr>
          <w:rFonts w:ascii="Times New Roman" w:hAnsi="Times New Roman" w:cs="Times New Roman"/>
          <w:sz w:val="18"/>
          <w:szCs w:val="18"/>
        </w:rPr>
        <w:t>., 2017. Research on ecological validity evaluation and improvement method of indoor evacuation behavior in VR scenarios. MSc thesis, Tsinghua University.</w:t>
      </w:r>
    </w:p>
    <w:p w14:paraId="24CFED79"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81" w:name="ZouHliN"/>
      <w:r>
        <w:rPr>
          <w:rFonts w:ascii="Times New Roman" w:hAnsi="Times New Roman" w:cs="Times New Roman"/>
          <w:sz w:val="18"/>
          <w:szCs w:val="18"/>
        </w:rPr>
        <w:t>Zou, H</w:t>
      </w:r>
      <w:bookmarkEnd w:id="81"/>
      <w:r>
        <w:rPr>
          <w:rFonts w:ascii="Times New Roman" w:hAnsi="Times New Roman" w:cs="Times New Roman"/>
          <w:sz w:val="18"/>
          <w:szCs w:val="18"/>
        </w:rPr>
        <w:t xml:space="preserve">., Li, N., Cao, L., 2017. Emotional response–based approach for assessing the sense of presence of subjects in virtual building evacuation studies. J. Comput. Civ. Eng. 31 (5), 04017028. </w:t>
      </w:r>
      <w:hyperlink r:id="rId71" w:history="1">
        <w:r>
          <w:rPr>
            <w:rStyle w:val="Hyperlink"/>
            <w:rFonts w:ascii="Times New Roman" w:hAnsi="Times New Roman" w:cs="Times New Roman"/>
            <w:sz w:val="18"/>
            <w:szCs w:val="18"/>
            <w:u w:val="none"/>
          </w:rPr>
          <w:t>https://doi.org/10.1061/(ASCE)CP.1943-5487.0000679</w:t>
        </w:r>
      </w:hyperlink>
    </w:p>
    <w:p w14:paraId="57D60403" w14:textId="77777777" w:rsidR="00907DC0" w:rsidRDefault="00000000">
      <w:pPr>
        <w:pStyle w:val="EndNoteBibliography"/>
        <w:spacing w:line="240" w:lineRule="exact"/>
        <w:ind w:left="360" w:hangingChars="200" w:hanging="360"/>
        <w:rPr>
          <w:rFonts w:ascii="Times New Roman" w:hAnsi="Times New Roman" w:cs="Times New Roman"/>
          <w:sz w:val="18"/>
          <w:szCs w:val="18"/>
        </w:rPr>
      </w:pPr>
      <w:bookmarkStart w:id="82" w:name="ZouQ"/>
      <w:r>
        <w:rPr>
          <w:rFonts w:ascii="Times New Roman" w:hAnsi="Times New Roman" w:cs="Times New Roman"/>
          <w:sz w:val="18"/>
          <w:szCs w:val="18"/>
        </w:rPr>
        <w:t>Zou</w:t>
      </w:r>
      <w:bookmarkEnd w:id="82"/>
      <w:r>
        <w:rPr>
          <w:rFonts w:ascii="Times New Roman" w:hAnsi="Times New Roman" w:cs="Times New Roman"/>
          <w:sz w:val="18"/>
          <w:szCs w:val="18"/>
        </w:rPr>
        <w:t xml:space="preserve">, Q., Chen, S., 2020. Simulation of crowd evacuation under toxic gas incident considering emotion contagion and information transmission. J. Comput. Civ. Eng. 34 (3), 04020007. </w:t>
      </w:r>
      <w:hyperlink r:id="rId72" w:history="1">
        <w:r>
          <w:rPr>
            <w:rStyle w:val="Hyperlink"/>
            <w:rFonts w:ascii="Times New Roman" w:hAnsi="Times New Roman" w:cs="Times New Roman"/>
            <w:sz w:val="18"/>
            <w:szCs w:val="18"/>
            <w:u w:val="none"/>
          </w:rPr>
          <w:t>https://doi.org/10.1061/(ASCE)CP.1943-5487.0000889</w:t>
        </w:r>
      </w:hyperlink>
    </w:p>
    <w:p w14:paraId="4864C4C0" w14:textId="77777777" w:rsidR="00907DC0" w:rsidRDefault="00000000">
      <w:pPr>
        <w:tabs>
          <w:tab w:val="left" w:pos="0"/>
        </w:tabs>
        <w:wordWrap w:val="0"/>
        <w:spacing w:line="240" w:lineRule="exact"/>
        <w:ind w:left="360" w:hangingChars="200" w:hanging="360"/>
        <w:jc w:val="left"/>
        <w:rPr>
          <w:rFonts w:ascii="Times New Roman" w:eastAsia="SimSun" w:hAnsi="Times New Roman" w:cs="Times New Roman"/>
          <w:sz w:val="18"/>
          <w:szCs w:val="18"/>
        </w:rPr>
      </w:pPr>
      <w:r>
        <w:rPr>
          <w:rFonts w:ascii="Times New Roman" w:hAnsi="Times New Roman" w:cs="Times New Roman"/>
          <w:sz w:val="18"/>
          <w:szCs w:val="18"/>
        </w:rPr>
        <w:fldChar w:fldCharType="end"/>
      </w:r>
    </w:p>
    <w:p w14:paraId="5CDCD589" w14:textId="77777777" w:rsidR="00907DC0" w:rsidRDefault="00907DC0">
      <w:pPr>
        <w:spacing w:line="240" w:lineRule="exact"/>
        <w:rPr>
          <w:rFonts w:ascii="Times New Roman" w:eastAsia="Times New Roman" w:hAnsi="Times New Roman" w:cs="Times New Roman"/>
          <w:sz w:val="18"/>
          <w:szCs w:val="18"/>
        </w:rPr>
      </w:pPr>
    </w:p>
    <w:sectPr w:rsidR="00907DC0">
      <w:type w:val="continuous"/>
      <w:pgSz w:w="11906" w:h="16838"/>
      <w:pgMar w:top="879" w:right="850" w:bottom="879" w:left="850" w:header="1247" w:footer="1247" w:gutter="0"/>
      <w:cols w:num="2" w:space="720" w:equalWidth="0">
        <w:col w:w="4890" w:space="425"/>
        <w:col w:w="4890"/>
      </w:cols>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FangSong_GB2312">
    <w:altName w:val="FangSong"/>
    <w:charset w:val="86"/>
    <w:family w:val="modern"/>
    <w:pitch w:val="default"/>
    <w:sig w:usb0="00000000" w:usb1="00000000" w:usb2="00000000" w:usb3="00000000" w:csb0="00040000" w:csb1="00000000"/>
  </w:font>
  <w:font w:name="KaiTi_GB2312">
    <w:altName w:val="KaiTi"/>
    <w:charset w:val="86"/>
    <w:family w:val="modern"/>
    <w:pitch w:val="default"/>
    <w:sig w:usb0="00000000" w:usb1="0000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972FFA12"/>
    <w:multiLevelType w:val="singleLevel"/>
    <w:tmpl w:val="972FFA12"/>
    <w:lvl w:ilvl="0">
      <w:start w:val="16"/>
      <w:numFmt w:val="upperLetter"/>
      <w:suff w:val="nothing"/>
      <w:lvlText w:val="%1-"/>
      <w:lvlJc w:val="left"/>
    </w:lvl>
  </w:abstractNum>
  <w:abstractNum w:abstractNumId="1" w15:restartNumberingAfterBreak="0">
    <w:nsid w:val="DFD9C180"/>
    <w:multiLevelType w:val="singleLevel"/>
    <w:tmpl w:val="DFD9C180"/>
    <w:lvl w:ilvl="0">
      <w:start w:val="1"/>
      <w:numFmt w:val="decimal"/>
      <w:suff w:val="space"/>
      <w:lvlText w:val="2.%1"/>
      <w:lvlJc w:val="left"/>
      <w:pPr>
        <w:tabs>
          <w:tab w:val="left" w:pos="0"/>
        </w:tabs>
        <w:ind w:left="0" w:firstLine="40"/>
      </w:pPr>
      <w:rPr>
        <w:rFonts w:hint="default"/>
      </w:rPr>
    </w:lvl>
  </w:abstractNum>
  <w:abstractNum w:abstractNumId="2" w15:restartNumberingAfterBreak="0">
    <w:nsid w:val="50685607"/>
    <w:multiLevelType w:val="singleLevel"/>
    <w:tmpl w:val="50685607"/>
    <w:lvl w:ilvl="0">
      <w:start w:val="1"/>
      <w:numFmt w:val="decimal"/>
      <w:suff w:val="space"/>
      <w:lvlText w:val="%1."/>
      <w:lvlJc w:val="left"/>
    </w:lvl>
  </w:abstractNum>
  <w:num w:numId="1" w16cid:durableId="654916497">
    <w:abstractNumId w:val="2"/>
  </w:num>
  <w:num w:numId="2" w16cid:durableId="1189873444">
    <w:abstractNumId w:val="1"/>
  </w:num>
  <w:num w:numId="3" w16cid:durableId="14500061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WQ4NjE4YTc2ZTBiYTkyOGRiNDE0MDQ3ZjVkMjY4ZDMifQ=="/>
  </w:docVars>
  <w:rsids>
    <w:rsidRoot w:val="2A126526"/>
    <w:rsid w:val="0008430D"/>
    <w:rsid w:val="000E3068"/>
    <w:rsid w:val="00107C48"/>
    <w:rsid w:val="002424C5"/>
    <w:rsid w:val="00247343"/>
    <w:rsid w:val="002D488B"/>
    <w:rsid w:val="002F135F"/>
    <w:rsid w:val="002F5656"/>
    <w:rsid w:val="00383C3F"/>
    <w:rsid w:val="003C1A92"/>
    <w:rsid w:val="004076E1"/>
    <w:rsid w:val="00412003"/>
    <w:rsid w:val="004A1387"/>
    <w:rsid w:val="0050157F"/>
    <w:rsid w:val="005444CE"/>
    <w:rsid w:val="00685167"/>
    <w:rsid w:val="00686EAA"/>
    <w:rsid w:val="00697E56"/>
    <w:rsid w:val="00736AB2"/>
    <w:rsid w:val="007E4CA5"/>
    <w:rsid w:val="00824E5B"/>
    <w:rsid w:val="008C28E4"/>
    <w:rsid w:val="00907DC0"/>
    <w:rsid w:val="00923CCE"/>
    <w:rsid w:val="00B96E24"/>
    <w:rsid w:val="00B97086"/>
    <w:rsid w:val="00C81E6D"/>
    <w:rsid w:val="00D86409"/>
    <w:rsid w:val="00E45767"/>
    <w:rsid w:val="00E73B1F"/>
    <w:rsid w:val="00ED599F"/>
    <w:rsid w:val="00F10ED4"/>
    <w:rsid w:val="010B405F"/>
    <w:rsid w:val="01122876"/>
    <w:rsid w:val="01281B77"/>
    <w:rsid w:val="012B63B9"/>
    <w:rsid w:val="012E59FC"/>
    <w:rsid w:val="015679D0"/>
    <w:rsid w:val="015C2B0C"/>
    <w:rsid w:val="0160440D"/>
    <w:rsid w:val="01671BDD"/>
    <w:rsid w:val="016B62B5"/>
    <w:rsid w:val="017442FA"/>
    <w:rsid w:val="019B53E2"/>
    <w:rsid w:val="01BF37C7"/>
    <w:rsid w:val="01F01BD2"/>
    <w:rsid w:val="01F571E8"/>
    <w:rsid w:val="01FE3865"/>
    <w:rsid w:val="024B6E08"/>
    <w:rsid w:val="029307AF"/>
    <w:rsid w:val="031E276F"/>
    <w:rsid w:val="03455C74"/>
    <w:rsid w:val="03667C72"/>
    <w:rsid w:val="03912F41"/>
    <w:rsid w:val="040000C7"/>
    <w:rsid w:val="040354C1"/>
    <w:rsid w:val="0419215B"/>
    <w:rsid w:val="04206237"/>
    <w:rsid w:val="04247911"/>
    <w:rsid w:val="044A30F0"/>
    <w:rsid w:val="05121E5F"/>
    <w:rsid w:val="05300538"/>
    <w:rsid w:val="05791EDF"/>
    <w:rsid w:val="059B00A7"/>
    <w:rsid w:val="05A52A08"/>
    <w:rsid w:val="05E80E12"/>
    <w:rsid w:val="05F176DA"/>
    <w:rsid w:val="06444C91"/>
    <w:rsid w:val="0647209D"/>
    <w:rsid w:val="064E6EC7"/>
    <w:rsid w:val="067A1963"/>
    <w:rsid w:val="068E5516"/>
    <w:rsid w:val="06BC6527"/>
    <w:rsid w:val="06E23AB3"/>
    <w:rsid w:val="06E710CA"/>
    <w:rsid w:val="06FE6B3F"/>
    <w:rsid w:val="07100621"/>
    <w:rsid w:val="0721638A"/>
    <w:rsid w:val="07375BAD"/>
    <w:rsid w:val="074919B2"/>
    <w:rsid w:val="07AD74EB"/>
    <w:rsid w:val="07C62CEB"/>
    <w:rsid w:val="07D653C6"/>
    <w:rsid w:val="07F340B7"/>
    <w:rsid w:val="07F43A9E"/>
    <w:rsid w:val="07FC32E1"/>
    <w:rsid w:val="08017F69"/>
    <w:rsid w:val="084F0A5C"/>
    <w:rsid w:val="088F5575"/>
    <w:rsid w:val="089D5EE4"/>
    <w:rsid w:val="08B1198F"/>
    <w:rsid w:val="08CC4A1B"/>
    <w:rsid w:val="08CE0793"/>
    <w:rsid w:val="0935236A"/>
    <w:rsid w:val="093734DA"/>
    <w:rsid w:val="093F0D49"/>
    <w:rsid w:val="095D3E9A"/>
    <w:rsid w:val="09EA6F07"/>
    <w:rsid w:val="0A3372E4"/>
    <w:rsid w:val="0A3960E0"/>
    <w:rsid w:val="0A5B1BB3"/>
    <w:rsid w:val="0A6071C9"/>
    <w:rsid w:val="0A6C4F3E"/>
    <w:rsid w:val="0AF10769"/>
    <w:rsid w:val="0AFA5870"/>
    <w:rsid w:val="0B0C10FF"/>
    <w:rsid w:val="0B41524D"/>
    <w:rsid w:val="0B723658"/>
    <w:rsid w:val="0B903ADE"/>
    <w:rsid w:val="0BDF6338"/>
    <w:rsid w:val="0C552B4D"/>
    <w:rsid w:val="0C5B0590"/>
    <w:rsid w:val="0C6E65A1"/>
    <w:rsid w:val="0CC7352F"/>
    <w:rsid w:val="0CE265BB"/>
    <w:rsid w:val="0CE57E5A"/>
    <w:rsid w:val="0D244014"/>
    <w:rsid w:val="0D29243C"/>
    <w:rsid w:val="0D690A8B"/>
    <w:rsid w:val="0DC3143B"/>
    <w:rsid w:val="0DF05A8B"/>
    <w:rsid w:val="0DFE7425"/>
    <w:rsid w:val="0E0759B4"/>
    <w:rsid w:val="0E2F1BD3"/>
    <w:rsid w:val="0E39220B"/>
    <w:rsid w:val="0EBE6BB4"/>
    <w:rsid w:val="0ED1666A"/>
    <w:rsid w:val="0EF10D38"/>
    <w:rsid w:val="0EFE06AE"/>
    <w:rsid w:val="0F1A028E"/>
    <w:rsid w:val="0F543075"/>
    <w:rsid w:val="0F8E1282"/>
    <w:rsid w:val="100D394F"/>
    <w:rsid w:val="102853F9"/>
    <w:rsid w:val="10525806"/>
    <w:rsid w:val="105A46BB"/>
    <w:rsid w:val="106043C7"/>
    <w:rsid w:val="106535E4"/>
    <w:rsid w:val="10BB4043"/>
    <w:rsid w:val="10E02E12"/>
    <w:rsid w:val="10E8649D"/>
    <w:rsid w:val="110411F6"/>
    <w:rsid w:val="11601373"/>
    <w:rsid w:val="11675080"/>
    <w:rsid w:val="116A293F"/>
    <w:rsid w:val="121E62E8"/>
    <w:rsid w:val="121F3E0E"/>
    <w:rsid w:val="123C0392"/>
    <w:rsid w:val="12DE7825"/>
    <w:rsid w:val="12EE5628"/>
    <w:rsid w:val="13077C95"/>
    <w:rsid w:val="134A2234"/>
    <w:rsid w:val="13AE71F7"/>
    <w:rsid w:val="13E94614"/>
    <w:rsid w:val="14290F74"/>
    <w:rsid w:val="14321BD6"/>
    <w:rsid w:val="14394E19"/>
    <w:rsid w:val="146401FE"/>
    <w:rsid w:val="149F2FE4"/>
    <w:rsid w:val="14FE41AE"/>
    <w:rsid w:val="15565D98"/>
    <w:rsid w:val="15655FDB"/>
    <w:rsid w:val="159A2B6D"/>
    <w:rsid w:val="15AC7766"/>
    <w:rsid w:val="15F0526F"/>
    <w:rsid w:val="16027CCE"/>
    <w:rsid w:val="1618304E"/>
    <w:rsid w:val="16351E52"/>
    <w:rsid w:val="16A14DF1"/>
    <w:rsid w:val="16BC2980"/>
    <w:rsid w:val="16EF3DAF"/>
    <w:rsid w:val="17034227"/>
    <w:rsid w:val="17050511"/>
    <w:rsid w:val="172E00E1"/>
    <w:rsid w:val="174D02F7"/>
    <w:rsid w:val="177B7D38"/>
    <w:rsid w:val="17872239"/>
    <w:rsid w:val="17A76437"/>
    <w:rsid w:val="17BA0860"/>
    <w:rsid w:val="18090EA0"/>
    <w:rsid w:val="1820443C"/>
    <w:rsid w:val="187C5E9B"/>
    <w:rsid w:val="188C6738"/>
    <w:rsid w:val="18956BD8"/>
    <w:rsid w:val="18A8743A"/>
    <w:rsid w:val="18B27E87"/>
    <w:rsid w:val="18F90F15"/>
    <w:rsid w:val="19322678"/>
    <w:rsid w:val="19332850"/>
    <w:rsid w:val="196842EC"/>
    <w:rsid w:val="197B7B7C"/>
    <w:rsid w:val="19CC03D7"/>
    <w:rsid w:val="19E73463"/>
    <w:rsid w:val="19EC1CC9"/>
    <w:rsid w:val="19FE255B"/>
    <w:rsid w:val="1A652AE7"/>
    <w:rsid w:val="1A9B53E1"/>
    <w:rsid w:val="1AAB4490"/>
    <w:rsid w:val="1AB33345"/>
    <w:rsid w:val="1AB57087"/>
    <w:rsid w:val="1AF06347"/>
    <w:rsid w:val="1B210BF7"/>
    <w:rsid w:val="1B4D5548"/>
    <w:rsid w:val="1B612DA1"/>
    <w:rsid w:val="1BA25161"/>
    <w:rsid w:val="1BAE4F7F"/>
    <w:rsid w:val="1BB92BDD"/>
    <w:rsid w:val="1BF6798D"/>
    <w:rsid w:val="1C395ACC"/>
    <w:rsid w:val="1C4A1A87"/>
    <w:rsid w:val="1C501A53"/>
    <w:rsid w:val="1C67088B"/>
    <w:rsid w:val="1C8C6544"/>
    <w:rsid w:val="1CF739BD"/>
    <w:rsid w:val="1D156539"/>
    <w:rsid w:val="1D7A45EE"/>
    <w:rsid w:val="1DF0665E"/>
    <w:rsid w:val="1E4569AA"/>
    <w:rsid w:val="1E696B3C"/>
    <w:rsid w:val="1E984D2C"/>
    <w:rsid w:val="1EBD4792"/>
    <w:rsid w:val="1F2D7B6A"/>
    <w:rsid w:val="1F626B5A"/>
    <w:rsid w:val="1FE741BD"/>
    <w:rsid w:val="1FF93EF0"/>
    <w:rsid w:val="201E5705"/>
    <w:rsid w:val="20254CE5"/>
    <w:rsid w:val="20376493"/>
    <w:rsid w:val="2063580D"/>
    <w:rsid w:val="209D2ACD"/>
    <w:rsid w:val="20CB58D7"/>
    <w:rsid w:val="20EE53D8"/>
    <w:rsid w:val="21224D81"/>
    <w:rsid w:val="21294AD8"/>
    <w:rsid w:val="21333432"/>
    <w:rsid w:val="213A656E"/>
    <w:rsid w:val="21500538"/>
    <w:rsid w:val="21C30312"/>
    <w:rsid w:val="21ED35E0"/>
    <w:rsid w:val="21F030D1"/>
    <w:rsid w:val="22715B92"/>
    <w:rsid w:val="22806203"/>
    <w:rsid w:val="22A81F1D"/>
    <w:rsid w:val="22A87507"/>
    <w:rsid w:val="22B0782F"/>
    <w:rsid w:val="22B10AB2"/>
    <w:rsid w:val="22BF31CF"/>
    <w:rsid w:val="237044C9"/>
    <w:rsid w:val="237C4C1C"/>
    <w:rsid w:val="23897339"/>
    <w:rsid w:val="23C340DE"/>
    <w:rsid w:val="244F1064"/>
    <w:rsid w:val="246139DD"/>
    <w:rsid w:val="246811AB"/>
    <w:rsid w:val="24A03A69"/>
    <w:rsid w:val="251E1D03"/>
    <w:rsid w:val="25394CA0"/>
    <w:rsid w:val="25445C0D"/>
    <w:rsid w:val="25611B78"/>
    <w:rsid w:val="258E6E89"/>
    <w:rsid w:val="25B032A3"/>
    <w:rsid w:val="25BA6398"/>
    <w:rsid w:val="25C1725E"/>
    <w:rsid w:val="25DE3F20"/>
    <w:rsid w:val="26051760"/>
    <w:rsid w:val="2665408D"/>
    <w:rsid w:val="266D4CF0"/>
    <w:rsid w:val="26794493"/>
    <w:rsid w:val="26812549"/>
    <w:rsid w:val="26AF355A"/>
    <w:rsid w:val="26B20955"/>
    <w:rsid w:val="26EC030B"/>
    <w:rsid w:val="26F7280B"/>
    <w:rsid w:val="270630F7"/>
    <w:rsid w:val="270730D9"/>
    <w:rsid w:val="27133AE9"/>
    <w:rsid w:val="27383550"/>
    <w:rsid w:val="276F6846"/>
    <w:rsid w:val="277976C4"/>
    <w:rsid w:val="2783567B"/>
    <w:rsid w:val="278B7B24"/>
    <w:rsid w:val="27902526"/>
    <w:rsid w:val="27A1727B"/>
    <w:rsid w:val="27C22E19"/>
    <w:rsid w:val="280276BA"/>
    <w:rsid w:val="28425D08"/>
    <w:rsid w:val="28684E60"/>
    <w:rsid w:val="28732366"/>
    <w:rsid w:val="28CF1C92"/>
    <w:rsid w:val="29130664"/>
    <w:rsid w:val="292C0E92"/>
    <w:rsid w:val="29437F8A"/>
    <w:rsid w:val="295201CD"/>
    <w:rsid w:val="29B13146"/>
    <w:rsid w:val="29E43BB8"/>
    <w:rsid w:val="2A126526"/>
    <w:rsid w:val="2A626259"/>
    <w:rsid w:val="2A6603D4"/>
    <w:rsid w:val="2AA44A58"/>
    <w:rsid w:val="2ABE1FBE"/>
    <w:rsid w:val="2AC944BF"/>
    <w:rsid w:val="2AE469CD"/>
    <w:rsid w:val="2AF61758"/>
    <w:rsid w:val="2B1E480B"/>
    <w:rsid w:val="2B27738B"/>
    <w:rsid w:val="2B2B6F28"/>
    <w:rsid w:val="2B520958"/>
    <w:rsid w:val="2B5C5333"/>
    <w:rsid w:val="2BB4516F"/>
    <w:rsid w:val="2BDC71BF"/>
    <w:rsid w:val="2C26606D"/>
    <w:rsid w:val="2C351E0C"/>
    <w:rsid w:val="2C9E3E55"/>
    <w:rsid w:val="2CC118F2"/>
    <w:rsid w:val="2CF5678B"/>
    <w:rsid w:val="2D3A16A4"/>
    <w:rsid w:val="2D7B5F44"/>
    <w:rsid w:val="2D7C30AE"/>
    <w:rsid w:val="2D9D410D"/>
    <w:rsid w:val="2D9E1C33"/>
    <w:rsid w:val="2DB200CD"/>
    <w:rsid w:val="2DCC2C44"/>
    <w:rsid w:val="2DCC2DE0"/>
    <w:rsid w:val="2E1B14D5"/>
    <w:rsid w:val="2E24038A"/>
    <w:rsid w:val="2E5E221D"/>
    <w:rsid w:val="2E5F628F"/>
    <w:rsid w:val="2E644C2A"/>
    <w:rsid w:val="2E755089"/>
    <w:rsid w:val="2EBC2A6A"/>
    <w:rsid w:val="2EED69CE"/>
    <w:rsid w:val="2F081A5A"/>
    <w:rsid w:val="2F2A1738"/>
    <w:rsid w:val="2F452CAE"/>
    <w:rsid w:val="2F6D7B0F"/>
    <w:rsid w:val="2FD14541"/>
    <w:rsid w:val="30336FAA"/>
    <w:rsid w:val="306F78B6"/>
    <w:rsid w:val="307F7AFA"/>
    <w:rsid w:val="30887DBB"/>
    <w:rsid w:val="30913CD1"/>
    <w:rsid w:val="31093867"/>
    <w:rsid w:val="3115045E"/>
    <w:rsid w:val="311A3CC6"/>
    <w:rsid w:val="319C6705"/>
    <w:rsid w:val="31A33CBC"/>
    <w:rsid w:val="31AC4E38"/>
    <w:rsid w:val="31E3230A"/>
    <w:rsid w:val="31F664E1"/>
    <w:rsid w:val="31FA2AD1"/>
    <w:rsid w:val="32747406"/>
    <w:rsid w:val="32CC2D9E"/>
    <w:rsid w:val="32EC51EE"/>
    <w:rsid w:val="33274575"/>
    <w:rsid w:val="333D428D"/>
    <w:rsid w:val="3344327C"/>
    <w:rsid w:val="33574044"/>
    <w:rsid w:val="338D4C23"/>
    <w:rsid w:val="33CF0D98"/>
    <w:rsid w:val="342D5ABF"/>
    <w:rsid w:val="344D7A8B"/>
    <w:rsid w:val="345A0BAA"/>
    <w:rsid w:val="34655258"/>
    <w:rsid w:val="34A76D26"/>
    <w:rsid w:val="34DB088F"/>
    <w:rsid w:val="350D61E3"/>
    <w:rsid w:val="35187924"/>
    <w:rsid w:val="35213875"/>
    <w:rsid w:val="35247FD5"/>
    <w:rsid w:val="35481E9E"/>
    <w:rsid w:val="35523A2F"/>
    <w:rsid w:val="355E6877"/>
    <w:rsid w:val="356E45E1"/>
    <w:rsid w:val="35B54E3C"/>
    <w:rsid w:val="365366A3"/>
    <w:rsid w:val="37162F9B"/>
    <w:rsid w:val="377A726D"/>
    <w:rsid w:val="37823A0B"/>
    <w:rsid w:val="37894D2D"/>
    <w:rsid w:val="378F4E89"/>
    <w:rsid w:val="379C71E3"/>
    <w:rsid w:val="37A367C3"/>
    <w:rsid w:val="382B37E7"/>
    <w:rsid w:val="38487F1B"/>
    <w:rsid w:val="38524FF3"/>
    <w:rsid w:val="386C12AB"/>
    <w:rsid w:val="386C69C9"/>
    <w:rsid w:val="387463B2"/>
    <w:rsid w:val="38D806EF"/>
    <w:rsid w:val="38DB1F8D"/>
    <w:rsid w:val="39096AFA"/>
    <w:rsid w:val="390F1847"/>
    <w:rsid w:val="39230172"/>
    <w:rsid w:val="393671C3"/>
    <w:rsid w:val="3958538C"/>
    <w:rsid w:val="39634E8B"/>
    <w:rsid w:val="39DA6F8B"/>
    <w:rsid w:val="3A14012F"/>
    <w:rsid w:val="3A8F494D"/>
    <w:rsid w:val="3AE113B1"/>
    <w:rsid w:val="3B2272BD"/>
    <w:rsid w:val="3BC05C31"/>
    <w:rsid w:val="3BD322AF"/>
    <w:rsid w:val="3BFF09AF"/>
    <w:rsid w:val="3C202C87"/>
    <w:rsid w:val="3C311E7C"/>
    <w:rsid w:val="3C357C06"/>
    <w:rsid w:val="3C3D1E46"/>
    <w:rsid w:val="3C756255"/>
    <w:rsid w:val="3C920BB5"/>
    <w:rsid w:val="3C9B5786"/>
    <w:rsid w:val="3CED6733"/>
    <w:rsid w:val="3D5D45AD"/>
    <w:rsid w:val="3D600CB3"/>
    <w:rsid w:val="3D65276D"/>
    <w:rsid w:val="3DDA5791"/>
    <w:rsid w:val="3DE9514C"/>
    <w:rsid w:val="3DEA5E92"/>
    <w:rsid w:val="3DF53AF1"/>
    <w:rsid w:val="3E4619B8"/>
    <w:rsid w:val="3E606D71"/>
    <w:rsid w:val="3EB61EDA"/>
    <w:rsid w:val="3ED23E32"/>
    <w:rsid w:val="3EF26825"/>
    <w:rsid w:val="3EF274E9"/>
    <w:rsid w:val="3F1E2BD3"/>
    <w:rsid w:val="3F204B9E"/>
    <w:rsid w:val="3F2226C4"/>
    <w:rsid w:val="3F3D5FA0"/>
    <w:rsid w:val="3F4625D2"/>
    <w:rsid w:val="3F520ACF"/>
    <w:rsid w:val="3F7D4F84"/>
    <w:rsid w:val="3F9A4950"/>
    <w:rsid w:val="3FA122F0"/>
    <w:rsid w:val="3FA410FF"/>
    <w:rsid w:val="3FC27A03"/>
    <w:rsid w:val="403B1563"/>
    <w:rsid w:val="409C46F8"/>
    <w:rsid w:val="40A315E2"/>
    <w:rsid w:val="40D07EFD"/>
    <w:rsid w:val="414213C3"/>
    <w:rsid w:val="418C651A"/>
    <w:rsid w:val="41E023C2"/>
    <w:rsid w:val="42072045"/>
    <w:rsid w:val="420D6F4E"/>
    <w:rsid w:val="42132798"/>
    <w:rsid w:val="42460346"/>
    <w:rsid w:val="42AA156E"/>
    <w:rsid w:val="42CF6D0A"/>
    <w:rsid w:val="431D4A46"/>
    <w:rsid w:val="4326474D"/>
    <w:rsid w:val="43364990"/>
    <w:rsid w:val="435117C9"/>
    <w:rsid w:val="435279D2"/>
    <w:rsid w:val="435B2175"/>
    <w:rsid w:val="43853221"/>
    <w:rsid w:val="43FE2FD4"/>
    <w:rsid w:val="4438119F"/>
    <w:rsid w:val="44637801"/>
    <w:rsid w:val="44D83825"/>
    <w:rsid w:val="44F468B0"/>
    <w:rsid w:val="45AD4CB1"/>
    <w:rsid w:val="45C53DA9"/>
    <w:rsid w:val="45CF2E79"/>
    <w:rsid w:val="45E00BE3"/>
    <w:rsid w:val="45F27B9E"/>
    <w:rsid w:val="463C36B8"/>
    <w:rsid w:val="463E32E8"/>
    <w:rsid w:val="46674E60"/>
    <w:rsid w:val="466A2FEA"/>
    <w:rsid w:val="466B0DF4"/>
    <w:rsid w:val="46794B93"/>
    <w:rsid w:val="46971BE9"/>
    <w:rsid w:val="46BC1650"/>
    <w:rsid w:val="46DC75FC"/>
    <w:rsid w:val="46E75FA1"/>
    <w:rsid w:val="4740402F"/>
    <w:rsid w:val="474A6825"/>
    <w:rsid w:val="475F3D89"/>
    <w:rsid w:val="477C0DDF"/>
    <w:rsid w:val="477C392D"/>
    <w:rsid w:val="47946129"/>
    <w:rsid w:val="47E726FC"/>
    <w:rsid w:val="48013092"/>
    <w:rsid w:val="48335942"/>
    <w:rsid w:val="48691363"/>
    <w:rsid w:val="48693111"/>
    <w:rsid w:val="48BA48C9"/>
    <w:rsid w:val="490C7F41"/>
    <w:rsid w:val="4929464F"/>
    <w:rsid w:val="4941408E"/>
    <w:rsid w:val="49C16F7D"/>
    <w:rsid w:val="49CC7DFC"/>
    <w:rsid w:val="49F40D20"/>
    <w:rsid w:val="4A083632"/>
    <w:rsid w:val="4A1277D9"/>
    <w:rsid w:val="4A9A2C89"/>
    <w:rsid w:val="4ABA0247"/>
    <w:rsid w:val="4AE03DBC"/>
    <w:rsid w:val="4B0215FB"/>
    <w:rsid w:val="4B0233A9"/>
    <w:rsid w:val="4B071650"/>
    <w:rsid w:val="4B2B0B52"/>
    <w:rsid w:val="4B38501D"/>
    <w:rsid w:val="4B4E7AE9"/>
    <w:rsid w:val="4B531E57"/>
    <w:rsid w:val="4B553E21"/>
    <w:rsid w:val="4B63209D"/>
    <w:rsid w:val="4B797B15"/>
    <w:rsid w:val="4B9A5CD8"/>
    <w:rsid w:val="4BB4786D"/>
    <w:rsid w:val="4BF929FE"/>
    <w:rsid w:val="4C4A5008"/>
    <w:rsid w:val="4C4F261E"/>
    <w:rsid w:val="4C533F73"/>
    <w:rsid w:val="4C87039C"/>
    <w:rsid w:val="4CBA03DF"/>
    <w:rsid w:val="4D2C29D4"/>
    <w:rsid w:val="4D513C30"/>
    <w:rsid w:val="4DB82445"/>
    <w:rsid w:val="4DBF37D4"/>
    <w:rsid w:val="4DD860F0"/>
    <w:rsid w:val="4DF06083"/>
    <w:rsid w:val="4E035DB6"/>
    <w:rsid w:val="4E132E4F"/>
    <w:rsid w:val="4E151645"/>
    <w:rsid w:val="4E17716C"/>
    <w:rsid w:val="4E3306B2"/>
    <w:rsid w:val="4E3B5550"/>
    <w:rsid w:val="4E5C1022"/>
    <w:rsid w:val="4E611B8B"/>
    <w:rsid w:val="4E721FAA"/>
    <w:rsid w:val="4E9E163B"/>
    <w:rsid w:val="4ECE5629"/>
    <w:rsid w:val="4EE83D64"/>
    <w:rsid w:val="4F1D2EA8"/>
    <w:rsid w:val="4F334479"/>
    <w:rsid w:val="4F3D6F7D"/>
    <w:rsid w:val="4FAB4475"/>
    <w:rsid w:val="4FB56C3C"/>
    <w:rsid w:val="4FE90FDC"/>
    <w:rsid w:val="4FF82FCD"/>
    <w:rsid w:val="50193B26"/>
    <w:rsid w:val="5022075B"/>
    <w:rsid w:val="50382DB0"/>
    <w:rsid w:val="50574AA9"/>
    <w:rsid w:val="505E5526"/>
    <w:rsid w:val="506D5769"/>
    <w:rsid w:val="50BB4726"/>
    <w:rsid w:val="50D2038B"/>
    <w:rsid w:val="50DB0924"/>
    <w:rsid w:val="51336849"/>
    <w:rsid w:val="51962A9D"/>
    <w:rsid w:val="51C36AAD"/>
    <w:rsid w:val="526B7937"/>
    <w:rsid w:val="52735A47"/>
    <w:rsid w:val="528D71FE"/>
    <w:rsid w:val="52CB182B"/>
    <w:rsid w:val="52FD0984"/>
    <w:rsid w:val="5301744B"/>
    <w:rsid w:val="536A5413"/>
    <w:rsid w:val="53807640"/>
    <w:rsid w:val="53A476F3"/>
    <w:rsid w:val="53B34F90"/>
    <w:rsid w:val="53B45042"/>
    <w:rsid w:val="53BB4A3D"/>
    <w:rsid w:val="53BD07B5"/>
    <w:rsid w:val="53DB051A"/>
    <w:rsid w:val="53E57317"/>
    <w:rsid w:val="54063F0A"/>
    <w:rsid w:val="54286270"/>
    <w:rsid w:val="545D2BEE"/>
    <w:rsid w:val="54EC75A4"/>
    <w:rsid w:val="54F20DCE"/>
    <w:rsid w:val="554F7B33"/>
    <w:rsid w:val="559519EA"/>
    <w:rsid w:val="55CF47D0"/>
    <w:rsid w:val="55D02A22"/>
    <w:rsid w:val="55D32512"/>
    <w:rsid w:val="55D43B94"/>
    <w:rsid w:val="55D65B5E"/>
    <w:rsid w:val="55D72AC7"/>
    <w:rsid w:val="56336B0D"/>
    <w:rsid w:val="56503B63"/>
    <w:rsid w:val="565607A7"/>
    <w:rsid w:val="56C97471"/>
    <w:rsid w:val="56DF18FA"/>
    <w:rsid w:val="56E838B8"/>
    <w:rsid w:val="57236B81"/>
    <w:rsid w:val="572A6162"/>
    <w:rsid w:val="573A5FC6"/>
    <w:rsid w:val="57407733"/>
    <w:rsid w:val="57485A5A"/>
    <w:rsid w:val="57776ECD"/>
    <w:rsid w:val="578A6C00"/>
    <w:rsid w:val="57B53A4B"/>
    <w:rsid w:val="57D660FB"/>
    <w:rsid w:val="57DB56AE"/>
    <w:rsid w:val="57E77BCC"/>
    <w:rsid w:val="57EC3417"/>
    <w:rsid w:val="57FC45B9"/>
    <w:rsid w:val="580239A1"/>
    <w:rsid w:val="583F3E8F"/>
    <w:rsid w:val="58496ABB"/>
    <w:rsid w:val="586B7207"/>
    <w:rsid w:val="58953AAF"/>
    <w:rsid w:val="589C4E3D"/>
    <w:rsid w:val="58C85C32"/>
    <w:rsid w:val="58D2508D"/>
    <w:rsid w:val="58F9403E"/>
    <w:rsid w:val="59044790"/>
    <w:rsid w:val="59404518"/>
    <w:rsid w:val="594838BF"/>
    <w:rsid w:val="59486D73"/>
    <w:rsid w:val="59513E7A"/>
    <w:rsid w:val="597C6A1D"/>
    <w:rsid w:val="59967ADE"/>
    <w:rsid w:val="59AD6BD6"/>
    <w:rsid w:val="5A68769A"/>
    <w:rsid w:val="5A6E2309"/>
    <w:rsid w:val="5AAA2F8A"/>
    <w:rsid w:val="5AAB60CB"/>
    <w:rsid w:val="5AC95C92"/>
    <w:rsid w:val="5ADF1011"/>
    <w:rsid w:val="5B1C2265"/>
    <w:rsid w:val="5B5163B3"/>
    <w:rsid w:val="5B763994"/>
    <w:rsid w:val="5B8E73ED"/>
    <w:rsid w:val="5B916CE6"/>
    <w:rsid w:val="5B9C41BA"/>
    <w:rsid w:val="5BB120E1"/>
    <w:rsid w:val="5BB459DF"/>
    <w:rsid w:val="5BC16969"/>
    <w:rsid w:val="5BC86C25"/>
    <w:rsid w:val="5BDB7A2A"/>
    <w:rsid w:val="5BE87185"/>
    <w:rsid w:val="5C0A47B4"/>
    <w:rsid w:val="5C723ADE"/>
    <w:rsid w:val="5C7E5412"/>
    <w:rsid w:val="5CD111E3"/>
    <w:rsid w:val="5CF07506"/>
    <w:rsid w:val="5CF27722"/>
    <w:rsid w:val="5D0905C7"/>
    <w:rsid w:val="5D115FB1"/>
    <w:rsid w:val="5D95431C"/>
    <w:rsid w:val="5DA078F8"/>
    <w:rsid w:val="5DB61684"/>
    <w:rsid w:val="5DBB5D65"/>
    <w:rsid w:val="5DBC1ADE"/>
    <w:rsid w:val="5DEF5A0F"/>
    <w:rsid w:val="5E063409"/>
    <w:rsid w:val="5E1B4A56"/>
    <w:rsid w:val="5E2821B1"/>
    <w:rsid w:val="5E317DD6"/>
    <w:rsid w:val="5E6142BC"/>
    <w:rsid w:val="5F0C37F8"/>
    <w:rsid w:val="5F0E0117"/>
    <w:rsid w:val="5F2C67EF"/>
    <w:rsid w:val="5F3538F6"/>
    <w:rsid w:val="5F751785"/>
    <w:rsid w:val="5F7D11DF"/>
    <w:rsid w:val="5F9D1924"/>
    <w:rsid w:val="5FC86518"/>
    <w:rsid w:val="601C4810"/>
    <w:rsid w:val="6089214B"/>
    <w:rsid w:val="60CE5DB0"/>
    <w:rsid w:val="60E12DC0"/>
    <w:rsid w:val="60EC092C"/>
    <w:rsid w:val="60F03F78"/>
    <w:rsid w:val="60F13BFD"/>
    <w:rsid w:val="61003F01"/>
    <w:rsid w:val="613100ED"/>
    <w:rsid w:val="61673556"/>
    <w:rsid w:val="617C3A5E"/>
    <w:rsid w:val="619B7152"/>
    <w:rsid w:val="61B5506C"/>
    <w:rsid w:val="61DE0274"/>
    <w:rsid w:val="61E17D65"/>
    <w:rsid w:val="61F15CD1"/>
    <w:rsid w:val="62272D9C"/>
    <w:rsid w:val="62546789"/>
    <w:rsid w:val="626369CC"/>
    <w:rsid w:val="62B158CC"/>
    <w:rsid w:val="62C05BCC"/>
    <w:rsid w:val="62C818D2"/>
    <w:rsid w:val="62E76169"/>
    <w:rsid w:val="62E93375"/>
    <w:rsid w:val="633F4D43"/>
    <w:rsid w:val="6393508F"/>
    <w:rsid w:val="63BE035D"/>
    <w:rsid w:val="63E74E9D"/>
    <w:rsid w:val="63F35B2D"/>
    <w:rsid w:val="641654F8"/>
    <w:rsid w:val="64405216"/>
    <w:rsid w:val="6445282D"/>
    <w:rsid w:val="644D7933"/>
    <w:rsid w:val="64571D7F"/>
    <w:rsid w:val="645E744B"/>
    <w:rsid w:val="64683DBB"/>
    <w:rsid w:val="64EA33D4"/>
    <w:rsid w:val="65135C34"/>
    <w:rsid w:val="65516FAF"/>
    <w:rsid w:val="656C51A0"/>
    <w:rsid w:val="65744A4C"/>
    <w:rsid w:val="657A4758"/>
    <w:rsid w:val="65B35574"/>
    <w:rsid w:val="65F242EE"/>
    <w:rsid w:val="65F973B3"/>
    <w:rsid w:val="660B715E"/>
    <w:rsid w:val="660E6C4E"/>
    <w:rsid w:val="66643E91"/>
    <w:rsid w:val="666D7E19"/>
    <w:rsid w:val="66817E91"/>
    <w:rsid w:val="669730E8"/>
    <w:rsid w:val="66A23F66"/>
    <w:rsid w:val="66AB1491"/>
    <w:rsid w:val="66E87CBB"/>
    <w:rsid w:val="66FD119D"/>
    <w:rsid w:val="67423054"/>
    <w:rsid w:val="67852F40"/>
    <w:rsid w:val="68182006"/>
    <w:rsid w:val="68580655"/>
    <w:rsid w:val="685E3F8D"/>
    <w:rsid w:val="686314D3"/>
    <w:rsid w:val="6872111C"/>
    <w:rsid w:val="6885769C"/>
    <w:rsid w:val="68866F70"/>
    <w:rsid w:val="68916F6D"/>
    <w:rsid w:val="68A51AEC"/>
    <w:rsid w:val="68E02B24"/>
    <w:rsid w:val="68FE2FAA"/>
    <w:rsid w:val="69217410"/>
    <w:rsid w:val="6A226226"/>
    <w:rsid w:val="6A4E732A"/>
    <w:rsid w:val="6A8614A9"/>
    <w:rsid w:val="6AB7574A"/>
    <w:rsid w:val="6AF503DD"/>
    <w:rsid w:val="6B2A452A"/>
    <w:rsid w:val="6B4D1FC7"/>
    <w:rsid w:val="6B545A34"/>
    <w:rsid w:val="6B596BBE"/>
    <w:rsid w:val="6B60619E"/>
    <w:rsid w:val="6BAA11C7"/>
    <w:rsid w:val="6BE91CF0"/>
    <w:rsid w:val="6C256AA0"/>
    <w:rsid w:val="6C615D2A"/>
    <w:rsid w:val="6C7C7008"/>
    <w:rsid w:val="6C924135"/>
    <w:rsid w:val="6C9350F9"/>
    <w:rsid w:val="6C97799E"/>
    <w:rsid w:val="6CF50B68"/>
    <w:rsid w:val="6D4713C4"/>
    <w:rsid w:val="6D6A4A99"/>
    <w:rsid w:val="6D8A12B0"/>
    <w:rsid w:val="6DA87988"/>
    <w:rsid w:val="6DAF4BA6"/>
    <w:rsid w:val="6DB47150"/>
    <w:rsid w:val="6DB83284"/>
    <w:rsid w:val="6DC62EE5"/>
    <w:rsid w:val="6DCD6D9C"/>
    <w:rsid w:val="6DED5142"/>
    <w:rsid w:val="6E2633AB"/>
    <w:rsid w:val="6E372913"/>
    <w:rsid w:val="6E55109C"/>
    <w:rsid w:val="6E641B01"/>
    <w:rsid w:val="6E716696"/>
    <w:rsid w:val="6E851A78"/>
    <w:rsid w:val="6E9028F6"/>
    <w:rsid w:val="6EAE5472"/>
    <w:rsid w:val="6EE13152"/>
    <w:rsid w:val="6EEE53DA"/>
    <w:rsid w:val="6EF42F4B"/>
    <w:rsid w:val="6EF77B8C"/>
    <w:rsid w:val="6EFD463A"/>
    <w:rsid w:val="6F0F5F11"/>
    <w:rsid w:val="6F45470E"/>
    <w:rsid w:val="6F46751B"/>
    <w:rsid w:val="6F547DC8"/>
    <w:rsid w:val="6F6E3928"/>
    <w:rsid w:val="6FA74F2F"/>
    <w:rsid w:val="6FC62348"/>
    <w:rsid w:val="6FD74555"/>
    <w:rsid w:val="6FE0340A"/>
    <w:rsid w:val="700417EE"/>
    <w:rsid w:val="70225258"/>
    <w:rsid w:val="70313C65"/>
    <w:rsid w:val="70587444"/>
    <w:rsid w:val="706A7177"/>
    <w:rsid w:val="70762C04"/>
    <w:rsid w:val="70E26DB3"/>
    <w:rsid w:val="717A75A5"/>
    <w:rsid w:val="717B788E"/>
    <w:rsid w:val="71DE7E1D"/>
    <w:rsid w:val="721D4FD7"/>
    <w:rsid w:val="72474E2E"/>
    <w:rsid w:val="72A27235"/>
    <w:rsid w:val="72C04D99"/>
    <w:rsid w:val="72DE0D51"/>
    <w:rsid w:val="72FC67AC"/>
    <w:rsid w:val="73D47729"/>
    <w:rsid w:val="73F05BE5"/>
    <w:rsid w:val="73F25CBB"/>
    <w:rsid w:val="7400051E"/>
    <w:rsid w:val="743B1556"/>
    <w:rsid w:val="744523D5"/>
    <w:rsid w:val="74BF27B2"/>
    <w:rsid w:val="74EA216A"/>
    <w:rsid w:val="75587EE6"/>
    <w:rsid w:val="757542C4"/>
    <w:rsid w:val="75A31161"/>
    <w:rsid w:val="75AC6CBD"/>
    <w:rsid w:val="75CE1F56"/>
    <w:rsid w:val="75F06371"/>
    <w:rsid w:val="761E2EAF"/>
    <w:rsid w:val="763B3A90"/>
    <w:rsid w:val="767A001A"/>
    <w:rsid w:val="768B274A"/>
    <w:rsid w:val="76E97048"/>
    <w:rsid w:val="77986CD8"/>
    <w:rsid w:val="77F95AF1"/>
    <w:rsid w:val="78066803"/>
    <w:rsid w:val="789D458E"/>
    <w:rsid w:val="78BE62B2"/>
    <w:rsid w:val="78E905DA"/>
    <w:rsid w:val="79330A4E"/>
    <w:rsid w:val="79713D49"/>
    <w:rsid w:val="79A8409B"/>
    <w:rsid w:val="79AF38B0"/>
    <w:rsid w:val="79B31B8F"/>
    <w:rsid w:val="79B75B03"/>
    <w:rsid w:val="7A2605B3"/>
    <w:rsid w:val="7A664E53"/>
    <w:rsid w:val="7A934C10"/>
    <w:rsid w:val="7A950603"/>
    <w:rsid w:val="7AE71AF0"/>
    <w:rsid w:val="7AF406B1"/>
    <w:rsid w:val="7B1D7C08"/>
    <w:rsid w:val="7B203254"/>
    <w:rsid w:val="7B452CBB"/>
    <w:rsid w:val="7B4653DC"/>
    <w:rsid w:val="7B5F3146"/>
    <w:rsid w:val="7B7F7F7B"/>
    <w:rsid w:val="7B937ECA"/>
    <w:rsid w:val="7B9A1287"/>
    <w:rsid w:val="7B9D48A5"/>
    <w:rsid w:val="7BB85132"/>
    <w:rsid w:val="7BDF0A19"/>
    <w:rsid w:val="7C652D16"/>
    <w:rsid w:val="7CA26617"/>
    <w:rsid w:val="7CA37C99"/>
    <w:rsid w:val="7CB023B6"/>
    <w:rsid w:val="7CF60710"/>
    <w:rsid w:val="7D1D5C9D"/>
    <w:rsid w:val="7D692C90"/>
    <w:rsid w:val="7DA41F1A"/>
    <w:rsid w:val="7DDA1DE0"/>
    <w:rsid w:val="7DDF2F52"/>
    <w:rsid w:val="7DE1200E"/>
    <w:rsid w:val="7DEE6AE3"/>
    <w:rsid w:val="7E417270"/>
    <w:rsid w:val="7E486D4A"/>
    <w:rsid w:val="7E490D14"/>
    <w:rsid w:val="7E865AC4"/>
    <w:rsid w:val="7EB937A4"/>
    <w:rsid w:val="7ED4682F"/>
    <w:rsid w:val="7ED93E46"/>
    <w:rsid w:val="7EE60311"/>
    <w:rsid w:val="7EED78F1"/>
    <w:rsid w:val="7F427C3D"/>
    <w:rsid w:val="7F4734A5"/>
    <w:rsid w:val="7F7E49ED"/>
    <w:rsid w:val="7F8042C1"/>
    <w:rsid w:val="7FB65F35"/>
    <w:rsid w:val="7FEA3D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D22FC77"/>
  <w15:docId w15:val="{0CD0CF7E-D2EF-4252-852E-F4FB1DB198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semiHidden="1" w:qFormat="1"/>
    <w:lsdException w:name="annotation text" w:qFormat="1"/>
    <w:lsdException w:name="header" w:qFormat="1"/>
    <w:lsdException w:name="footer" w:qFormat="1"/>
    <w:lsdException w:name="caption" w:qFormat="1"/>
    <w:lsdException w:name="Title" w:qFormat="1"/>
    <w:lsdException w:name="Default Paragraph Font" w:semiHidden="1" w:uiPriority="1" w:unhideWhenUsed="1" w:qFormat="1"/>
    <w:lsdException w:name="Body Text" w:qFormat="1"/>
    <w:lsdException w:name="Subtitle" w:qFormat="1"/>
    <w:lsdException w:name="Hyperlink" w:qFormat="1"/>
    <w:lsdException w:name="Followed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rPr>
  </w:style>
  <w:style w:type="paragraph" w:styleId="Heading3">
    <w:name w:val="heading 3"/>
    <w:basedOn w:val="Normal"/>
    <w:next w:val="Normal"/>
    <w:unhideWhenUsed/>
    <w:qFormat/>
    <w:pPr>
      <w:keepNext/>
      <w:keepLines/>
      <w:spacing w:before="260" w:after="260" w:line="413" w:lineRule="auto"/>
      <w:outlineLvl w:val="2"/>
    </w:pPr>
    <w:rPr>
      <w:b/>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pPr>
      <w:jc w:val="left"/>
    </w:pPr>
  </w:style>
  <w:style w:type="paragraph" w:styleId="CommentText">
    <w:name w:val="annotation text"/>
    <w:basedOn w:val="Normal"/>
    <w:qFormat/>
    <w:pPr>
      <w:jc w:val="left"/>
    </w:pPr>
  </w:style>
  <w:style w:type="paragraph" w:styleId="BodyText">
    <w:name w:val="Body Text"/>
    <w:basedOn w:val="Normal"/>
    <w:qFormat/>
    <w:pPr>
      <w:spacing w:after="120"/>
    </w:pPr>
    <w:rPr>
      <w:rFonts w:ascii="Times New Roman" w:eastAsia="SimSun" w:hAnsi="Times New Roman" w:cs="Times New Roman"/>
    </w:r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Subtitle">
    <w:name w:val="Subtitle"/>
    <w:basedOn w:val="Normal"/>
    <w:qFormat/>
    <w:pPr>
      <w:spacing w:beforeLines="250" w:before="250"/>
      <w:jc w:val="center"/>
    </w:pPr>
    <w:rPr>
      <w:rFonts w:eastAsia="SimHei"/>
      <w:b/>
      <w:bCs/>
      <w:sz w:val="44"/>
      <w:szCs w:val="36"/>
    </w:rPr>
  </w:style>
  <w:style w:type="paragraph" w:styleId="FootnoteText">
    <w:name w:val="footnote text"/>
    <w:basedOn w:val="Normal"/>
    <w:semiHidden/>
    <w:qFormat/>
    <w:pPr>
      <w:adjustRightInd w:val="0"/>
      <w:snapToGrid w:val="0"/>
      <w:spacing w:line="300" w:lineRule="auto"/>
      <w:jc w:val="left"/>
      <w:textAlignment w:val="baseline"/>
    </w:pPr>
    <w:rPr>
      <w:kern w:val="0"/>
      <w:sz w:val="18"/>
      <w:szCs w:val="18"/>
    </w:rPr>
  </w:style>
  <w:style w:type="paragraph" w:styleId="NormalWeb">
    <w:name w:val="Normal (Web)"/>
    <w:basedOn w:val="Normal"/>
    <w:qFormat/>
    <w:pPr>
      <w:spacing w:beforeAutospacing="1" w:afterAutospacing="1"/>
      <w:jc w:val="left"/>
    </w:pPr>
    <w:rPr>
      <w:rFonts w:cs="Times New Roman"/>
      <w:kern w:val="0"/>
      <w:sz w:val="24"/>
    </w:r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qFormat/>
    <w:rPr>
      <w:b/>
    </w:rPr>
  </w:style>
  <w:style w:type="character" w:styleId="FollowedHyperlink">
    <w:name w:val="FollowedHyperlink"/>
    <w:basedOn w:val="DefaultParagraphFont"/>
    <w:qFormat/>
    <w:rPr>
      <w:rFonts w:ascii="Times New Roman" w:eastAsia="SimSun" w:hAnsi="Times New Roman"/>
      <w:color w:val="0000FF"/>
      <w:sz w:val="21"/>
      <w:u w:val="single"/>
    </w:rPr>
  </w:style>
  <w:style w:type="character" w:styleId="Hyperlink">
    <w:name w:val="Hyperlink"/>
    <w:basedOn w:val="DefaultParagraphFont"/>
    <w:qFormat/>
    <w:rPr>
      <w:color w:val="0000FF"/>
      <w:u w:val="single"/>
    </w:rPr>
  </w:style>
  <w:style w:type="paragraph" w:customStyle="1" w:styleId="Default">
    <w:name w:val="Default"/>
    <w:qFormat/>
    <w:pPr>
      <w:widowControl w:val="0"/>
      <w:autoSpaceDE w:val="0"/>
      <w:autoSpaceDN w:val="0"/>
      <w:adjustRightInd w:val="0"/>
      <w:spacing w:line="300" w:lineRule="auto"/>
      <w:jc w:val="center"/>
    </w:pPr>
    <w:rPr>
      <w:color w:val="000000"/>
      <w:sz w:val="24"/>
      <w:szCs w:val="24"/>
      <w:lang w:val="en-US" w:eastAsia="zh-CN"/>
    </w:rPr>
  </w:style>
  <w:style w:type="paragraph" w:customStyle="1" w:styleId="a">
    <w:name w:val="单位"/>
    <w:basedOn w:val="BodyText"/>
    <w:qFormat/>
    <w:pPr>
      <w:tabs>
        <w:tab w:val="left" w:pos="420"/>
      </w:tabs>
      <w:adjustRightInd w:val="0"/>
      <w:spacing w:beforeLines="50" w:before="50" w:afterLines="150" w:after="150"/>
      <w:jc w:val="center"/>
      <w:textAlignment w:val="baseline"/>
    </w:pPr>
    <w:rPr>
      <w:kern w:val="0"/>
      <w:sz w:val="18"/>
      <w:szCs w:val="21"/>
    </w:rPr>
  </w:style>
  <w:style w:type="paragraph" w:customStyle="1" w:styleId="1">
    <w:name w:val="列出段落1"/>
    <w:basedOn w:val="Normal"/>
    <w:uiPriority w:val="34"/>
    <w:qFormat/>
    <w:pPr>
      <w:ind w:firstLineChars="200" w:firstLine="420"/>
    </w:pPr>
  </w:style>
  <w:style w:type="paragraph" w:customStyle="1" w:styleId="EndNoteBibliography">
    <w:name w:val="EndNote Bibliography"/>
    <w:basedOn w:val="Normal"/>
    <w:qFormat/>
    <w:rPr>
      <w:rFonts w:ascii="Calibri" w:hAnsi="Calibri" w:cs="Calibri"/>
      <w:sz w:val="20"/>
    </w:rPr>
  </w:style>
  <w:style w:type="character" w:styleId="UnresolvedMention">
    <w:name w:val="Unresolved Mention"/>
    <w:basedOn w:val="DefaultParagraphFont"/>
    <w:uiPriority w:val="99"/>
    <w:semiHidden/>
    <w:unhideWhenUsed/>
    <w:rsid w:val="00B9708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hyperlink" Target="https://doi.org/10.1016/J.IMU.2020.100363" TargetMode="External"/><Relationship Id="rId47" Type="http://schemas.openxmlformats.org/officeDocument/2006/relationships/hyperlink" Target="https://doi.org/10.1016/J.PHYSA.2023.128602" TargetMode="External"/><Relationship Id="rId63" Type="http://schemas.openxmlformats.org/officeDocument/2006/relationships/hyperlink" Target="https://doi.org/10.1016/J.ENBUILD.2021.111613" TargetMode="External"/><Relationship Id="rId68" Type="http://schemas.openxmlformats.org/officeDocument/2006/relationships/hyperlink" Target="https://doi.org/10.1016/J.BUILDENV.2021.108134" TargetMode="Externa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hyperlink" Target="https://doi.org/10.1016/J.JENVP.2019.101338" TargetMode="External"/><Relationship Id="rId45" Type="http://schemas.openxmlformats.org/officeDocument/2006/relationships/hyperlink" Target="https://doi.org/10.16265/J.CNKI.ISSN1003-3033.2024.02.1277" TargetMode="External"/><Relationship Id="rId53" Type="http://schemas.openxmlformats.org/officeDocument/2006/relationships/hyperlink" Target="https://doi.org/10.16719/j.cnki.1671-6981.2006.02.040" TargetMode="External"/><Relationship Id="rId58" Type="http://schemas.openxmlformats.org/officeDocument/2006/relationships/hyperlink" Target="https://doi.org/10.1523/JNEUROSCI.4882-10.2011" TargetMode="External"/><Relationship Id="rId66" Type="http://schemas.openxmlformats.org/officeDocument/2006/relationships/hyperlink" Target="https://doi.org/10.1186/1744-9081-7-30" TargetMode="External"/><Relationship Id="rId74" Type="http://schemas.openxmlformats.org/officeDocument/2006/relationships/theme" Target="theme/theme1.xml"/><Relationship Id="rId5" Type="http://schemas.openxmlformats.org/officeDocument/2006/relationships/hyperlink" Target="mailto:zhangrui@stu.sjzu.edu.cn" TargetMode="External"/><Relationship Id="rId61" Type="http://schemas.openxmlformats.org/officeDocument/2006/relationships/hyperlink" Target="https://doi.org/10.1088/1674-1056/AC9E94" TargetMode="External"/><Relationship Id="rId19" Type="http://schemas.openxmlformats.org/officeDocument/2006/relationships/image" Target="media/image10.png"/><Relationship Id="rId14" Type="http://schemas.openxmlformats.org/officeDocument/2006/relationships/image" Target="media/image6.em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yperlink" Target="https://doi.org/10.3963/j.issn.2095-3852.2024.04.002" TargetMode="External"/><Relationship Id="rId48" Type="http://schemas.openxmlformats.org/officeDocument/2006/relationships/hyperlink" Target="https://doi.org/10.1016/J.BUILDENV.2021.108220" TargetMode="External"/><Relationship Id="rId56" Type="http://schemas.openxmlformats.org/officeDocument/2006/relationships/hyperlink" Target="https://doi.org/10.1111/PSYP.14568" TargetMode="External"/><Relationship Id="rId64" Type="http://schemas.openxmlformats.org/officeDocument/2006/relationships/hyperlink" Target="https://doi.org/10.1016/J.PHYSA.2022.128411" TargetMode="External"/><Relationship Id="rId69" Type="http://schemas.openxmlformats.org/officeDocument/2006/relationships/hyperlink" Target="https://doi.org/10.1016/J.PHYSA.2019.01.128" TargetMode="External"/><Relationship Id="rId8" Type="http://schemas.openxmlformats.org/officeDocument/2006/relationships/hyperlink" Target="mailto:1719022307@qq.com" TargetMode="External"/><Relationship Id="rId51" Type="http://schemas.openxmlformats.org/officeDocument/2006/relationships/hyperlink" Target="https://doi.org/10.3389/FPSYG.2017.00093" TargetMode="External"/><Relationship Id="rId72" Type="http://schemas.openxmlformats.org/officeDocument/2006/relationships/hyperlink" Target="https://doi.org/10.1061/(ASCE)CP.1943-5487.0000889" TargetMode="Externa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hyperlink" Target="https://doi.org/10.1177/0956797617699167" TargetMode="External"/><Relationship Id="rId59" Type="http://schemas.openxmlformats.org/officeDocument/2006/relationships/hyperlink" Target="https://doi.org/10.1016/J.PHYSA.2017.08.156" TargetMode="External"/><Relationship Id="rId67" Type="http://schemas.openxmlformats.org/officeDocument/2006/relationships/hyperlink" Target="https://doi.org/10.16265/j.cnki.issn1003-3033.2015.09.028" TargetMode="External"/><Relationship Id="rId20" Type="http://schemas.openxmlformats.org/officeDocument/2006/relationships/image" Target="media/image11.png"/><Relationship Id="rId41" Type="http://schemas.openxmlformats.org/officeDocument/2006/relationships/hyperlink" Target="https://doi.org/10.1037/0033-295X.106.2.301" TargetMode="External"/><Relationship Id="rId54" Type="http://schemas.openxmlformats.org/officeDocument/2006/relationships/hyperlink" Target="https://doi.org/10.1016/J.TRA.2016.06.018" TargetMode="External"/><Relationship Id="rId62" Type="http://schemas.openxmlformats.org/officeDocument/2006/relationships/hyperlink" Target="https://doi.org/10.1080/00140139.2014.895054" TargetMode="External"/><Relationship Id="rId70" Type="http://schemas.openxmlformats.org/officeDocument/2006/relationships/hyperlink" Target="https://doi.org/10.1109/ACCESS.2020.2985987" TargetMode="External"/><Relationship Id="rId1" Type="http://schemas.openxmlformats.org/officeDocument/2006/relationships/numbering" Target="numbering.xml"/><Relationship Id="rId6" Type="http://schemas.openxmlformats.org/officeDocument/2006/relationships/hyperlink" Target="mailto:yan1719022307@163.com" TargetMode="External"/><Relationship Id="rId15" Type="http://schemas.openxmlformats.org/officeDocument/2006/relationships/oleObject" Target="embeddings/oleObject1.bin"/><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hyperlink" Target="https://doi.org/10.1177/1420326X19870578" TargetMode="External"/><Relationship Id="rId57" Type="http://schemas.openxmlformats.org/officeDocument/2006/relationships/hyperlink" Target="https://doi.org/10.1080/02699930903274322" TargetMode="External"/><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hyperlink" Target="https://doi.org/10.1016/j.jneumeth.2003.10.009" TargetMode="External"/><Relationship Id="rId52" Type="http://schemas.openxmlformats.org/officeDocument/2006/relationships/hyperlink" Target="https://doi.org/10.3389/FPSYG.2017.02116" TargetMode="External"/><Relationship Id="rId60" Type="http://schemas.openxmlformats.org/officeDocument/2006/relationships/hyperlink" Target="https://doi.org/10.11731/j.issn.1673-193x.2024.05.021" TargetMode="External"/><Relationship Id="rId65" Type="http://schemas.openxmlformats.org/officeDocument/2006/relationships/hyperlink" Target="https://doi.org/10.1016/J.PHYSA.2015.01.057" TargetMode="External"/><Relationship Id="rId73"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9.png"/><Relationship Id="rId39" Type="http://schemas.openxmlformats.org/officeDocument/2006/relationships/hyperlink" Target="https://doi.org/10.1016/S0167-8760(03)00156-9" TargetMode="External"/><Relationship Id="rId34" Type="http://schemas.openxmlformats.org/officeDocument/2006/relationships/image" Target="media/image25.png"/><Relationship Id="rId50" Type="http://schemas.openxmlformats.org/officeDocument/2006/relationships/hyperlink" Target="https://doi.org/10.1111/PSYP.14275" TargetMode="External"/><Relationship Id="rId55" Type="http://schemas.openxmlformats.org/officeDocument/2006/relationships/hyperlink" Target="https://doi.org/10.1016/J.FIRESAF.2016.03.003" TargetMode="External"/><Relationship Id="rId7" Type="http://schemas.openxmlformats.org/officeDocument/2006/relationships/hyperlink" Target="mailto:2265327140@qq.com" TargetMode="External"/><Relationship Id="rId71" Type="http://schemas.openxmlformats.org/officeDocument/2006/relationships/hyperlink" Target="https://doi.org/10.1061/(ASCE)CP.1943-5487.0000679" TargetMode="Externa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12</Pages>
  <Words>7946</Words>
  <Characters>45298</Characters>
  <Application>Microsoft Office Word</Application>
  <DocSecurity>0</DocSecurity>
  <Lines>377</Lines>
  <Paragraphs>106</Paragraphs>
  <ScaleCrop>false</ScaleCrop>
  <Company/>
  <LinksUpToDate>false</LinksUpToDate>
  <CharactersWithSpaces>53138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 R</dc:creator>
  <cp:lastModifiedBy>Pacholi, Shail -</cp:lastModifiedBy>
  <cp:revision>2</cp:revision>
  <cp:lastPrinted>2024-08-06T12:51:00Z</cp:lastPrinted>
  <dcterms:created xsi:type="dcterms:W3CDTF">2025-02-12T12:05:00Z</dcterms:created>
  <dcterms:modified xsi:type="dcterms:W3CDTF">2025-02-12T12:05:00Z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2052-12.1.0.18334</vt:lpwstr>
  </property>
  <property fmtid="{D5CDD505-2E9C-101B-9397-08002B2CF9AE}" pid="3" name="ICV">
    <vt:lpwstr>98855319A31B45A9A409F575334921B6_13</vt:lpwstr>
  </property>
  <property fmtid="{D5CDD505-2E9C-101B-9397-08002B2CF9AE}" pid="4" name="GrammarlyDocumentId">
    <vt:lpwstr>111515d528a6d8a7124e25fe66bb9d53b078ad3b777a40efd2ed8bc6ac72dc72</vt:lpwstr>
  </property>
  <property fmtid="{D5CDD505-2E9C-101B-9397-08002B2CF9AE}" pid="5" name="KSOTemplateDocerSaveRecord">
    <vt:lpwstr>eyJoZGlkIjoiOTc1MTA2MjU3ODgzMDhkMzE0ZTU0MjU4NGU4NDljNDMiLCJ1c2VySWQiOiI3MjYyMzQ3In0=</vt:lpwstr>
  </property>
</Properties>
</file>