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03" w:rsidRPr="00B06B6A" w:rsidRDefault="00C56903" w:rsidP="009B21FE">
      <w:pPr>
        <w:rPr>
          <w:rFonts w:ascii="Calibri (Body" w:hAnsi="Calibri (Body" w:cs="Calibri (Body"/>
        </w:rPr>
      </w:pPr>
    </w:p>
    <w:p w:rsidR="00C56903" w:rsidRPr="00B06B6A" w:rsidRDefault="00C56903">
      <w:pPr>
        <w:pStyle w:val="a3"/>
        <w:keepNext/>
        <w:jc w:val="center"/>
        <w:rPr>
          <w:rFonts w:ascii="Calibri (Body" w:hAnsi="Calibri (Body" w:cs="Calibri (Body"/>
          <w:i w:val="0"/>
        </w:rPr>
      </w:pPr>
      <w:bookmarkStart w:id="0" w:name="_Ref147821035"/>
      <w:bookmarkStart w:id="1" w:name="_Ref147821029"/>
      <w:r w:rsidRPr="00B06B6A">
        <w:rPr>
          <w:rFonts w:ascii="Calibri (Body" w:hAnsi="Calibri (Body" w:cs="Calibri (Body"/>
          <w:b/>
          <w:bCs/>
          <w:i w:val="0"/>
        </w:rPr>
        <w:t xml:space="preserve">Table </w:t>
      </w:r>
      <w:r w:rsidRPr="00B06B6A">
        <w:rPr>
          <w:rFonts w:ascii="Calibri (Body" w:hAnsi="Calibri (Body" w:cs="Calibri (Body"/>
          <w:b/>
          <w:bCs/>
          <w:i w:val="0"/>
        </w:rPr>
        <w:fldChar w:fldCharType="begin"/>
      </w:r>
      <w:r w:rsidRPr="00B06B6A">
        <w:rPr>
          <w:rFonts w:ascii="Calibri (Body" w:hAnsi="Calibri (Body" w:cs="Calibri (Body"/>
          <w:b/>
          <w:bCs/>
          <w:i w:val="0"/>
        </w:rPr>
        <w:instrText xml:space="preserve"> SEQ Table \* ARABIC </w:instrText>
      </w:r>
      <w:r w:rsidRPr="00B06B6A">
        <w:rPr>
          <w:rFonts w:ascii="Calibri (Body" w:hAnsi="Calibri (Body" w:cs="Calibri (Body"/>
          <w:b/>
          <w:bCs/>
          <w:i w:val="0"/>
        </w:rPr>
        <w:fldChar w:fldCharType="separate"/>
      </w:r>
      <w:r w:rsidRPr="00B06B6A">
        <w:rPr>
          <w:rFonts w:ascii="Calibri (Body" w:hAnsi="Calibri (Body" w:cs="Calibri (Body"/>
          <w:b/>
          <w:bCs/>
          <w:i w:val="0"/>
          <w:noProof/>
        </w:rPr>
        <w:t>1</w:t>
      </w:r>
      <w:r w:rsidRPr="00B06B6A">
        <w:rPr>
          <w:rFonts w:ascii="Calibri (Body" w:hAnsi="Calibri (Body" w:cs="Calibri (Body"/>
          <w:b/>
          <w:bCs/>
          <w:i w:val="0"/>
        </w:rPr>
        <w:fldChar w:fldCharType="end"/>
      </w:r>
      <w:bookmarkEnd w:id="0"/>
      <w:r w:rsidRPr="00B06B6A">
        <w:rPr>
          <w:rFonts w:ascii="Calibri (Body" w:hAnsi="Calibri (Body" w:cs="Calibri (Body"/>
          <w:b/>
          <w:bCs/>
          <w:i w:val="0"/>
        </w:rPr>
        <w:t xml:space="preserve"> </w:t>
      </w:r>
      <w:r w:rsidRPr="00B06B6A">
        <w:rPr>
          <w:rFonts w:ascii="Calibri (Body" w:hAnsi="Calibri (Body" w:cs="Calibri (Body"/>
          <w:i w:val="0"/>
        </w:rPr>
        <w:t>Currently FDA approved anti-cancer drugs targeting GPCR</w:t>
      </w:r>
      <w:bookmarkEnd w:id="1"/>
      <w:r w:rsidRPr="00B06B6A">
        <w:rPr>
          <w:rFonts w:ascii="Calibri (Body" w:hAnsi="Calibri (Body" w:cs="Calibri (Body"/>
          <w:i w:val="0"/>
        </w:rPr>
        <w:t>s.</w:t>
      </w:r>
    </w:p>
    <w:tbl>
      <w:tblPr>
        <w:tblStyle w:val="ae"/>
        <w:tblW w:w="103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58"/>
        <w:gridCol w:w="2361"/>
        <w:gridCol w:w="1043"/>
      </w:tblGrid>
      <w:tr w:rsidR="00C56903" w:rsidRPr="00B06B6A" w:rsidTr="00363F81">
        <w:trPr>
          <w:jc w:val="center"/>
        </w:trPr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 w:rsidRPr="00B06B6A">
              <w:rPr>
                <w:rFonts w:cstheme="minorHAnsi"/>
                <w:bCs/>
                <w:sz w:val="18"/>
                <w:szCs w:val="18"/>
              </w:rPr>
              <w:t>Drugs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 w:rsidRPr="00B06B6A">
              <w:rPr>
                <w:rFonts w:cstheme="minorHAnsi"/>
                <w:bCs/>
                <w:sz w:val="18"/>
                <w:szCs w:val="18"/>
              </w:rPr>
              <w:t>Target</w:t>
            </w:r>
          </w:p>
        </w:tc>
        <w:tc>
          <w:tcPr>
            <w:tcW w:w="1558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 w:rsidRPr="00B06B6A">
              <w:rPr>
                <w:rFonts w:cstheme="minorHAnsi"/>
                <w:bCs/>
                <w:sz w:val="18"/>
                <w:szCs w:val="18"/>
              </w:rPr>
              <w:t>Ligand</w:t>
            </w:r>
          </w:p>
        </w:tc>
        <w:tc>
          <w:tcPr>
            <w:tcW w:w="2361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 w:rsidRPr="00B06B6A">
              <w:rPr>
                <w:rFonts w:cstheme="minorHAnsi"/>
                <w:bCs/>
                <w:sz w:val="18"/>
                <w:szCs w:val="18"/>
              </w:rPr>
              <w:t>Cancer</w:t>
            </w:r>
          </w:p>
        </w:tc>
        <w:tc>
          <w:tcPr>
            <w:tcW w:w="1043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 w:rsidRPr="00B06B6A">
              <w:rPr>
                <w:rFonts w:cstheme="minorHAnsi"/>
                <w:bCs/>
                <w:sz w:val="18"/>
                <w:szCs w:val="18"/>
              </w:rPr>
              <w:t>Approval year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Cabergoline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Dopamine receptor D1 (DRD1)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Small molecule</w:t>
            </w:r>
          </w:p>
        </w:tc>
        <w:tc>
          <w:tcPr>
            <w:tcW w:w="2361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 xml:space="preserve">Neuroendocrine </w:t>
            </w:r>
            <w:proofErr w:type="spellStart"/>
            <w:r w:rsidRPr="00B06B6A">
              <w:rPr>
                <w:rFonts w:cstheme="minorHAnsi"/>
                <w:sz w:val="18"/>
                <w:szCs w:val="18"/>
              </w:rPr>
              <w:t>tumors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 xml:space="preserve">, pituitary </w:t>
            </w:r>
            <w:proofErr w:type="spellStart"/>
            <w:r w:rsidRPr="00B06B6A">
              <w:rPr>
                <w:rFonts w:cstheme="minorHAnsi"/>
                <w:sz w:val="18"/>
                <w:szCs w:val="18"/>
              </w:rPr>
              <w:t>tumors</w:t>
            </w:r>
            <w:proofErr w:type="spellEnd"/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1996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Lanreotide</w:t>
            </w:r>
            <w:proofErr w:type="spellEnd"/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Somatostatin receptor (SSTR)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Hormone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Pancreatic cancer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2007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Degarelix</w:t>
            </w:r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Gonadotropin releasing factor hormone receptor (</w:t>
            </w:r>
            <w:proofErr w:type="spellStart"/>
            <w:r w:rsidRPr="00B06B6A">
              <w:rPr>
                <w:rFonts w:cstheme="minorHAnsi"/>
                <w:sz w:val="18"/>
                <w:szCs w:val="18"/>
              </w:rPr>
              <w:t>GnRH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Hormone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Prostate cancer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2008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Plerixafor</w:t>
            </w:r>
            <w:proofErr w:type="spellEnd"/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C-X-C chemokine receptor 4 (CXCR4)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Small molecule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Multiple myeloma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2008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Vismodegib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B06B6A">
              <w:rPr>
                <w:rFonts w:cstheme="minorHAnsi"/>
                <w:sz w:val="18"/>
                <w:szCs w:val="18"/>
              </w:rPr>
              <w:t>Erivedge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Smoothened receptor (SMO)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Small molecule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Locally advanced, and metastatic basal cell carcinoma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2012</w:t>
            </w:r>
          </w:p>
        </w:tc>
      </w:tr>
      <w:tr w:rsidR="00C56903" w:rsidRPr="00B06B6A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Raloxifene</w:t>
            </w:r>
            <w:proofErr w:type="spellEnd"/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Estrogen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 xml:space="preserve"> receptor (ER)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Small molecule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Breast cancer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2014</w:t>
            </w:r>
          </w:p>
        </w:tc>
      </w:tr>
      <w:tr w:rsidR="00C56903" w:rsidRPr="00B06B6A" w:rsidTr="007919D6">
        <w:trPr>
          <w:jc w:val="center"/>
        </w:trPr>
        <w:tc>
          <w:tcPr>
            <w:tcW w:w="2127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Sonidegib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B06B6A">
              <w:rPr>
                <w:rFonts w:cstheme="minorHAnsi"/>
                <w:sz w:val="18"/>
                <w:szCs w:val="18"/>
              </w:rPr>
              <w:t>Odomzo</w:t>
            </w:r>
            <w:proofErr w:type="spellEnd"/>
            <w:r w:rsidRPr="00B06B6A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Smoothened receptor (SMO)</w:t>
            </w:r>
          </w:p>
        </w:tc>
        <w:tc>
          <w:tcPr>
            <w:tcW w:w="1558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Small molecule</w:t>
            </w:r>
          </w:p>
        </w:tc>
        <w:tc>
          <w:tcPr>
            <w:tcW w:w="2361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Locally advanced, and metastatic basal cell carcinoma</w:t>
            </w:r>
          </w:p>
        </w:tc>
        <w:tc>
          <w:tcPr>
            <w:tcW w:w="1043" w:type="dxa"/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2015</w:t>
            </w:r>
          </w:p>
        </w:tc>
      </w:tr>
      <w:tr w:rsidR="00C56903" w:rsidRPr="00B06B6A" w:rsidTr="00363F81">
        <w:trPr>
          <w:jc w:val="center"/>
        </w:trPr>
        <w:tc>
          <w:tcPr>
            <w:tcW w:w="2127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proofErr w:type="spellStart"/>
            <w:r w:rsidRPr="00B06B6A">
              <w:rPr>
                <w:rFonts w:cstheme="minorHAnsi"/>
                <w:sz w:val="18"/>
                <w:szCs w:val="18"/>
              </w:rPr>
              <w:t>Mogamulizumab</w:t>
            </w:r>
            <w:proofErr w:type="spellEnd"/>
          </w:p>
        </w:tc>
        <w:tc>
          <w:tcPr>
            <w:tcW w:w="3260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C–C Chemokine receptor 4 (CCR4)</w:t>
            </w:r>
          </w:p>
        </w:tc>
        <w:tc>
          <w:tcPr>
            <w:tcW w:w="1558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Antibody</w:t>
            </w:r>
          </w:p>
        </w:tc>
        <w:tc>
          <w:tcPr>
            <w:tcW w:w="2361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T cell lymphoma</w:t>
            </w:r>
          </w:p>
        </w:tc>
        <w:tc>
          <w:tcPr>
            <w:tcW w:w="1043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jc w:val="left"/>
              <w:rPr>
                <w:rFonts w:cstheme="minorHAnsi"/>
                <w:sz w:val="18"/>
                <w:szCs w:val="18"/>
              </w:rPr>
            </w:pPr>
            <w:r w:rsidRPr="00B06B6A">
              <w:rPr>
                <w:rFonts w:cstheme="minorHAnsi"/>
                <w:sz w:val="18"/>
                <w:szCs w:val="18"/>
              </w:rPr>
              <w:t>2018</w:t>
            </w:r>
          </w:p>
        </w:tc>
      </w:tr>
    </w:tbl>
    <w:p w:rsidR="00C56903" w:rsidRPr="00CC79B0" w:rsidRDefault="00C56903" w:rsidP="00CC79B0">
      <w:pPr>
        <w:jc w:val="left"/>
        <w:rPr>
          <w:sz w:val="18"/>
        </w:rPr>
      </w:pPr>
      <w:r w:rsidRPr="00B06B6A">
        <w:rPr>
          <w:sz w:val="18"/>
        </w:rPr>
        <w:t xml:space="preserve">* Adapted from </w:t>
      </w:r>
      <w:r w:rsidRPr="00B06B6A">
        <w:rPr>
          <w:i/>
          <w:sz w:val="18"/>
        </w:rPr>
        <w:t xml:space="preserve">“The current status of anti-GPCR drugs against different cancers </w:t>
      </w:r>
      <w:r w:rsidRPr="00B06B6A">
        <w:rPr>
          <w:i/>
          <w:noProof/>
          <w:sz w:val="18"/>
        </w:rPr>
        <w:t>(Usman et al., 2020)</w:t>
      </w:r>
      <w:r w:rsidRPr="00B06B6A">
        <w:rPr>
          <w:rFonts w:asciiTheme="minorEastAsia" w:eastAsiaTheme="minorEastAsia" w:hAnsiTheme="minorEastAsia"/>
          <w:i/>
          <w:sz w:val="18"/>
          <w:lang w:eastAsia="zh-CN"/>
        </w:rPr>
        <w:t>”.</w:t>
      </w:r>
      <w:bookmarkStart w:id="2" w:name="_GoBack"/>
      <w:bookmarkEnd w:id="2"/>
    </w:p>
    <w:sectPr w:rsidR="00C56903" w:rsidRPr="00CC79B0" w:rsidSect="00C1009C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14F" w:rsidRDefault="00D0314F">
      <w:pPr>
        <w:spacing w:after="0" w:line="240" w:lineRule="auto"/>
      </w:pPr>
      <w:r>
        <w:separator/>
      </w:r>
    </w:p>
  </w:endnote>
  <w:endnote w:type="continuationSeparator" w:id="0">
    <w:p w:rsidR="00D0314F" w:rsidRDefault="00D0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(Body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569089"/>
    </w:sdtPr>
    <w:sdtEndPr/>
    <w:sdtContent>
      <w:p w:rsidR="00BB01DE" w:rsidRDefault="00C5690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9B0">
          <w:rPr>
            <w:noProof/>
          </w:rPr>
          <w:t>1</w:t>
        </w:r>
        <w:r>
          <w:fldChar w:fldCharType="end"/>
        </w:r>
      </w:p>
    </w:sdtContent>
  </w:sdt>
  <w:p w:rsidR="00BB01DE" w:rsidRDefault="00D031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14F" w:rsidRDefault="00D0314F">
      <w:pPr>
        <w:spacing w:after="0" w:line="240" w:lineRule="auto"/>
      </w:pPr>
      <w:r>
        <w:separator/>
      </w:r>
    </w:p>
  </w:footnote>
  <w:footnote w:type="continuationSeparator" w:id="0">
    <w:p w:rsidR="00D0314F" w:rsidRDefault="00D03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F60"/>
    <w:multiLevelType w:val="hybridMultilevel"/>
    <w:tmpl w:val="84FAE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B47C9"/>
    <w:multiLevelType w:val="hybridMultilevel"/>
    <w:tmpl w:val="1B44615A"/>
    <w:lvl w:ilvl="0" w:tplc="86FE30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7664F"/>
    <w:multiLevelType w:val="hybridMultilevel"/>
    <w:tmpl w:val="6EE6F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21DCB"/>
    <w:multiLevelType w:val="hybridMultilevel"/>
    <w:tmpl w:val="6636B6DC"/>
    <w:lvl w:ilvl="0" w:tplc="21040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C76BF"/>
    <w:multiLevelType w:val="hybridMultilevel"/>
    <w:tmpl w:val="7FF8B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3329E"/>
    <w:multiLevelType w:val="hybridMultilevel"/>
    <w:tmpl w:val="8612E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56903"/>
    <w:rsid w:val="00C56903"/>
    <w:rsid w:val="00CC79B0"/>
    <w:rsid w:val="00D0314F"/>
    <w:rsid w:val="00FA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EA78"/>
  <w15:chartTrackingRefBased/>
  <w15:docId w15:val="{1AC5AF32-753D-4B75-A00B-64AD1776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03"/>
    <w:pPr>
      <w:jc w:val="both"/>
    </w:pPr>
    <w:rPr>
      <w:rFonts w:eastAsiaTheme="minorHAnsi"/>
      <w:kern w:val="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C569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69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6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C56903"/>
    <w:rPr>
      <w:rFonts w:asciiTheme="majorHAnsi" w:eastAsiaTheme="majorEastAsia" w:hAnsiTheme="majorHAnsi" w:cstheme="majorBidi"/>
      <w:b/>
      <w:kern w:val="2"/>
      <w:sz w:val="32"/>
      <w:szCs w:val="32"/>
      <w:lang w:eastAsia="en-US"/>
      <w14:ligatures w14:val="standardContextual"/>
    </w:rPr>
  </w:style>
  <w:style w:type="character" w:customStyle="1" w:styleId="20">
    <w:name w:val="标题 2 字符"/>
    <w:basedOn w:val="a0"/>
    <w:link w:val="2"/>
    <w:uiPriority w:val="9"/>
    <w:qFormat/>
    <w:rsid w:val="00C56903"/>
    <w:rPr>
      <w:rFonts w:asciiTheme="majorHAnsi" w:eastAsiaTheme="majorEastAsia" w:hAnsiTheme="majorHAnsi" w:cstheme="majorBidi"/>
      <w:b/>
      <w:kern w:val="2"/>
      <w:sz w:val="26"/>
      <w:szCs w:val="26"/>
      <w:lang w:eastAsia="en-US"/>
      <w14:ligatures w14:val="standardContextual"/>
    </w:rPr>
  </w:style>
  <w:style w:type="character" w:customStyle="1" w:styleId="30">
    <w:name w:val="标题 3 字符"/>
    <w:basedOn w:val="a0"/>
    <w:link w:val="3"/>
    <w:uiPriority w:val="9"/>
    <w:qFormat/>
    <w:rsid w:val="00C56903"/>
    <w:rPr>
      <w:rFonts w:asciiTheme="majorHAnsi" w:eastAsiaTheme="majorEastAsia" w:hAnsiTheme="majorHAnsi" w:cstheme="majorBidi"/>
      <w:b/>
      <w:kern w:val="2"/>
      <w:sz w:val="24"/>
      <w:szCs w:val="24"/>
      <w:lang w:eastAsia="en-US"/>
      <w14:ligatures w14:val="standardContextual"/>
    </w:rPr>
  </w:style>
  <w:style w:type="paragraph" w:styleId="a3">
    <w:name w:val="caption"/>
    <w:basedOn w:val="a"/>
    <w:next w:val="a"/>
    <w:uiPriority w:val="35"/>
    <w:unhideWhenUsed/>
    <w:qFormat/>
    <w:rsid w:val="00C56903"/>
    <w:pPr>
      <w:spacing w:after="200" w:line="240" w:lineRule="auto"/>
    </w:pPr>
    <w:rPr>
      <w:i/>
      <w:iCs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sid w:val="00C56903"/>
    <w:rPr>
      <w:color w:val="954F72" w:themeColor="followedHyperlink"/>
      <w:u w:val="single"/>
    </w:rPr>
  </w:style>
  <w:style w:type="paragraph" w:styleId="a5">
    <w:name w:val="footer"/>
    <w:basedOn w:val="a"/>
    <w:link w:val="a6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7">
    <w:name w:val="footnote reference"/>
    <w:basedOn w:val="a0"/>
    <w:uiPriority w:val="99"/>
    <w:semiHidden/>
    <w:unhideWhenUsed/>
    <w:qFormat/>
    <w:rsid w:val="00C56903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qFormat/>
    <w:rsid w:val="00C56903"/>
    <w:pPr>
      <w:spacing w:after="0" w:line="240" w:lineRule="auto"/>
    </w:pPr>
    <w:rPr>
      <w:sz w:val="20"/>
      <w:szCs w:val="20"/>
    </w:rPr>
  </w:style>
  <w:style w:type="character" w:customStyle="1" w:styleId="a9">
    <w:name w:val="脚注文本 字符"/>
    <w:basedOn w:val="a0"/>
    <w:link w:val="a8"/>
    <w:uiPriority w:val="99"/>
    <w:semiHidden/>
    <w:qFormat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a">
    <w:name w:val="header"/>
    <w:basedOn w:val="a"/>
    <w:link w:val="ab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页眉 字符"/>
    <w:basedOn w:val="a0"/>
    <w:link w:val="aa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c">
    <w:name w:val="Hyperlink"/>
    <w:basedOn w:val="a0"/>
    <w:uiPriority w:val="99"/>
    <w:unhideWhenUsed/>
    <w:qFormat/>
    <w:rsid w:val="00C56903"/>
    <w:rPr>
      <w:color w:val="0563C1" w:themeColor="hyperlink"/>
      <w:u w:val="single"/>
    </w:rPr>
  </w:style>
  <w:style w:type="paragraph" w:styleId="ad">
    <w:name w:val="Normal (Web)"/>
    <w:uiPriority w:val="99"/>
    <w:semiHidden/>
    <w:unhideWhenUsed/>
    <w:rsid w:val="00C56903"/>
    <w:pPr>
      <w:spacing w:beforeAutospacing="1" w:after="0" w:afterAutospacing="1" w:line="240" w:lineRule="auto"/>
    </w:pPr>
    <w:rPr>
      <w:rFonts w:ascii="Times New Roman" w:eastAsia="宋体" w:hAnsi="Times New Roman" w:cs="Times New Roman"/>
      <w:sz w:val="24"/>
      <w:szCs w:val="24"/>
    </w:rPr>
  </w:style>
  <w:style w:type="table" w:styleId="ae">
    <w:name w:val="Table Grid"/>
    <w:basedOn w:val="a1"/>
    <w:uiPriority w:val="39"/>
    <w:qFormat/>
    <w:rsid w:val="00C56903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C569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标题 字符"/>
    <w:basedOn w:val="a0"/>
    <w:link w:val="af"/>
    <w:uiPriority w:val="10"/>
    <w:qFormat/>
    <w:rsid w:val="00C569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11">
    <w:name w:val="toc 1"/>
    <w:basedOn w:val="a"/>
    <w:next w:val="a"/>
    <w:uiPriority w:val="39"/>
    <w:unhideWhenUsed/>
    <w:qFormat/>
    <w:rsid w:val="00C56903"/>
    <w:pPr>
      <w:spacing w:after="100"/>
    </w:pPr>
  </w:style>
  <w:style w:type="paragraph" w:styleId="21">
    <w:name w:val="toc 2"/>
    <w:basedOn w:val="a"/>
    <w:next w:val="a"/>
    <w:uiPriority w:val="39"/>
    <w:unhideWhenUsed/>
    <w:qFormat/>
    <w:rsid w:val="00C56903"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qFormat/>
    <w:rsid w:val="00C56903"/>
    <w:pPr>
      <w:spacing w:after="100"/>
      <w:ind w:left="440"/>
    </w:pPr>
  </w:style>
  <w:style w:type="paragraph" w:customStyle="1" w:styleId="TOCHeading1">
    <w:name w:val="TOC Heading1"/>
    <w:basedOn w:val="1"/>
    <w:next w:val="a"/>
    <w:uiPriority w:val="39"/>
    <w:unhideWhenUsed/>
    <w:qFormat/>
    <w:rsid w:val="00C56903"/>
    <w:pPr>
      <w:outlineLvl w:val="9"/>
    </w:pPr>
    <w:rPr>
      <w:kern w:val="0"/>
      <w14:ligatures w14:val="none"/>
    </w:rPr>
  </w:style>
  <w:style w:type="paragraph" w:styleId="af1">
    <w:name w:val="No Spacing"/>
    <w:link w:val="af2"/>
    <w:uiPriority w:val="1"/>
    <w:qFormat/>
    <w:rsid w:val="00C56903"/>
    <w:pPr>
      <w:spacing w:after="0" w:line="240" w:lineRule="auto"/>
      <w:jc w:val="both"/>
    </w:pPr>
    <w:rPr>
      <w:rFonts w:eastAsiaTheme="minorHAnsi"/>
      <w:kern w:val="2"/>
      <w:lang w:eastAsia="en-US"/>
      <w14:ligatures w14:val="standardContextual"/>
    </w:rPr>
  </w:style>
  <w:style w:type="character" w:styleId="af3">
    <w:name w:val="Placeholder Text"/>
    <w:basedOn w:val="a0"/>
    <w:uiPriority w:val="99"/>
    <w:semiHidden/>
    <w:qFormat/>
    <w:rsid w:val="00C56903"/>
    <w:rPr>
      <w:color w:val="808080"/>
    </w:rPr>
  </w:style>
  <w:style w:type="paragraph" w:styleId="af4">
    <w:name w:val="List Paragraph"/>
    <w:basedOn w:val="a"/>
    <w:uiPriority w:val="34"/>
    <w:qFormat/>
    <w:rsid w:val="00C56903"/>
    <w:pPr>
      <w:ind w:left="720"/>
      <w:contextualSpacing/>
      <w:jc w:val="left"/>
    </w:pPr>
    <w:rPr>
      <w:rFonts w:eastAsiaTheme="minorEastAsia"/>
      <w:lang w:val="nl-NL" w:eastAsia="zh-CN"/>
    </w:rPr>
  </w:style>
  <w:style w:type="character" w:customStyle="1" w:styleId="af2">
    <w:name w:val="无间隔 字符"/>
    <w:basedOn w:val="a0"/>
    <w:link w:val="af1"/>
    <w:uiPriority w:val="1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C56903"/>
    <w:rPr>
      <w:color w:val="605E5C"/>
      <w:shd w:val="clear" w:color="auto" w:fill="E1DFDD"/>
    </w:rPr>
  </w:style>
  <w:style w:type="paragraph" w:styleId="af5">
    <w:name w:val="Revision"/>
    <w:hidden/>
    <w:uiPriority w:val="99"/>
    <w:unhideWhenUsed/>
    <w:rsid w:val="00C56903"/>
    <w:pPr>
      <w:spacing w:after="0" w:line="240" w:lineRule="auto"/>
    </w:pPr>
    <w:rPr>
      <w:rFonts w:eastAsiaTheme="minorHAnsi"/>
      <w:kern w:val="2"/>
      <w:lang w:eastAsia="en-US"/>
      <w14:ligatures w14:val="standardContextual"/>
    </w:rPr>
  </w:style>
  <w:style w:type="character" w:styleId="af6">
    <w:name w:val="annotation reference"/>
    <w:basedOn w:val="a0"/>
    <w:uiPriority w:val="99"/>
    <w:semiHidden/>
    <w:unhideWhenUsed/>
    <w:rsid w:val="00C56903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C56903"/>
    <w:pPr>
      <w:spacing w:line="240" w:lineRule="auto"/>
    </w:pPr>
    <w:rPr>
      <w:sz w:val="20"/>
      <w:szCs w:val="20"/>
    </w:rPr>
  </w:style>
  <w:style w:type="character" w:customStyle="1" w:styleId="af8">
    <w:name w:val="批注文字 字符"/>
    <w:basedOn w:val="a0"/>
    <w:link w:val="af7"/>
    <w:uiPriority w:val="99"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56903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C56903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afb">
    <w:name w:val="Balloon Text"/>
    <w:basedOn w:val="a"/>
    <w:link w:val="afc"/>
    <w:uiPriority w:val="99"/>
    <w:semiHidden/>
    <w:unhideWhenUsed/>
    <w:rsid w:val="00C56903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afc">
    <w:name w:val="批注框文本 字符"/>
    <w:basedOn w:val="a0"/>
    <w:link w:val="afb"/>
    <w:uiPriority w:val="99"/>
    <w:semiHidden/>
    <w:rsid w:val="00C56903"/>
    <w:rPr>
      <w:rFonts w:ascii="Microsoft YaHei UI" w:eastAsia="Microsoft YaHei UI"/>
      <w:kern w:val="2"/>
      <w:sz w:val="18"/>
      <w:szCs w:val="18"/>
      <w:lang w:eastAsia="en-US"/>
      <w14:ligatures w14:val="standardContextual"/>
    </w:rPr>
  </w:style>
  <w:style w:type="paragraph" w:customStyle="1" w:styleId="EndNoteBibliographyTitle">
    <w:name w:val="EndNote Bibliography Title"/>
    <w:basedOn w:val="a"/>
    <w:link w:val="EndNoteBibliographyTitle0"/>
    <w:rsid w:val="00C56903"/>
    <w:pPr>
      <w:spacing w:after="0"/>
      <w:jc w:val="center"/>
    </w:pPr>
    <w:rPr>
      <w:rFonts w:ascii="Calibri Light" w:hAnsi="Calibri Light" w:cs="Calibri Light"/>
      <w:noProof/>
      <w:sz w:val="32"/>
    </w:rPr>
  </w:style>
  <w:style w:type="character" w:customStyle="1" w:styleId="EndNoteBibliographyTitle0">
    <w:name w:val="EndNote Bibliography Title 字符"/>
    <w:basedOn w:val="a0"/>
    <w:link w:val="EndNoteBibliographyTitle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paragraph" w:customStyle="1" w:styleId="EndNoteBibliography">
    <w:name w:val="EndNote Bibliography"/>
    <w:basedOn w:val="a"/>
    <w:link w:val="EndNoteBibliography0"/>
    <w:rsid w:val="00C56903"/>
    <w:pPr>
      <w:spacing w:line="240" w:lineRule="auto"/>
    </w:pPr>
    <w:rPr>
      <w:rFonts w:ascii="Calibri Light" w:hAnsi="Calibri Light" w:cs="Calibri Light"/>
      <w:noProof/>
      <w:sz w:val="32"/>
    </w:rPr>
  </w:style>
  <w:style w:type="character" w:customStyle="1" w:styleId="EndNoteBibliography0">
    <w:name w:val="EndNote Bibliography 字符"/>
    <w:basedOn w:val="a0"/>
    <w:link w:val="EndNoteBibliography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character" w:customStyle="1" w:styleId="UnresolvedMention2">
    <w:name w:val="Unresolved Mention2"/>
    <w:basedOn w:val="a0"/>
    <w:uiPriority w:val="99"/>
    <w:semiHidden/>
    <w:unhideWhenUsed/>
    <w:rsid w:val="00C56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C</dc:creator>
  <cp:keywords/>
  <dc:description/>
  <cp:lastModifiedBy>Feng C</cp:lastModifiedBy>
  <cp:revision>3</cp:revision>
  <dcterms:created xsi:type="dcterms:W3CDTF">2025-02-04T15:59:00Z</dcterms:created>
  <dcterms:modified xsi:type="dcterms:W3CDTF">2025-02-04T16:01:00Z</dcterms:modified>
</cp:coreProperties>
</file>