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02467D" w14:textId="6C836BC9" w:rsidR="006C40B4" w:rsidRPr="007007AD" w:rsidRDefault="00806756" w:rsidP="000651DF">
      <w:pPr>
        <w:jc w:val="both"/>
        <w:rPr>
          <w:rFonts w:ascii="Times New Roman" w:hAnsi="Times New Roman" w:cs="Times New Roman"/>
          <w:b/>
          <w:bCs/>
        </w:rPr>
      </w:pPr>
      <w:r w:rsidRPr="007007AD">
        <w:rPr>
          <w:rFonts w:ascii="Times New Roman" w:hAnsi="Times New Roman" w:cs="Times New Roman"/>
          <w:b/>
          <w:bCs/>
        </w:rPr>
        <w:t>The Effect of Pramipexole on Impulse Control and Other Behavioral Disorders in Idiopathic Restless Legs Syndrome</w:t>
      </w:r>
    </w:p>
    <w:p w14:paraId="267F510C" w14:textId="77777777" w:rsidR="00806756" w:rsidRPr="007007AD" w:rsidRDefault="00806756" w:rsidP="006C40B4">
      <w:pPr>
        <w:jc w:val="center"/>
        <w:rPr>
          <w:rFonts w:ascii="Times New Roman" w:hAnsi="Times New Roman" w:cs="Times New Roman"/>
        </w:rPr>
      </w:pPr>
    </w:p>
    <w:p w14:paraId="612DF915" w14:textId="41F310BB" w:rsidR="006C40B4" w:rsidRPr="007007AD" w:rsidRDefault="001846FB" w:rsidP="001846FB">
      <w:pPr>
        <w:rPr>
          <w:rFonts w:ascii="Times New Roman" w:hAnsi="Times New Roman" w:cs="Times New Roman"/>
          <w:vertAlign w:val="superscript"/>
        </w:rPr>
      </w:pPr>
      <w:r w:rsidRPr="007007AD">
        <w:rPr>
          <w:rFonts w:ascii="Times New Roman" w:hAnsi="Times New Roman" w:cs="Times New Roman"/>
        </w:rPr>
        <w:t>Zehra Yavuz</w:t>
      </w:r>
      <w:r w:rsidR="007F283C" w:rsidRPr="007007AD">
        <w:rPr>
          <w:rFonts w:ascii="Times New Roman" w:hAnsi="Times New Roman" w:cs="Times New Roman"/>
          <w:vertAlign w:val="superscript"/>
        </w:rPr>
        <w:t>1</w:t>
      </w:r>
      <w:r w:rsidRPr="007007AD">
        <w:rPr>
          <w:rFonts w:ascii="Times New Roman" w:hAnsi="Times New Roman" w:cs="Times New Roman"/>
        </w:rPr>
        <w:t xml:space="preserve">, </w:t>
      </w:r>
      <w:proofErr w:type="spellStart"/>
      <w:r w:rsidRPr="007007AD">
        <w:rPr>
          <w:rFonts w:ascii="Times New Roman" w:hAnsi="Times New Roman" w:cs="Times New Roman"/>
        </w:rPr>
        <w:t>İlknur</w:t>
      </w:r>
      <w:proofErr w:type="spellEnd"/>
      <w:r w:rsidRPr="007007AD">
        <w:rPr>
          <w:rFonts w:ascii="Times New Roman" w:hAnsi="Times New Roman" w:cs="Times New Roman"/>
        </w:rPr>
        <w:t xml:space="preserve"> </w:t>
      </w:r>
      <w:proofErr w:type="spellStart"/>
      <w:r w:rsidRPr="007007AD">
        <w:rPr>
          <w:rFonts w:ascii="Times New Roman" w:hAnsi="Times New Roman" w:cs="Times New Roman"/>
        </w:rPr>
        <w:t>Topal</w:t>
      </w:r>
      <w:proofErr w:type="spellEnd"/>
      <w:r w:rsidRPr="007007AD">
        <w:rPr>
          <w:rFonts w:ascii="Times New Roman" w:hAnsi="Times New Roman" w:cs="Times New Roman"/>
        </w:rPr>
        <w:t xml:space="preserve"> Yarat</w:t>
      </w:r>
      <w:r w:rsidR="007F283C" w:rsidRPr="007007AD">
        <w:rPr>
          <w:rFonts w:ascii="Times New Roman" w:hAnsi="Times New Roman" w:cs="Times New Roman"/>
          <w:vertAlign w:val="superscript"/>
        </w:rPr>
        <w:t>2</w:t>
      </w:r>
      <w:r w:rsidRPr="007007AD">
        <w:rPr>
          <w:rFonts w:ascii="Times New Roman" w:hAnsi="Times New Roman" w:cs="Times New Roman"/>
        </w:rPr>
        <w:t xml:space="preserve">, </w:t>
      </w:r>
      <w:proofErr w:type="spellStart"/>
      <w:r w:rsidRPr="007007AD">
        <w:rPr>
          <w:rFonts w:ascii="Times New Roman" w:hAnsi="Times New Roman" w:cs="Times New Roman"/>
        </w:rPr>
        <w:t>Ayşenur</w:t>
      </w:r>
      <w:proofErr w:type="spellEnd"/>
      <w:r w:rsidRPr="007007AD">
        <w:rPr>
          <w:rFonts w:ascii="Times New Roman" w:hAnsi="Times New Roman" w:cs="Times New Roman"/>
        </w:rPr>
        <w:t xml:space="preserve"> Gen</w:t>
      </w:r>
      <w:r w:rsidR="00EA6CBB" w:rsidRPr="007007AD">
        <w:rPr>
          <w:rFonts w:ascii="Times New Roman" w:hAnsi="Times New Roman" w:cs="Times New Roman"/>
        </w:rPr>
        <w:t>ça</w:t>
      </w:r>
      <w:r w:rsidRPr="007007AD">
        <w:rPr>
          <w:rFonts w:ascii="Times New Roman" w:hAnsi="Times New Roman" w:cs="Times New Roman"/>
        </w:rPr>
        <w:t>lp</w:t>
      </w:r>
      <w:r w:rsidR="007F283C" w:rsidRPr="007007AD">
        <w:rPr>
          <w:rFonts w:ascii="Times New Roman" w:hAnsi="Times New Roman" w:cs="Times New Roman"/>
          <w:vertAlign w:val="superscript"/>
        </w:rPr>
        <w:t>3</w:t>
      </w:r>
      <w:r w:rsidRPr="007007AD">
        <w:rPr>
          <w:rFonts w:ascii="Times New Roman" w:hAnsi="Times New Roman" w:cs="Times New Roman"/>
        </w:rPr>
        <w:t xml:space="preserve">, Selim </w:t>
      </w:r>
      <w:proofErr w:type="spellStart"/>
      <w:r w:rsidRPr="007007AD">
        <w:rPr>
          <w:rFonts w:ascii="Times New Roman" w:hAnsi="Times New Roman" w:cs="Times New Roman"/>
        </w:rPr>
        <w:t>Selçuk</w:t>
      </w:r>
      <w:proofErr w:type="spellEnd"/>
      <w:r w:rsidRPr="007007AD">
        <w:rPr>
          <w:rFonts w:ascii="Times New Roman" w:hAnsi="Times New Roman" w:cs="Times New Roman"/>
        </w:rPr>
        <w:t xml:space="preserve"> Çomoğlu</w:t>
      </w:r>
      <w:r w:rsidR="007F283C" w:rsidRPr="007007AD">
        <w:rPr>
          <w:rFonts w:ascii="Times New Roman" w:hAnsi="Times New Roman" w:cs="Times New Roman"/>
          <w:vertAlign w:val="superscript"/>
        </w:rPr>
        <w:t>1</w:t>
      </w:r>
    </w:p>
    <w:p w14:paraId="4D3C01E8" w14:textId="77777777" w:rsidR="00B61137" w:rsidRPr="007007AD" w:rsidRDefault="00B61137" w:rsidP="001846FB">
      <w:pPr>
        <w:rPr>
          <w:rFonts w:ascii="Times New Roman" w:eastAsia="Times New Roman" w:hAnsi="Times New Roman" w:cs="Times New Roman"/>
          <w:lang w:val="tr-TR" w:eastAsia="tr-TR"/>
        </w:rPr>
      </w:pPr>
    </w:p>
    <w:p w14:paraId="1A3EC8F9" w14:textId="63846C94" w:rsidR="00790F6F" w:rsidRPr="007007AD" w:rsidRDefault="007F283C" w:rsidP="001846FB">
      <w:pPr>
        <w:rPr>
          <w:rFonts w:ascii="Times New Roman" w:eastAsia="Times New Roman" w:hAnsi="Times New Roman" w:cs="Times New Roman"/>
          <w:lang w:val="tr-TR" w:eastAsia="tr-TR"/>
        </w:rPr>
      </w:pPr>
      <w:r w:rsidRPr="007007AD">
        <w:rPr>
          <w:rFonts w:ascii="Times New Roman" w:eastAsia="Times New Roman" w:hAnsi="Times New Roman" w:cs="Times New Roman"/>
          <w:vertAlign w:val="superscript"/>
          <w:lang w:val="tr-TR" w:eastAsia="tr-TR"/>
        </w:rPr>
        <w:t>1</w:t>
      </w:r>
      <w:r w:rsidR="00790F6F" w:rsidRPr="007007AD">
        <w:rPr>
          <w:rFonts w:ascii="Times New Roman" w:eastAsia="Times New Roman" w:hAnsi="Times New Roman" w:cs="Times New Roman"/>
          <w:lang w:val="tr-TR" w:eastAsia="tr-TR"/>
        </w:rPr>
        <w:t xml:space="preserve">Etlik City </w:t>
      </w:r>
      <w:proofErr w:type="spellStart"/>
      <w:r w:rsidR="00790F6F" w:rsidRPr="007007AD">
        <w:rPr>
          <w:rFonts w:ascii="Times New Roman" w:eastAsia="Times New Roman" w:hAnsi="Times New Roman" w:cs="Times New Roman"/>
          <w:lang w:val="tr-TR" w:eastAsia="tr-TR"/>
        </w:rPr>
        <w:t>Hospital</w:t>
      </w:r>
      <w:proofErr w:type="spellEnd"/>
      <w:r w:rsidR="00790F6F" w:rsidRPr="007007AD">
        <w:rPr>
          <w:rFonts w:ascii="Times New Roman" w:eastAsia="Times New Roman" w:hAnsi="Times New Roman" w:cs="Times New Roman"/>
          <w:lang w:val="tr-TR" w:eastAsia="tr-TR"/>
        </w:rPr>
        <w:t xml:space="preserve">, </w:t>
      </w:r>
      <w:proofErr w:type="spellStart"/>
      <w:r w:rsidR="00790F6F" w:rsidRPr="007007AD">
        <w:rPr>
          <w:rFonts w:ascii="Times New Roman" w:eastAsia="Times New Roman" w:hAnsi="Times New Roman" w:cs="Times New Roman"/>
          <w:lang w:val="tr-TR" w:eastAsia="tr-TR"/>
        </w:rPr>
        <w:t>Neurology</w:t>
      </w:r>
      <w:proofErr w:type="spellEnd"/>
      <w:r w:rsidR="00790F6F" w:rsidRPr="007007AD">
        <w:rPr>
          <w:rFonts w:ascii="Times New Roman" w:eastAsia="Times New Roman" w:hAnsi="Times New Roman" w:cs="Times New Roman"/>
          <w:lang w:val="tr-TR" w:eastAsia="tr-TR"/>
        </w:rPr>
        <w:t xml:space="preserve"> </w:t>
      </w:r>
      <w:proofErr w:type="spellStart"/>
      <w:r w:rsidR="00790F6F" w:rsidRPr="007007AD">
        <w:rPr>
          <w:rFonts w:ascii="Times New Roman" w:eastAsia="Times New Roman" w:hAnsi="Times New Roman" w:cs="Times New Roman"/>
          <w:lang w:val="tr-TR" w:eastAsia="tr-TR"/>
        </w:rPr>
        <w:t>Clinic</w:t>
      </w:r>
      <w:proofErr w:type="spellEnd"/>
      <w:r w:rsidR="00790F6F" w:rsidRPr="007007AD">
        <w:rPr>
          <w:rFonts w:ascii="Times New Roman" w:eastAsia="Times New Roman" w:hAnsi="Times New Roman" w:cs="Times New Roman"/>
          <w:lang w:val="tr-TR" w:eastAsia="tr-TR"/>
        </w:rPr>
        <w:t xml:space="preserve">, Ankara, </w:t>
      </w:r>
      <w:proofErr w:type="spellStart"/>
      <w:r w:rsidR="00790F6F" w:rsidRPr="007007AD">
        <w:rPr>
          <w:rFonts w:ascii="Times New Roman" w:eastAsia="Times New Roman" w:hAnsi="Times New Roman" w:cs="Times New Roman"/>
          <w:lang w:val="tr-TR" w:eastAsia="tr-TR"/>
        </w:rPr>
        <w:t>Turkey</w:t>
      </w:r>
      <w:proofErr w:type="spellEnd"/>
    </w:p>
    <w:p w14:paraId="7FD399AD" w14:textId="4EEDBA52" w:rsidR="007F283C" w:rsidRPr="007007AD" w:rsidRDefault="00EA6CBB" w:rsidP="001846FB">
      <w:pPr>
        <w:rPr>
          <w:rFonts w:ascii="Times New Roman" w:eastAsia="Times New Roman" w:hAnsi="Times New Roman" w:cs="Times New Roman"/>
          <w:lang w:val="tr-TR" w:eastAsia="tr-TR"/>
        </w:rPr>
      </w:pPr>
      <w:r w:rsidRPr="007007AD">
        <w:rPr>
          <w:rFonts w:ascii="Times New Roman" w:eastAsia="Times New Roman" w:hAnsi="Times New Roman" w:cs="Times New Roman"/>
          <w:vertAlign w:val="superscript"/>
          <w:lang w:val="tr-TR" w:eastAsia="tr-TR"/>
        </w:rPr>
        <w:t>2</w:t>
      </w:r>
      <w:r w:rsidRPr="007007AD">
        <w:rPr>
          <w:rFonts w:ascii="Times New Roman" w:eastAsia="Times New Roman" w:hAnsi="Times New Roman" w:cs="Times New Roman"/>
          <w:lang w:val="tr-TR" w:eastAsia="tr-TR"/>
        </w:rPr>
        <w:t xml:space="preserve">Istanbul Medipol </w:t>
      </w:r>
      <w:proofErr w:type="spellStart"/>
      <w:r w:rsidRPr="007007AD">
        <w:rPr>
          <w:rFonts w:ascii="Times New Roman" w:eastAsia="Times New Roman" w:hAnsi="Times New Roman" w:cs="Times New Roman"/>
          <w:lang w:val="tr-TR" w:eastAsia="tr-TR"/>
        </w:rPr>
        <w:t>University</w:t>
      </w:r>
      <w:proofErr w:type="spellEnd"/>
      <w:r w:rsidRPr="007007AD">
        <w:rPr>
          <w:rFonts w:ascii="Times New Roman" w:eastAsia="Times New Roman" w:hAnsi="Times New Roman" w:cs="Times New Roman"/>
          <w:lang w:val="tr-TR" w:eastAsia="tr-TR"/>
        </w:rPr>
        <w:t xml:space="preserve">, </w:t>
      </w:r>
      <w:proofErr w:type="spellStart"/>
      <w:r w:rsidRPr="007007AD">
        <w:rPr>
          <w:rFonts w:ascii="Times New Roman" w:eastAsia="Times New Roman" w:hAnsi="Times New Roman" w:cs="Times New Roman"/>
          <w:lang w:val="tr-TR" w:eastAsia="tr-TR"/>
        </w:rPr>
        <w:t>Faculty</w:t>
      </w:r>
      <w:proofErr w:type="spellEnd"/>
      <w:r w:rsidRPr="007007AD">
        <w:rPr>
          <w:rFonts w:ascii="Times New Roman" w:eastAsia="Times New Roman" w:hAnsi="Times New Roman" w:cs="Times New Roman"/>
          <w:lang w:val="tr-TR" w:eastAsia="tr-TR"/>
        </w:rPr>
        <w:t xml:space="preserve"> of </w:t>
      </w:r>
      <w:proofErr w:type="spellStart"/>
      <w:r w:rsidRPr="007007AD">
        <w:rPr>
          <w:rFonts w:ascii="Times New Roman" w:eastAsia="Times New Roman" w:hAnsi="Times New Roman" w:cs="Times New Roman"/>
          <w:lang w:val="tr-TR" w:eastAsia="tr-TR"/>
        </w:rPr>
        <w:t>Medicine</w:t>
      </w:r>
      <w:proofErr w:type="spellEnd"/>
      <w:r w:rsidRPr="007007AD">
        <w:rPr>
          <w:rFonts w:ascii="Times New Roman" w:eastAsia="Times New Roman" w:hAnsi="Times New Roman" w:cs="Times New Roman"/>
          <w:lang w:val="tr-TR" w:eastAsia="tr-TR"/>
        </w:rPr>
        <w:t xml:space="preserve">, </w:t>
      </w:r>
      <w:proofErr w:type="spellStart"/>
      <w:r w:rsidRPr="007007AD">
        <w:rPr>
          <w:rFonts w:ascii="Times New Roman" w:eastAsia="Times New Roman" w:hAnsi="Times New Roman" w:cs="Times New Roman"/>
          <w:lang w:val="tr-TR" w:eastAsia="tr-TR"/>
        </w:rPr>
        <w:t>Physical</w:t>
      </w:r>
      <w:proofErr w:type="spellEnd"/>
      <w:r w:rsidRPr="007007AD">
        <w:rPr>
          <w:rFonts w:ascii="Times New Roman" w:eastAsia="Times New Roman" w:hAnsi="Times New Roman" w:cs="Times New Roman"/>
          <w:lang w:val="tr-TR" w:eastAsia="tr-TR"/>
        </w:rPr>
        <w:t xml:space="preserve"> </w:t>
      </w:r>
      <w:proofErr w:type="spellStart"/>
      <w:r w:rsidRPr="007007AD">
        <w:rPr>
          <w:rFonts w:ascii="Times New Roman" w:eastAsia="Times New Roman" w:hAnsi="Times New Roman" w:cs="Times New Roman"/>
          <w:lang w:val="tr-TR" w:eastAsia="tr-TR"/>
        </w:rPr>
        <w:t>Therapy</w:t>
      </w:r>
      <w:proofErr w:type="spellEnd"/>
      <w:r w:rsidRPr="007007AD">
        <w:rPr>
          <w:rFonts w:ascii="Times New Roman" w:eastAsia="Times New Roman" w:hAnsi="Times New Roman" w:cs="Times New Roman"/>
          <w:lang w:val="tr-TR" w:eastAsia="tr-TR"/>
        </w:rPr>
        <w:t xml:space="preserve"> </w:t>
      </w:r>
      <w:proofErr w:type="spellStart"/>
      <w:r w:rsidRPr="007007AD">
        <w:rPr>
          <w:rFonts w:ascii="Times New Roman" w:eastAsia="Times New Roman" w:hAnsi="Times New Roman" w:cs="Times New Roman"/>
          <w:lang w:val="tr-TR" w:eastAsia="tr-TR"/>
        </w:rPr>
        <w:t>and</w:t>
      </w:r>
      <w:proofErr w:type="spellEnd"/>
      <w:r w:rsidRPr="007007AD">
        <w:rPr>
          <w:rFonts w:ascii="Times New Roman" w:eastAsia="Times New Roman" w:hAnsi="Times New Roman" w:cs="Times New Roman"/>
          <w:lang w:val="tr-TR" w:eastAsia="tr-TR"/>
        </w:rPr>
        <w:t xml:space="preserve"> </w:t>
      </w:r>
      <w:proofErr w:type="spellStart"/>
      <w:r w:rsidRPr="007007AD">
        <w:rPr>
          <w:rFonts w:ascii="Times New Roman" w:eastAsia="Times New Roman" w:hAnsi="Times New Roman" w:cs="Times New Roman"/>
          <w:lang w:val="tr-TR" w:eastAsia="tr-TR"/>
        </w:rPr>
        <w:t>Rehabilitation</w:t>
      </w:r>
      <w:proofErr w:type="spellEnd"/>
      <w:r w:rsidRPr="007007AD">
        <w:rPr>
          <w:rFonts w:ascii="Times New Roman" w:eastAsia="Times New Roman" w:hAnsi="Times New Roman" w:cs="Times New Roman"/>
          <w:lang w:val="tr-TR" w:eastAsia="tr-TR"/>
        </w:rPr>
        <w:t xml:space="preserve">, </w:t>
      </w:r>
      <w:proofErr w:type="spellStart"/>
      <w:r w:rsidRPr="007007AD">
        <w:rPr>
          <w:rFonts w:ascii="Times New Roman" w:eastAsia="Times New Roman" w:hAnsi="Times New Roman" w:cs="Times New Roman"/>
          <w:lang w:val="tr-TR" w:eastAsia="tr-TR"/>
        </w:rPr>
        <w:t>Istanbul</w:t>
      </w:r>
      <w:proofErr w:type="spellEnd"/>
      <w:r w:rsidRPr="007007AD">
        <w:rPr>
          <w:rFonts w:ascii="Times New Roman" w:eastAsia="Times New Roman" w:hAnsi="Times New Roman" w:cs="Times New Roman"/>
          <w:lang w:val="tr-TR" w:eastAsia="tr-TR"/>
        </w:rPr>
        <w:t xml:space="preserve">, </w:t>
      </w:r>
      <w:proofErr w:type="spellStart"/>
      <w:r w:rsidRPr="007007AD">
        <w:rPr>
          <w:rFonts w:ascii="Times New Roman" w:eastAsia="Times New Roman" w:hAnsi="Times New Roman" w:cs="Times New Roman"/>
          <w:lang w:val="tr-TR" w:eastAsia="tr-TR"/>
        </w:rPr>
        <w:t>Turkey</w:t>
      </w:r>
      <w:proofErr w:type="spellEnd"/>
    </w:p>
    <w:p w14:paraId="3DB34800" w14:textId="569EC160" w:rsidR="007F283C" w:rsidRPr="007007AD" w:rsidRDefault="007F283C" w:rsidP="001846FB">
      <w:pPr>
        <w:rPr>
          <w:rFonts w:ascii="Times New Roman" w:eastAsia="Times New Roman" w:hAnsi="Times New Roman" w:cs="Times New Roman"/>
          <w:lang w:val="tr-TR" w:eastAsia="tr-TR"/>
        </w:rPr>
      </w:pPr>
      <w:r w:rsidRPr="007007AD">
        <w:rPr>
          <w:rFonts w:ascii="Times New Roman" w:eastAsia="Times New Roman" w:hAnsi="Times New Roman" w:cs="Times New Roman"/>
          <w:vertAlign w:val="superscript"/>
          <w:lang w:val="tr-TR" w:eastAsia="tr-TR"/>
        </w:rPr>
        <w:t>3</w:t>
      </w:r>
      <w:r w:rsidRPr="007007AD">
        <w:rPr>
          <w:rFonts w:ascii="Times New Roman" w:eastAsia="Times New Roman" w:hAnsi="Times New Roman" w:cs="Times New Roman"/>
          <w:lang w:val="tr-TR" w:eastAsia="tr-TR"/>
        </w:rPr>
        <w:t xml:space="preserve">Bahcesehir </w:t>
      </w:r>
      <w:proofErr w:type="spellStart"/>
      <w:r w:rsidRPr="007007AD">
        <w:rPr>
          <w:rFonts w:ascii="Times New Roman" w:eastAsia="Times New Roman" w:hAnsi="Times New Roman" w:cs="Times New Roman"/>
          <w:lang w:val="tr-TR" w:eastAsia="tr-TR"/>
        </w:rPr>
        <w:t>University</w:t>
      </w:r>
      <w:proofErr w:type="spellEnd"/>
      <w:r w:rsidRPr="007007AD">
        <w:rPr>
          <w:rFonts w:ascii="Times New Roman" w:eastAsia="Times New Roman" w:hAnsi="Times New Roman" w:cs="Times New Roman"/>
          <w:lang w:val="tr-TR" w:eastAsia="tr-TR"/>
        </w:rPr>
        <w:t xml:space="preserve"> School of </w:t>
      </w:r>
      <w:proofErr w:type="spellStart"/>
      <w:r w:rsidRPr="007007AD">
        <w:rPr>
          <w:rFonts w:ascii="Times New Roman" w:eastAsia="Times New Roman" w:hAnsi="Times New Roman" w:cs="Times New Roman"/>
          <w:lang w:val="tr-TR" w:eastAsia="tr-TR"/>
        </w:rPr>
        <w:t>Medicine</w:t>
      </w:r>
      <w:proofErr w:type="spellEnd"/>
      <w:r w:rsidRPr="007007AD">
        <w:rPr>
          <w:rFonts w:ascii="Times New Roman" w:eastAsia="Times New Roman" w:hAnsi="Times New Roman" w:cs="Times New Roman"/>
          <w:lang w:val="tr-TR" w:eastAsia="tr-TR"/>
        </w:rPr>
        <w:t xml:space="preserve">, </w:t>
      </w:r>
      <w:proofErr w:type="spellStart"/>
      <w:r w:rsidRPr="007007AD">
        <w:rPr>
          <w:rFonts w:ascii="Times New Roman" w:eastAsia="Times New Roman" w:hAnsi="Times New Roman" w:cs="Times New Roman"/>
          <w:lang w:val="tr-TR" w:eastAsia="tr-TR"/>
        </w:rPr>
        <w:t>Istanbul</w:t>
      </w:r>
      <w:proofErr w:type="spellEnd"/>
      <w:r w:rsidRPr="007007AD">
        <w:rPr>
          <w:rFonts w:ascii="Times New Roman" w:eastAsia="Times New Roman" w:hAnsi="Times New Roman" w:cs="Times New Roman"/>
          <w:lang w:val="tr-TR" w:eastAsia="tr-TR"/>
        </w:rPr>
        <w:t xml:space="preserve">, </w:t>
      </w:r>
      <w:proofErr w:type="spellStart"/>
      <w:r w:rsidRPr="007007AD">
        <w:rPr>
          <w:rFonts w:ascii="Times New Roman" w:eastAsia="Times New Roman" w:hAnsi="Times New Roman" w:cs="Times New Roman"/>
          <w:lang w:val="tr-TR" w:eastAsia="tr-TR"/>
        </w:rPr>
        <w:t>Turkey</w:t>
      </w:r>
      <w:proofErr w:type="spellEnd"/>
    </w:p>
    <w:p w14:paraId="5D9E3337" w14:textId="77777777" w:rsidR="002638B3" w:rsidRPr="007007AD" w:rsidRDefault="002638B3" w:rsidP="002638B3">
      <w:pPr>
        <w:spacing w:before="100" w:beforeAutospacing="1" w:after="100" w:afterAutospacing="1"/>
        <w:rPr>
          <w:rFonts w:ascii="Times New Roman" w:hAnsi="Times New Roman" w:cs="Times New Roman"/>
          <w:b/>
          <w:bCs/>
        </w:rPr>
      </w:pPr>
      <w:r w:rsidRPr="007007AD">
        <w:rPr>
          <w:rFonts w:ascii="Times New Roman" w:hAnsi="Times New Roman" w:cs="Times New Roman"/>
          <w:b/>
          <w:bCs/>
        </w:rPr>
        <w:t xml:space="preserve">Author’s Information </w:t>
      </w:r>
    </w:p>
    <w:p w14:paraId="509757A6" w14:textId="2B9D336D" w:rsidR="002638B3" w:rsidRPr="007007AD" w:rsidRDefault="002638B3" w:rsidP="002638B3">
      <w:pPr>
        <w:spacing w:before="100" w:beforeAutospacing="1" w:after="100" w:afterAutospacing="1"/>
        <w:rPr>
          <w:rFonts w:ascii="Times New Roman" w:hAnsi="Times New Roman" w:cs="Times New Roman"/>
        </w:rPr>
      </w:pPr>
      <w:r w:rsidRPr="007007AD">
        <w:rPr>
          <w:rFonts w:ascii="Times New Roman" w:eastAsia="Times New Roman" w:hAnsi="Times New Roman" w:cs="Times New Roman"/>
          <w:lang w:val="tr-TR" w:eastAsia="tr-TR"/>
        </w:rPr>
        <w:t xml:space="preserve">Zehra Yavuz, MD: Etlik City </w:t>
      </w:r>
      <w:proofErr w:type="spellStart"/>
      <w:r w:rsidRPr="007007AD">
        <w:rPr>
          <w:rFonts w:ascii="Times New Roman" w:eastAsia="Times New Roman" w:hAnsi="Times New Roman" w:cs="Times New Roman"/>
          <w:lang w:val="tr-TR" w:eastAsia="tr-TR"/>
        </w:rPr>
        <w:t>Hospital</w:t>
      </w:r>
      <w:proofErr w:type="spellEnd"/>
      <w:r w:rsidRPr="007007AD">
        <w:rPr>
          <w:rFonts w:ascii="Times New Roman" w:eastAsia="Times New Roman" w:hAnsi="Times New Roman" w:cs="Times New Roman"/>
          <w:lang w:val="tr-TR" w:eastAsia="tr-TR"/>
        </w:rPr>
        <w:t xml:space="preserve">, </w:t>
      </w:r>
      <w:proofErr w:type="spellStart"/>
      <w:r w:rsidRPr="007007AD">
        <w:rPr>
          <w:rFonts w:ascii="Times New Roman" w:eastAsia="Times New Roman" w:hAnsi="Times New Roman" w:cs="Times New Roman"/>
          <w:lang w:val="tr-TR" w:eastAsia="tr-TR"/>
        </w:rPr>
        <w:t>Neurology</w:t>
      </w:r>
      <w:proofErr w:type="spellEnd"/>
      <w:r w:rsidRPr="007007AD">
        <w:rPr>
          <w:rFonts w:ascii="Times New Roman" w:eastAsia="Times New Roman" w:hAnsi="Times New Roman" w:cs="Times New Roman"/>
          <w:lang w:val="tr-TR" w:eastAsia="tr-TR"/>
        </w:rPr>
        <w:t xml:space="preserve"> </w:t>
      </w:r>
      <w:proofErr w:type="spellStart"/>
      <w:r w:rsidRPr="007007AD">
        <w:rPr>
          <w:rFonts w:ascii="Times New Roman" w:eastAsia="Times New Roman" w:hAnsi="Times New Roman" w:cs="Times New Roman"/>
          <w:lang w:val="tr-TR" w:eastAsia="tr-TR"/>
        </w:rPr>
        <w:t>Clinic</w:t>
      </w:r>
      <w:proofErr w:type="spellEnd"/>
      <w:r w:rsidRPr="007007AD">
        <w:rPr>
          <w:rFonts w:ascii="Times New Roman" w:eastAsia="Times New Roman" w:hAnsi="Times New Roman" w:cs="Times New Roman"/>
          <w:lang w:val="tr-TR" w:eastAsia="tr-TR"/>
        </w:rPr>
        <w:t xml:space="preserve">, Ankara, </w:t>
      </w:r>
      <w:proofErr w:type="spellStart"/>
      <w:r w:rsidRPr="007007AD">
        <w:rPr>
          <w:rFonts w:ascii="Times New Roman" w:eastAsia="Times New Roman" w:hAnsi="Times New Roman" w:cs="Times New Roman"/>
          <w:lang w:val="tr-TR" w:eastAsia="tr-TR"/>
        </w:rPr>
        <w:t>Turkey</w:t>
      </w:r>
      <w:proofErr w:type="spellEnd"/>
      <w:r w:rsidRPr="007007AD">
        <w:rPr>
          <w:rFonts w:ascii="Times New Roman" w:eastAsia="Times New Roman" w:hAnsi="Times New Roman" w:cs="Times New Roman"/>
          <w:lang w:val="tr-TR" w:eastAsia="tr-TR"/>
        </w:rPr>
        <w:br/>
      </w:r>
      <w:proofErr w:type="spellStart"/>
      <w:r w:rsidRPr="007007AD">
        <w:rPr>
          <w:rFonts w:ascii="Times New Roman" w:eastAsia="Times New Roman" w:hAnsi="Times New Roman" w:cs="Times New Roman"/>
          <w:lang w:val="tr-TR" w:eastAsia="tr-TR"/>
        </w:rPr>
        <w:t>Email</w:t>
      </w:r>
      <w:proofErr w:type="spellEnd"/>
      <w:r w:rsidRPr="007007AD">
        <w:rPr>
          <w:rFonts w:ascii="Times New Roman" w:eastAsia="Times New Roman" w:hAnsi="Times New Roman" w:cs="Times New Roman"/>
          <w:lang w:val="tr-TR" w:eastAsia="tr-TR"/>
        </w:rPr>
        <w:t>: drzehranrlj@gmail.com</w:t>
      </w:r>
      <w:r w:rsidRPr="007007AD">
        <w:rPr>
          <w:rFonts w:ascii="Times New Roman" w:eastAsia="Times New Roman" w:hAnsi="Times New Roman" w:cs="Times New Roman"/>
          <w:lang w:val="tr-TR" w:eastAsia="tr-TR"/>
        </w:rPr>
        <w:br/>
        <w:t>Phone: +90 542 346</w:t>
      </w:r>
      <w:r w:rsidR="00644E2E" w:rsidRPr="007007AD">
        <w:rPr>
          <w:rFonts w:ascii="Times New Roman" w:eastAsia="Times New Roman" w:hAnsi="Times New Roman" w:cs="Times New Roman"/>
          <w:lang w:val="tr-TR" w:eastAsia="tr-TR"/>
        </w:rPr>
        <w:t xml:space="preserve"> </w:t>
      </w:r>
      <w:r w:rsidRPr="007007AD">
        <w:rPr>
          <w:rFonts w:ascii="Times New Roman" w:eastAsia="Times New Roman" w:hAnsi="Times New Roman" w:cs="Times New Roman"/>
          <w:lang w:val="tr-TR" w:eastAsia="tr-TR"/>
        </w:rPr>
        <w:t>58</w:t>
      </w:r>
      <w:r w:rsidR="00644E2E" w:rsidRPr="007007AD">
        <w:rPr>
          <w:rFonts w:ascii="Times New Roman" w:eastAsia="Times New Roman" w:hAnsi="Times New Roman" w:cs="Times New Roman"/>
          <w:lang w:val="tr-TR" w:eastAsia="tr-TR"/>
        </w:rPr>
        <w:t xml:space="preserve"> </w:t>
      </w:r>
      <w:r w:rsidRPr="007007AD">
        <w:rPr>
          <w:rFonts w:ascii="Times New Roman" w:eastAsia="Times New Roman" w:hAnsi="Times New Roman" w:cs="Times New Roman"/>
          <w:lang w:val="tr-TR" w:eastAsia="tr-TR"/>
        </w:rPr>
        <w:t>60</w:t>
      </w:r>
      <w:r w:rsidRPr="007007AD">
        <w:rPr>
          <w:rFonts w:ascii="Times New Roman" w:eastAsia="Times New Roman" w:hAnsi="Times New Roman" w:cs="Times New Roman"/>
          <w:lang w:val="tr-TR" w:eastAsia="tr-TR"/>
        </w:rPr>
        <w:br/>
        <w:t>ORCID ID: 0000-0002-3627-5212</w:t>
      </w:r>
    </w:p>
    <w:p w14:paraId="590A57EA" w14:textId="483F931D" w:rsidR="002638B3" w:rsidRPr="007007AD" w:rsidRDefault="002638B3" w:rsidP="002638B3">
      <w:pPr>
        <w:rPr>
          <w:rFonts w:ascii="Times New Roman" w:hAnsi="Times New Roman" w:cs="Times New Roman"/>
        </w:rPr>
      </w:pPr>
      <w:proofErr w:type="spellStart"/>
      <w:r w:rsidRPr="007007AD">
        <w:rPr>
          <w:rFonts w:ascii="Times New Roman" w:hAnsi="Times New Roman" w:cs="Times New Roman"/>
        </w:rPr>
        <w:t>İlknur</w:t>
      </w:r>
      <w:proofErr w:type="spellEnd"/>
      <w:r w:rsidRPr="007007AD">
        <w:rPr>
          <w:rFonts w:ascii="Times New Roman" w:hAnsi="Times New Roman" w:cs="Times New Roman"/>
        </w:rPr>
        <w:t xml:space="preserve"> </w:t>
      </w:r>
      <w:proofErr w:type="spellStart"/>
      <w:r w:rsidRPr="007007AD">
        <w:rPr>
          <w:rFonts w:ascii="Times New Roman" w:hAnsi="Times New Roman" w:cs="Times New Roman"/>
        </w:rPr>
        <w:t>Topal</w:t>
      </w:r>
      <w:proofErr w:type="spellEnd"/>
      <w:r w:rsidRPr="007007AD">
        <w:rPr>
          <w:rFonts w:ascii="Times New Roman" w:hAnsi="Times New Roman" w:cs="Times New Roman"/>
        </w:rPr>
        <w:t xml:space="preserve"> </w:t>
      </w:r>
      <w:proofErr w:type="spellStart"/>
      <w:r w:rsidRPr="007007AD">
        <w:rPr>
          <w:rFonts w:ascii="Times New Roman" w:hAnsi="Times New Roman" w:cs="Times New Roman"/>
        </w:rPr>
        <w:t>Yarat</w:t>
      </w:r>
      <w:proofErr w:type="spellEnd"/>
      <w:r w:rsidRPr="007007AD">
        <w:rPr>
          <w:rFonts w:ascii="Times New Roman" w:hAnsi="Times New Roman" w:cs="Times New Roman"/>
        </w:rPr>
        <w:t xml:space="preserve">, MD: Istanbul </w:t>
      </w:r>
      <w:proofErr w:type="spellStart"/>
      <w:r w:rsidRPr="007007AD">
        <w:rPr>
          <w:rFonts w:ascii="Times New Roman" w:hAnsi="Times New Roman" w:cs="Times New Roman"/>
        </w:rPr>
        <w:t>Medipol</w:t>
      </w:r>
      <w:proofErr w:type="spellEnd"/>
      <w:r w:rsidRPr="007007AD">
        <w:rPr>
          <w:rFonts w:ascii="Times New Roman" w:hAnsi="Times New Roman" w:cs="Times New Roman"/>
        </w:rPr>
        <w:t xml:space="preserve"> University, Faculty of Medicine, Physical Therapy and Rehabilitation, Istanbul, Turkey</w:t>
      </w:r>
      <w:r w:rsidRPr="007007AD">
        <w:rPr>
          <w:rFonts w:ascii="Times New Roman" w:hAnsi="Times New Roman" w:cs="Times New Roman"/>
        </w:rPr>
        <w:br/>
        <w:t xml:space="preserve">E-mail: </w:t>
      </w:r>
      <w:hyperlink r:id="rId6" w:history="1">
        <w:r w:rsidRPr="007007AD">
          <w:rPr>
            <w:rStyle w:val="Hyperlink"/>
            <w:rFonts w:ascii="Times New Roman" w:hAnsi="Times New Roman" w:cs="Times New Roman"/>
          </w:rPr>
          <w:t>drilknurcann@gmail.com</w:t>
        </w:r>
      </w:hyperlink>
    </w:p>
    <w:p w14:paraId="0F9605E2" w14:textId="5432926D" w:rsidR="002638B3" w:rsidRPr="007007AD" w:rsidRDefault="002638B3" w:rsidP="002638B3">
      <w:pPr>
        <w:rPr>
          <w:rFonts w:ascii="Times New Roman" w:hAnsi="Times New Roman" w:cs="Times New Roman"/>
        </w:rPr>
      </w:pPr>
      <w:r w:rsidRPr="007007AD">
        <w:rPr>
          <w:rFonts w:ascii="Times New Roman" w:hAnsi="Times New Roman" w:cs="Times New Roman"/>
        </w:rPr>
        <w:t>Phone: +90 555 856</w:t>
      </w:r>
      <w:r w:rsidR="00644E2E" w:rsidRPr="007007AD">
        <w:rPr>
          <w:rFonts w:ascii="Times New Roman" w:hAnsi="Times New Roman" w:cs="Times New Roman"/>
        </w:rPr>
        <w:t xml:space="preserve"> </w:t>
      </w:r>
      <w:r w:rsidRPr="007007AD">
        <w:rPr>
          <w:rFonts w:ascii="Times New Roman" w:hAnsi="Times New Roman" w:cs="Times New Roman"/>
        </w:rPr>
        <w:t>53</w:t>
      </w:r>
      <w:r w:rsidR="00644E2E" w:rsidRPr="007007AD">
        <w:rPr>
          <w:rFonts w:ascii="Times New Roman" w:hAnsi="Times New Roman" w:cs="Times New Roman"/>
        </w:rPr>
        <w:t xml:space="preserve"> </w:t>
      </w:r>
      <w:r w:rsidRPr="007007AD">
        <w:rPr>
          <w:rFonts w:ascii="Times New Roman" w:hAnsi="Times New Roman" w:cs="Times New Roman"/>
        </w:rPr>
        <w:t>87</w:t>
      </w:r>
    </w:p>
    <w:p w14:paraId="096C64FB" w14:textId="77777777" w:rsidR="002638B3" w:rsidRPr="007007AD" w:rsidRDefault="002638B3" w:rsidP="002638B3">
      <w:pPr>
        <w:rPr>
          <w:rFonts w:ascii="Times New Roman" w:eastAsia="Times New Roman" w:hAnsi="Times New Roman" w:cs="Times New Roman"/>
          <w:lang w:val="tr-TR" w:eastAsia="tr-TR"/>
        </w:rPr>
      </w:pPr>
      <w:r w:rsidRPr="007007AD">
        <w:rPr>
          <w:rFonts w:ascii="Times New Roman" w:eastAsia="Times New Roman" w:hAnsi="Times New Roman" w:cs="Times New Roman"/>
          <w:lang w:val="tr-TR" w:eastAsia="tr-TR"/>
        </w:rPr>
        <w:t>ORCID ID: 0000-0002-5904-2980</w:t>
      </w:r>
    </w:p>
    <w:p w14:paraId="1E6A954D" w14:textId="77777777" w:rsidR="002638B3" w:rsidRPr="007007AD" w:rsidRDefault="002638B3" w:rsidP="002638B3">
      <w:pPr>
        <w:rPr>
          <w:rFonts w:ascii="Times New Roman" w:eastAsia="Times New Roman" w:hAnsi="Times New Roman" w:cs="Times New Roman"/>
          <w:lang w:val="tr-TR" w:eastAsia="tr-TR"/>
        </w:rPr>
      </w:pPr>
    </w:p>
    <w:p w14:paraId="79EE7393" w14:textId="265C5B33" w:rsidR="002638B3" w:rsidRPr="007007AD" w:rsidRDefault="002638B3" w:rsidP="002638B3">
      <w:pPr>
        <w:rPr>
          <w:rFonts w:ascii="Times New Roman" w:eastAsia="Times New Roman" w:hAnsi="Times New Roman" w:cs="Times New Roman"/>
          <w:lang w:val="tr-TR" w:eastAsia="tr-TR"/>
        </w:rPr>
      </w:pPr>
      <w:r w:rsidRPr="007007AD">
        <w:rPr>
          <w:rFonts w:ascii="Times New Roman" w:eastAsia="Times New Roman" w:hAnsi="Times New Roman" w:cs="Times New Roman"/>
          <w:lang w:val="tr-TR" w:eastAsia="tr-TR"/>
        </w:rPr>
        <w:t xml:space="preserve">Ayşenur </w:t>
      </w:r>
      <w:proofErr w:type="spellStart"/>
      <w:r w:rsidRPr="007007AD">
        <w:rPr>
          <w:rFonts w:ascii="Times New Roman" w:eastAsia="Times New Roman" w:hAnsi="Times New Roman" w:cs="Times New Roman"/>
          <w:lang w:val="tr-TR" w:eastAsia="tr-TR"/>
        </w:rPr>
        <w:t>Gençalp</w:t>
      </w:r>
      <w:proofErr w:type="spellEnd"/>
      <w:r w:rsidRPr="007007AD">
        <w:rPr>
          <w:rFonts w:ascii="Times New Roman" w:eastAsia="Times New Roman" w:hAnsi="Times New Roman" w:cs="Times New Roman"/>
          <w:lang w:val="tr-TR" w:eastAsia="tr-TR"/>
        </w:rPr>
        <w:t xml:space="preserve">, MD: </w:t>
      </w:r>
      <w:proofErr w:type="spellStart"/>
      <w:r w:rsidRPr="007007AD">
        <w:rPr>
          <w:rFonts w:ascii="Times New Roman" w:eastAsia="Times New Roman" w:hAnsi="Times New Roman" w:cs="Times New Roman"/>
          <w:lang w:val="tr-TR" w:eastAsia="tr-TR"/>
        </w:rPr>
        <w:t>Bahcesehir</w:t>
      </w:r>
      <w:proofErr w:type="spellEnd"/>
      <w:r w:rsidRPr="007007AD">
        <w:rPr>
          <w:rFonts w:ascii="Times New Roman" w:eastAsia="Times New Roman" w:hAnsi="Times New Roman" w:cs="Times New Roman"/>
          <w:lang w:val="tr-TR" w:eastAsia="tr-TR"/>
        </w:rPr>
        <w:t xml:space="preserve"> </w:t>
      </w:r>
      <w:proofErr w:type="spellStart"/>
      <w:r w:rsidRPr="007007AD">
        <w:rPr>
          <w:rFonts w:ascii="Times New Roman" w:eastAsia="Times New Roman" w:hAnsi="Times New Roman" w:cs="Times New Roman"/>
          <w:lang w:val="tr-TR" w:eastAsia="tr-TR"/>
        </w:rPr>
        <w:t>University</w:t>
      </w:r>
      <w:proofErr w:type="spellEnd"/>
      <w:r w:rsidRPr="007007AD">
        <w:rPr>
          <w:rFonts w:ascii="Times New Roman" w:eastAsia="Times New Roman" w:hAnsi="Times New Roman" w:cs="Times New Roman"/>
          <w:lang w:val="tr-TR" w:eastAsia="tr-TR"/>
        </w:rPr>
        <w:t xml:space="preserve"> of </w:t>
      </w:r>
      <w:proofErr w:type="spellStart"/>
      <w:r w:rsidRPr="007007AD">
        <w:rPr>
          <w:rFonts w:ascii="Times New Roman" w:eastAsia="Times New Roman" w:hAnsi="Times New Roman" w:cs="Times New Roman"/>
          <w:lang w:val="tr-TR" w:eastAsia="tr-TR"/>
        </w:rPr>
        <w:t>Medicine</w:t>
      </w:r>
      <w:proofErr w:type="spellEnd"/>
    </w:p>
    <w:p w14:paraId="4BD4CEFB" w14:textId="77777777" w:rsidR="002638B3" w:rsidRPr="007007AD" w:rsidRDefault="002638B3" w:rsidP="002638B3">
      <w:pPr>
        <w:rPr>
          <w:rFonts w:ascii="Times New Roman" w:eastAsia="Times New Roman" w:hAnsi="Times New Roman" w:cs="Times New Roman"/>
          <w:lang w:val="tr-TR" w:eastAsia="tr-TR"/>
        </w:rPr>
      </w:pPr>
      <w:proofErr w:type="gramStart"/>
      <w:r w:rsidRPr="007007AD">
        <w:rPr>
          <w:rFonts w:ascii="Times New Roman" w:eastAsia="Times New Roman" w:hAnsi="Times New Roman" w:cs="Times New Roman"/>
          <w:lang w:val="tr-TR" w:eastAsia="tr-TR"/>
        </w:rPr>
        <w:t>E-mail</w:t>
      </w:r>
      <w:proofErr w:type="gramEnd"/>
      <w:r w:rsidRPr="007007AD">
        <w:rPr>
          <w:rFonts w:ascii="Times New Roman" w:eastAsia="Times New Roman" w:hAnsi="Times New Roman" w:cs="Times New Roman"/>
          <w:lang w:val="tr-TR" w:eastAsia="tr-TR"/>
        </w:rPr>
        <w:t xml:space="preserve">: </w:t>
      </w:r>
      <w:hyperlink r:id="rId7" w:history="1">
        <w:r w:rsidRPr="007007AD">
          <w:rPr>
            <w:rStyle w:val="Hyperlink"/>
            <w:rFonts w:ascii="Times New Roman" w:eastAsia="Times New Roman" w:hAnsi="Times New Roman" w:cs="Times New Roman"/>
            <w:lang w:val="tr-TR" w:eastAsia="tr-TR"/>
          </w:rPr>
          <w:t>aysenur.gencalp@gmail.com</w:t>
        </w:r>
      </w:hyperlink>
    </w:p>
    <w:p w14:paraId="50784507" w14:textId="3A5F8312" w:rsidR="002638B3" w:rsidRPr="007007AD" w:rsidRDefault="002638B3" w:rsidP="002638B3">
      <w:pPr>
        <w:rPr>
          <w:rFonts w:ascii="Times New Roman" w:eastAsia="Times New Roman" w:hAnsi="Times New Roman" w:cs="Times New Roman"/>
          <w:lang w:val="tr-TR" w:eastAsia="tr-TR"/>
        </w:rPr>
      </w:pPr>
      <w:r w:rsidRPr="007007AD">
        <w:rPr>
          <w:rFonts w:ascii="Times New Roman" w:eastAsia="Times New Roman" w:hAnsi="Times New Roman" w:cs="Times New Roman"/>
          <w:lang w:val="tr-TR" w:eastAsia="tr-TR"/>
        </w:rPr>
        <w:t>Phone: +90 506 284</w:t>
      </w:r>
      <w:r w:rsidR="00644E2E" w:rsidRPr="007007AD">
        <w:rPr>
          <w:rFonts w:ascii="Times New Roman" w:eastAsia="Times New Roman" w:hAnsi="Times New Roman" w:cs="Times New Roman"/>
          <w:lang w:val="tr-TR" w:eastAsia="tr-TR"/>
        </w:rPr>
        <w:t xml:space="preserve"> </w:t>
      </w:r>
      <w:r w:rsidRPr="007007AD">
        <w:rPr>
          <w:rFonts w:ascii="Times New Roman" w:eastAsia="Times New Roman" w:hAnsi="Times New Roman" w:cs="Times New Roman"/>
          <w:lang w:val="tr-TR" w:eastAsia="tr-TR"/>
        </w:rPr>
        <w:t>58</w:t>
      </w:r>
      <w:r w:rsidR="00644E2E" w:rsidRPr="007007AD">
        <w:rPr>
          <w:rFonts w:ascii="Times New Roman" w:eastAsia="Times New Roman" w:hAnsi="Times New Roman" w:cs="Times New Roman"/>
          <w:lang w:val="tr-TR" w:eastAsia="tr-TR"/>
        </w:rPr>
        <w:t xml:space="preserve"> </w:t>
      </w:r>
      <w:r w:rsidRPr="007007AD">
        <w:rPr>
          <w:rFonts w:ascii="Times New Roman" w:eastAsia="Times New Roman" w:hAnsi="Times New Roman" w:cs="Times New Roman"/>
          <w:lang w:val="tr-TR" w:eastAsia="tr-TR"/>
        </w:rPr>
        <w:t>88</w:t>
      </w:r>
    </w:p>
    <w:p w14:paraId="30FCEDA4" w14:textId="77777777" w:rsidR="002638B3" w:rsidRPr="007007AD" w:rsidRDefault="002638B3" w:rsidP="002638B3">
      <w:pPr>
        <w:rPr>
          <w:rFonts w:ascii="Times New Roman" w:hAnsi="Times New Roman" w:cs="Times New Roman"/>
        </w:rPr>
      </w:pPr>
      <w:r w:rsidRPr="007007AD">
        <w:rPr>
          <w:rFonts w:ascii="Times New Roman" w:eastAsia="Times New Roman" w:hAnsi="Times New Roman" w:cs="Times New Roman"/>
          <w:lang w:val="tr-TR" w:eastAsia="tr-TR"/>
        </w:rPr>
        <w:t>ORCID ID: 0000-0003-4549-4721</w:t>
      </w:r>
    </w:p>
    <w:p w14:paraId="61C88C97" w14:textId="4A0D58E9" w:rsidR="002638B3" w:rsidRPr="007007AD" w:rsidRDefault="002638B3" w:rsidP="002638B3">
      <w:pPr>
        <w:spacing w:before="100" w:beforeAutospacing="1" w:after="100" w:afterAutospacing="1"/>
        <w:rPr>
          <w:rFonts w:ascii="Times New Roman" w:eastAsia="Times New Roman" w:hAnsi="Times New Roman" w:cs="Times New Roman"/>
          <w:lang w:val="tr-TR" w:eastAsia="tr-TR"/>
        </w:rPr>
      </w:pPr>
      <w:r w:rsidRPr="007007AD">
        <w:rPr>
          <w:rFonts w:ascii="Times New Roman" w:eastAsia="Times New Roman" w:hAnsi="Times New Roman" w:cs="Times New Roman"/>
          <w:lang w:val="tr-TR" w:eastAsia="tr-TR"/>
        </w:rPr>
        <w:t xml:space="preserve">Selim Selçuk </w:t>
      </w:r>
      <w:proofErr w:type="spellStart"/>
      <w:r w:rsidRPr="007007AD">
        <w:rPr>
          <w:rFonts w:ascii="Times New Roman" w:eastAsia="Times New Roman" w:hAnsi="Times New Roman" w:cs="Times New Roman"/>
          <w:lang w:val="tr-TR" w:eastAsia="tr-TR"/>
        </w:rPr>
        <w:t>Çomoğlu</w:t>
      </w:r>
      <w:proofErr w:type="spellEnd"/>
      <w:r w:rsidRPr="007007AD">
        <w:rPr>
          <w:rFonts w:ascii="Times New Roman" w:eastAsia="Times New Roman" w:hAnsi="Times New Roman" w:cs="Times New Roman"/>
          <w:lang w:val="tr-TR" w:eastAsia="tr-TR"/>
        </w:rPr>
        <w:t xml:space="preserve">, MD: Etlik City </w:t>
      </w:r>
      <w:proofErr w:type="spellStart"/>
      <w:r w:rsidRPr="007007AD">
        <w:rPr>
          <w:rFonts w:ascii="Times New Roman" w:eastAsia="Times New Roman" w:hAnsi="Times New Roman" w:cs="Times New Roman"/>
          <w:lang w:val="tr-TR" w:eastAsia="tr-TR"/>
        </w:rPr>
        <w:t>Hospital</w:t>
      </w:r>
      <w:proofErr w:type="spellEnd"/>
      <w:r w:rsidRPr="007007AD">
        <w:rPr>
          <w:rFonts w:ascii="Times New Roman" w:eastAsia="Times New Roman" w:hAnsi="Times New Roman" w:cs="Times New Roman"/>
          <w:lang w:val="tr-TR" w:eastAsia="tr-TR"/>
        </w:rPr>
        <w:t xml:space="preserve">, </w:t>
      </w:r>
      <w:proofErr w:type="spellStart"/>
      <w:r w:rsidRPr="007007AD">
        <w:rPr>
          <w:rFonts w:ascii="Times New Roman" w:eastAsia="Times New Roman" w:hAnsi="Times New Roman" w:cs="Times New Roman"/>
          <w:lang w:val="tr-TR" w:eastAsia="tr-TR"/>
        </w:rPr>
        <w:t>Neurology</w:t>
      </w:r>
      <w:proofErr w:type="spellEnd"/>
      <w:r w:rsidRPr="007007AD">
        <w:rPr>
          <w:rFonts w:ascii="Times New Roman" w:eastAsia="Times New Roman" w:hAnsi="Times New Roman" w:cs="Times New Roman"/>
          <w:lang w:val="tr-TR" w:eastAsia="tr-TR"/>
        </w:rPr>
        <w:t xml:space="preserve"> </w:t>
      </w:r>
      <w:proofErr w:type="spellStart"/>
      <w:r w:rsidRPr="007007AD">
        <w:rPr>
          <w:rFonts w:ascii="Times New Roman" w:eastAsia="Times New Roman" w:hAnsi="Times New Roman" w:cs="Times New Roman"/>
          <w:lang w:val="tr-TR" w:eastAsia="tr-TR"/>
        </w:rPr>
        <w:t>Clinic</w:t>
      </w:r>
      <w:proofErr w:type="spellEnd"/>
      <w:r w:rsidRPr="007007AD">
        <w:rPr>
          <w:rFonts w:ascii="Times New Roman" w:eastAsia="Times New Roman" w:hAnsi="Times New Roman" w:cs="Times New Roman"/>
          <w:lang w:val="tr-TR" w:eastAsia="tr-TR"/>
        </w:rPr>
        <w:t xml:space="preserve">, Ankara, </w:t>
      </w:r>
      <w:proofErr w:type="spellStart"/>
      <w:r w:rsidRPr="007007AD">
        <w:rPr>
          <w:rFonts w:ascii="Times New Roman" w:eastAsia="Times New Roman" w:hAnsi="Times New Roman" w:cs="Times New Roman"/>
          <w:lang w:val="tr-TR" w:eastAsia="tr-TR"/>
        </w:rPr>
        <w:t>Turkey</w:t>
      </w:r>
      <w:proofErr w:type="spellEnd"/>
      <w:r w:rsidRPr="007007AD">
        <w:rPr>
          <w:rFonts w:ascii="Times New Roman" w:eastAsia="Times New Roman" w:hAnsi="Times New Roman" w:cs="Times New Roman"/>
          <w:lang w:val="tr-TR" w:eastAsia="tr-TR"/>
        </w:rPr>
        <w:br/>
      </w:r>
      <w:proofErr w:type="spellStart"/>
      <w:r w:rsidRPr="007007AD">
        <w:rPr>
          <w:rFonts w:ascii="Times New Roman" w:eastAsia="Times New Roman" w:hAnsi="Times New Roman" w:cs="Times New Roman"/>
          <w:lang w:val="tr-TR" w:eastAsia="tr-TR"/>
        </w:rPr>
        <w:t>Email</w:t>
      </w:r>
      <w:proofErr w:type="spellEnd"/>
      <w:r w:rsidRPr="007007AD">
        <w:rPr>
          <w:rFonts w:ascii="Times New Roman" w:eastAsia="Times New Roman" w:hAnsi="Times New Roman" w:cs="Times New Roman"/>
          <w:lang w:val="tr-TR" w:eastAsia="tr-TR"/>
        </w:rPr>
        <w:t>: selselco@yahoo.com</w:t>
      </w:r>
      <w:r w:rsidRPr="007007AD">
        <w:rPr>
          <w:rFonts w:ascii="Times New Roman" w:eastAsia="Times New Roman" w:hAnsi="Times New Roman" w:cs="Times New Roman"/>
          <w:lang w:val="tr-TR" w:eastAsia="tr-TR"/>
        </w:rPr>
        <w:br/>
        <w:t>Phone: +90 541 944</w:t>
      </w:r>
      <w:r w:rsidR="00644E2E" w:rsidRPr="007007AD">
        <w:rPr>
          <w:rFonts w:ascii="Times New Roman" w:eastAsia="Times New Roman" w:hAnsi="Times New Roman" w:cs="Times New Roman"/>
          <w:lang w:val="tr-TR" w:eastAsia="tr-TR"/>
        </w:rPr>
        <w:t xml:space="preserve"> </w:t>
      </w:r>
      <w:r w:rsidRPr="007007AD">
        <w:rPr>
          <w:rFonts w:ascii="Times New Roman" w:eastAsia="Times New Roman" w:hAnsi="Times New Roman" w:cs="Times New Roman"/>
          <w:lang w:val="tr-TR" w:eastAsia="tr-TR"/>
        </w:rPr>
        <w:t>44</w:t>
      </w:r>
      <w:r w:rsidR="00644E2E" w:rsidRPr="007007AD">
        <w:rPr>
          <w:rFonts w:ascii="Times New Roman" w:eastAsia="Times New Roman" w:hAnsi="Times New Roman" w:cs="Times New Roman"/>
          <w:lang w:val="tr-TR" w:eastAsia="tr-TR"/>
        </w:rPr>
        <w:t xml:space="preserve"> </w:t>
      </w:r>
      <w:r w:rsidRPr="007007AD">
        <w:rPr>
          <w:rFonts w:ascii="Times New Roman" w:eastAsia="Times New Roman" w:hAnsi="Times New Roman" w:cs="Times New Roman"/>
          <w:lang w:val="tr-TR" w:eastAsia="tr-TR"/>
        </w:rPr>
        <w:t>68</w:t>
      </w:r>
      <w:r w:rsidRPr="007007AD">
        <w:rPr>
          <w:rFonts w:ascii="Times New Roman" w:eastAsia="Times New Roman" w:hAnsi="Times New Roman" w:cs="Times New Roman"/>
          <w:lang w:val="tr-TR" w:eastAsia="tr-TR"/>
        </w:rPr>
        <w:br/>
        <w:t>ORCID ID: 0000-0003-2137-7467</w:t>
      </w:r>
    </w:p>
    <w:p w14:paraId="08A6D18F" w14:textId="6CA71B20" w:rsidR="002638B3" w:rsidRPr="007007AD" w:rsidRDefault="000651DF" w:rsidP="000651DF">
      <w:pPr>
        <w:rPr>
          <w:rFonts w:ascii="Times New Roman" w:hAnsi="Times New Roman" w:cs="Times New Roman"/>
        </w:rPr>
      </w:pPr>
      <w:r w:rsidRPr="007007AD">
        <w:rPr>
          <w:rFonts w:ascii="Times New Roman" w:hAnsi="Times New Roman" w:cs="Times New Roman"/>
          <w:b/>
          <w:bCs/>
        </w:rPr>
        <w:t>Corresponding Author:</w:t>
      </w:r>
      <w:r w:rsidRPr="007007AD">
        <w:rPr>
          <w:rFonts w:ascii="Times New Roman" w:hAnsi="Times New Roman" w:cs="Times New Roman"/>
        </w:rPr>
        <w:t xml:space="preserve"> Zehra Yavuz, MD</w:t>
      </w:r>
      <w:r w:rsidRPr="007007AD">
        <w:rPr>
          <w:rFonts w:ascii="Times New Roman" w:hAnsi="Times New Roman" w:cs="Times New Roman"/>
        </w:rPr>
        <w:br/>
        <w:t xml:space="preserve">Address: </w:t>
      </w:r>
      <w:proofErr w:type="spellStart"/>
      <w:r w:rsidRPr="007007AD">
        <w:rPr>
          <w:rFonts w:ascii="Times New Roman" w:hAnsi="Times New Roman" w:cs="Times New Roman"/>
        </w:rPr>
        <w:t>Etlik</w:t>
      </w:r>
      <w:proofErr w:type="spellEnd"/>
      <w:r w:rsidRPr="007007AD">
        <w:rPr>
          <w:rFonts w:ascii="Times New Roman" w:hAnsi="Times New Roman" w:cs="Times New Roman"/>
        </w:rPr>
        <w:t xml:space="preserve"> City Hospital, Neurology Clinic, </w:t>
      </w:r>
      <w:proofErr w:type="spellStart"/>
      <w:r w:rsidRPr="007007AD">
        <w:rPr>
          <w:rFonts w:ascii="Times New Roman" w:hAnsi="Times New Roman" w:cs="Times New Roman"/>
        </w:rPr>
        <w:t>Varlık</w:t>
      </w:r>
      <w:proofErr w:type="spellEnd"/>
      <w:r w:rsidRPr="007007AD">
        <w:rPr>
          <w:rFonts w:ascii="Times New Roman" w:hAnsi="Times New Roman" w:cs="Times New Roman"/>
        </w:rPr>
        <w:t xml:space="preserve">, Halil </w:t>
      </w:r>
      <w:proofErr w:type="spellStart"/>
      <w:r w:rsidRPr="007007AD">
        <w:rPr>
          <w:rFonts w:ascii="Times New Roman" w:hAnsi="Times New Roman" w:cs="Times New Roman"/>
        </w:rPr>
        <w:t>Sezai</w:t>
      </w:r>
      <w:proofErr w:type="spellEnd"/>
      <w:r w:rsidRPr="007007AD">
        <w:rPr>
          <w:rFonts w:ascii="Times New Roman" w:hAnsi="Times New Roman" w:cs="Times New Roman"/>
        </w:rPr>
        <w:t xml:space="preserve"> </w:t>
      </w:r>
      <w:proofErr w:type="spellStart"/>
      <w:r w:rsidRPr="007007AD">
        <w:rPr>
          <w:rFonts w:ascii="Times New Roman" w:hAnsi="Times New Roman" w:cs="Times New Roman"/>
        </w:rPr>
        <w:t>Erkut</w:t>
      </w:r>
      <w:proofErr w:type="spellEnd"/>
      <w:r w:rsidRPr="007007AD">
        <w:rPr>
          <w:rFonts w:ascii="Times New Roman" w:hAnsi="Times New Roman" w:cs="Times New Roman"/>
        </w:rPr>
        <w:t xml:space="preserve"> Cd. No:5, 06170 </w:t>
      </w:r>
      <w:proofErr w:type="spellStart"/>
      <w:r w:rsidRPr="007007AD">
        <w:rPr>
          <w:rFonts w:ascii="Times New Roman" w:hAnsi="Times New Roman" w:cs="Times New Roman"/>
        </w:rPr>
        <w:t>Yenimahalle</w:t>
      </w:r>
      <w:proofErr w:type="spellEnd"/>
      <w:r w:rsidRPr="007007AD">
        <w:rPr>
          <w:rFonts w:ascii="Times New Roman" w:hAnsi="Times New Roman" w:cs="Times New Roman"/>
        </w:rPr>
        <w:t>/Ankara</w:t>
      </w:r>
      <w:r w:rsidRPr="007007AD">
        <w:rPr>
          <w:rFonts w:ascii="Times New Roman" w:hAnsi="Times New Roman" w:cs="Times New Roman"/>
        </w:rPr>
        <w:br/>
        <w:t>Email: drzehranrlj@gmail.com</w:t>
      </w:r>
      <w:r w:rsidRPr="007007AD">
        <w:rPr>
          <w:rFonts w:ascii="Times New Roman" w:hAnsi="Times New Roman" w:cs="Times New Roman"/>
        </w:rPr>
        <w:br/>
        <w:t>Phone: +90 542 346 58 60</w:t>
      </w:r>
      <w:r w:rsidRPr="007007AD">
        <w:rPr>
          <w:rFonts w:ascii="Times New Roman" w:hAnsi="Times New Roman" w:cs="Times New Roman"/>
        </w:rPr>
        <w:br/>
        <w:t>ORCID ID: 0000-0002-3627-5212</w:t>
      </w:r>
    </w:p>
    <w:p w14:paraId="40E9F1DD" w14:textId="77777777" w:rsidR="002638B3" w:rsidRPr="007007AD" w:rsidRDefault="002638B3" w:rsidP="000651DF">
      <w:pPr>
        <w:rPr>
          <w:rFonts w:ascii="Times New Roman" w:hAnsi="Times New Roman" w:cs="Times New Roman"/>
        </w:rPr>
      </w:pPr>
    </w:p>
    <w:p w14:paraId="54509951" w14:textId="6883D265" w:rsidR="002638B3" w:rsidRPr="007007AD" w:rsidRDefault="002638B3" w:rsidP="002638B3">
      <w:pPr>
        <w:rPr>
          <w:rFonts w:ascii="Times New Roman" w:hAnsi="Times New Roman" w:cs="Times New Roman"/>
        </w:rPr>
      </w:pPr>
      <w:r w:rsidRPr="007007AD">
        <w:rPr>
          <w:rFonts w:ascii="Times New Roman" w:hAnsi="Times New Roman" w:cs="Times New Roman"/>
          <w:b/>
          <w:bCs/>
        </w:rPr>
        <w:t>Acknowledgment</w:t>
      </w:r>
      <w:r w:rsidR="0073175B" w:rsidRPr="007007AD">
        <w:rPr>
          <w:rFonts w:ascii="Times New Roman" w:hAnsi="Times New Roman" w:cs="Times New Roman"/>
          <w:b/>
          <w:bCs/>
        </w:rPr>
        <w:t>:</w:t>
      </w:r>
      <w:r w:rsidR="0073175B" w:rsidRPr="007007AD">
        <w:rPr>
          <w:rFonts w:ascii="Times New Roman" w:hAnsi="Times New Roman" w:cs="Times New Roman"/>
        </w:rPr>
        <w:t xml:space="preserve"> </w:t>
      </w:r>
      <w:r w:rsidRPr="007007AD">
        <w:rPr>
          <w:rFonts w:ascii="Times New Roman" w:hAnsi="Times New Roman" w:cs="Times New Roman"/>
        </w:rPr>
        <w:t xml:space="preserve">The authors thank the patients who volunteered to participate in the study. Special thanks to Prof. Dr. Ali </w:t>
      </w:r>
      <w:proofErr w:type="spellStart"/>
      <w:r w:rsidRPr="007007AD">
        <w:rPr>
          <w:rFonts w:ascii="Times New Roman" w:hAnsi="Times New Roman" w:cs="Times New Roman"/>
        </w:rPr>
        <w:t>Seifi</w:t>
      </w:r>
      <w:proofErr w:type="spellEnd"/>
      <w:r w:rsidRPr="007007AD">
        <w:rPr>
          <w:rFonts w:ascii="Times New Roman" w:hAnsi="Times New Roman" w:cs="Times New Roman"/>
        </w:rPr>
        <w:t xml:space="preserve">, MD at University of Texas, for editing and scientific support. </w:t>
      </w:r>
    </w:p>
    <w:p w14:paraId="4EE5C8C4" w14:textId="3CA556EE" w:rsidR="002638B3" w:rsidRPr="007007AD" w:rsidRDefault="002638B3" w:rsidP="002638B3">
      <w:pPr>
        <w:rPr>
          <w:rFonts w:ascii="Times New Roman" w:hAnsi="Times New Roman" w:cs="Times New Roman"/>
        </w:rPr>
      </w:pPr>
      <w:r w:rsidRPr="007007AD">
        <w:rPr>
          <w:rFonts w:ascii="Times New Roman" w:hAnsi="Times New Roman" w:cs="Times New Roman"/>
          <w:b/>
          <w:bCs/>
        </w:rPr>
        <w:t>Funding Statement</w:t>
      </w:r>
      <w:r w:rsidR="0073175B" w:rsidRPr="007007AD">
        <w:rPr>
          <w:rFonts w:ascii="Times New Roman" w:hAnsi="Times New Roman" w:cs="Times New Roman"/>
          <w:b/>
          <w:bCs/>
        </w:rPr>
        <w:t>:</w:t>
      </w:r>
      <w:r w:rsidR="0073175B" w:rsidRPr="007007AD">
        <w:rPr>
          <w:rFonts w:ascii="Times New Roman" w:hAnsi="Times New Roman" w:cs="Times New Roman"/>
        </w:rPr>
        <w:t xml:space="preserve"> </w:t>
      </w:r>
      <w:r w:rsidRPr="007007AD">
        <w:rPr>
          <w:rFonts w:ascii="Times New Roman" w:hAnsi="Times New Roman" w:cs="Times New Roman"/>
        </w:rPr>
        <w:t>This research did not receive any specific grant from funding agencies in the public, commercial, or not-for-profit sectors.</w:t>
      </w:r>
    </w:p>
    <w:p w14:paraId="4DBE7E13" w14:textId="0999E41B" w:rsidR="002638B3" w:rsidRPr="007007AD" w:rsidRDefault="002638B3" w:rsidP="002638B3">
      <w:pPr>
        <w:rPr>
          <w:rFonts w:ascii="Times New Roman" w:hAnsi="Times New Roman" w:cs="Times New Roman"/>
        </w:rPr>
      </w:pPr>
      <w:r w:rsidRPr="007007AD">
        <w:rPr>
          <w:rFonts w:ascii="Times New Roman" w:hAnsi="Times New Roman" w:cs="Times New Roman"/>
          <w:b/>
          <w:bCs/>
        </w:rPr>
        <w:lastRenderedPageBreak/>
        <w:t>Ethics Statement</w:t>
      </w:r>
      <w:r w:rsidR="0073175B" w:rsidRPr="007007AD">
        <w:rPr>
          <w:rFonts w:ascii="Times New Roman" w:hAnsi="Times New Roman" w:cs="Times New Roman"/>
          <w:b/>
          <w:bCs/>
        </w:rPr>
        <w:t>:</w:t>
      </w:r>
      <w:r w:rsidR="0073175B" w:rsidRPr="007007AD">
        <w:rPr>
          <w:rFonts w:ascii="Times New Roman" w:hAnsi="Times New Roman" w:cs="Times New Roman"/>
        </w:rPr>
        <w:t xml:space="preserve"> </w:t>
      </w:r>
      <w:r w:rsidRPr="007007AD">
        <w:rPr>
          <w:rFonts w:ascii="Times New Roman" w:hAnsi="Times New Roman" w:cs="Times New Roman"/>
        </w:rPr>
        <w:t xml:space="preserve">This study was approved by the Ethics Committee of </w:t>
      </w:r>
      <w:proofErr w:type="spellStart"/>
      <w:r w:rsidRPr="007007AD">
        <w:rPr>
          <w:rFonts w:ascii="Times New Roman" w:hAnsi="Times New Roman" w:cs="Times New Roman"/>
        </w:rPr>
        <w:t>Etlik</w:t>
      </w:r>
      <w:proofErr w:type="spellEnd"/>
      <w:r w:rsidRPr="007007AD">
        <w:rPr>
          <w:rFonts w:ascii="Times New Roman" w:hAnsi="Times New Roman" w:cs="Times New Roman"/>
        </w:rPr>
        <w:t xml:space="preserve"> City Hospital, Written informed consent was obtained from all participants</w:t>
      </w:r>
    </w:p>
    <w:p w14:paraId="1FF7869B" w14:textId="3795CA68" w:rsidR="002638B3" w:rsidRPr="007007AD" w:rsidRDefault="002638B3" w:rsidP="002638B3">
      <w:pPr>
        <w:jc w:val="both"/>
        <w:rPr>
          <w:rFonts w:ascii="Times New Roman" w:hAnsi="Times New Roman" w:cs="Times New Roman"/>
        </w:rPr>
      </w:pPr>
      <w:r w:rsidRPr="007007AD">
        <w:rPr>
          <w:rFonts w:ascii="Times New Roman" w:hAnsi="Times New Roman" w:cs="Times New Roman"/>
          <w:b/>
          <w:bCs/>
        </w:rPr>
        <w:t>Data Availability Statement</w:t>
      </w:r>
      <w:r w:rsidR="0073175B" w:rsidRPr="007007AD">
        <w:rPr>
          <w:rFonts w:ascii="Times New Roman" w:hAnsi="Times New Roman" w:cs="Times New Roman"/>
          <w:b/>
          <w:bCs/>
        </w:rPr>
        <w:t>:</w:t>
      </w:r>
      <w:r w:rsidR="0073175B" w:rsidRPr="007007AD">
        <w:rPr>
          <w:rFonts w:ascii="Times New Roman" w:hAnsi="Times New Roman" w:cs="Times New Roman"/>
        </w:rPr>
        <w:t xml:space="preserve"> </w:t>
      </w:r>
      <w:r w:rsidRPr="007007AD">
        <w:rPr>
          <w:rFonts w:ascii="Times New Roman" w:hAnsi="Times New Roman" w:cs="Times New Roman"/>
        </w:rPr>
        <w:t xml:space="preserve">All data generated or </w:t>
      </w:r>
      <w:proofErr w:type="spellStart"/>
      <w:r w:rsidRPr="007007AD">
        <w:rPr>
          <w:rFonts w:ascii="Times New Roman" w:hAnsi="Times New Roman" w:cs="Times New Roman"/>
        </w:rPr>
        <w:t>analysed</w:t>
      </w:r>
      <w:proofErr w:type="spellEnd"/>
      <w:r w:rsidRPr="007007AD">
        <w:rPr>
          <w:rFonts w:ascii="Times New Roman" w:hAnsi="Times New Roman" w:cs="Times New Roman"/>
        </w:rPr>
        <w:t xml:space="preserve"> during this study are included in this article. Further enquiries can be directed to the corresponding author.</w:t>
      </w:r>
    </w:p>
    <w:p w14:paraId="75F3AAC4" w14:textId="2469E2E4" w:rsidR="002638B3" w:rsidRPr="007007AD" w:rsidRDefault="002638B3" w:rsidP="002638B3">
      <w:pPr>
        <w:rPr>
          <w:rFonts w:ascii="Times New Roman" w:hAnsi="Times New Roman" w:cs="Times New Roman"/>
        </w:rPr>
      </w:pPr>
      <w:r w:rsidRPr="007007AD">
        <w:rPr>
          <w:rFonts w:ascii="Times New Roman" w:hAnsi="Times New Roman" w:cs="Times New Roman"/>
          <w:b/>
          <w:bCs/>
        </w:rPr>
        <w:t>Conflict of Interest Statement</w:t>
      </w:r>
      <w:r w:rsidR="0073175B" w:rsidRPr="007007AD">
        <w:rPr>
          <w:rFonts w:ascii="Times New Roman" w:hAnsi="Times New Roman" w:cs="Times New Roman"/>
          <w:b/>
          <w:bCs/>
        </w:rPr>
        <w:t>:</w:t>
      </w:r>
      <w:r w:rsidR="0073175B" w:rsidRPr="007007AD">
        <w:rPr>
          <w:rFonts w:ascii="Times New Roman" w:hAnsi="Times New Roman" w:cs="Times New Roman"/>
        </w:rPr>
        <w:t xml:space="preserve"> </w:t>
      </w:r>
      <w:r w:rsidRPr="007007AD">
        <w:rPr>
          <w:rFonts w:ascii="Times New Roman" w:hAnsi="Times New Roman" w:cs="Times New Roman"/>
        </w:rPr>
        <w:t>The authors declare that they have no conflict of interest.</w:t>
      </w:r>
    </w:p>
    <w:p w14:paraId="2728A9B5" w14:textId="77777777" w:rsidR="00E774BC" w:rsidRPr="007007AD" w:rsidRDefault="00E774BC" w:rsidP="006C40B4">
      <w:pPr>
        <w:jc w:val="both"/>
        <w:rPr>
          <w:rFonts w:ascii="Times New Roman" w:hAnsi="Times New Roman" w:cs="Times New Roman"/>
        </w:rPr>
      </w:pPr>
    </w:p>
    <w:p w14:paraId="2481D2B8" w14:textId="77777777" w:rsidR="00F53BC6" w:rsidRPr="007007AD" w:rsidRDefault="00F53BC6" w:rsidP="006C40B4">
      <w:pPr>
        <w:jc w:val="both"/>
        <w:rPr>
          <w:rFonts w:ascii="Times New Roman" w:hAnsi="Times New Roman" w:cs="Times New Roman"/>
        </w:rPr>
      </w:pPr>
    </w:p>
    <w:p w14:paraId="5425B477" w14:textId="6591C6BB" w:rsidR="006C40B4" w:rsidRPr="007007AD" w:rsidRDefault="006C40B4" w:rsidP="006C40B4">
      <w:pPr>
        <w:jc w:val="both"/>
        <w:rPr>
          <w:rFonts w:ascii="Times New Roman" w:hAnsi="Times New Roman" w:cs="Times New Roman"/>
          <w:b/>
          <w:bCs/>
        </w:rPr>
      </w:pPr>
      <w:r w:rsidRPr="007007AD">
        <w:rPr>
          <w:rFonts w:ascii="Times New Roman" w:hAnsi="Times New Roman" w:cs="Times New Roman"/>
          <w:b/>
          <w:bCs/>
        </w:rPr>
        <w:t>Abstract</w:t>
      </w:r>
    </w:p>
    <w:p w14:paraId="22811FC9" w14:textId="77777777" w:rsidR="00A669C6" w:rsidRPr="007007AD" w:rsidRDefault="00A669C6" w:rsidP="00A669C6">
      <w:pPr>
        <w:jc w:val="both"/>
        <w:rPr>
          <w:rFonts w:ascii="Times New Roman" w:hAnsi="Times New Roman" w:cs="Times New Roman"/>
        </w:rPr>
      </w:pPr>
      <w:r w:rsidRPr="007007AD">
        <w:rPr>
          <w:rFonts w:ascii="Times New Roman" w:hAnsi="Times New Roman" w:cs="Times New Roman"/>
        </w:rPr>
        <w:t xml:space="preserve">Restless legs syndrome (RLS) is characterized by unpleasant sensations in the legs that occur or worsen during rest and/or in the evening. Pramipexole is an effective treatment option for RLS. While dopamine agonists are associated with impulse control and other behavioral disorders (ICBD) in Parkinson’s disease, there is limited consensus on their relationship with such disorders in RLS. This study aimed to evaluate the association between pramipexole treatment and ICBD in RLS patients. </w:t>
      </w:r>
    </w:p>
    <w:p w14:paraId="04EA3666" w14:textId="31184E28" w:rsidR="006C40B4" w:rsidRPr="007007AD" w:rsidRDefault="00A669C6" w:rsidP="00A669C6">
      <w:pPr>
        <w:jc w:val="both"/>
        <w:rPr>
          <w:rFonts w:ascii="Times New Roman" w:hAnsi="Times New Roman" w:cs="Times New Roman"/>
        </w:rPr>
      </w:pPr>
      <w:r w:rsidRPr="007007AD">
        <w:rPr>
          <w:rFonts w:ascii="Times New Roman" w:hAnsi="Times New Roman" w:cs="Times New Roman"/>
        </w:rPr>
        <w:t xml:space="preserve">In this case-control cross-sectional study, ICBD were assessed using the PD-QUIP questionnaire and the Barratt Impulsivity Scale-11 Short Form (BIS-11 SF). Patients diagnosed with idiopathic RLS using the International Restless Legs Syndrome Study Group diagnostic criteria, aged over 18, without psychiatric disorders, and treated with pramipexole for at least one month, were included. Untreated RLS patients served as controls. The study included 108 patients, with 50.9% receiving pramipexole treatment. The BIS-11 SF total score was 31.79 ± 7.32 in the pramipexole-treated group and 30.35 ± 6.73 in the untreated group (p=0.324). No significant differences were found in total or subscale scores (attention: p=0.232, non-planning: p=0.695, motor impulsivity: p=0.498). Based on PD-QUIP results, ICBD were detected in 37% (N=40) of patients, with </w:t>
      </w:r>
      <w:proofErr w:type="spellStart"/>
      <w:r w:rsidRPr="007007AD">
        <w:rPr>
          <w:rFonts w:ascii="Times New Roman" w:hAnsi="Times New Roman" w:cs="Times New Roman"/>
        </w:rPr>
        <w:t>punding</w:t>
      </w:r>
      <w:proofErr w:type="spellEnd"/>
      <w:r w:rsidRPr="007007AD">
        <w:rPr>
          <w:rFonts w:ascii="Times New Roman" w:hAnsi="Times New Roman" w:cs="Times New Roman"/>
        </w:rPr>
        <w:t xml:space="preserve"> in 12 (11.1%), compulsive eating in 9 (8.3%), and hypersexuality in 1 patient (0.9%). The frequency of ICBD did not differ significantly between groups (p=4.90). These findings suggest that pramipexole treatment in RLS does not significantly affect ICBD development. Large-scale studies are warranted to further explore the impact and causality of pramipexole on ICBD.</w:t>
      </w:r>
    </w:p>
    <w:p w14:paraId="4DC0CED7" w14:textId="77777777" w:rsidR="00A669C6" w:rsidRPr="007007AD" w:rsidRDefault="00A669C6" w:rsidP="00A669C6">
      <w:pPr>
        <w:jc w:val="both"/>
        <w:rPr>
          <w:rFonts w:ascii="Times New Roman" w:hAnsi="Times New Roman" w:cs="Times New Roman"/>
        </w:rPr>
      </w:pPr>
    </w:p>
    <w:p w14:paraId="7EA231B9" w14:textId="37349EB0" w:rsidR="006C40B4" w:rsidRPr="007007AD" w:rsidRDefault="006C40B4" w:rsidP="006C40B4">
      <w:pPr>
        <w:jc w:val="both"/>
        <w:rPr>
          <w:rFonts w:ascii="Times New Roman" w:hAnsi="Times New Roman" w:cs="Times New Roman"/>
        </w:rPr>
      </w:pPr>
      <w:r w:rsidRPr="007007AD">
        <w:rPr>
          <w:rFonts w:ascii="Times New Roman" w:hAnsi="Times New Roman" w:cs="Times New Roman"/>
          <w:b/>
          <w:bCs/>
        </w:rPr>
        <w:t>Keywords</w:t>
      </w:r>
      <w:r w:rsidR="00E9196B" w:rsidRPr="007007AD">
        <w:rPr>
          <w:rFonts w:ascii="Times New Roman" w:hAnsi="Times New Roman" w:cs="Times New Roman"/>
          <w:b/>
          <w:bCs/>
        </w:rPr>
        <w:t>:</w:t>
      </w:r>
      <w:r w:rsidR="00E9196B" w:rsidRPr="007007AD">
        <w:rPr>
          <w:rFonts w:ascii="Times New Roman" w:hAnsi="Times New Roman" w:cs="Times New Roman"/>
        </w:rPr>
        <w:t xml:space="preserve"> </w:t>
      </w:r>
      <w:r w:rsidRPr="007007AD">
        <w:rPr>
          <w:rFonts w:ascii="Times New Roman" w:hAnsi="Times New Roman" w:cs="Times New Roman"/>
        </w:rPr>
        <w:t xml:space="preserve">Restless legs syndrome, pramipexole, impulse control disorders, </w:t>
      </w:r>
      <w:proofErr w:type="spellStart"/>
      <w:r w:rsidRPr="007007AD">
        <w:rPr>
          <w:rFonts w:ascii="Times New Roman" w:hAnsi="Times New Roman" w:cs="Times New Roman"/>
        </w:rPr>
        <w:t>punding</w:t>
      </w:r>
      <w:proofErr w:type="spellEnd"/>
      <w:r w:rsidRPr="007007AD">
        <w:rPr>
          <w:rFonts w:ascii="Times New Roman" w:hAnsi="Times New Roman" w:cs="Times New Roman"/>
        </w:rPr>
        <w:t>, BIS-11 SF</w:t>
      </w:r>
    </w:p>
    <w:p w14:paraId="77260805" w14:textId="77777777" w:rsidR="00832AAD" w:rsidRPr="007007AD" w:rsidRDefault="00832AAD" w:rsidP="006C40B4">
      <w:pPr>
        <w:jc w:val="both"/>
        <w:rPr>
          <w:rFonts w:ascii="Times New Roman" w:hAnsi="Times New Roman" w:cs="Times New Roman"/>
        </w:rPr>
      </w:pPr>
    </w:p>
    <w:p w14:paraId="057868BC" w14:textId="77777777" w:rsidR="006C40B4" w:rsidRPr="007007AD" w:rsidRDefault="006C40B4" w:rsidP="006C40B4">
      <w:pPr>
        <w:jc w:val="both"/>
        <w:rPr>
          <w:rFonts w:ascii="Times New Roman" w:hAnsi="Times New Roman" w:cs="Times New Roman"/>
          <w:b/>
          <w:bCs/>
        </w:rPr>
      </w:pPr>
      <w:r w:rsidRPr="007007AD">
        <w:rPr>
          <w:rFonts w:ascii="Times New Roman" w:hAnsi="Times New Roman" w:cs="Times New Roman"/>
          <w:b/>
          <w:bCs/>
        </w:rPr>
        <w:t>Introduction</w:t>
      </w:r>
    </w:p>
    <w:p w14:paraId="7756B2A2" w14:textId="6814A7C0" w:rsidR="006C40B4" w:rsidRPr="007007AD" w:rsidRDefault="006C40B4" w:rsidP="006C40B4">
      <w:pPr>
        <w:jc w:val="both"/>
        <w:rPr>
          <w:rFonts w:ascii="Times New Roman" w:hAnsi="Times New Roman" w:cs="Times New Roman"/>
        </w:rPr>
      </w:pPr>
      <w:r w:rsidRPr="007007AD">
        <w:rPr>
          <w:rFonts w:ascii="Times New Roman" w:hAnsi="Times New Roman" w:cs="Times New Roman"/>
        </w:rPr>
        <w:t>Restless legs syndrome (RLS) is a sensorimotor disorder characterized by an urge to move the legs accompanied by uncomfortable sensations. Symptoms typically occur in the evening, during rest, and tend to improve with movement [1]. RLS significantly impacts patients' quality of life and psychosocial well-being and is associated with a high risk of depressive symptoms and suicidal thoughts [2]. In addition to genetic susceptibility, environmental factors contribute to the etiology of RLS. While it can occur idiopathically, conditions such as pregnancy, iron deficiency anemia, chronic renal insufficiency, diabetes mellitus, and neurological and rheumatological disorders are recognized as additional risk factors [3, 4].</w:t>
      </w:r>
    </w:p>
    <w:p w14:paraId="540FF5D9" w14:textId="77777777" w:rsidR="006C40B4" w:rsidRPr="007007AD" w:rsidRDefault="006C40B4" w:rsidP="006C40B4">
      <w:pPr>
        <w:jc w:val="both"/>
        <w:rPr>
          <w:rFonts w:ascii="Times New Roman" w:hAnsi="Times New Roman" w:cs="Times New Roman"/>
        </w:rPr>
      </w:pPr>
      <w:r w:rsidRPr="007007AD">
        <w:rPr>
          <w:rFonts w:ascii="Times New Roman" w:hAnsi="Times New Roman" w:cs="Times New Roman"/>
        </w:rPr>
        <w:t xml:space="preserve">Hypotheses regarding the pathophysiological mechanisms suggest that, in addition to iron deficiency, dysfunction in central dopaminergic and nociceptive pathways, as well as disruptions in adenosine and glutamatergic pathways in the brain, contribute to the underlying pathology [3]. Non-ergot dopamine agonists, such as ropinirole, pramipexole, and </w:t>
      </w:r>
      <w:proofErr w:type="spellStart"/>
      <w:r w:rsidRPr="007007AD">
        <w:rPr>
          <w:rFonts w:ascii="Times New Roman" w:hAnsi="Times New Roman" w:cs="Times New Roman"/>
        </w:rPr>
        <w:t>rotigotine</w:t>
      </w:r>
      <w:proofErr w:type="spellEnd"/>
      <w:r w:rsidRPr="007007AD">
        <w:rPr>
          <w:rFonts w:ascii="Times New Roman" w:hAnsi="Times New Roman" w:cs="Times New Roman"/>
        </w:rPr>
        <w:t>, given in low doses, are considered effective treatment options for RLS. However, long-term use of these drugs may result in complications, including augmentation, increased symptom severity, reduced therapeutic efficacy, and the emergence of impulse control and other behavioral disorders [5].</w:t>
      </w:r>
    </w:p>
    <w:p w14:paraId="03576F8F" w14:textId="110003BF" w:rsidR="006C40B4" w:rsidRPr="007007AD" w:rsidRDefault="006C40B4" w:rsidP="006C40B4">
      <w:pPr>
        <w:jc w:val="both"/>
        <w:rPr>
          <w:rFonts w:ascii="Times New Roman" w:hAnsi="Times New Roman" w:cs="Times New Roman"/>
        </w:rPr>
      </w:pPr>
      <w:r w:rsidRPr="007007AD">
        <w:rPr>
          <w:rFonts w:ascii="Times New Roman" w:hAnsi="Times New Roman" w:cs="Times New Roman"/>
        </w:rPr>
        <w:lastRenderedPageBreak/>
        <w:t xml:space="preserve">Impulse control and other behavioral disorders represent a series of heterogeneous neuropsychiatric dysfunctions. Impulse control disorder is defined as the inability to resist certain repeatedly performed activities. It is characterized by behaviors that are rewarding, evoke pleasure, and are driven by efforts to prevent or reduce anxiety [6-8]. Prominent disorders within the spectrum of impulse control and related behavioral disorders (ICBD) include pathological lying, hypersexuality, compulsive shopping, and compulsive eating. </w:t>
      </w:r>
      <w:proofErr w:type="spellStart"/>
      <w:r w:rsidRPr="007007AD">
        <w:rPr>
          <w:rFonts w:ascii="Times New Roman" w:hAnsi="Times New Roman" w:cs="Times New Roman"/>
        </w:rPr>
        <w:t>Punding</w:t>
      </w:r>
      <w:proofErr w:type="spellEnd"/>
      <w:r w:rsidRPr="007007AD">
        <w:rPr>
          <w:rFonts w:ascii="Times New Roman" w:hAnsi="Times New Roman" w:cs="Times New Roman"/>
        </w:rPr>
        <w:t xml:space="preserve"> involves stereotypical and repetitive purposeless behaviors. ICBD has been reported under dopamine agonist therapies in conditions such as Parkinson's disease (PD), RLS, fibromyalgia, and hyperprolactinemia [9]. Overstimulation of the dopaminergic reward systems and dopamine (D3) receptors in the mesolimbic pathways is believed to play a role in the underlying mechanisms [</w:t>
      </w:r>
      <w:r w:rsidR="00F53BC6" w:rsidRPr="007007AD">
        <w:rPr>
          <w:rFonts w:ascii="Times New Roman" w:hAnsi="Times New Roman" w:cs="Times New Roman"/>
        </w:rPr>
        <w:t xml:space="preserve">7, 8, </w:t>
      </w:r>
      <w:r w:rsidRPr="007007AD">
        <w:rPr>
          <w:rFonts w:ascii="Times New Roman" w:hAnsi="Times New Roman" w:cs="Times New Roman"/>
        </w:rPr>
        <w:t>1</w:t>
      </w:r>
      <w:r w:rsidR="00F53BC6" w:rsidRPr="007007AD">
        <w:rPr>
          <w:rFonts w:ascii="Times New Roman" w:hAnsi="Times New Roman" w:cs="Times New Roman"/>
        </w:rPr>
        <w:t>0</w:t>
      </w:r>
      <w:r w:rsidRPr="007007AD">
        <w:rPr>
          <w:rFonts w:ascii="Times New Roman" w:hAnsi="Times New Roman" w:cs="Times New Roman"/>
        </w:rPr>
        <w:t>].</w:t>
      </w:r>
    </w:p>
    <w:p w14:paraId="4C5F7FBD" w14:textId="49F8298A" w:rsidR="006C40B4" w:rsidRPr="007007AD" w:rsidRDefault="006C40B4" w:rsidP="006C40B4">
      <w:pPr>
        <w:jc w:val="both"/>
        <w:rPr>
          <w:rFonts w:ascii="Times New Roman" w:hAnsi="Times New Roman" w:cs="Times New Roman"/>
        </w:rPr>
      </w:pPr>
      <w:r w:rsidRPr="007007AD">
        <w:rPr>
          <w:rFonts w:ascii="Times New Roman" w:hAnsi="Times New Roman" w:cs="Times New Roman"/>
        </w:rPr>
        <w:t>Impulse and behavioral disorders, including pathological gambling, hypersexuality, compulsive shopping, and compulsive eating, have been observed at varying incidence rates (7-16%) during dopaminergic treatment for RLS [9, 1</w:t>
      </w:r>
      <w:r w:rsidR="00F53BC6" w:rsidRPr="007007AD">
        <w:rPr>
          <w:rFonts w:ascii="Times New Roman" w:hAnsi="Times New Roman" w:cs="Times New Roman"/>
        </w:rPr>
        <w:t>0</w:t>
      </w:r>
      <w:r w:rsidRPr="007007AD">
        <w:rPr>
          <w:rFonts w:ascii="Times New Roman" w:hAnsi="Times New Roman" w:cs="Times New Roman"/>
        </w:rPr>
        <w:t>, 1</w:t>
      </w:r>
      <w:r w:rsidR="00F53BC6" w:rsidRPr="007007AD">
        <w:rPr>
          <w:rFonts w:ascii="Times New Roman" w:hAnsi="Times New Roman" w:cs="Times New Roman"/>
        </w:rPr>
        <w:t>1</w:t>
      </w:r>
      <w:r w:rsidRPr="007007AD">
        <w:rPr>
          <w:rFonts w:ascii="Times New Roman" w:hAnsi="Times New Roman" w:cs="Times New Roman"/>
        </w:rPr>
        <w:t>]. This study aims to evaluate the frequency of ICBD associated with pramipexole treatment in RLS patients in Turkey.</w:t>
      </w:r>
    </w:p>
    <w:p w14:paraId="651D425B" w14:textId="77777777" w:rsidR="00641836" w:rsidRPr="007007AD" w:rsidRDefault="00641836" w:rsidP="006C40B4">
      <w:pPr>
        <w:jc w:val="both"/>
        <w:rPr>
          <w:rFonts w:ascii="Times New Roman" w:hAnsi="Times New Roman" w:cs="Times New Roman"/>
        </w:rPr>
      </w:pPr>
    </w:p>
    <w:p w14:paraId="60EB935F" w14:textId="090D4A5F" w:rsidR="006C40B4" w:rsidRPr="007007AD" w:rsidRDefault="00CF6AC6" w:rsidP="006C40B4">
      <w:pPr>
        <w:jc w:val="both"/>
        <w:rPr>
          <w:rFonts w:ascii="Times New Roman" w:hAnsi="Times New Roman" w:cs="Times New Roman"/>
          <w:b/>
          <w:bCs/>
        </w:rPr>
      </w:pPr>
      <w:r w:rsidRPr="007007AD">
        <w:rPr>
          <w:rFonts w:ascii="Times New Roman" w:hAnsi="Times New Roman" w:cs="Times New Roman"/>
          <w:b/>
          <w:bCs/>
        </w:rPr>
        <w:t xml:space="preserve">Materials &amp; </w:t>
      </w:r>
      <w:r w:rsidR="006C40B4" w:rsidRPr="007007AD">
        <w:rPr>
          <w:rFonts w:ascii="Times New Roman" w:hAnsi="Times New Roman" w:cs="Times New Roman"/>
          <w:b/>
          <w:bCs/>
        </w:rPr>
        <w:t>Methods</w:t>
      </w:r>
    </w:p>
    <w:p w14:paraId="48819B66" w14:textId="501D2E6C" w:rsidR="006C40B4" w:rsidRPr="007007AD" w:rsidRDefault="006C40B4" w:rsidP="006C40B4">
      <w:pPr>
        <w:jc w:val="both"/>
        <w:rPr>
          <w:rFonts w:ascii="Times New Roman" w:hAnsi="Times New Roman" w:cs="Times New Roman"/>
        </w:rPr>
      </w:pPr>
      <w:r w:rsidRPr="007007AD">
        <w:rPr>
          <w:rFonts w:ascii="Times New Roman" w:hAnsi="Times New Roman" w:cs="Times New Roman"/>
        </w:rPr>
        <w:t xml:space="preserve">This study was approved by Ankara </w:t>
      </w:r>
      <w:proofErr w:type="spellStart"/>
      <w:r w:rsidRPr="007007AD">
        <w:rPr>
          <w:rFonts w:ascii="Times New Roman" w:hAnsi="Times New Roman" w:cs="Times New Roman"/>
        </w:rPr>
        <w:t>Etlik</w:t>
      </w:r>
      <w:proofErr w:type="spellEnd"/>
      <w:r w:rsidRPr="007007AD">
        <w:rPr>
          <w:rFonts w:ascii="Times New Roman" w:hAnsi="Times New Roman" w:cs="Times New Roman"/>
        </w:rPr>
        <w:t xml:space="preserve"> City Hospital and designed as a cross-sectional study conducted in a movement disorders clinic in Turkey. Patients who presented to our clinic and were diagnosed with idiopathic RLS according to the International Restless Legs Syndrome Group (IRLSSG) diagnostic criteria were evaluated face-to-face by a neurology specialist [1</w:t>
      </w:r>
      <w:r w:rsidR="00F53BC6" w:rsidRPr="007007AD">
        <w:rPr>
          <w:rFonts w:ascii="Times New Roman" w:hAnsi="Times New Roman" w:cs="Times New Roman"/>
        </w:rPr>
        <w:t>2</w:t>
      </w:r>
      <w:r w:rsidRPr="007007AD">
        <w:rPr>
          <w:rFonts w:ascii="Times New Roman" w:hAnsi="Times New Roman" w:cs="Times New Roman"/>
        </w:rPr>
        <w:t>]. The inclusion criteria were as follows: having a diagnosis of idiopathic RLS, being aged 18 or older, and having no history of psychiatric illnesses or substance use. Demographic data for all participants were recorded after obtaining their written informed consent in accordance with the Declaration of Helsinki.</w:t>
      </w:r>
    </w:p>
    <w:p w14:paraId="2F336382" w14:textId="77777777" w:rsidR="006C40B4" w:rsidRPr="007007AD" w:rsidRDefault="006C40B4" w:rsidP="006C40B4">
      <w:pPr>
        <w:jc w:val="both"/>
        <w:rPr>
          <w:rFonts w:ascii="Times New Roman" w:hAnsi="Times New Roman" w:cs="Times New Roman"/>
        </w:rPr>
      </w:pPr>
      <w:r w:rsidRPr="007007AD">
        <w:rPr>
          <w:rFonts w:ascii="Times New Roman" w:hAnsi="Times New Roman" w:cs="Times New Roman"/>
        </w:rPr>
        <w:t>During meetings with the patients and their relatives, the following assessments were conducted: the International Restless Legs Syndrome Study Group Severity Scale, the short form of the Barratt Impulsiveness Scale (BIS-11 SF), a survey based on the Questionnaire for Impulsive-Compulsive Disorders in Parkinson’s Disease (PD-QUIP) to evaluate impulsive and behavioral disorders, the Patient Global Impression of Change (PGIC) scale, and the Beck Depression Inventory (BDI).</w:t>
      </w:r>
    </w:p>
    <w:p w14:paraId="617D48B1" w14:textId="0118D886" w:rsidR="006C40B4" w:rsidRPr="007007AD" w:rsidRDefault="006C40B4" w:rsidP="006C40B4">
      <w:pPr>
        <w:jc w:val="both"/>
        <w:rPr>
          <w:rFonts w:ascii="Times New Roman" w:hAnsi="Times New Roman" w:cs="Times New Roman"/>
        </w:rPr>
      </w:pPr>
      <w:r w:rsidRPr="007007AD">
        <w:rPr>
          <w:rFonts w:ascii="Times New Roman" w:hAnsi="Times New Roman" w:cs="Times New Roman"/>
        </w:rPr>
        <w:t>The International Restless Legs Syndrome Study Group Severity Scale consists of 10 questions in total. While the first five questions assess the severity of symptoms, the remaining five assess daily life activities and quality of life. Each question is scored on a scale from 0 to 4, corresponding to “none,” “mild,” “moderate,” “severe,” and “very severe,” respectively. The total score reflects disease severity, with a score of 1-10 classified as mild, 11-20 as moderate, 21-30 as severe, and 31-40 as very severe [1</w:t>
      </w:r>
      <w:r w:rsidR="00F53BC6" w:rsidRPr="007007AD">
        <w:rPr>
          <w:rFonts w:ascii="Times New Roman" w:hAnsi="Times New Roman" w:cs="Times New Roman"/>
        </w:rPr>
        <w:t>2</w:t>
      </w:r>
      <w:r w:rsidRPr="007007AD">
        <w:rPr>
          <w:rFonts w:ascii="Times New Roman" w:hAnsi="Times New Roman" w:cs="Times New Roman"/>
        </w:rPr>
        <w:t>, 1</w:t>
      </w:r>
      <w:r w:rsidR="00F53BC6" w:rsidRPr="007007AD">
        <w:rPr>
          <w:rFonts w:ascii="Times New Roman" w:hAnsi="Times New Roman" w:cs="Times New Roman"/>
        </w:rPr>
        <w:t>3</w:t>
      </w:r>
      <w:r w:rsidRPr="007007AD">
        <w:rPr>
          <w:rFonts w:ascii="Times New Roman" w:hAnsi="Times New Roman" w:cs="Times New Roman"/>
        </w:rPr>
        <w:t>]. The validity and reliability of the Turkish version were confirmed in 2019 [1</w:t>
      </w:r>
      <w:r w:rsidR="00F53BC6" w:rsidRPr="007007AD">
        <w:rPr>
          <w:rFonts w:ascii="Times New Roman" w:hAnsi="Times New Roman" w:cs="Times New Roman"/>
        </w:rPr>
        <w:t>4</w:t>
      </w:r>
      <w:r w:rsidRPr="007007AD">
        <w:rPr>
          <w:rFonts w:ascii="Times New Roman" w:hAnsi="Times New Roman" w:cs="Times New Roman"/>
        </w:rPr>
        <w:t>].</w:t>
      </w:r>
    </w:p>
    <w:p w14:paraId="1E5A9FAB" w14:textId="00353484" w:rsidR="006C40B4" w:rsidRPr="007007AD" w:rsidRDefault="006C40B4" w:rsidP="006C40B4">
      <w:pPr>
        <w:jc w:val="both"/>
        <w:rPr>
          <w:rFonts w:ascii="Times New Roman" w:hAnsi="Times New Roman" w:cs="Times New Roman"/>
        </w:rPr>
      </w:pPr>
      <w:r w:rsidRPr="007007AD">
        <w:rPr>
          <w:rFonts w:ascii="Times New Roman" w:hAnsi="Times New Roman" w:cs="Times New Roman"/>
        </w:rPr>
        <w:t>Weintraub et al. developed the Questionnaire for Impulsive-Compulsive Disorders in Parkinson’s Disease (PD-QUIP) in 2009 to identify impulsivity and its various forms in Parkinson’s disease patients [1</w:t>
      </w:r>
      <w:r w:rsidR="00F53BC6" w:rsidRPr="007007AD">
        <w:rPr>
          <w:rFonts w:ascii="Times New Roman" w:hAnsi="Times New Roman" w:cs="Times New Roman"/>
        </w:rPr>
        <w:t>5</w:t>
      </w:r>
      <w:r w:rsidRPr="007007AD">
        <w:rPr>
          <w:rFonts w:ascii="Times New Roman" w:hAnsi="Times New Roman" w:cs="Times New Roman"/>
        </w:rPr>
        <w:t>, 1</w:t>
      </w:r>
      <w:r w:rsidR="00F53BC6" w:rsidRPr="007007AD">
        <w:rPr>
          <w:rFonts w:ascii="Times New Roman" w:hAnsi="Times New Roman" w:cs="Times New Roman"/>
        </w:rPr>
        <w:t>6</w:t>
      </w:r>
      <w:r w:rsidRPr="007007AD">
        <w:rPr>
          <w:rFonts w:ascii="Times New Roman" w:hAnsi="Times New Roman" w:cs="Times New Roman"/>
        </w:rPr>
        <w:t>]. In this study, we used the short version of this questionnaire, which included six questions assessing the following behaviors that persisted for at least four weeks: pathological gambling, hypersexuality, compulsive shopping, compulsive eating, other behaviors (</w:t>
      </w:r>
      <w:proofErr w:type="spellStart"/>
      <w:r w:rsidRPr="007007AD">
        <w:rPr>
          <w:rFonts w:ascii="Times New Roman" w:hAnsi="Times New Roman" w:cs="Times New Roman"/>
        </w:rPr>
        <w:t>punding</w:t>
      </w:r>
      <w:proofErr w:type="spellEnd"/>
      <w:r w:rsidRPr="007007AD">
        <w:rPr>
          <w:rFonts w:ascii="Times New Roman" w:hAnsi="Times New Roman" w:cs="Times New Roman"/>
        </w:rPr>
        <w:t>, taking up a new hobby, or purposeless/excessive walking), and compulsive medication use. Responses were recorded as “yes” or “no” for each behavior.</w:t>
      </w:r>
    </w:p>
    <w:p w14:paraId="15AC3625" w14:textId="05307252" w:rsidR="006C40B4" w:rsidRPr="007007AD" w:rsidRDefault="006C40B4" w:rsidP="006C40B4">
      <w:pPr>
        <w:jc w:val="both"/>
        <w:rPr>
          <w:rFonts w:ascii="Times New Roman" w:hAnsi="Times New Roman" w:cs="Times New Roman"/>
        </w:rPr>
      </w:pPr>
      <w:r w:rsidRPr="007007AD">
        <w:rPr>
          <w:rFonts w:ascii="Times New Roman" w:hAnsi="Times New Roman" w:cs="Times New Roman"/>
        </w:rPr>
        <w:t>The PGIC scale reflects patients’ beliefs about the efficacy of the treatment. It is a clinically relevant tool to evaluate the perceived impact of disease management. The PGIC rates overall well-being on a 7-point scale, where scores range from 1 (worst) to 7 (best) [1</w:t>
      </w:r>
      <w:r w:rsidR="00F53BC6" w:rsidRPr="007007AD">
        <w:rPr>
          <w:rFonts w:ascii="Times New Roman" w:hAnsi="Times New Roman" w:cs="Times New Roman"/>
        </w:rPr>
        <w:t>7</w:t>
      </w:r>
      <w:r w:rsidRPr="007007AD">
        <w:rPr>
          <w:rFonts w:ascii="Times New Roman" w:hAnsi="Times New Roman" w:cs="Times New Roman"/>
        </w:rPr>
        <w:t>].</w:t>
      </w:r>
    </w:p>
    <w:p w14:paraId="0AA5E6D0" w14:textId="41356A20" w:rsidR="006C40B4" w:rsidRPr="007007AD" w:rsidRDefault="006C40B4" w:rsidP="006C40B4">
      <w:pPr>
        <w:jc w:val="both"/>
        <w:rPr>
          <w:rFonts w:ascii="Times New Roman" w:hAnsi="Times New Roman" w:cs="Times New Roman"/>
        </w:rPr>
      </w:pPr>
      <w:r w:rsidRPr="007007AD">
        <w:rPr>
          <w:rFonts w:ascii="Times New Roman" w:hAnsi="Times New Roman" w:cs="Times New Roman"/>
        </w:rPr>
        <w:lastRenderedPageBreak/>
        <w:t xml:space="preserve">The BDI, developed by Beck, measures the level and severity of depressive symptoms. The validity and reliability of the Turkish version were established by </w:t>
      </w:r>
      <w:proofErr w:type="spellStart"/>
      <w:r w:rsidRPr="007007AD">
        <w:rPr>
          <w:rFonts w:ascii="Times New Roman" w:hAnsi="Times New Roman" w:cs="Times New Roman"/>
        </w:rPr>
        <w:t>Hisli</w:t>
      </w:r>
      <w:proofErr w:type="spellEnd"/>
      <w:r w:rsidRPr="007007AD">
        <w:rPr>
          <w:rFonts w:ascii="Times New Roman" w:hAnsi="Times New Roman" w:cs="Times New Roman"/>
        </w:rPr>
        <w:t xml:space="preserve"> [</w:t>
      </w:r>
      <w:r w:rsidR="00F53BC6" w:rsidRPr="007007AD">
        <w:rPr>
          <w:rFonts w:ascii="Times New Roman" w:hAnsi="Times New Roman" w:cs="Times New Roman"/>
        </w:rPr>
        <w:t>18</w:t>
      </w:r>
      <w:r w:rsidRPr="007007AD">
        <w:rPr>
          <w:rFonts w:ascii="Times New Roman" w:hAnsi="Times New Roman" w:cs="Times New Roman"/>
        </w:rPr>
        <w:t>]. According to the total score, scores of 1-10 are categorized as normal, 11-16 as mild mood disturbance, 17-20 as borderline clinical depression, 21-30 as moderate depression, 31-40 as severe depression, and 41-63 as extreme depression.</w:t>
      </w:r>
    </w:p>
    <w:p w14:paraId="199463F9" w14:textId="639A4053" w:rsidR="006C40B4" w:rsidRPr="007007AD" w:rsidRDefault="006C40B4" w:rsidP="006C40B4">
      <w:pPr>
        <w:jc w:val="both"/>
        <w:rPr>
          <w:rFonts w:ascii="Times New Roman" w:hAnsi="Times New Roman" w:cs="Times New Roman"/>
        </w:rPr>
      </w:pPr>
      <w:r w:rsidRPr="007007AD">
        <w:rPr>
          <w:rFonts w:ascii="Times New Roman" w:hAnsi="Times New Roman" w:cs="Times New Roman"/>
        </w:rPr>
        <w:t>To evaluate impulsivity, the standardized tool selected was BIS-11 SF, a 30-item self-report measure to assess personality and behavioral characteristics [</w:t>
      </w:r>
      <w:r w:rsidR="00F53BC6" w:rsidRPr="007007AD">
        <w:rPr>
          <w:rFonts w:ascii="Times New Roman" w:hAnsi="Times New Roman" w:cs="Times New Roman"/>
        </w:rPr>
        <w:t>19</w:t>
      </w:r>
      <w:r w:rsidRPr="007007AD">
        <w:rPr>
          <w:rFonts w:ascii="Times New Roman" w:hAnsi="Times New Roman" w:cs="Times New Roman"/>
        </w:rPr>
        <w:t>]. The BIS-11 SF consists of 15 items divided into three subscales: attention (attention impulsivity, cognitive instability), motor (motor impulsivity, impatience), and non-planning (lack of forethought, difficulty tolerating cognitive complexity). Four sub-scores are generated: total score, non-planning, attention, and motor impulsivity scores. Higher total scores indicate greater levels of impulsivity [2</w:t>
      </w:r>
      <w:r w:rsidR="00F53BC6" w:rsidRPr="007007AD">
        <w:rPr>
          <w:rFonts w:ascii="Times New Roman" w:hAnsi="Times New Roman" w:cs="Times New Roman"/>
        </w:rPr>
        <w:t>0</w:t>
      </w:r>
      <w:r w:rsidRPr="007007AD">
        <w:rPr>
          <w:rFonts w:ascii="Times New Roman" w:hAnsi="Times New Roman" w:cs="Times New Roman"/>
        </w:rPr>
        <w:t xml:space="preserve">]. The Turkish validity and reliability of the BIS-11 SF were established by </w:t>
      </w:r>
      <w:proofErr w:type="spellStart"/>
      <w:r w:rsidRPr="007007AD">
        <w:rPr>
          <w:rFonts w:ascii="Times New Roman" w:hAnsi="Times New Roman" w:cs="Times New Roman"/>
        </w:rPr>
        <w:t>Tamam</w:t>
      </w:r>
      <w:proofErr w:type="spellEnd"/>
      <w:r w:rsidRPr="007007AD">
        <w:rPr>
          <w:rFonts w:ascii="Times New Roman" w:hAnsi="Times New Roman" w:cs="Times New Roman"/>
        </w:rPr>
        <w:t xml:space="preserve"> et al. [2</w:t>
      </w:r>
      <w:r w:rsidR="00F53BC6" w:rsidRPr="007007AD">
        <w:rPr>
          <w:rFonts w:ascii="Times New Roman" w:hAnsi="Times New Roman" w:cs="Times New Roman"/>
        </w:rPr>
        <w:t>1</w:t>
      </w:r>
      <w:r w:rsidRPr="007007AD">
        <w:rPr>
          <w:rFonts w:ascii="Times New Roman" w:hAnsi="Times New Roman" w:cs="Times New Roman"/>
        </w:rPr>
        <w:t>]. There are no established cut-off scores for the scale or its subscales. In this study, it was used to evaluate the severity of impulsivity and its components.</w:t>
      </w:r>
    </w:p>
    <w:p w14:paraId="23050C63" w14:textId="77777777" w:rsidR="00641836" w:rsidRPr="007007AD" w:rsidRDefault="00641836" w:rsidP="006C40B4">
      <w:pPr>
        <w:jc w:val="both"/>
        <w:rPr>
          <w:rFonts w:ascii="Times New Roman" w:hAnsi="Times New Roman" w:cs="Times New Roman"/>
        </w:rPr>
      </w:pPr>
    </w:p>
    <w:p w14:paraId="382E58D3" w14:textId="2E8798FE" w:rsidR="006C40B4" w:rsidRPr="007007AD" w:rsidRDefault="006C40B4" w:rsidP="006C40B4">
      <w:pPr>
        <w:jc w:val="both"/>
        <w:rPr>
          <w:rFonts w:ascii="Times New Roman" w:hAnsi="Times New Roman" w:cs="Times New Roman"/>
          <w:b/>
          <w:bCs/>
        </w:rPr>
      </w:pPr>
      <w:r w:rsidRPr="007007AD">
        <w:rPr>
          <w:rFonts w:ascii="Times New Roman" w:hAnsi="Times New Roman" w:cs="Times New Roman"/>
          <w:b/>
          <w:bCs/>
        </w:rPr>
        <w:t>Statistical Analysis</w:t>
      </w:r>
    </w:p>
    <w:p w14:paraId="65126181" w14:textId="37EACA5A" w:rsidR="006C40B4" w:rsidRPr="007007AD" w:rsidRDefault="006C40B4" w:rsidP="006C40B4">
      <w:pPr>
        <w:jc w:val="both"/>
        <w:rPr>
          <w:rFonts w:ascii="Times New Roman" w:hAnsi="Times New Roman" w:cs="Times New Roman"/>
        </w:rPr>
      </w:pPr>
      <w:r w:rsidRPr="007007AD">
        <w:rPr>
          <w:rFonts w:ascii="Times New Roman" w:hAnsi="Times New Roman" w:cs="Times New Roman"/>
        </w:rPr>
        <w:t xml:space="preserve">Quantitative variables were described using measures of central tendency and variance: mean ± standard deviation. Fisher’s Exact Test (for small sample sizes) and the Chi-square test were used to evaluate differences in ratios and relationships between categorical variables. To compare group means, the </w:t>
      </w:r>
      <w:r w:rsidR="00641836" w:rsidRPr="007007AD">
        <w:rPr>
          <w:rFonts w:ascii="Times New Roman" w:hAnsi="Times New Roman" w:cs="Times New Roman"/>
        </w:rPr>
        <w:t>student’s</w:t>
      </w:r>
      <w:r w:rsidRPr="007007AD">
        <w:rPr>
          <w:rFonts w:ascii="Times New Roman" w:hAnsi="Times New Roman" w:cs="Times New Roman"/>
        </w:rPr>
        <w:t xml:space="preserve"> t-test was applied when the assumptions of normality and equal variances were met. When these assumptions were not satisfied, the Mann-Whitney U-test was used.</w:t>
      </w:r>
    </w:p>
    <w:p w14:paraId="0D337D50" w14:textId="77777777" w:rsidR="006C40B4" w:rsidRPr="007007AD" w:rsidRDefault="006C40B4" w:rsidP="006C40B4">
      <w:pPr>
        <w:jc w:val="both"/>
        <w:rPr>
          <w:rFonts w:ascii="Times New Roman" w:hAnsi="Times New Roman" w:cs="Times New Roman"/>
        </w:rPr>
      </w:pPr>
      <w:r w:rsidRPr="007007AD">
        <w:rPr>
          <w:rFonts w:ascii="Times New Roman" w:hAnsi="Times New Roman" w:cs="Times New Roman"/>
        </w:rPr>
        <w:t>To assess the correlation between two numerical variables, the non-parametric Spearman’s Rank Correlation test was employed, as the data did not follow a normal distribution. Statistical significance was set at p = 0.05. All statistical computations were performed using IBM SPSS Statistics software (Version 21.0, Armonk, NY, IBM Corp.).</w:t>
      </w:r>
    </w:p>
    <w:p w14:paraId="502ADA5D" w14:textId="77777777" w:rsidR="00641836" w:rsidRPr="007007AD" w:rsidRDefault="00641836" w:rsidP="006C40B4">
      <w:pPr>
        <w:jc w:val="both"/>
        <w:rPr>
          <w:rFonts w:ascii="Times New Roman" w:hAnsi="Times New Roman" w:cs="Times New Roman"/>
        </w:rPr>
      </w:pPr>
    </w:p>
    <w:p w14:paraId="5B7F6DBB" w14:textId="4561B35D" w:rsidR="006C40B4" w:rsidRPr="007007AD" w:rsidRDefault="006C40B4" w:rsidP="006C40B4">
      <w:pPr>
        <w:jc w:val="both"/>
        <w:rPr>
          <w:rFonts w:ascii="Times New Roman" w:hAnsi="Times New Roman" w:cs="Times New Roman"/>
          <w:b/>
          <w:bCs/>
        </w:rPr>
      </w:pPr>
      <w:r w:rsidRPr="007007AD">
        <w:rPr>
          <w:rFonts w:ascii="Times New Roman" w:hAnsi="Times New Roman" w:cs="Times New Roman"/>
          <w:b/>
          <w:bCs/>
        </w:rPr>
        <w:t>Results</w:t>
      </w:r>
    </w:p>
    <w:p w14:paraId="42A17673" w14:textId="77777777" w:rsidR="006C40B4" w:rsidRPr="007007AD" w:rsidRDefault="006C40B4" w:rsidP="006C40B4">
      <w:pPr>
        <w:jc w:val="both"/>
        <w:rPr>
          <w:rFonts w:ascii="Times New Roman" w:hAnsi="Times New Roman" w:cs="Times New Roman"/>
        </w:rPr>
      </w:pPr>
      <w:r w:rsidRPr="007007AD">
        <w:rPr>
          <w:rFonts w:ascii="Times New Roman" w:hAnsi="Times New Roman" w:cs="Times New Roman"/>
        </w:rPr>
        <w:t>A total of 108 idiopathic RLS patients were assessed face-to-face over a three-month period. Among the participants undergoing pramipexole treatment, the medication dose (mg), treatment duration, and responses to treatment efficacy (recorded as "yes" or "no") were evaluated. The gender distribution showed a predominance of females, comprising 68.5% (n=74) of the participants. The demographic characteristics of the participants are listed in Table 1.</w:t>
      </w:r>
    </w:p>
    <w:p w14:paraId="4749F99C" w14:textId="77777777" w:rsidR="006C40B4" w:rsidRPr="007007AD" w:rsidRDefault="006C40B4" w:rsidP="006C40B4">
      <w:pPr>
        <w:jc w:val="both"/>
        <w:rPr>
          <w:rFonts w:ascii="Times New Roman" w:hAnsi="Times New Roman" w:cs="Times New Roman"/>
        </w:rPr>
      </w:pPr>
      <w:r w:rsidRPr="007007AD">
        <w:rPr>
          <w:rFonts w:ascii="Times New Roman" w:hAnsi="Times New Roman" w:cs="Times New Roman"/>
        </w:rPr>
        <w:t>Of the study group, 50.9% (n=55) were undergoing pramipexole treatment, with treatment durations ranging from 1 to 180 months. Patients receiving pramipexole treatment had longer disease durations and were older (p&lt;0.001, p=0.045). The RLS severity score was significantly higher in patients receiving pramipexole treatment compared to those not receiving treatment (p=0.045) (Table 2). When asked about treatment efficacy, 60% of patients reported a favorable ("yes") response. The PGIC score, as a more objective evaluation of treatment efficacy, was significantly higher in this group (Mean ± SD: 4.28 ± 2.1) compared to those reporting a negative ("no") response (p=0.035).</w:t>
      </w:r>
    </w:p>
    <w:p w14:paraId="7BF9BBB9" w14:textId="77777777" w:rsidR="006C40B4" w:rsidRPr="007007AD" w:rsidRDefault="006C40B4" w:rsidP="006C40B4">
      <w:pPr>
        <w:jc w:val="both"/>
        <w:rPr>
          <w:rFonts w:ascii="Times New Roman" w:hAnsi="Times New Roman" w:cs="Times New Roman"/>
        </w:rPr>
      </w:pPr>
      <w:r w:rsidRPr="007007AD">
        <w:rPr>
          <w:rFonts w:ascii="Times New Roman" w:hAnsi="Times New Roman" w:cs="Times New Roman"/>
        </w:rPr>
        <w:t>The BDI score (Mean ± SD: 14.11 ± 10.45) in the pramipexole treatment group showed no statistically significant difference compared to the untreated group (p=0.534) (Table 2). A tendency to increase the pramipexole dose was observed in 21.8% of patients, and their PGIC scores (Mean ± SD) were 2.91 ± 2.17. When comparing the PGIC score and the pramipexole treatment duration, a statistically significant weak negative correlation (inverse relationship) was found (p=0.016) (Table 4).</w:t>
      </w:r>
    </w:p>
    <w:p w14:paraId="36A3912F" w14:textId="77777777" w:rsidR="006C40B4" w:rsidRPr="007007AD" w:rsidRDefault="006C40B4" w:rsidP="006C40B4">
      <w:pPr>
        <w:jc w:val="both"/>
        <w:rPr>
          <w:rFonts w:ascii="Times New Roman" w:hAnsi="Times New Roman" w:cs="Times New Roman"/>
        </w:rPr>
      </w:pPr>
      <w:r w:rsidRPr="007007AD">
        <w:rPr>
          <w:rFonts w:ascii="Times New Roman" w:hAnsi="Times New Roman" w:cs="Times New Roman"/>
        </w:rPr>
        <w:lastRenderedPageBreak/>
        <w:t>In terms of impulsivity levels, groups (receiving pramipexole or not) were compared using the BIS-11 SF. The mean scores and statistical data are shown in Table 3. No statistically significant differences were found between the groups in total impulsivity, attention, motor impulsivity, or non-planning subscale scores. The overall mean BIS-11 SF score for all patients was 31.09 ± 7.03. Among patients receiving pramipexole, the BIS-11 SF total was 30.86 ± 4.15 in males and 32.25 ± 8.51 in females (p=0.229).</w:t>
      </w:r>
    </w:p>
    <w:p w14:paraId="2CC3FE9A" w14:textId="26B76852" w:rsidR="00854092" w:rsidRPr="007007AD" w:rsidRDefault="006C40B4" w:rsidP="00B96318">
      <w:pPr>
        <w:jc w:val="both"/>
        <w:rPr>
          <w:rFonts w:ascii="Times New Roman" w:hAnsi="Times New Roman" w:cs="Times New Roman"/>
        </w:rPr>
      </w:pPr>
      <w:r w:rsidRPr="007007AD">
        <w:rPr>
          <w:rFonts w:ascii="Times New Roman" w:hAnsi="Times New Roman" w:cs="Times New Roman"/>
        </w:rPr>
        <w:t xml:space="preserve">According to the PD-QUIP questionnaire, impulsive and behavioral disorders were identified in 37% of all RLS patients (23 females and 17 males). The ages of these patients ranged from 21 to 76, and 55% of them were receiving pramipexole treatment. Within the pramipexole-treated group, </w:t>
      </w:r>
      <w:proofErr w:type="spellStart"/>
      <w:r w:rsidRPr="007007AD">
        <w:rPr>
          <w:rFonts w:ascii="Times New Roman" w:hAnsi="Times New Roman" w:cs="Times New Roman"/>
        </w:rPr>
        <w:t>punding</w:t>
      </w:r>
      <w:proofErr w:type="spellEnd"/>
      <w:r w:rsidRPr="007007AD">
        <w:rPr>
          <w:rFonts w:ascii="Times New Roman" w:hAnsi="Times New Roman" w:cs="Times New Roman"/>
        </w:rPr>
        <w:t xml:space="preserve"> was observed in 12 patients (11.1%), compulsive eating in 9 patients (8.3%), and hypersexuality in 1 patient (0.9%). In the untreated group, </w:t>
      </w:r>
      <w:proofErr w:type="spellStart"/>
      <w:r w:rsidRPr="007007AD">
        <w:rPr>
          <w:rFonts w:ascii="Times New Roman" w:hAnsi="Times New Roman" w:cs="Times New Roman"/>
        </w:rPr>
        <w:t>punding</w:t>
      </w:r>
      <w:proofErr w:type="spellEnd"/>
      <w:r w:rsidRPr="007007AD">
        <w:rPr>
          <w:rFonts w:ascii="Times New Roman" w:hAnsi="Times New Roman" w:cs="Times New Roman"/>
        </w:rPr>
        <w:t xml:space="preserve"> was detected in 8 patients (7.4%), compulsive eating in 7 patients (6.4%), and hypersexuality in 3 patients (2.7%) (Figure 1). No significant differences were found between the pramipexole-treated and untreated groups in terms of impulsive and behavioral disorders (p=4.90).</w:t>
      </w:r>
    </w:p>
    <w:p w14:paraId="7F3FC553" w14:textId="77777777" w:rsidR="00854092" w:rsidRPr="007007AD" w:rsidRDefault="00854092" w:rsidP="006C40B4">
      <w:pPr>
        <w:jc w:val="both"/>
        <w:rPr>
          <w:rFonts w:ascii="Times New Roman" w:hAnsi="Times New Roman" w:cs="Times New Roman"/>
        </w:rPr>
      </w:pPr>
    </w:p>
    <w:p w14:paraId="36E2930B" w14:textId="77777777" w:rsidR="00641836" w:rsidRPr="007007AD" w:rsidRDefault="006C40B4" w:rsidP="006C40B4">
      <w:pPr>
        <w:jc w:val="both"/>
        <w:rPr>
          <w:rFonts w:ascii="Times New Roman" w:hAnsi="Times New Roman" w:cs="Times New Roman"/>
          <w:b/>
          <w:bCs/>
        </w:rPr>
      </w:pPr>
      <w:r w:rsidRPr="007007AD">
        <w:rPr>
          <w:rFonts w:ascii="Times New Roman" w:hAnsi="Times New Roman" w:cs="Times New Roman"/>
          <w:b/>
          <w:bCs/>
        </w:rPr>
        <w:t>Discussion</w:t>
      </w:r>
    </w:p>
    <w:p w14:paraId="3F3ADD35" w14:textId="5F4ED115" w:rsidR="006C40B4" w:rsidRPr="007007AD" w:rsidRDefault="006C40B4" w:rsidP="006C40B4">
      <w:pPr>
        <w:jc w:val="both"/>
        <w:rPr>
          <w:rFonts w:ascii="Times New Roman" w:hAnsi="Times New Roman" w:cs="Times New Roman"/>
        </w:rPr>
      </w:pPr>
      <w:r w:rsidRPr="007007AD">
        <w:rPr>
          <w:rFonts w:ascii="Times New Roman" w:hAnsi="Times New Roman" w:cs="Times New Roman"/>
        </w:rPr>
        <w:t>Restless legs syndrome (RLS) is known to have significant psychological and behavioral impacts on patients. Treatments are expected to improve symptoms while also addressing psychiatric conditions associated with the disease. However, it is also well-recognized that treatments themselves may contribute to such complications. In Parkinson’s disease (PD), the relationship between dopaminergic therapies and the emergence of impulsive and other behavioral disorders has been widely investigated. The prevalence of impulsive-compulsive behavioral disorders (ICBD) due to the use of dopamine agonists in PD is approximately 13.6%, compared to 0.5–1% in the general population. Yet, the dosages used for RLS treatment are considerably lower than those used for PD [</w:t>
      </w:r>
      <w:r w:rsidR="00F53BC6" w:rsidRPr="007007AD">
        <w:rPr>
          <w:rFonts w:ascii="Times New Roman" w:hAnsi="Times New Roman" w:cs="Times New Roman"/>
        </w:rPr>
        <w:t xml:space="preserve">7, </w:t>
      </w:r>
      <w:r w:rsidRPr="007007AD">
        <w:rPr>
          <w:rFonts w:ascii="Times New Roman" w:hAnsi="Times New Roman" w:cs="Times New Roman"/>
        </w:rPr>
        <w:t>24]. It has been suggested that impulsive and behavioral disorders may be inherent to RLS itself. On the other hand, some studies indicate that these disorders may emerge or be exacerbated by dopaminergic therapies [1</w:t>
      </w:r>
      <w:r w:rsidR="00F53BC6" w:rsidRPr="007007AD">
        <w:rPr>
          <w:rFonts w:ascii="Times New Roman" w:hAnsi="Times New Roman" w:cs="Times New Roman"/>
        </w:rPr>
        <w:t>0</w:t>
      </w:r>
      <w:r w:rsidRPr="007007AD">
        <w:rPr>
          <w:rFonts w:ascii="Times New Roman" w:hAnsi="Times New Roman" w:cs="Times New Roman"/>
        </w:rPr>
        <w:t xml:space="preserve">, </w:t>
      </w:r>
      <w:r w:rsidR="00F53BC6" w:rsidRPr="007007AD">
        <w:rPr>
          <w:rFonts w:ascii="Times New Roman" w:hAnsi="Times New Roman" w:cs="Times New Roman"/>
        </w:rPr>
        <w:t>23</w:t>
      </w:r>
      <w:r w:rsidRPr="007007AD">
        <w:rPr>
          <w:rFonts w:ascii="Times New Roman" w:hAnsi="Times New Roman" w:cs="Times New Roman"/>
        </w:rPr>
        <w:t>].</w:t>
      </w:r>
    </w:p>
    <w:p w14:paraId="504514EB" w14:textId="1FC76E5C" w:rsidR="006C40B4" w:rsidRPr="007007AD" w:rsidRDefault="006C40B4" w:rsidP="006C40B4">
      <w:pPr>
        <w:jc w:val="both"/>
        <w:rPr>
          <w:rFonts w:ascii="Times New Roman" w:hAnsi="Times New Roman" w:cs="Times New Roman"/>
        </w:rPr>
      </w:pPr>
      <w:r w:rsidRPr="007007AD">
        <w:rPr>
          <w:rFonts w:ascii="Times New Roman" w:hAnsi="Times New Roman" w:cs="Times New Roman"/>
        </w:rPr>
        <w:t>In this study, the association between pramipexole treatment in RLS and ICBD was investigated. Compared to previous studies, we utilized BIS-11 SF concurrently in a larger cohort from Turkey and evaluated patients face-to-face with their relatives [1</w:t>
      </w:r>
      <w:r w:rsidR="00F53BC6" w:rsidRPr="007007AD">
        <w:rPr>
          <w:rFonts w:ascii="Times New Roman" w:hAnsi="Times New Roman" w:cs="Times New Roman"/>
        </w:rPr>
        <w:t>6</w:t>
      </w:r>
      <w:r w:rsidRPr="007007AD">
        <w:rPr>
          <w:rFonts w:ascii="Times New Roman" w:hAnsi="Times New Roman" w:cs="Times New Roman"/>
        </w:rPr>
        <w:t xml:space="preserve">, </w:t>
      </w:r>
      <w:r w:rsidR="00F53BC6" w:rsidRPr="007007AD">
        <w:rPr>
          <w:rFonts w:ascii="Times New Roman" w:hAnsi="Times New Roman" w:cs="Times New Roman"/>
        </w:rPr>
        <w:t>18</w:t>
      </w:r>
      <w:r w:rsidRPr="007007AD">
        <w:rPr>
          <w:rFonts w:ascii="Times New Roman" w:hAnsi="Times New Roman" w:cs="Times New Roman"/>
        </w:rPr>
        <w:t>, 2</w:t>
      </w:r>
      <w:r w:rsidR="00F53BC6" w:rsidRPr="007007AD">
        <w:rPr>
          <w:rFonts w:ascii="Times New Roman" w:hAnsi="Times New Roman" w:cs="Times New Roman"/>
        </w:rPr>
        <w:t>4</w:t>
      </w:r>
      <w:r w:rsidRPr="007007AD">
        <w:rPr>
          <w:rFonts w:ascii="Times New Roman" w:hAnsi="Times New Roman" w:cs="Times New Roman"/>
        </w:rPr>
        <w:t>]. The prevalence of ICBD in RLS patients has been previously reported as at least 2.76% [2</w:t>
      </w:r>
      <w:r w:rsidR="00F53BC6" w:rsidRPr="007007AD">
        <w:rPr>
          <w:rFonts w:ascii="Times New Roman" w:hAnsi="Times New Roman" w:cs="Times New Roman"/>
        </w:rPr>
        <w:t>4</w:t>
      </w:r>
      <w:r w:rsidRPr="007007AD">
        <w:rPr>
          <w:rFonts w:ascii="Times New Roman" w:hAnsi="Times New Roman" w:cs="Times New Roman"/>
        </w:rPr>
        <w:t>].</w:t>
      </w:r>
    </w:p>
    <w:p w14:paraId="05404CF9" w14:textId="270CB02E" w:rsidR="006C40B4" w:rsidRPr="007007AD" w:rsidRDefault="006C40B4" w:rsidP="006C40B4">
      <w:pPr>
        <w:jc w:val="both"/>
        <w:rPr>
          <w:rFonts w:ascii="Times New Roman" w:hAnsi="Times New Roman" w:cs="Times New Roman"/>
        </w:rPr>
      </w:pPr>
      <w:r w:rsidRPr="007007AD">
        <w:rPr>
          <w:rFonts w:ascii="Times New Roman" w:hAnsi="Times New Roman" w:cs="Times New Roman"/>
        </w:rPr>
        <w:t>In a study that used surveys and phone interviews to evaluate ICBD in RLS patients, a frequency of 17% for any ICBD was found, which was higher than in patients with obstructive sleep apnea (6%) and RLS patients not using medication (8%) [9]. In our study, we did not find a significant relationship between pramipexole use and the risk of impulsive and behavioral disorders in RLS patients in Turkey. Impulsive and other behavioral disorders were present in 37% of all patients (with or without pramipexole treatment), with 40% of the pramipexole-treated group. This was in accordance with the findings of Heim et al., who reported a prevalence of 39.7% [1</w:t>
      </w:r>
      <w:r w:rsidR="00F53BC6" w:rsidRPr="007007AD">
        <w:rPr>
          <w:rFonts w:ascii="Times New Roman" w:hAnsi="Times New Roman" w:cs="Times New Roman"/>
        </w:rPr>
        <w:t>1</w:t>
      </w:r>
      <w:r w:rsidRPr="007007AD">
        <w:rPr>
          <w:rFonts w:ascii="Times New Roman" w:hAnsi="Times New Roman" w:cs="Times New Roman"/>
        </w:rPr>
        <w:t>].</w:t>
      </w:r>
    </w:p>
    <w:p w14:paraId="0ED59885" w14:textId="21090F95" w:rsidR="006C40B4" w:rsidRPr="007007AD" w:rsidRDefault="006C40B4" w:rsidP="006C40B4">
      <w:pPr>
        <w:jc w:val="both"/>
        <w:rPr>
          <w:rFonts w:ascii="Times New Roman" w:hAnsi="Times New Roman" w:cs="Times New Roman"/>
        </w:rPr>
      </w:pPr>
      <w:r w:rsidRPr="007007AD">
        <w:rPr>
          <w:rFonts w:ascii="Times New Roman" w:hAnsi="Times New Roman" w:cs="Times New Roman"/>
        </w:rPr>
        <w:t xml:space="preserve">Considering the sociocultural differences and dependencies of ICBD in pramipexole users, we found that </w:t>
      </w:r>
      <w:proofErr w:type="spellStart"/>
      <w:r w:rsidRPr="007007AD">
        <w:rPr>
          <w:rFonts w:ascii="Times New Roman" w:hAnsi="Times New Roman" w:cs="Times New Roman"/>
        </w:rPr>
        <w:t>punding</w:t>
      </w:r>
      <w:proofErr w:type="spellEnd"/>
      <w:r w:rsidRPr="007007AD">
        <w:rPr>
          <w:rFonts w:ascii="Times New Roman" w:hAnsi="Times New Roman" w:cs="Times New Roman"/>
        </w:rPr>
        <w:t xml:space="preserve"> was more frequent among the entire patient group (with or without pramipexole treatment) in this small sample of RLS patients from Turkey. </w:t>
      </w:r>
      <w:proofErr w:type="spellStart"/>
      <w:r w:rsidRPr="007007AD">
        <w:rPr>
          <w:rFonts w:ascii="Times New Roman" w:hAnsi="Times New Roman" w:cs="Times New Roman"/>
        </w:rPr>
        <w:t>Punding</w:t>
      </w:r>
      <w:proofErr w:type="spellEnd"/>
      <w:r w:rsidRPr="007007AD">
        <w:rPr>
          <w:rFonts w:ascii="Times New Roman" w:hAnsi="Times New Roman" w:cs="Times New Roman"/>
        </w:rPr>
        <w:t xml:space="preserve"> is defined by pointless, complex, and stereotypical behaviors, such as constantly holding objects or disassembling them, manipulating technical equipment, excessive grooming or cleaning, and hoarding [2</w:t>
      </w:r>
      <w:r w:rsidR="00F53BC6" w:rsidRPr="007007AD">
        <w:rPr>
          <w:rFonts w:ascii="Times New Roman" w:hAnsi="Times New Roman" w:cs="Times New Roman"/>
        </w:rPr>
        <w:t>5</w:t>
      </w:r>
      <w:r w:rsidRPr="007007AD">
        <w:rPr>
          <w:rFonts w:ascii="Times New Roman" w:hAnsi="Times New Roman" w:cs="Times New Roman"/>
        </w:rPr>
        <w:t xml:space="preserve">]. In contrast with the findings of Cornelius et al., </w:t>
      </w:r>
      <w:proofErr w:type="spellStart"/>
      <w:r w:rsidRPr="007007AD">
        <w:rPr>
          <w:rFonts w:ascii="Times New Roman" w:hAnsi="Times New Roman" w:cs="Times New Roman"/>
        </w:rPr>
        <w:t>punding</w:t>
      </w:r>
      <w:proofErr w:type="spellEnd"/>
      <w:r w:rsidRPr="007007AD">
        <w:rPr>
          <w:rFonts w:ascii="Times New Roman" w:hAnsi="Times New Roman" w:cs="Times New Roman"/>
        </w:rPr>
        <w:t xml:space="preserve"> was more common in the pramipexole-treated group (11.1%), and compulsive eating ranked second in our study [9]. Although high doses of pramipexole in RLS can induce ICBD, some studies have identified changes related to ICBD in </w:t>
      </w:r>
      <w:r w:rsidRPr="007007AD">
        <w:rPr>
          <w:rFonts w:ascii="Times New Roman" w:hAnsi="Times New Roman" w:cs="Times New Roman"/>
        </w:rPr>
        <w:lastRenderedPageBreak/>
        <w:t>much lower doses of pramipexole [2</w:t>
      </w:r>
      <w:r w:rsidR="00F53BC6" w:rsidRPr="007007AD">
        <w:rPr>
          <w:rFonts w:ascii="Times New Roman" w:hAnsi="Times New Roman" w:cs="Times New Roman"/>
        </w:rPr>
        <w:t>6</w:t>
      </w:r>
      <w:r w:rsidRPr="007007AD">
        <w:rPr>
          <w:rFonts w:ascii="Times New Roman" w:hAnsi="Times New Roman" w:cs="Times New Roman"/>
        </w:rPr>
        <w:t>]. In our study, ICBD occurred at pramipexole doses lower than those used for PD, and we did not observe an association between pramipexole dose and the frequency of ICBD or other behavioral disorders.</w:t>
      </w:r>
    </w:p>
    <w:p w14:paraId="3348D24D" w14:textId="7D7BA26E" w:rsidR="006C40B4" w:rsidRPr="007007AD" w:rsidRDefault="006C40B4" w:rsidP="006C40B4">
      <w:pPr>
        <w:jc w:val="both"/>
        <w:rPr>
          <w:rFonts w:ascii="Times New Roman" w:hAnsi="Times New Roman" w:cs="Times New Roman"/>
        </w:rPr>
      </w:pPr>
      <w:r w:rsidRPr="007007AD">
        <w:rPr>
          <w:rFonts w:ascii="Times New Roman" w:hAnsi="Times New Roman" w:cs="Times New Roman"/>
        </w:rPr>
        <w:t>Unlike previous studies, pathological gambling was not observed in our study. This may be attributed to cultural factors in Turkish society, where binge eating and gambling are perceived negatively, and access to gambling is highly restricted [9, 2</w:t>
      </w:r>
      <w:r w:rsidR="00F53BC6" w:rsidRPr="007007AD">
        <w:rPr>
          <w:rFonts w:ascii="Times New Roman" w:hAnsi="Times New Roman" w:cs="Times New Roman"/>
        </w:rPr>
        <w:t>7</w:t>
      </w:r>
      <w:r w:rsidRPr="007007AD">
        <w:rPr>
          <w:rFonts w:ascii="Times New Roman" w:hAnsi="Times New Roman" w:cs="Times New Roman"/>
        </w:rPr>
        <w:t>]. However, behavioral disorders like addictions can vary across different cultures and societies, and we did not conduct an objective, standardized assessment for gambling addiction.</w:t>
      </w:r>
    </w:p>
    <w:p w14:paraId="0BB89F5B" w14:textId="419D73CB" w:rsidR="006C40B4" w:rsidRPr="007007AD" w:rsidRDefault="006C40B4" w:rsidP="006C40B4">
      <w:pPr>
        <w:jc w:val="both"/>
        <w:rPr>
          <w:rFonts w:ascii="Times New Roman" w:hAnsi="Times New Roman" w:cs="Times New Roman"/>
        </w:rPr>
      </w:pPr>
      <w:r w:rsidRPr="007007AD">
        <w:rPr>
          <w:rFonts w:ascii="Times New Roman" w:hAnsi="Times New Roman" w:cs="Times New Roman"/>
        </w:rPr>
        <w:t>RLS symptoms become more severe in the evening, whereas active daytime hours are linked to improved well-being and less reliance on medication, and it is likely that impulsivity may also decrease in states of well-being. Based on this, we suggest that pathological gambling, compulsive shopping, hypersexuality, and compulsive eating may be less prevalent in RLS patients compared with PD [</w:t>
      </w:r>
      <w:r w:rsidR="00F53BC6" w:rsidRPr="007007AD">
        <w:rPr>
          <w:rFonts w:ascii="Times New Roman" w:hAnsi="Times New Roman" w:cs="Times New Roman"/>
        </w:rPr>
        <w:t>28</w:t>
      </w:r>
      <w:r w:rsidRPr="007007AD">
        <w:rPr>
          <w:rFonts w:ascii="Times New Roman" w:hAnsi="Times New Roman" w:cs="Times New Roman"/>
        </w:rPr>
        <w:t>]. Furthermore, the relationship between the need for repetitive limb movements and purposeless actions can be interpreted as a relieving mechanism. Beyond all these hypotheses, we support that circadian dopaminergic cycles or clinical states of well-being and distress may be the mechanisms behind the co-occurrence of RLS and impulse and other behavioral disorders [</w:t>
      </w:r>
      <w:r w:rsidR="00F53BC6" w:rsidRPr="007007AD">
        <w:rPr>
          <w:rFonts w:ascii="Times New Roman" w:hAnsi="Times New Roman" w:cs="Times New Roman"/>
        </w:rPr>
        <w:t>28</w:t>
      </w:r>
      <w:r w:rsidRPr="007007AD">
        <w:rPr>
          <w:rFonts w:ascii="Times New Roman" w:hAnsi="Times New Roman" w:cs="Times New Roman"/>
        </w:rPr>
        <w:t xml:space="preserve">, </w:t>
      </w:r>
      <w:r w:rsidR="00F53BC6" w:rsidRPr="007007AD">
        <w:rPr>
          <w:rFonts w:ascii="Times New Roman" w:hAnsi="Times New Roman" w:cs="Times New Roman"/>
        </w:rPr>
        <w:t>29</w:t>
      </w:r>
      <w:r w:rsidRPr="007007AD">
        <w:rPr>
          <w:rFonts w:ascii="Times New Roman" w:hAnsi="Times New Roman" w:cs="Times New Roman"/>
        </w:rPr>
        <w:t xml:space="preserve">]. Disarrangement in mesolimbic and </w:t>
      </w:r>
      <w:proofErr w:type="spellStart"/>
      <w:r w:rsidRPr="007007AD">
        <w:rPr>
          <w:rFonts w:ascii="Times New Roman" w:hAnsi="Times New Roman" w:cs="Times New Roman"/>
        </w:rPr>
        <w:t>mesostriatal</w:t>
      </w:r>
      <w:proofErr w:type="spellEnd"/>
      <w:r w:rsidRPr="007007AD">
        <w:rPr>
          <w:rFonts w:ascii="Times New Roman" w:hAnsi="Times New Roman" w:cs="Times New Roman"/>
        </w:rPr>
        <w:t xml:space="preserve"> dopaminergic systems and the sensitization of cortico-striatal pathways have been hypothesized to play a pathogenic role in </w:t>
      </w:r>
      <w:proofErr w:type="spellStart"/>
      <w:r w:rsidRPr="007007AD">
        <w:rPr>
          <w:rFonts w:ascii="Times New Roman" w:hAnsi="Times New Roman" w:cs="Times New Roman"/>
        </w:rPr>
        <w:t>punding</w:t>
      </w:r>
      <w:proofErr w:type="spellEnd"/>
      <w:r w:rsidRPr="007007AD">
        <w:rPr>
          <w:rFonts w:ascii="Times New Roman" w:hAnsi="Times New Roman" w:cs="Times New Roman"/>
        </w:rPr>
        <w:t xml:space="preserve"> caused by dopaminergic treatments in PD and RLS [3</w:t>
      </w:r>
      <w:r w:rsidR="00F53BC6" w:rsidRPr="007007AD">
        <w:rPr>
          <w:rFonts w:ascii="Times New Roman" w:hAnsi="Times New Roman" w:cs="Times New Roman"/>
        </w:rPr>
        <w:t>0</w:t>
      </w:r>
      <w:r w:rsidRPr="007007AD">
        <w:rPr>
          <w:rFonts w:ascii="Times New Roman" w:hAnsi="Times New Roman" w:cs="Times New Roman"/>
        </w:rPr>
        <w:t>].</w:t>
      </w:r>
    </w:p>
    <w:p w14:paraId="44C60F32" w14:textId="3561FFA3" w:rsidR="006C40B4" w:rsidRPr="007007AD" w:rsidRDefault="006C40B4" w:rsidP="006C40B4">
      <w:pPr>
        <w:jc w:val="both"/>
        <w:rPr>
          <w:rFonts w:ascii="Times New Roman" w:hAnsi="Times New Roman" w:cs="Times New Roman"/>
        </w:rPr>
      </w:pPr>
      <w:r w:rsidRPr="007007AD">
        <w:rPr>
          <w:rFonts w:ascii="Times New Roman" w:hAnsi="Times New Roman" w:cs="Times New Roman"/>
        </w:rPr>
        <w:t xml:space="preserve">We did not detect a correlation between BIS-11 SF total and subscale scores, </w:t>
      </w:r>
      <w:proofErr w:type="gramStart"/>
      <w:r w:rsidRPr="007007AD">
        <w:rPr>
          <w:rFonts w:ascii="Times New Roman" w:hAnsi="Times New Roman" w:cs="Times New Roman"/>
        </w:rPr>
        <w:t>similar to</w:t>
      </w:r>
      <w:proofErr w:type="gramEnd"/>
      <w:r w:rsidRPr="007007AD">
        <w:rPr>
          <w:rFonts w:ascii="Times New Roman" w:hAnsi="Times New Roman" w:cs="Times New Roman"/>
        </w:rPr>
        <w:t xml:space="preserve"> the findings of Dang et al. [2</w:t>
      </w:r>
      <w:r w:rsidR="00F53BC6" w:rsidRPr="007007AD">
        <w:rPr>
          <w:rFonts w:ascii="Times New Roman" w:hAnsi="Times New Roman" w:cs="Times New Roman"/>
        </w:rPr>
        <w:t>4</w:t>
      </w:r>
      <w:r w:rsidRPr="007007AD">
        <w:rPr>
          <w:rFonts w:ascii="Times New Roman" w:hAnsi="Times New Roman" w:cs="Times New Roman"/>
        </w:rPr>
        <w:t>]. Consistent with previous research, the presence of ICBD and other behavioral disorders in RLS patients without pramipexole treatment may reflect a predisposing nature of the disease itself [2</w:t>
      </w:r>
      <w:r w:rsidR="00F53BC6" w:rsidRPr="007007AD">
        <w:rPr>
          <w:rFonts w:ascii="Times New Roman" w:hAnsi="Times New Roman" w:cs="Times New Roman"/>
        </w:rPr>
        <w:t>2</w:t>
      </w:r>
      <w:r w:rsidRPr="007007AD">
        <w:rPr>
          <w:rFonts w:ascii="Times New Roman" w:hAnsi="Times New Roman" w:cs="Times New Roman"/>
        </w:rPr>
        <w:t>]. The causality of this relation may stem from personality traits irrespective of the pramipexole treatment. Functional imaging could offer further insights into this causality in the future.</w:t>
      </w:r>
    </w:p>
    <w:p w14:paraId="7D41C049" w14:textId="77777777" w:rsidR="006C40B4" w:rsidRPr="007007AD" w:rsidRDefault="006C40B4" w:rsidP="006C40B4">
      <w:pPr>
        <w:jc w:val="both"/>
        <w:rPr>
          <w:rFonts w:ascii="Times New Roman" w:hAnsi="Times New Roman" w:cs="Times New Roman"/>
        </w:rPr>
      </w:pPr>
      <w:r w:rsidRPr="007007AD">
        <w:rPr>
          <w:rFonts w:ascii="Times New Roman" w:hAnsi="Times New Roman" w:cs="Times New Roman"/>
        </w:rPr>
        <w:t>Several limitations should be acknowledged. First, the surveys were conducted within a limited timeframe. Additionally, our study did not include a control group. The restricted scope of the surveys may also have been insufficient for comprehensive psychiatric and neuropsychological evaluations. We lacked detailed information on the patients’ personality characteristics and psychiatric histories. While relatives were included in the assessment of impulsivity, we could not investigate the psychiatric family history. Lastly, the study included a small sample size. Since the sample is thought to represent a specific cultural context, expanding the sample size and adopting a multicultural and regional approach could yield more generalizable results. From a critical perspective on previous studies, cultural differences may influence addictions, and distinctions between “well-being” and “distress” periods in RLS have not been adequately explored in prior research.</w:t>
      </w:r>
    </w:p>
    <w:p w14:paraId="5E7AA987" w14:textId="77777777" w:rsidR="006C40B4" w:rsidRPr="007007AD" w:rsidRDefault="006C40B4" w:rsidP="006C40B4">
      <w:pPr>
        <w:jc w:val="both"/>
        <w:rPr>
          <w:rFonts w:ascii="Times New Roman" w:hAnsi="Times New Roman" w:cs="Times New Roman"/>
        </w:rPr>
      </w:pPr>
      <w:r w:rsidRPr="007007AD">
        <w:rPr>
          <w:rFonts w:ascii="Times New Roman" w:hAnsi="Times New Roman" w:cs="Times New Roman"/>
        </w:rPr>
        <w:t>Despite its limitations, face-to-face and separate evaluation of pramipexole-treated and untreated groups, application of the BIS-11 SF scale, and investigation of impulsive and other behavioral disorders in collaboration with patient relatives can be highlighted as the notable strengths of our study. We hypothesize that pramipexole, beyond being a treatment option, may also pose a risk for ICBD and other behavioral disorders. However, our findings are correlational and do not reveal causality.</w:t>
      </w:r>
    </w:p>
    <w:p w14:paraId="22C6875F" w14:textId="6E19DB43" w:rsidR="006C40B4" w:rsidRPr="007007AD" w:rsidRDefault="006C40B4" w:rsidP="006C40B4">
      <w:pPr>
        <w:jc w:val="both"/>
        <w:rPr>
          <w:rFonts w:ascii="Times New Roman" w:hAnsi="Times New Roman" w:cs="Times New Roman"/>
        </w:rPr>
      </w:pPr>
      <w:r w:rsidRPr="007007AD">
        <w:rPr>
          <w:rFonts w:ascii="Times New Roman" w:hAnsi="Times New Roman" w:cs="Times New Roman"/>
        </w:rPr>
        <w:t xml:space="preserve">In general, ICBD and other behavioral disorders in RLS patients may not be initially questioned, recognized, or perceived as pathological by clinicians. While this study did not statistically associate ICBD and other behavioral disorders with pramipexole treatment, it emphasizes the importance of considering the potential presence of ICBD and other behavioral disorders in </w:t>
      </w:r>
      <w:r w:rsidRPr="007007AD">
        <w:rPr>
          <w:rFonts w:ascii="Times New Roman" w:hAnsi="Times New Roman" w:cs="Times New Roman"/>
        </w:rPr>
        <w:lastRenderedPageBreak/>
        <w:t xml:space="preserve">pramipexole-treated and untreated RLS patients during treatment selection and follow-up. Regarding the extent to which ICBD and other behavioral disorders identified are </w:t>
      </w:r>
      <w:r w:rsidR="00641836" w:rsidRPr="007007AD">
        <w:rPr>
          <w:rFonts w:ascii="Times New Roman" w:hAnsi="Times New Roman" w:cs="Times New Roman"/>
        </w:rPr>
        <w:t>harmful</w:t>
      </w:r>
      <w:r w:rsidRPr="007007AD">
        <w:rPr>
          <w:rFonts w:ascii="Times New Roman" w:hAnsi="Times New Roman" w:cs="Times New Roman"/>
        </w:rPr>
        <w:t>, we remain uncertain. There is a need for larger cohorts with broader perspectives to address these questions.</w:t>
      </w:r>
    </w:p>
    <w:p w14:paraId="4A0CB148" w14:textId="77777777" w:rsidR="00641836" w:rsidRPr="007007AD" w:rsidRDefault="00641836" w:rsidP="006C40B4">
      <w:pPr>
        <w:jc w:val="both"/>
        <w:rPr>
          <w:rFonts w:ascii="Times New Roman" w:hAnsi="Times New Roman" w:cs="Times New Roman"/>
        </w:rPr>
      </w:pPr>
    </w:p>
    <w:p w14:paraId="0EC68DA4" w14:textId="70FD8CBA" w:rsidR="006C40B4" w:rsidRPr="007007AD" w:rsidRDefault="006C40B4" w:rsidP="006C40B4">
      <w:pPr>
        <w:jc w:val="both"/>
        <w:rPr>
          <w:rFonts w:ascii="Times New Roman" w:hAnsi="Times New Roman" w:cs="Times New Roman"/>
          <w:b/>
          <w:bCs/>
        </w:rPr>
      </w:pPr>
      <w:r w:rsidRPr="007007AD">
        <w:rPr>
          <w:rFonts w:ascii="Times New Roman" w:hAnsi="Times New Roman" w:cs="Times New Roman"/>
          <w:b/>
          <w:bCs/>
        </w:rPr>
        <w:t>Conclusion</w:t>
      </w:r>
    </w:p>
    <w:p w14:paraId="72349182" w14:textId="77777777" w:rsidR="006C40B4" w:rsidRPr="007007AD" w:rsidRDefault="006C40B4" w:rsidP="006C40B4">
      <w:pPr>
        <w:jc w:val="both"/>
        <w:rPr>
          <w:rFonts w:ascii="Times New Roman" w:hAnsi="Times New Roman" w:cs="Times New Roman"/>
        </w:rPr>
      </w:pPr>
      <w:r w:rsidRPr="007007AD">
        <w:rPr>
          <w:rFonts w:ascii="Times New Roman" w:hAnsi="Times New Roman" w:cs="Times New Roman"/>
        </w:rPr>
        <w:t>Impulse control and other behavioral disorders in RLS may be associated with the nature of the disease, dopaminergic treatments such as pramipexole, or both. Considering and addressing this possibility is crucial in treatment planning. Timely interventions for atypical changes during the treatment process can help prevent the potential debilitating effects of impulsive and other behavioral disorders.</w:t>
      </w:r>
    </w:p>
    <w:p w14:paraId="2337D7A7" w14:textId="77777777" w:rsidR="006C40B4" w:rsidRPr="007007AD" w:rsidRDefault="006C40B4">
      <w:pPr>
        <w:rPr>
          <w:rFonts w:ascii="Times New Roman" w:hAnsi="Times New Roman" w:cs="Times New Roman"/>
        </w:rPr>
      </w:pPr>
    </w:p>
    <w:p w14:paraId="02358EED" w14:textId="79921B85" w:rsidR="006C40B4" w:rsidRDefault="006C40B4" w:rsidP="00B46A29">
      <w:pPr>
        <w:jc w:val="both"/>
        <w:rPr>
          <w:rFonts w:ascii="Times New Roman" w:hAnsi="Times New Roman" w:cs="Times New Roman"/>
        </w:rPr>
      </w:pPr>
      <w:r w:rsidRPr="007007AD">
        <w:rPr>
          <w:rFonts w:ascii="Times New Roman" w:hAnsi="Times New Roman" w:cs="Times New Roman"/>
          <w:b/>
          <w:bCs/>
        </w:rPr>
        <w:t>Acknowledgment</w:t>
      </w:r>
      <w:r w:rsidRPr="007007AD">
        <w:rPr>
          <w:rFonts w:ascii="Times New Roman" w:hAnsi="Times New Roman" w:cs="Times New Roman"/>
        </w:rPr>
        <w:br/>
        <w:t xml:space="preserve">The authors thank the patients who volunteered to participate in the study. Special thanks to Prof. Dr. Ali Seifi, MD at University of Texas, for editing and scientific support. </w:t>
      </w:r>
    </w:p>
    <w:p w14:paraId="1DB39CB6" w14:textId="77777777" w:rsidR="00B13745" w:rsidRDefault="00B13745" w:rsidP="00B46A29">
      <w:pPr>
        <w:jc w:val="both"/>
        <w:rPr>
          <w:rFonts w:ascii="Times New Roman" w:hAnsi="Times New Roman" w:cs="Times New Roman"/>
        </w:rPr>
      </w:pPr>
    </w:p>
    <w:p w14:paraId="19C4173B" w14:textId="77777777" w:rsidR="00B13745" w:rsidRDefault="00B13745" w:rsidP="00B13745">
      <w:pPr>
        <w:jc w:val="both"/>
        <w:rPr>
          <w:rFonts w:ascii="Times New Roman" w:hAnsi="Times New Roman" w:cs="Times New Roman"/>
          <w:b/>
          <w:bCs/>
        </w:rPr>
      </w:pPr>
      <w:r w:rsidRPr="007007AD">
        <w:rPr>
          <w:rFonts w:ascii="Times New Roman" w:hAnsi="Times New Roman" w:cs="Times New Roman"/>
          <w:b/>
          <w:bCs/>
        </w:rPr>
        <w:t>Conflict of Interest Statement</w:t>
      </w:r>
    </w:p>
    <w:p w14:paraId="1EB6AE67" w14:textId="2DF1367D" w:rsidR="00B13745" w:rsidRDefault="00B13745" w:rsidP="00B13745">
      <w:pPr>
        <w:jc w:val="both"/>
        <w:rPr>
          <w:rFonts w:ascii="Times New Roman" w:hAnsi="Times New Roman" w:cs="Times New Roman"/>
        </w:rPr>
      </w:pPr>
      <w:r w:rsidRPr="007007AD">
        <w:rPr>
          <w:rFonts w:ascii="Times New Roman" w:hAnsi="Times New Roman" w:cs="Times New Roman"/>
        </w:rPr>
        <w:t>The authors declare that they have no conflict of interest.</w:t>
      </w:r>
    </w:p>
    <w:p w14:paraId="4C985704" w14:textId="77777777" w:rsidR="00B13745" w:rsidRDefault="00B13745" w:rsidP="00B13745">
      <w:pPr>
        <w:jc w:val="both"/>
        <w:rPr>
          <w:rFonts w:ascii="Times New Roman" w:hAnsi="Times New Roman" w:cs="Times New Roman"/>
        </w:rPr>
      </w:pPr>
    </w:p>
    <w:p w14:paraId="732641F1" w14:textId="3968D0A3" w:rsidR="00B13745" w:rsidRPr="00B13745" w:rsidRDefault="00B13745" w:rsidP="00B13745">
      <w:pPr>
        <w:jc w:val="both"/>
        <w:rPr>
          <w:rFonts w:ascii="Times New Roman" w:hAnsi="Times New Roman" w:cs="Times New Roman"/>
          <w:b/>
          <w:bCs/>
        </w:rPr>
      </w:pPr>
      <w:r w:rsidRPr="00B13745">
        <w:rPr>
          <w:rFonts w:ascii="Times New Roman" w:hAnsi="Times New Roman" w:cs="Times New Roman"/>
          <w:b/>
          <w:bCs/>
        </w:rPr>
        <w:t>Author Contributions</w:t>
      </w:r>
    </w:p>
    <w:tbl>
      <w:tblPr>
        <w:tblStyle w:val="GridTable1Light-Accent1"/>
        <w:tblW w:w="10060" w:type="dxa"/>
        <w:tblLook w:val="04A0" w:firstRow="1" w:lastRow="0" w:firstColumn="1" w:lastColumn="0" w:noHBand="0" w:noVBand="1"/>
      </w:tblPr>
      <w:tblGrid>
        <w:gridCol w:w="1470"/>
        <w:gridCol w:w="1070"/>
        <w:gridCol w:w="910"/>
        <w:gridCol w:w="1256"/>
        <w:gridCol w:w="1230"/>
        <w:gridCol w:w="1283"/>
        <w:gridCol w:w="1297"/>
        <w:gridCol w:w="1544"/>
      </w:tblGrid>
      <w:tr w:rsidR="00704DAE" w:rsidRPr="0082656C" w14:paraId="52226A25" w14:textId="77777777" w:rsidTr="00704D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7" w:type="dxa"/>
            <w:hideMark/>
          </w:tcPr>
          <w:p w14:paraId="1B0F1508" w14:textId="77777777" w:rsidR="00704DAE" w:rsidRPr="0082656C" w:rsidRDefault="00704DAE" w:rsidP="00F431C2">
            <w:pPr>
              <w:jc w:val="center"/>
              <w:rPr>
                <w:rFonts w:ascii="Times New Roman" w:eastAsia="Times New Roman" w:hAnsi="Times New Roman" w:cs="Times New Roman"/>
                <w:lang w:eastAsia="tr-TR"/>
              </w:rPr>
            </w:pPr>
            <w:proofErr w:type="spellStart"/>
            <w:r w:rsidRPr="0082656C">
              <w:rPr>
                <w:rFonts w:ascii="Times New Roman" w:eastAsia="Times New Roman" w:hAnsi="Times New Roman" w:cs="Times New Roman"/>
                <w:lang w:eastAsia="tr-TR"/>
              </w:rPr>
              <w:t>Contributor</w:t>
            </w:r>
            <w:proofErr w:type="spellEnd"/>
          </w:p>
        </w:tc>
        <w:tc>
          <w:tcPr>
            <w:tcW w:w="1013" w:type="dxa"/>
            <w:hideMark/>
          </w:tcPr>
          <w:p w14:paraId="2CA69D1D" w14:textId="77777777" w:rsidR="00704DAE" w:rsidRPr="0082656C" w:rsidRDefault="00704DAE" w:rsidP="00F431C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proofErr w:type="spellStart"/>
            <w:r w:rsidRPr="0082656C">
              <w:rPr>
                <w:rFonts w:ascii="Times New Roman" w:eastAsia="Times New Roman" w:hAnsi="Times New Roman" w:cs="Times New Roman"/>
                <w:lang w:eastAsia="tr-TR"/>
              </w:rPr>
              <w:t>Concept</w:t>
            </w:r>
            <w:proofErr w:type="spellEnd"/>
          </w:p>
        </w:tc>
        <w:tc>
          <w:tcPr>
            <w:tcW w:w="0" w:type="auto"/>
            <w:hideMark/>
          </w:tcPr>
          <w:p w14:paraId="0EE626C6" w14:textId="77777777" w:rsidR="00704DAE" w:rsidRPr="0082656C" w:rsidRDefault="00704DAE" w:rsidP="00F431C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proofErr w:type="spellStart"/>
            <w:r w:rsidRPr="0082656C">
              <w:rPr>
                <w:rFonts w:ascii="Times New Roman" w:eastAsia="Times New Roman" w:hAnsi="Times New Roman" w:cs="Times New Roman"/>
                <w:lang w:eastAsia="tr-TR"/>
              </w:rPr>
              <w:t>Study</w:t>
            </w:r>
            <w:proofErr w:type="spellEnd"/>
            <w:r w:rsidRPr="0082656C">
              <w:rPr>
                <w:rFonts w:ascii="Times New Roman" w:eastAsia="Times New Roman" w:hAnsi="Times New Roman" w:cs="Times New Roman"/>
                <w:lang w:eastAsia="tr-TR"/>
              </w:rPr>
              <w:t xml:space="preserve"> Design</w:t>
            </w:r>
          </w:p>
        </w:tc>
        <w:tc>
          <w:tcPr>
            <w:tcW w:w="0" w:type="auto"/>
            <w:hideMark/>
          </w:tcPr>
          <w:p w14:paraId="2E6A271D" w14:textId="77777777" w:rsidR="00704DAE" w:rsidRPr="0082656C" w:rsidRDefault="00704DAE" w:rsidP="00F431C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Times New Roman" w:eastAsia="Times New Roman" w:hAnsi="Times New Roman" w:cs="Times New Roman"/>
                <w:lang w:eastAsia="tr-TR"/>
              </w:rPr>
              <w:t>Data Collection</w:t>
            </w:r>
          </w:p>
        </w:tc>
        <w:tc>
          <w:tcPr>
            <w:tcW w:w="0" w:type="auto"/>
            <w:hideMark/>
          </w:tcPr>
          <w:p w14:paraId="396B4B51" w14:textId="77777777" w:rsidR="00704DAE" w:rsidRPr="0082656C" w:rsidRDefault="00704DAE" w:rsidP="00F431C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Times New Roman" w:eastAsia="Times New Roman" w:hAnsi="Times New Roman" w:cs="Times New Roman"/>
                <w:lang w:eastAsia="tr-TR"/>
              </w:rPr>
              <w:t>Statistical Analysis</w:t>
            </w:r>
          </w:p>
        </w:tc>
        <w:tc>
          <w:tcPr>
            <w:tcW w:w="0" w:type="auto"/>
            <w:hideMark/>
          </w:tcPr>
          <w:p w14:paraId="64353CB6" w14:textId="77777777" w:rsidR="00704DAE" w:rsidRPr="0082656C" w:rsidRDefault="00704DAE" w:rsidP="00F431C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proofErr w:type="spellStart"/>
            <w:r w:rsidRPr="0082656C">
              <w:rPr>
                <w:rFonts w:ascii="Times New Roman" w:eastAsia="Times New Roman" w:hAnsi="Times New Roman" w:cs="Times New Roman"/>
                <w:lang w:eastAsia="tr-TR"/>
              </w:rPr>
              <w:t>Literature</w:t>
            </w:r>
            <w:proofErr w:type="spellEnd"/>
            <w:r w:rsidRPr="0082656C">
              <w:rPr>
                <w:rFonts w:ascii="Times New Roman" w:eastAsia="Times New Roman" w:hAnsi="Times New Roman" w:cs="Times New Roman"/>
                <w:lang w:eastAsia="tr-TR"/>
              </w:rPr>
              <w:t xml:space="preserve"> </w:t>
            </w:r>
            <w:proofErr w:type="spellStart"/>
            <w:r w:rsidRPr="0082656C">
              <w:rPr>
                <w:rFonts w:ascii="Times New Roman" w:eastAsia="Times New Roman" w:hAnsi="Times New Roman" w:cs="Times New Roman"/>
                <w:lang w:eastAsia="tr-TR"/>
              </w:rPr>
              <w:t>Overview</w:t>
            </w:r>
            <w:proofErr w:type="spellEnd"/>
          </w:p>
        </w:tc>
        <w:tc>
          <w:tcPr>
            <w:tcW w:w="0" w:type="auto"/>
            <w:hideMark/>
          </w:tcPr>
          <w:p w14:paraId="69670D99" w14:textId="77777777" w:rsidR="00704DAE" w:rsidRPr="0082656C" w:rsidRDefault="00704DAE" w:rsidP="00F431C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proofErr w:type="spellStart"/>
            <w:r w:rsidRPr="0082656C">
              <w:rPr>
                <w:rFonts w:ascii="Times New Roman" w:eastAsia="Times New Roman" w:hAnsi="Times New Roman" w:cs="Times New Roman"/>
                <w:lang w:eastAsia="tr-TR"/>
              </w:rPr>
              <w:t>Discussion</w:t>
            </w:r>
            <w:proofErr w:type="spellEnd"/>
          </w:p>
        </w:tc>
        <w:tc>
          <w:tcPr>
            <w:tcW w:w="2009" w:type="dxa"/>
            <w:hideMark/>
          </w:tcPr>
          <w:p w14:paraId="31818D9C" w14:textId="77777777" w:rsidR="00704DAE" w:rsidRPr="0082656C" w:rsidRDefault="00704DAE" w:rsidP="00F431C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proofErr w:type="spellStart"/>
            <w:r w:rsidRPr="0082656C">
              <w:rPr>
                <w:rFonts w:ascii="Times New Roman" w:eastAsia="Times New Roman" w:hAnsi="Times New Roman" w:cs="Times New Roman"/>
                <w:lang w:eastAsia="tr-TR"/>
              </w:rPr>
              <w:t>Fund</w:t>
            </w:r>
            <w:proofErr w:type="spellEnd"/>
            <w:r w:rsidRPr="0082656C">
              <w:rPr>
                <w:rFonts w:ascii="Times New Roman" w:eastAsia="Times New Roman" w:hAnsi="Times New Roman" w:cs="Times New Roman"/>
                <w:lang w:eastAsia="tr-TR"/>
              </w:rPr>
              <w:t xml:space="preserve"> </w:t>
            </w:r>
            <w:proofErr w:type="spellStart"/>
            <w:r w:rsidRPr="0082656C">
              <w:rPr>
                <w:rFonts w:ascii="Times New Roman" w:eastAsia="Times New Roman" w:hAnsi="Times New Roman" w:cs="Times New Roman"/>
                <w:lang w:eastAsia="tr-TR"/>
              </w:rPr>
              <w:t>Generation</w:t>
            </w:r>
            <w:proofErr w:type="spellEnd"/>
          </w:p>
        </w:tc>
      </w:tr>
      <w:tr w:rsidR="00704DAE" w:rsidRPr="0082656C" w14:paraId="7F178C15" w14:textId="77777777" w:rsidTr="00704DAE">
        <w:tc>
          <w:tcPr>
            <w:cnfStyle w:val="001000000000" w:firstRow="0" w:lastRow="0" w:firstColumn="1" w:lastColumn="0" w:oddVBand="0" w:evenVBand="0" w:oddHBand="0" w:evenHBand="0" w:firstRowFirstColumn="0" w:firstRowLastColumn="0" w:lastRowFirstColumn="0" w:lastRowLastColumn="0"/>
            <w:tcW w:w="1387" w:type="dxa"/>
            <w:hideMark/>
          </w:tcPr>
          <w:p w14:paraId="0D4EEA6E" w14:textId="77777777" w:rsidR="00704DAE" w:rsidRPr="0082656C" w:rsidRDefault="00704DAE" w:rsidP="00F431C2">
            <w:pPr>
              <w:rPr>
                <w:rFonts w:ascii="Times New Roman" w:eastAsia="Times New Roman" w:hAnsi="Times New Roman" w:cs="Times New Roman"/>
                <w:lang w:eastAsia="tr-TR"/>
              </w:rPr>
            </w:pPr>
            <w:r w:rsidRPr="0082656C">
              <w:rPr>
                <w:rFonts w:ascii="Times New Roman" w:eastAsia="Times New Roman" w:hAnsi="Times New Roman" w:cs="Times New Roman"/>
                <w:lang w:eastAsia="tr-TR"/>
              </w:rPr>
              <w:t>Zehra Y</w:t>
            </w:r>
            <w:r>
              <w:rPr>
                <w:rFonts w:ascii="Times New Roman" w:eastAsia="Times New Roman" w:hAnsi="Times New Roman" w:cs="Times New Roman"/>
                <w:lang w:eastAsia="tr-TR"/>
              </w:rPr>
              <w:t>avuz</w:t>
            </w:r>
          </w:p>
        </w:tc>
        <w:tc>
          <w:tcPr>
            <w:tcW w:w="1013" w:type="dxa"/>
            <w:hideMark/>
          </w:tcPr>
          <w:p w14:paraId="27844166"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Segoe UI Symbol" w:eastAsia="Times New Roman" w:hAnsi="Segoe UI Symbol" w:cs="Segoe UI Symbol"/>
                <w:lang w:eastAsia="tr-TR"/>
              </w:rPr>
              <w:t>✓</w:t>
            </w:r>
          </w:p>
        </w:tc>
        <w:tc>
          <w:tcPr>
            <w:tcW w:w="0" w:type="auto"/>
            <w:hideMark/>
          </w:tcPr>
          <w:p w14:paraId="17CDABD1"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Segoe UI Symbol" w:eastAsia="Times New Roman" w:hAnsi="Segoe UI Symbol" w:cs="Segoe UI Symbol"/>
                <w:lang w:eastAsia="tr-TR"/>
              </w:rPr>
              <w:t>✓</w:t>
            </w:r>
          </w:p>
        </w:tc>
        <w:tc>
          <w:tcPr>
            <w:tcW w:w="0" w:type="auto"/>
            <w:hideMark/>
          </w:tcPr>
          <w:p w14:paraId="48452886"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Segoe UI Symbol" w:eastAsia="Times New Roman" w:hAnsi="Segoe UI Symbol" w:cs="Segoe UI Symbol"/>
                <w:lang w:eastAsia="tr-TR"/>
              </w:rPr>
              <w:t>✓</w:t>
            </w:r>
          </w:p>
        </w:tc>
        <w:tc>
          <w:tcPr>
            <w:tcW w:w="0" w:type="auto"/>
            <w:hideMark/>
          </w:tcPr>
          <w:p w14:paraId="20306DFB"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Pr>
                <w:rFonts w:ascii="Times New Roman" w:eastAsia="Times New Roman" w:hAnsi="Times New Roman" w:cs="Times New Roman"/>
                <w:lang w:eastAsia="tr-TR"/>
              </w:rPr>
              <w:t>-</w:t>
            </w:r>
          </w:p>
        </w:tc>
        <w:tc>
          <w:tcPr>
            <w:tcW w:w="0" w:type="auto"/>
            <w:hideMark/>
          </w:tcPr>
          <w:p w14:paraId="7CF7ECBA"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Segoe UI Symbol" w:eastAsia="Times New Roman" w:hAnsi="Segoe UI Symbol" w:cs="Segoe UI Symbol"/>
                <w:lang w:eastAsia="tr-TR"/>
              </w:rPr>
              <w:t>✓</w:t>
            </w:r>
          </w:p>
        </w:tc>
        <w:tc>
          <w:tcPr>
            <w:tcW w:w="0" w:type="auto"/>
            <w:hideMark/>
          </w:tcPr>
          <w:p w14:paraId="4E41A4C3"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Segoe UI Symbol" w:eastAsia="Times New Roman" w:hAnsi="Segoe UI Symbol" w:cs="Segoe UI Symbol"/>
                <w:lang w:eastAsia="tr-TR"/>
              </w:rPr>
              <w:t>✓</w:t>
            </w:r>
          </w:p>
        </w:tc>
        <w:tc>
          <w:tcPr>
            <w:tcW w:w="2009" w:type="dxa"/>
            <w:hideMark/>
          </w:tcPr>
          <w:p w14:paraId="475ABD28"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Times New Roman" w:eastAsia="Times New Roman" w:hAnsi="Times New Roman" w:cs="Times New Roman"/>
                <w:lang w:eastAsia="tr-TR"/>
              </w:rPr>
              <w:t>-</w:t>
            </w:r>
          </w:p>
        </w:tc>
      </w:tr>
      <w:tr w:rsidR="00704DAE" w:rsidRPr="0082656C" w14:paraId="4194CCF8" w14:textId="77777777" w:rsidTr="00704DAE">
        <w:tc>
          <w:tcPr>
            <w:cnfStyle w:val="001000000000" w:firstRow="0" w:lastRow="0" w:firstColumn="1" w:lastColumn="0" w:oddVBand="0" w:evenVBand="0" w:oddHBand="0" w:evenHBand="0" w:firstRowFirstColumn="0" w:firstRowLastColumn="0" w:lastRowFirstColumn="0" w:lastRowLastColumn="0"/>
            <w:tcW w:w="1387" w:type="dxa"/>
            <w:hideMark/>
          </w:tcPr>
          <w:p w14:paraId="4565F8B1" w14:textId="77777777" w:rsidR="00704DAE" w:rsidRPr="0082656C" w:rsidRDefault="00704DAE" w:rsidP="00F431C2">
            <w:pPr>
              <w:rPr>
                <w:rFonts w:ascii="Times New Roman" w:eastAsia="Times New Roman" w:hAnsi="Times New Roman" w:cs="Times New Roman"/>
                <w:lang w:eastAsia="tr-TR"/>
              </w:rPr>
            </w:pPr>
            <w:r>
              <w:rPr>
                <w:rFonts w:ascii="Times New Roman" w:eastAsia="Times New Roman" w:hAnsi="Times New Roman" w:cs="Times New Roman"/>
                <w:lang w:eastAsia="tr-TR"/>
              </w:rPr>
              <w:t>İlknur Topal Yarat</w:t>
            </w:r>
          </w:p>
        </w:tc>
        <w:tc>
          <w:tcPr>
            <w:tcW w:w="1013" w:type="dxa"/>
            <w:hideMark/>
          </w:tcPr>
          <w:p w14:paraId="740269E7"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Times New Roman" w:eastAsia="Times New Roman" w:hAnsi="Times New Roman" w:cs="Times New Roman"/>
                <w:lang w:eastAsia="tr-TR"/>
              </w:rPr>
              <w:t>-</w:t>
            </w:r>
          </w:p>
        </w:tc>
        <w:tc>
          <w:tcPr>
            <w:tcW w:w="0" w:type="auto"/>
            <w:hideMark/>
          </w:tcPr>
          <w:p w14:paraId="1BA5A753"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Segoe UI Symbol" w:eastAsia="Times New Roman" w:hAnsi="Segoe UI Symbol" w:cs="Segoe UI Symbol"/>
                <w:lang w:eastAsia="tr-TR"/>
              </w:rPr>
              <w:t>✓</w:t>
            </w:r>
          </w:p>
        </w:tc>
        <w:tc>
          <w:tcPr>
            <w:tcW w:w="0" w:type="auto"/>
            <w:hideMark/>
          </w:tcPr>
          <w:p w14:paraId="3D10DDEA" w14:textId="46FB3C7C" w:rsidR="00704DAE" w:rsidRPr="0082656C" w:rsidRDefault="00A54084"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Pr>
                <w:rFonts w:ascii="Times New Roman" w:eastAsia="Times New Roman" w:hAnsi="Times New Roman" w:cs="Times New Roman"/>
                <w:lang w:eastAsia="tr-TR"/>
              </w:rPr>
              <w:t>-</w:t>
            </w:r>
          </w:p>
        </w:tc>
        <w:tc>
          <w:tcPr>
            <w:tcW w:w="0" w:type="auto"/>
            <w:hideMark/>
          </w:tcPr>
          <w:p w14:paraId="4B1E2DC7" w14:textId="32B4F5F1" w:rsidR="00704DAE" w:rsidRPr="0082656C" w:rsidRDefault="00A54084"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Segoe UI Symbol" w:eastAsia="Times New Roman" w:hAnsi="Segoe UI Symbol" w:cs="Segoe UI Symbol"/>
                <w:lang w:eastAsia="tr-TR"/>
              </w:rPr>
              <w:t>✓</w:t>
            </w:r>
          </w:p>
        </w:tc>
        <w:tc>
          <w:tcPr>
            <w:tcW w:w="0" w:type="auto"/>
            <w:hideMark/>
          </w:tcPr>
          <w:p w14:paraId="5FCF07FA" w14:textId="7462678D" w:rsidR="00704DAE" w:rsidRPr="0082656C" w:rsidRDefault="00A54084"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Pr>
                <w:rFonts w:ascii="Times New Roman" w:eastAsia="Times New Roman" w:hAnsi="Times New Roman" w:cs="Times New Roman"/>
                <w:lang w:eastAsia="tr-TR"/>
              </w:rPr>
              <w:t>-</w:t>
            </w:r>
          </w:p>
        </w:tc>
        <w:tc>
          <w:tcPr>
            <w:tcW w:w="0" w:type="auto"/>
            <w:hideMark/>
          </w:tcPr>
          <w:p w14:paraId="2471F61C" w14:textId="56908077" w:rsidR="00704DAE" w:rsidRPr="0082656C" w:rsidRDefault="00A54084"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Segoe UI Symbol" w:eastAsia="Times New Roman" w:hAnsi="Segoe UI Symbol" w:cs="Segoe UI Symbol"/>
                <w:lang w:eastAsia="tr-TR"/>
              </w:rPr>
              <w:t>✓</w:t>
            </w:r>
          </w:p>
        </w:tc>
        <w:tc>
          <w:tcPr>
            <w:tcW w:w="2009" w:type="dxa"/>
            <w:hideMark/>
          </w:tcPr>
          <w:p w14:paraId="42FB666A"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Times New Roman" w:eastAsia="Times New Roman" w:hAnsi="Times New Roman" w:cs="Times New Roman"/>
                <w:lang w:eastAsia="tr-TR"/>
              </w:rPr>
              <w:t>-</w:t>
            </w:r>
          </w:p>
        </w:tc>
      </w:tr>
      <w:tr w:rsidR="00704DAE" w:rsidRPr="0082656C" w14:paraId="00F031AF" w14:textId="77777777" w:rsidTr="00704DAE">
        <w:tc>
          <w:tcPr>
            <w:cnfStyle w:val="001000000000" w:firstRow="0" w:lastRow="0" w:firstColumn="1" w:lastColumn="0" w:oddVBand="0" w:evenVBand="0" w:oddHBand="0" w:evenHBand="0" w:firstRowFirstColumn="0" w:firstRowLastColumn="0" w:lastRowFirstColumn="0" w:lastRowLastColumn="0"/>
            <w:tcW w:w="1387" w:type="dxa"/>
            <w:hideMark/>
          </w:tcPr>
          <w:p w14:paraId="0488257B" w14:textId="77777777" w:rsidR="00704DAE" w:rsidRPr="0082656C" w:rsidRDefault="00704DAE" w:rsidP="00F431C2">
            <w:pPr>
              <w:rPr>
                <w:rFonts w:ascii="Times New Roman" w:eastAsia="Times New Roman" w:hAnsi="Times New Roman" w:cs="Times New Roman"/>
                <w:lang w:eastAsia="tr-TR"/>
              </w:rPr>
            </w:pPr>
            <w:r>
              <w:rPr>
                <w:rFonts w:ascii="Times New Roman" w:eastAsia="Times New Roman" w:hAnsi="Times New Roman" w:cs="Times New Roman"/>
                <w:lang w:eastAsia="tr-TR"/>
              </w:rPr>
              <w:t xml:space="preserve">Ayşenur </w:t>
            </w:r>
            <w:proofErr w:type="spellStart"/>
            <w:r>
              <w:rPr>
                <w:rFonts w:ascii="Times New Roman" w:eastAsia="Times New Roman" w:hAnsi="Times New Roman" w:cs="Times New Roman"/>
                <w:lang w:eastAsia="tr-TR"/>
              </w:rPr>
              <w:t>Gençalp</w:t>
            </w:r>
            <w:proofErr w:type="spellEnd"/>
          </w:p>
        </w:tc>
        <w:tc>
          <w:tcPr>
            <w:tcW w:w="1013" w:type="dxa"/>
            <w:hideMark/>
          </w:tcPr>
          <w:p w14:paraId="76129BEC"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Times New Roman" w:eastAsia="Times New Roman" w:hAnsi="Times New Roman" w:cs="Times New Roman"/>
                <w:lang w:eastAsia="tr-TR"/>
              </w:rPr>
              <w:t>-</w:t>
            </w:r>
          </w:p>
        </w:tc>
        <w:tc>
          <w:tcPr>
            <w:tcW w:w="0" w:type="auto"/>
            <w:hideMark/>
          </w:tcPr>
          <w:p w14:paraId="42F4AE6F" w14:textId="0E131B1D" w:rsidR="00704DAE" w:rsidRPr="0082656C" w:rsidRDefault="00A54084"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Segoe UI Symbol" w:eastAsia="Times New Roman" w:hAnsi="Segoe UI Symbol" w:cs="Segoe UI Symbol"/>
                <w:lang w:eastAsia="tr-TR"/>
              </w:rPr>
              <w:t>✓</w:t>
            </w:r>
          </w:p>
        </w:tc>
        <w:tc>
          <w:tcPr>
            <w:tcW w:w="0" w:type="auto"/>
            <w:hideMark/>
          </w:tcPr>
          <w:p w14:paraId="3FD4C259" w14:textId="2C03761B" w:rsidR="00704DAE" w:rsidRPr="0082656C" w:rsidRDefault="00A54084"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Pr>
                <w:rFonts w:ascii="Times New Roman" w:eastAsia="Times New Roman" w:hAnsi="Times New Roman" w:cs="Times New Roman"/>
                <w:lang w:eastAsia="tr-TR"/>
              </w:rPr>
              <w:t>-</w:t>
            </w:r>
          </w:p>
        </w:tc>
        <w:tc>
          <w:tcPr>
            <w:tcW w:w="0" w:type="auto"/>
            <w:hideMark/>
          </w:tcPr>
          <w:p w14:paraId="6030AAFE"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Times New Roman" w:eastAsia="Times New Roman" w:hAnsi="Times New Roman" w:cs="Times New Roman"/>
                <w:lang w:eastAsia="tr-TR"/>
              </w:rPr>
              <w:t>-</w:t>
            </w:r>
          </w:p>
        </w:tc>
        <w:tc>
          <w:tcPr>
            <w:tcW w:w="0" w:type="auto"/>
            <w:hideMark/>
          </w:tcPr>
          <w:p w14:paraId="461CCA3C"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Segoe UI Symbol" w:eastAsia="Times New Roman" w:hAnsi="Segoe UI Symbol" w:cs="Segoe UI Symbol"/>
                <w:lang w:eastAsia="tr-TR"/>
              </w:rPr>
              <w:t>✓</w:t>
            </w:r>
          </w:p>
        </w:tc>
        <w:tc>
          <w:tcPr>
            <w:tcW w:w="0" w:type="auto"/>
            <w:hideMark/>
          </w:tcPr>
          <w:p w14:paraId="59873237"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Segoe UI Symbol" w:eastAsia="Times New Roman" w:hAnsi="Segoe UI Symbol" w:cs="Segoe UI Symbol"/>
                <w:lang w:eastAsia="tr-TR"/>
              </w:rPr>
              <w:t>✓</w:t>
            </w:r>
          </w:p>
        </w:tc>
        <w:tc>
          <w:tcPr>
            <w:tcW w:w="2009" w:type="dxa"/>
            <w:hideMark/>
          </w:tcPr>
          <w:p w14:paraId="329E60B1"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Times New Roman" w:eastAsia="Times New Roman" w:hAnsi="Times New Roman" w:cs="Times New Roman"/>
                <w:lang w:eastAsia="tr-TR"/>
              </w:rPr>
              <w:t>-</w:t>
            </w:r>
          </w:p>
        </w:tc>
      </w:tr>
      <w:tr w:rsidR="00704DAE" w:rsidRPr="0082656C" w14:paraId="127E37AA" w14:textId="77777777" w:rsidTr="00704DAE">
        <w:tc>
          <w:tcPr>
            <w:cnfStyle w:val="001000000000" w:firstRow="0" w:lastRow="0" w:firstColumn="1" w:lastColumn="0" w:oddVBand="0" w:evenVBand="0" w:oddHBand="0" w:evenHBand="0" w:firstRowFirstColumn="0" w:firstRowLastColumn="0" w:lastRowFirstColumn="0" w:lastRowLastColumn="0"/>
            <w:tcW w:w="1387" w:type="dxa"/>
            <w:hideMark/>
          </w:tcPr>
          <w:p w14:paraId="19AEAFB6" w14:textId="77777777" w:rsidR="00704DAE" w:rsidRPr="0082656C" w:rsidRDefault="00704DAE" w:rsidP="00F431C2">
            <w:pPr>
              <w:rPr>
                <w:rFonts w:ascii="Times New Roman" w:eastAsia="Times New Roman" w:hAnsi="Times New Roman" w:cs="Times New Roman"/>
                <w:lang w:eastAsia="tr-TR"/>
              </w:rPr>
            </w:pPr>
            <w:r w:rsidRPr="0082656C">
              <w:rPr>
                <w:rFonts w:ascii="Times New Roman" w:eastAsia="Times New Roman" w:hAnsi="Times New Roman" w:cs="Times New Roman"/>
                <w:lang w:eastAsia="tr-TR"/>
              </w:rPr>
              <w:t xml:space="preserve">Selim Selçuk </w:t>
            </w:r>
            <w:proofErr w:type="spellStart"/>
            <w:r w:rsidRPr="0082656C">
              <w:rPr>
                <w:rFonts w:ascii="Times New Roman" w:eastAsia="Times New Roman" w:hAnsi="Times New Roman" w:cs="Times New Roman"/>
                <w:lang w:eastAsia="tr-TR"/>
              </w:rPr>
              <w:t>Ç</w:t>
            </w:r>
            <w:r>
              <w:rPr>
                <w:rFonts w:ascii="Times New Roman" w:eastAsia="Times New Roman" w:hAnsi="Times New Roman" w:cs="Times New Roman"/>
                <w:lang w:eastAsia="tr-TR"/>
              </w:rPr>
              <w:t>omoğlu</w:t>
            </w:r>
            <w:proofErr w:type="spellEnd"/>
          </w:p>
        </w:tc>
        <w:tc>
          <w:tcPr>
            <w:tcW w:w="1013" w:type="dxa"/>
            <w:hideMark/>
          </w:tcPr>
          <w:p w14:paraId="5D97A83E" w14:textId="732926EE" w:rsidR="00704DAE" w:rsidRPr="0082656C" w:rsidRDefault="00A54084"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Segoe UI Symbol" w:eastAsia="Times New Roman" w:hAnsi="Segoe UI Symbol" w:cs="Segoe UI Symbol"/>
                <w:lang w:eastAsia="tr-TR"/>
              </w:rPr>
              <w:t>✓</w:t>
            </w:r>
          </w:p>
        </w:tc>
        <w:tc>
          <w:tcPr>
            <w:tcW w:w="0" w:type="auto"/>
            <w:hideMark/>
          </w:tcPr>
          <w:p w14:paraId="1E1E30AC"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Pr>
                <w:rFonts w:ascii="Times New Roman" w:eastAsia="Times New Roman" w:hAnsi="Times New Roman" w:cs="Times New Roman"/>
                <w:lang w:eastAsia="tr-TR"/>
              </w:rPr>
              <w:t>-</w:t>
            </w:r>
          </w:p>
        </w:tc>
        <w:tc>
          <w:tcPr>
            <w:tcW w:w="0" w:type="auto"/>
            <w:hideMark/>
          </w:tcPr>
          <w:p w14:paraId="073E0610"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Segoe UI Symbol" w:eastAsia="Times New Roman" w:hAnsi="Segoe UI Symbol" w:cs="Segoe UI Symbol"/>
                <w:lang w:eastAsia="tr-TR"/>
              </w:rPr>
              <w:t>✓</w:t>
            </w:r>
          </w:p>
        </w:tc>
        <w:tc>
          <w:tcPr>
            <w:tcW w:w="0" w:type="auto"/>
            <w:hideMark/>
          </w:tcPr>
          <w:p w14:paraId="717B438A"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Times New Roman" w:eastAsia="Times New Roman" w:hAnsi="Times New Roman" w:cs="Times New Roman"/>
                <w:lang w:eastAsia="tr-TR"/>
              </w:rPr>
              <w:t>-</w:t>
            </w:r>
          </w:p>
        </w:tc>
        <w:tc>
          <w:tcPr>
            <w:tcW w:w="0" w:type="auto"/>
            <w:hideMark/>
          </w:tcPr>
          <w:p w14:paraId="20DAFA06" w14:textId="5C79A773" w:rsidR="00704DAE" w:rsidRPr="0082656C" w:rsidRDefault="00A54084"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Pr>
                <w:rFonts w:ascii="Times New Roman" w:eastAsia="Times New Roman" w:hAnsi="Times New Roman" w:cs="Times New Roman"/>
                <w:lang w:eastAsia="tr-TR"/>
              </w:rPr>
              <w:t>-</w:t>
            </w:r>
          </w:p>
        </w:tc>
        <w:tc>
          <w:tcPr>
            <w:tcW w:w="0" w:type="auto"/>
            <w:hideMark/>
          </w:tcPr>
          <w:p w14:paraId="0BB67972"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Segoe UI Symbol" w:eastAsia="Times New Roman" w:hAnsi="Segoe UI Symbol" w:cs="Segoe UI Symbol"/>
                <w:lang w:eastAsia="tr-TR"/>
              </w:rPr>
              <w:t>✓</w:t>
            </w:r>
          </w:p>
        </w:tc>
        <w:tc>
          <w:tcPr>
            <w:tcW w:w="2009" w:type="dxa"/>
            <w:hideMark/>
          </w:tcPr>
          <w:p w14:paraId="725DC5E8" w14:textId="77777777" w:rsidR="00704DAE" w:rsidRPr="0082656C" w:rsidRDefault="00704DAE" w:rsidP="00F431C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lang w:eastAsia="tr-TR"/>
              </w:rPr>
            </w:pPr>
            <w:r w:rsidRPr="0082656C">
              <w:rPr>
                <w:rFonts w:ascii="Times New Roman" w:eastAsia="Times New Roman" w:hAnsi="Times New Roman" w:cs="Times New Roman"/>
                <w:lang w:eastAsia="tr-TR"/>
              </w:rPr>
              <w:t>-</w:t>
            </w:r>
          </w:p>
        </w:tc>
      </w:tr>
    </w:tbl>
    <w:p w14:paraId="3A5D0C89" w14:textId="77777777" w:rsidR="00B13745" w:rsidRDefault="00B13745" w:rsidP="00B46A29">
      <w:pPr>
        <w:jc w:val="both"/>
        <w:rPr>
          <w:rFonts w:ascii="Times New Roman" w:hAnsi="Times New Roman" w:cs="Times New Roman"/>
        </w:rPr>
      </w:pPr>
    </w:p>
    <w:p w14:paraId="52C99968" w14:textId="77777777" w:rsidR="00704DAE" w:rsidRPr="007007AD" w:rsidRDefault="00704DAE" w:rsidP="00B46A29">
      <w:pPr>
        <w:jc w:val="both"/>
        <w:rPr>
          <w:rFonts w:ascii="Times New Roman" w:hAnsi="Times New Roman" w:cs="Times New Roman"/>
        </w:rPr>
      </w:pPr>
    </w:p>
    <w:p w14:paraId="488D51AD" w14:textId="6F387225" w:rsidR="006C40B4" w:rsidRDefault="00B13745" w:rsidP="00B46A29">
      <w:pPr>
        <w:jc w:val="both"/>
        <w:rPr>
          <w:rFonts w:ascii="Times New Roman" w:hAnsi="Times New Roman" w:cs="Times New Roman"/>
          <w:b/>
          <w:bCs/>
        </w:rPr>
      </w:pPr>
      <w:r w:rsidRPr="007007AD">
        <w:rPr>
          <w:rFonts w:ascii="Times New Roman" w:hAnsi="Times New Roman" w:cs="Times New Roman"/>
          <w:b/>
          <w:bCs/>
        </w:rPr>
        <w:t xml:space="preserve">Data </w:t>
      </w:r>
      <w:r>
        <w:rPr>
          <w:rFonts w:ascii="Times New Roman" w:hAnsi="Times New Roman" w:cs="Times New Roman"/>
          <w:b/>
          <w:bCs/>
        </w:rPr>
        <w:t>A</w:t>
      </w:r>
      <w:r w:rsidRPr="007007AD">
        <w:rPr>
          <w:rFonts w:ascii="Times New Roman" w:hAnsi="Times New Roman" w:cs="Times New Roman"/>
          <w:b/>
          <w:bCs/>
        </w:rPr>
        <w:t>vailability</w:t>
      </w:r>
    </w:p>
    <w:p w14:paraId="6E403293" w14:textId="77777777" w:rsidR="00B13745" w:rsidRPr="007007AD" w:rsidRDefault="00B13745" w:rsidP="00B13745">
      <w:pPr>
        <w:jc w:val="both"/>
        <w:rPr>
          <w:rFonts w:ascii="Times New Roman" w:hAnsi="Times New Roman" w:cs="Times New Roman"/>
        </w:rPr>
      </w:pPr>
      <w:r w:rsidRPr="007007AD">
        <w:rPr>
          <w:rFonts w:ascii="Times New Roman" w:hAnsi="Times New Roman" w:cs="Times New Roman"/>
        </w:rPr>
        <w:t xml:space="preserve">All data generated or </w:t>
      </w:r>
      <w:proofErr w:type="spellStart"/>
      <w:r w:rsidRPr="007007AD">
        <w:rPr>
          <w:rFonts w:ascii="Times New Roman" w:hAnsi="Times New Roman" w:cs="Times New Roman"/>
        </w:rPr>
        <w:t>analysed</w:t>
      </w:r>
      <w:proofErr w:type="spellEnd"/>
      <w:r w:rsidRPr="007007AD">
        <w:rPr>
          <w:rFonts w:ascii="Times New Roman" w:hAnsi="Times New Roman" w:cs="Times New Roman"/>
        </w:rPr>
        <w:t xml:space="preserve"> during this study are included in this article. Further enquiries can be directed to the corresponding author.</w:t>
      </w:r>
    </w:p>
    <w:p w14:paraId="3C422C3F" w14:textId="77777777" w:rsidR="00B13745" w:rsidRPr="007007AD" w:rsidRDefault="00B13745" w:rsidP="00B46A29">
      <w:pPr>
        <w:jc w:val="both"/>
        <w:rPr>
          <w:rFonts w:ascii="Times New Roman" w:hAnsi="Times New Roman" w:cs="Times New Roman"/>
        </w:rPr>
      </w:pPr>
    </w:p>
    <w:p w14:paraId="5BB8BA51" w14:textId="6C4D7A0B" w:rsidR="006C40B4" w:rsidRPr="007007AD" w:rsidRDefault="002638B3" w:rsidP="00B46A29">
      <w:pPr>
        <w:rPr>
          <w:rFonts w:ascii="Times New Roman" w:hAnsi="Times New Roman" w:cs="Times New Roman"/>
        </w:rPr>
      </w:pPr>
      <w:r w:rsidRPr="007007AD">
        <w:rPr>
          <w:rFonts w:ascii="Times New Roman" w:hAnsi="Times New Roman" w:cs="Times New Roman"/>
          <w:b/>
          <w:bCs/>
        </w:rPr>
        <w:t>Funding Statement</w:t>
      </w:r>
      <w:r w:rsidR="006C40B4" w:rsidRPr="007007AD">
        <w:rPr>
          <w:rFonts w:ascii="Times New Roman" w:hAnsi="Times New Roman" w:cs="Times New Roman"/>
        </w:rPr>
        <w:br/>
        <w:t>This research did not receive any specific grant from funding agencies in the public, commercial, or not-for-profit sectors.</w:t>
      </w:r>
    </w:p>
    <w:p w14:paraId="3F12D587" w14:textId="77777777" w:rsidR="00790F6F" w:rsidRPr="007007AD" w:rsidRDefault="00790F6F" w:rsidP="00B46A29">
      <w:pPr>
        <w:jc w:val="both"/>
        <w:rPr>
          <w:rFonts w:ascii="Times New Roman" w:hAnsi="Times New Roman" w:cs="Times New Roman"/>
        </w:rPr>
      </w:pPr>
    </w:p>
    <w:p w14:paraId="24740B62" w14:textId="77777777" w:rsidR="00B13745" w:rsidRDefault="00790F6F" w:rsidP="00B46A29">
      <w:pPr>
        <w:jc w:val="both"/>
        <w:rPr>
          <w:rFonts w:ascii="Times New Roman" w:hAnsi="Times New Roman" w:cs="Times New Roman"/>
          <w:b/>
          <w:bCs/>
        </w:rPr>
      </w:pPr>
      <w:r w:rsidRPr="007007AD">
        <w:rPr>
          <w:rFonts w:ascii="Times New Roman" w:hAnsi="Times New Roman" w:cs="Times New Roman"/>
          <w:b/>
          <w:bCs/>
        </w:rPr>
        <w:t>Ethics</w:t>
      </w:r>
      <w:r w:rsidR="00A669C6" w:rsidRPr="007007AD">
        <w:rPr>
          <w:rFonts w:ascii="Times New Roman" w:hAnsi="Times New Roman" w:cs="Times New Roman"/>
          <w:b/>
          <w:bCs/>
        </w:rPr>
        <w:t xml:space="preserve"> Statement</w:t>
      </w:r>
    </w:p>
    <w:p w14:paraId="1BB5B798" w14:textId="3F733F6B" w:rsidR="00790F6F" w:rsidRPr="007007AD" w:rsidRDefault="00790F6F" w:rsidP="00B46A29">
      <w:pPr>
        <w:jc w:val="both"/>
        <w:rPr>
          <w:rFonts w:ascii="Times New Roman" w:hAnsi="Times New Roman" w:cs="Times New Roman"/>
        </w:rPr>
      </w:pPr>
      <w:r w:rsidRPr="007007AD">
        <w:rPr>
          <w:rFonts w:ascii="Times New Roman" w:hAnsi="Times New Roman" w:cs="Times New Roman"/>
        </w:rPr>
        <w:t xml:space="preserve">This study was approved by the Ethics Committee of </w:t>
      </w:r>
      <w:proofErr w:type="spellStart"/>
      <w:r w:rsidRPr="007007AD">
        <w:rPr>
          <w:rFonts w:ascii="Times New Roman" w:hAnsi="Times New Roman" w:cs="Times New Roman"/>
        </w:rPr>
        <w:t>Etlik</w:t>
      </w:r>
      <w:proofErr w:type="spellEnd"/>
      <w:r w:rsidRPr="007007AD">
        <w:rPr>
          <w:rFonts w:ascii="Times New Roman" w:hAnsi="Times New Roman" w:cs="Times New Roman"/>
        </w:rPr>
        <w:t xml:space="preserve"> City Hospital, Written informed consent was obtained from all participants</w:t>
      </w:r>
      <w:r w:rsidR="001A669F">
        <w:rPr>
          <w:rFonts w:ascii="Times New Roman" w:hAnsi="Times New Roman" w:cs="Times New Roman"/>
        </w:rPr>
        <w:t>.</w:t>
      </w:r>
    </w:p>
    <w:p w14:paraId="06467B8D" w14:textId="77777777" w:rsidR="00B13745" w:rsidRDefault="00B13745" w:rsidP="00B46A29">
      <w:pPr>
        <w:jc w:val="both"/>
        <w:rPr>
          <w:rFonts w:ascii="Times New Roman" w:hAnsi="Times New Roman" w:cs="Times New Roman"/>
          <w:b/>
          <w:bCs/>
        </w:rPr>
      </w:pPr>
    </w:p>
    <w:p w14:paraId="34DF8B63" w14:textId="77777777" w:rsidR="00B13745" w:rsidRDefault="00790F6F" w:rsidP="00B46A29">
      <w:pPr>
        <w:jc w:val="both"/>
        <w:rPr>
          <w:rFonts w:ascii="Times New Roman" w:hAnsi="Times New Roman" w:cs="Times New Roman"/>
          <w:b/>
          <w:bCs/>
        </w:rPr>
      </w:pPr>
      <w:r w:rsidRPr="007007AD">
        <w:rPr>
          <w:rFonts w:ascii="Times New Roman" w:hAnsi="Times New Roman" w:cs="Times New Roman"/>
          <w:b/>
          <w:bCs/>
        </w:rPr>
        <w:lastRenderedPageBreak/>
        <w:t>Financial support</w:t>
      </w:r>
    </w:p>
    <w:p w14:paraId="44963F4D" w14:textId="195389F0" w:rsidR="00790F6F" w:rsidRPr="007007AD" w:rsidRDefault="00790F6F" w:rsidP="00B46A29">
      <w:pPr>
        <w:jc w:val="both"/>
        <w:rPr>
          <w:rFonts w:ascii="Times New Roman" w:hAnsi="Times New Roman" w:cs="Times New Roman"/>
        </w:rPr>
      </w:pPr>
      <w:r w:rsidRPr="007007AD">
        <w:rPr>
          <w:rFonts w:ascii="Times New Roman" w:hAnsi="Times New Roman" w:cs="Times New Roman"/>
        </w:rPr>
        <w:t>The authors declare that no financial support was provided for the conduct of this study</w:t>
      </w:r>
    </w:p>
    <w:p w14:paraId="36327C6A" w14:textId="77777777" w:rsidR="00790F6F" w:rsidRDefault="00790F6F">
      <w:pPr>
        <w:rPr>
          <w:rFonts w:ascii="Times New Roman" w:hAnsi="Times New Roman" w:cs="Times New Roman"/>
        </w:rPr>
      </w:pPr>
    </w:p>
    <w:p w14:paraId="59C8575B" w14:textId="5D1D9A3C" w:rsidR="006D48C7" w:rsidRDefault="00B13745">
      <w:pPr>
        <w:rPr>
          <w:rFonts w:ascii="Times New Roman" w:hAnsi="Times New Roman" w:cs="Times New Roman"/>
        </w:rPr>
      </w:pPr>
      <w:proofErr w:type="spellStart"/>
      <w:r w:rsidRPr="006D48C7">
        <w:rPr>
          <w:rFonts w:ascii="Times New Roman" w:hAnsi="Times New Roman" w:cs="Times New Roman"/>
          <w:b/>
          <w:bCs/>
        </w:rPr>
        <w:t>Abbrevations</w:t>
      </w:r>
      <w:proofErr w:type="spellEnd"/>
      <w:r w:rsidRPr="006D48C7">
        <w:rPr>
          <w:rFonts w:ascii="Times New Roman" w:hAnsi="Times New Roman" w:cs="Times New Roman"/>
          <w:b/>
          <w:bCs/>
        </w:rPr>
        <w:t xml:space="preserve">: </w:t>
      </w:r>
      <w:r w:rsidR="00750380" w:rsidRPr="00750380">
        <w:rPr>
          <w:rFonts w:ascii="Times New Roman" w:hAnsi="Times New Roman" w:cs="Times New Roman"/>
        </w:rPr>
        <w:t>BDI, Beck Depression Inventory; BIS-11 SF, the short form of the Barratt Impulsiveness Scale; ICBD, impulse control and related behavioral disorders; IRLSSG, International Restless Legs Syndrome Group; PD, Parkinson's disease; PD-QUIP, Questionnaire for Impulsive-Compulsive Disorders in Parkinson’s Disease; PGIC, Patient Global Impression of Change; RLS, Restless legs syndrome.</w:t>
      </w:r>
    </w:p>
    <w:p w14:paraId="324D5DC3" w14:textId="77777777" w:rsidR="006D48C7" w:rsidRPr="007007AD" w:rsidRDefault="006D48C7">
      <w:pPr>
        <w:rPr>
          <w:rFonts w:ascii="Times New Roman" w:hAnsi="Times New Roman" w:cs="Times New Roman"/>
        </w:rPr>
      </w:pPr>
    </w:p>
    <w:p w14:paraId="3AFF09CA" w14:textId="3AFF5484" w:rsidR="00854092" w:rsidRPr="007007AD" w:rsidRDefault="00FC225D" w:rsidP="00B46A29">
      <w:pPr>
        <w:jc w:val="both"/>
        <w:rPr>
          <w:rFonts w:ascii="Times New Roman" w:hAnsi="Times New Roman" w:cs="Times New Roman"/>
          <w:b/>
          <w:bCs/>
        </w:rPr>
      </w:pPr>
      <w:r w:rsidRPr="007007AD">
        <w:rPr>
          <w:rFonts w:ascii="Times New Roman" w:hAnsi="Times New Roman" w:cs="Times New Roman"/>
          <w:b/>
          <w:bCs/>
        </w:rPr>
        <w:t>References:</w:t>
      </w:r>
    </w:p>
    <w:p w14:paraId="03CA1232" w14:textId="4244A734" w:rsidR="00A6076A" w:rsidRPr="007007AD" w:rsidRDefault="00A6076A" w:rsidP="00B46A29">
      <w:pPr>
        <w:pStyle w:val="NormalWeb"/>
        <w:numPr>
          <w:ilvl w:val="0"/>
          <w:numId w:val="4"/>
        </w:numPr>
        <w:jc w:val="both"/>
        <w:rPr>
          <w:rFonts w:eastAsiaTheme="minorHAnsi"/>
          <w:kern w:val="2"/>
          <w:lang w:val="en-US"/>
          <w14:ligatures w14:val="standardContextual"/>
        </w:rPr>
      </w:pPr>
      <w:proofErr w:type="spellStart"/>
      <w:r w:rsidRPr="007007AD">
        <w:rPr>
          <w:rFonts w:eastAsiaTheme="minorHAnsi"/>
          <w:kern w:val="2"/>
          <w:lang w:val="de-DE"/>
          <w14:ligatures w14:val="standardContextual"/>
        </w:rPr>
        <w:t>Haghshenas</w:t>
      </w:r>
      <w:proofErr w:type="spellEnd"/>
      <w:r w:rsidRPr="007007AD">
        <w:rPr>
          <w:rFonts w:eastAsiaTheme="minorHAnsi"/>
          <w:kern w:val="2"/>
          <w:lang w:val="de-DE"/>
          <w14:ligatures w14:val="standardContextual"/>
        </w:rPr>
        <w:t xml:space="preserve">, M., </w:t>
      </w:r>
      <w:proofErr w:type="spellStart"/>
      <w:r w:rsidRPr="007007AD">
        <w:rPr>
          <w:rFonts w:eastAsiaTheme="minorHAnsi"/>
          <w:kern w:val="2"/>
          <w:lang w:val="de-DE"/>
          <w14:ligatures w14:val="standardContextual"/>
        </w:rPr>
        <w:t>Veisani</w:t>
      </w:r>
      <w:proofErr w:type="spellEnd"/>
      <w:r w:rsidRPr="007007AD">
        <w:rPr>
          <w:rFonts w:eastAsiaTheme="minorHAnsi"/>
          <w:kern w:val="2"/>
          <w:lang w:val="de-DE"/>
          <w14:ligatures w14:val="standardContextual"/>
        </w:rPr>
        <w:t xml:space="preserve">, Y., &amp; </w:t>
      </w:r>
      <w:proofErr w:type="spellStart"/>
      <w:r w:rsidRPr="007007AD">
        <w:rPr>
          <w:rFonts w:eastAsiaTheme="minorHAnsi"/>
          <w:kern w:val="2"/>
          <w:lang w:val="de-DE"/>
          <w14:ligatures w14:val="standardContextual"/>
        </w:rPr>
        <w:t>Sahebi</w:t>
      </w:r>
      <w:proofErr w:type="spellEnd"/>
      <w:r w:rsidRPr="007007AD">
        <w:rPr>
          <w:rFonts w:eastAsiaTheme="minorHAnsi"/>
          <w:kern w:val="2"/>
          <w:lang w:val="de-DE"/>
          <w14:ligatures w14:val="standardContextual"/>
        </w:rPr>
        <w:t xml:space="preserve">, A. (2024a). </w:t>
      </w:r>
      <w:r w:rsidRPr="007007AD">
        <w:rPr>
          <w:rFonts w:eastAsiaTheme="minorHAnsi"/>
          <w:kern w:val="2"/>
          <w:lang w:val="en-US"/>
          <w14:ligatures w14:val="standardContextual"/>
        </w:rPr>
        <w:t>Restless legs syndrome variants: A systematic review. Heliyon, 10(7). https://doi.org/10.1016/j.heliyon.2024.e28896 </w:t>
      </w:r>
    </w:p>
    <w:p w14:paraId="531F192B" w14:textId="417016B2" w:rsidR="00A6076A" w:rsidRPr="007007AD" w:rsidRDefault="00A6076A"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Ahel, I., Rass, U., El-Khamisy, S. F., Katyal, S., Clements, P. M., McKinnon, P. J., Caldecott, K. W., &amp; West, S. C. (2006). The neurodegenerative disease protein aprataxin resolves abortive DNA ligation intermediates. Nature, 443(7112), 713–716. https://doi.org/10.1038/nature05164 </w:t>
      </w:r>
    </w:p>
    <w:p w14:paraId="38EA94B7" w14:textId="44D83D65" w:rsidR="00A6076A" w:rsidRPr="007007AD" w:rsidRDefault="00A6076A"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Manconi, M., Garcia-Borreguero, D., Schormair, B., Videnovic, A., Berger, K., Ferri, R., &amp; Dauvilliers, Y. (2021). Restless legs syndrome. Nature Reviews Disease Primers, 7(1).</w:t>
      </w:r>
      <w:r w:rsidR="008C69E4" w:rsidRPr="007007AD">
        <w:rPr>
          <w:rFonts w:eastAsiaTheme="minorHAnsi"/>
          <w:kern w:val="2"/>
          <w:lang w:val="en-US"/>
          <w14:ligatures w14:val="standardContextual"/>
        </w:rPr>
        <w:t xml:space="preserve"> </w:t>
      </w:r>
      <w:r w:rsidRPr="007007AD">
        <w:rPr>
          <w:rFonts w:eastAsiaTheme="minorHAnsi"/>
          <w:kern w:val="2"/>
          <w:lang w:val="en-US"/>
          <w14:ligatures w14:val="standardContextual"/>
        </w:rPr>
        <w:t>https://doi.org/10.1038/s41572-021-00311-z </w:t>
      </w:r>
    </w:p>
    <w:p w14:paraId="282DCBF1" w14:textId="77777777" w:rsidR="008C69E4" w:rsidRPr="007007AD" w:rsidRDefault="008C69E4"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An, T., Sun, H., Yuan, L., Wu, X., &amp; Lu, B. (2024). Associations of anxiety and depression with restless leg syndrome: A systematic review and meta-analysis. Frontiers in Neurology, 15. https://doi.org/10.3389/fneur.2024.1366839 </w:t>
      </w:r>
    </w:p>
    <w:p w14:paraId="513968B2" w14:textId="4D8C8F3A" w:rsidR="00A6076A" w:rsidRPr="007007AD" w:rsidRDefault="008C69E4" w:rsidP="00B46A29">
      <w:pPr>
        <w:pStyle w:val="ListParagraph"/>
        <w:numPr>
          <w:ilvl w:val="0"/>
          <w:numId w:val="4"/>
        </w:numPr>
        <w:jc w:val="both"/>
        <w:rPr>
          <w:rFonts w:ascii="Times New Roman" w:hAnsi="Times New Roman" w:cs="Times New Roman"/>
        </w:rPr>
      </w:pPr>
      <w:r w:rsidRPr="007007AD">
        <w:rPr>
          <w:rFonts w:ascii="Times New Roman" w:hAnsi="Times New Roman" w:cs="Times New Roman"/>
        </w:rPr>
        <w:t xml:space="preserve">Suski, V., &amp; Stacy, M. (2023). Dopamine agonists. In Handbook of Parkinson’s Disease (5th ed., pp. 414–429). </w:t>
      </w:r>
      <w:hyperlink r:id="rId8" w:history="1">
        <w:r w:rsidRPr="007007AD">
          <w:rPr>
            <w:rFonts w:ascii="Times New Roman" w:hAnsi="Times New Roman" w:cs="Times New Roman"/>
          </w:rPr>
          <w:t>https://www.ncbi.nlm.nih.gov/books/NBK551686/</w:t>
        </w:r>
      </w:hyperlink>
    </w:p>
    <w:p w14:paraId="4052AB52" w14:textId="7C150790" w:rsidR="008C69E4" w:rsidRPr="007007AD" w:rsidRDefault="008C69E4"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Weintraub, D., David, A. S., Evans, A. H., Grant, J. E., &amp; Stacy, M. (2014). Clinical spectrum of impulse control disorders in parkinson’s disease. Movement Disorders, 30(2), 121–127. https://doi.org/10.1002/mds.26016 </w:t>
      </w:r>
    </w:p>
    <w:p w14:paraId="716D967C" w14:textId="77777777" w:rsidR="008C69E4" w:rsidRPr="007007AD" w:rsidRDefault="008C69E4" w:rsidP="00B46A29">
      <w:pPr>
        <w:pStyle w:val="NormalWeb"/>
        <w:numPr>
          <w:ilvl w:val="0"/>
          <w:numId w:val="4"/>
        </w:numPr>
        <w:jc w:val="both"/>
        <w:rPr>
          <w:rFonts w:eastAsiaTheme="minorHAnsi"/>
          <w:kern w:val="2"/>
          <w:lang w:val="en-US"/>
          <w14:ligatures w14:val="standardContextual"/>
        </w:rPr>
      </w:pPr>
      <w:proofErr w:type="spellStart"/>
      <w:r w:rsidRPr="007007AD">
        <w:rPr>
          <w:rFonts w:eastAsiaTheme="minorHAnsi"/>
          <w:kern w:val="2"/>
          <w:lang w:val="de-DE"/>
          <w14:ligatures w14:val="standardContextual"/>
        </w:rPr>
        <w:t>Weintraub</w:t>
      </w:r>
      <w:proofErr w:type="spellEnd"/>
      <w:r w:rsidRPr="007007AD">
        <w:rPr>
          <w:rFonts w:eastAsiaTheme="minorHAnsi"/>
          <w:kern w:val="2"/>
          <w:lang w:val="de-DE"/>
          <w14:ligatures w14:val="standardContextual"/>
        </w:rPr>
        <w:t xml:space="preserve">, D., </w:t>
      </w:r>
      <w:proofErr w:type="spellStart"/>
      <w:r w:rsidRPr="007007AD">
        <w:rPr>
          <w:rFonts w:eastAsiaTheme="minorHAnsi"/>
          <w:kern w:val="2"/>
          <w:lang w:val="de-DE"/>
          <w14:ligatures w14:val="standardContextual"/>
        </w:rPr>
        <w:t>Siderowf</w:t>
      </w:r>
      <w:proofErr w:type="spellEnd"/>
      <w:r w:rsidRPr="007007AD">
        <w:rPr>
          <w:rFonts w:eastAsiaTheme="minorHAnsi"/>
          <w:kern w:val="2"/>
          <w:lang w:val="de-DE"/>
          <w14:ligatures w14:val="standardContextual"/>
        </w:rPr>
        <w:t xml:space="preserve">, A. D., </w:t>
      </w:r>
      <w:proofErr w:type="spellStart"/>
      <w:r w:rsidRPr="007007AD">
        <w:rPr>
          <w:rFonts w:eastAsiaTheme="minorHAnsi"/>
          <w:kern w:val="2"/>
          <w:lang w:val="de-DE"/>
          <w14:ligatures w14:val="standardContextual"/>
        </w:rPr>
        <w:t>Potenza</w:t>
      </w:r>
      <w:proofErr w:type="spellEnd"/>
      <w:r w:rsidRPr="007007AD">
        <w:rPr>
          <w:rFonts w:eastAsiaTheme="minorHAnsi"/>
          <w:kern w:val="2"/>
          <w:lang w:val="de-DE"/>
          <w14:ligatures w14:val="standardContextual"/>
        </w:rPr>
        <w:t xml:space="preserve">, M. N., </w:t>
      </w:r>
      <w:proofErr w:type="spellStart"/>
      <w:r w:rsidRPr="007007AD">
        <w:rPr>
          <w:rFonts w:eastAsiaTheme="minorHAnsi"/>
          <w:kern w:val="2"/>
          <w:lang w:val="de-DE"/>
          <w14:ligatures w14:val="standardContextual"/>
        </w:rPr>
        <w:t>Goveas</w:t>
      </w:r>
      <w:proofErr w:type="spellEnd"/>
      <w:r w:rsidRPr="007007AD">
        <w:rPr>
          <w:rFonts w:eastAsiaTheme="minorHAnsi"/>
          <w:kern w:val="2"/>
          <w:lang w:val="de-DE"/>
          <w14:ligatures w14:val="standardContextual"/>
        </w:rPr>
        <w:t xml:space="preserve">, J., Morales, K. H., Duda, J. E., </w:t>
      </w:r>
      <w:proofErr w:type="spellStart"/>
      <w:r w:rsidRPr="007007AD">
        <w:rPr>
          <w:rFonts w:eastAsiaTheme="minorHAnsi"/>
          <w:kern w:val="2"/>
          <w:lang w:val="de-DE"/>
          <w14:ligatures w14:val="standardContextual"/>
        </w:rPr>
        <w:t>Moberg</w:t>
      </w:r>
      <w:proofErr w:type="spellEnd"/>
      <w:r w:rsidRPr="007007AD">
        <w:rPr>
          <w:rFonts w:eastAsiaTheme="minorHAnsi"/>
          <w:kern w:val="2"/>
          <w:lang w:val="de-DE"/>
          <w14:ligatures w14:val="standardContextual"/>
        </w:rPr>
        <w:t xml:space="preserve">, P. J., &amp; Stern, M. B. (2006). </w:t>
      </w:r>
      <w:r w:rsidRPr="007007AD">
        <w:rPr>
          <w:rFonts w:eastAsiaTheme="minorHAnsi"/>
          <w:kern w:val="2"/>
          <w:lang w:val="en-US"/>
          <w14:ligatures w14:val="standardContextual"/>
        </w:rPr>
        <w:t>Association of dopamine agonist use with impulse control disorders in parkinson disease. Archives of Neurology, 63(7), 969. https://doi.org/10.1001/archneur.63.7.969 </w:t>
      </w:r>
    </w:p>
    <w:p w14:paraId="73C2E7D7" w14:textId="3ADA027A" w:rsidR="008C69E4" w:rsidRPr="007007AD" w:rsidRDefault="008C69E4" w:rsidP="00B46A29">
      <w:pPr>
        <w:pStyle w:val="ListParagraph"/>
        <w:numPr>
          <w:ilvl w:val="0"/>
          <w:numId w:val="4"/>
        </w:numPr>
        <w:jc w:val="both"/>
        <w:rPr>
          <w:rFonts w:ascii="Times New Roman" w:hAnsi="Times New Roman" w:cs="Times New Roman"/>
        </w:rPr>
      </w:pPr>
      <w:r w:rsidRPr="007007AD">
        <w:rPr>
          <w:rFonts w:ascii="Times New Roman" w:hAnsi="Times New Roman" w:cs="Times New Roman"/>
        </w:rPr>
        <w:t>American Psychiatric Association. (2018). DSM-5® update supplement to Diagnostic and Statistical Manual of Mental Disorders, Fifth Edition. </w:t>
      </w:r>
      <w:hyperlink r:id="rId9" w:tgtFrame="_new" w:history="1">
        <w:r w:rsidRPr="007007AD">
          <w:rPr>
            <w:rFonts w:ascii="Times New Roman" w:hAnsi="Times New Roman" w:cs="Times New Roman"/>
          </w:rPr>
          <w:t>https://psychiatryonline.org</w:t>
        </w:r>
      </w:hyperlink>
    </w:p>
    <w:p w14:paraId="708769F2" w14:textId="2DC58BD4" w:rsidR="008C69E4" w:rsidRPr="007007AD" w:rsidRDefault="007D6E41" w:rsidP="00B46A29">
      <w:pPr>
        <w:pStyle w:val="ListParagraph"/>
        <w:numPr>
          <w:ilvl w:val="0"/>
          <w:numId w:val="4"/>
        </w:numPr>
        <w:jc w:val="both"/>
        <w:rPr>
          <w:rFonts w:ascii="Times New Roman" w:hAnsi="Times New Roman" w:cs="Times New Roman"/>
        </w:rPr>
      </w:pPr>
      <w:r w:rsidRPr="007007AD">
        <w:rPr>
          <w:rFonts w:ascii="Times New Roman" w:hAnsi="Times New Roman" w:cs="Times New Roman"/>
        </w:rPr>
        <w:t>Cornelius, J. R., Tippmann-</w:t>
      </w:r>
      <w:proofErr w:type="spellStart"/>
      <w:r w:rsidRPr="007007AD">
        <w:rPr>
          <w:rFonts w:ascii="Times New Roman" w:hAnsi="Times New Roman" w:cs="Times New Roman"/>
        </w:rPr>
        <w:t>Peikert</w:t>
      </w:r>
      <w:proofErr w:type="spellEnd"/>
      <w:r w:rsidRPr="007007AD">
        <w:rPr>
          <w:rFonts w:ascii="Times New Roman" w:hAnsi="Times New Roman" w:cs="Times New Roman"/>
        </w:rPr>
        <w:t xml:space="preserve">, M., </w:t>
      </w:r>
      <w:proofErr w:type="spellStart"/>
      <w:r w:rsidRPr="007007AD">
        <w:rPr>
          <w:rFonts w:ascii="Times New Roman" w:hAnsi="Times New Roman" w:cs="Times New Roman"/>
        </w:rPr>
        <w:t>Slocumb</w:t>
      </w:r>
      <w:proofErr w:type="spellEnd"/>
      <w:r w:rsidRPr="007007AD">
        <w:rPr>
          <w:rFonts w:ascii="Times New Roman" w:hAnsi="Times New Roman" w:cs="Times New Roman"/>
        </w:rPr>
        <w:t>, N. L., Frerichs, C. F., &amp; Silber, M. H. (2010). Impulse control disorders with the use of dopaminergic agents in restless legs syndrome: A case-control study. Sleep, 33(1), 81–87. </w:t>
      </w:r>
      <w:hyperlink r:id="rId10" w:tgtFrame="_new" w:history="1">
        <w:r w:rsidRPr="007007AD">
          <w:rPr>
            <w:rFonts w:ascii="Times New Roman" w:hAnsi="Times New Roman" w:cs="Times New Roman"/>
          </w:rPr>
          <w:t>https://www.ncbi.nlm.nih.gov/pmc/articles/PMC2802252/</w:t>
        </w:r>
      </w:hyperlink>
    </w:p>
    <w:p w14:paraId="60249BC6" w14:textId="64C991C4" w:rsidR="007D6E41" w:rsidRPr="007007AD" w:rsidRDefault="007D6E41"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de-DE"/>
          <w14:ligatures w14:val="standardContextual"/>
        </w:rPr>
        <w:t xml:space="preserve">Bayard, S., </w:t>
      </w:r>
      <w:proofErr w:type="spellStart"/>
      <w:r w:rsidRPr="007007AD">
        <w:rPr>
          <w:rFonts w:eastAsiaTheme="minorHAnsi"/>
          <w:kern w:val="2"/>
          <w:lang w:val="de-DE"/>
          <w14:ligatures w14:val="standardContextual"/>
        </w:rPr>
        <w:t>Langenier</w:t>
      </w:r>
      <w:proofErr w:type="spellEnd"/>
      <w:r w:rsidRPr="007007AD">
        <w:rPr>
          <w:rFonts w:eastAsiaTheme="minorHAnsi"/>
          <w:kern w:val="2"/>
          <w:lang w:val="de-DE"/>
          <w14:ligatures w14:val="standardContextual"/>
        </w:rPr>
        <w:t xml:space="preserve">, M. C., &amp; </w:t>
      </w:r>
      <w:proofErr w:type="spellStart"/>
      <w:r w:rsidRPr="007007AD">
        <w:rPr>
          <w:rFonts w:eastAsiaTheme="minorHAnsi"/>
          <w:kern w:val="2"/>
          <w:lang w:val="de-DE"/>
          <w14:ligatures w14:val="standardContextual"/>
        </w:rPr>
        <w:t>Dauvilliers</w:t>
      </w:r>
      <w:proofErr w:type="spellEnd"/>
      <w:r w:rsidRPr="007007AD">
        <w:rPr>
          <w:rFonts w:eastAsiaTheme="minorHAnsi"/>
          <w:kern w:val="2"/>
          <w:lang w:val="de-DE"/>
          <w14:ligatures w14:val="standardContextual"/>
        </w:rPr>
        <w:t xml:space="preserve">, Y. (2013). </w:t>
      </w:r>
      <w:r w:rsidRPr="007007AD">
        <w:rPr>
          <w:rFonts w:eastAsiaTheme="minorHAnsi"/>
          <w:kern w:val="2"/>
          <w:lang w:val="en-US"/>
          <w14:ligatures w14:val="standardContextual"/>
        </w:rPr>
        <w:t>Decision-making, reward-seeking behaviors and dopamine agonist therapy in restless legs syndrome. Sleep, 36(10), 1501 1507. https://doi.org/10.5665/sleep.3044 </w:t>
      </w:r>
    </w:p>
    <w:p w14:paraId="30E53CA4" w14:textId="20528A48" w:rsidR="007D6E41" w:rsidRPr="007007AD" w:rsidRDefault="007D6E41"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de-DE"/>
          <w14:ligatures w14:val="standardContextual"/>
        </w:rPr>
        <w:t xml:space="preserve">Heim, B., </w:t>
      </w:r>
      <w:proofErr w:type="spellStart"/>
      <w:r w:rsidRPr="007007AD">
        <w:rPr>
          <w:rFonts w:eastAsiaTheme="minorHAnsi"/>
          <w:kern w:val="2"/>
          <w:lang w:val="de-DE"/>
          <w14:ligatures w14:val="standardContextual"/>
        </w:rPr>
        <w:t>Djamshidian</w:t>
      </w:r>
      <w:proofErr w:type="spellEnd"/>
      <w:r w:rsidRPr="007007AD">
        <w:rPr>
          <w:rFonts w:eastAsiaTheme="minorHAnsi"/>
          <w:kern w:val="2"/>
          <w:lang w:val="de-DE"/>
          <w14:ligatures w14:val="standardContextual"/>
        </w:rPr>
        <w:t xml:space="preserve">, A., Heidbreder, A., Stefani, A., </w:t>
      </w:r>
      <w:proofErr w:type="spellStart"/>
      <w:r w:rsidRPr="007007AD">
        <w:rPr>
          <w:rFonts w:eastAsiaTheme="minorHAnsi"/>
          <w:kern w:val="2"/>
          <w:lang w:val="de-DE"/>
          <w14:ligatures w14:val="standardContextual"/>
        </w:rPr>
        <w:t>Zamarian</w:t>
      </w:r>
      <w:proofErr w:type="spellEnd"/>
      <w:r w:rsidRPr="007007AD">
        <w:rPr>
          <w:rFonts w:eastAsiaTheme="minorHAnsi"/>
          <w:kern w:val="2"/>
          <w:lang w:val="de-DE"/>
          <w14:ligatures w14:val="standardContextual"/>
        </w:rPr>
        <w:t xml:space="preserve">, L., </w:t>
      </w:r>
      <w:proofErr w:type="spellStart"/>
      <w:r w:rsidRPr="007007AD">
        <w:rPr>
          <w:rFonts w:eastAsiaTheme="minorHAnsi"/>
          <w:kern w:val="2"/>
          <w:lang w:val="de-DE"/>
          <w14:ligatures w14:val="standardContextual"/>
        </w:rPr>
        <w:t>Pertl</w:t>
      </w:r>
      <w:proofErr w:type="spellEnd"/>
      <w:r w:rsidRPr="007007AD">
        <w:rPr>
          <w:rFonts w:eastAsiaTheme="minorHAnsi"/>
          <w:kern w:val="2"/>
          <w:lang w:val="de-DE"/>
          <w14:ligatures w14:val="standardContextual"/>
        </w:rPr>
        <w:t xml:space="preserve">, M.-T., Brandauer, E., </w:t>
      </w:r>
      <w:proofErr w:type="spellStart"/>
      <w:r w:rsidRPr="007007AD">
        <w:rPr>
          <w:rFonts w:eastAsiaTheme="minorHAnsi"/>
          <w:kern w:val="2"/>
          <w:lang w:val="de-DE"/>
          <w14:ligatures w14:val="standardContextual"/>
        </w:rPr>
        <w:t>Delazer</w:t>
      </w:r>
      <w:proofErr w:type="spellEnd"/>
      <w:r w:rsidRPr="007007AD">
        <w:rPr>
          <w:rFonts w:eastAsiaTheme="minorHAnsi"/>
          <w:kern w:val="2"/>
          <w:lang w:val="de-DE"/>
          <w14:ligatures w14:val="standardContextual"/>
        </w:rPr>
        <w:t xml:space="preserve">, M., Seppi, K., </w:t>
      </w:r>
      <w:proofErr w:type="spellStart"/>
      <w:r w:rsidRPr="007007AD">
        <w:rPr>
          <w:rFonts w:eastAsiaTheme="minorHAnsi"/>
          <w:kern w:val="2"/>
          <w:lang w:val="de-DE"/>
          <w14:ligatures w14:val="standardContextual"/>
        </w:rPr>
        <w:t>Poewe</w:t>
      </w:r>
      <w:proofErr w:type="spellEnd"/>
      <w:r w:rsidRPr="007007AD">
        <w:rPr>
          <w:rFonts w:eastAsiaTheme="minorHAnsi"/>
          <w:kern w:val="2"/>
          <w:lang w:val="de-DE"/>
          <w14:ligatures w14:val="standardContextual"/>
        </w:rPr>
        <w:t xml:space="preserve">, W., &amp; Högl, B. (2016). </w:t>
      </w:r>
      <w:r w:rsidRPr="007007AD">
        <w:rPr>
          <w:rFonts w:eastAsiaTheme="minorHAnsi"/>
          <w:kern w:val="2"/>
          <w:lang w:val="en-US"/>
          <w14:ligatures w14:val="standardContextual"/>
        </w:rPr>
        <w:t>Augmentation and impulsive behaviors in restless legs syndrome. Neurology, 87(1), 36–40. https://doi.org/10.1212/wnl.0000000000002803 </w:t>
      </w:r>
    </w:p>
    <w:p w14:paraId="1C190EF7" w14:textId="5C949978" w:rsidR="007D6E41" w:rsidRPr="007007AD" w:rsidRDefault="007D6E41"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de-DE"/>
          <w14:ligatures w14:val="standardContextual"/>
        </w:rPr>
        <w:lastRenderedPageBreak/>
        <w:t xml:space="preserve">Allen, R. P., </w:t>
      </w:r>
      <w:proofErr w:type="spellStart"/>
      <w:r w:rsidRPr="007007AD">
        <w:rPr>
          <w:rFonts w:eastAsiaTheme="minorHAnsi"/>
          <w:kern w:val="2"/>
          <w:lang w:val="de-DE"/>
          <w14:ligatures w14:val="standardContextual"/>
        </w:rPr>
        <w:t>Picchietti</w:t>
      </w:r>
      <w:proofErr w:type="spellEnd"/>
      <w:r w:rsidRPr="007007AD">
        <w:rPr>
          <w:rFonts w:eastAsiaTheme="minorHAnsi"/>
          <w:kern w:val="2"/>
          <w:lang w:val="de-DE"/>
          <w14:ligatures w14:val="standardContextual"/>
        </w:rPr>
        <w:t>, D. L., Garcia-</w:t>
      </w:r>
      <w:proofErr w:type="spellStart"/>
      <w:r w:rsidRPr="007007AD">
        <w:rPr>
          <w:rFonts w:eastAsiaTheme="minorHAnsi"/>
          <w:kern w:val="2"/>
          <w:lang w:val="de-DE"/>
          <w14:ligatures w14:val="standardContextual"/>
        </w:rPr>
        <w:t>Borreguero</w:t>
      </w:r>
      <w:proofErr w:type="spellEnd"/>
      <w:r w:rsidRPr="007007AD">
        <w:rPr>
          <w:rFonts w:eastAsiaTheme="minorHAnsi"/>
          <w:kern w:val="2"/>
          <w:lang w:val="de-DE"/>
          <w14:ligatures w14:val="standardContextual"/>
        </w:rPr>
        <w:t xml:space="preserve">, D., </w:t>
      </w:r>
      <w:proofErr w:type="spellStart"/>
      <w:r w:rsidRPr="007007AD">
        <w:rPr>
          <w:rFonts w:eastAsiaTheme="minorHAnsi"/>
          <w:kern w:val="2"/>
          <w:lang w:val="de-DE"/>
          <w14:ligatures w14:val="standardContextual"/>
        </w:rPr>
        <w:t>Ondo</w:t>
      </w:r>
      <w:proofErr w:type="spellEnd"/>
      <w:r w:rsidRPr="007007AD">
        <w:rPr>
          <w:rFonts w:eastAsiaTheme="minorHAnsi"/>
          <w:kern w:val="2"/>
          <w:lang w:val="de-DE"/>
          <w14:ligatures w14:val="standardContextual"/>
        </w:rPr>
        <w:t xml:space="preserve">, W. G., Walters, A. S., </w:t>
      </w:r>
      <w:proofErr w:type="spellStart"/>
      <w:r w:rsidRPr="007007AD">
        <w:rPr>
          <w:rFonts w:eastAsiaTheme="minorHAnsi"/>
          <w:kern w:val="2"/>
          <w:lang w:val="de-DE"/>
          <w14:ligatures w14:val="standardContextual"/>
        </w:rPr>
        <w:t>Winkelman</w:t>
      </w:r>
      <w:proofErr w:type="spellEnd"/>
      <w:r w:rsidRPr="007007AD">
        <w:rPr>
          <w:rFonts w:eastAsiaTheme="minorHAnsi"/>
          <w:kern w:val="2"/>
          <w:lang w:val="de-DE"/>
          <w14:ligatures w14:val="standardContextual"/>
        </w:rPr>
        <w:t xml:space="preserve">, J. W., </w:t>
      </w:r>
      <w:proofErr w:type="spellStart"/>
      <w:r w:rsidRPr="007007AD">
        <w:rPr>
          <w:rFonts w:eastAsiaTheme="minorHAnsi"/>
          <w:kern w:val="2"/>
          <w:lang w:val="de-DE"/>
          <w14:ligatures w14:val="standardContextual"/>
        </w:rPr>
        <w:t>Zucconi</w:t>
      </w:r>
      <w:proofErr w:type="spellEnd"/>
      <w:r w:rsidRPr="007007AD">
        <w:rPr>
          <w:rFonts w:eastAsiaTheme="minorHAnsi"/>
          <w:kern w:val="2"/>
          <w:lang w:val="de-DE"/>
          <w14:ligatures w14:val="standardContextual"/>
        </w:rPr>
        <w:t xml:space="preserve">, M., Ferri, R., Trenkwalder, C., &amp; Lee, H. B. (2014). </w:t>
      </w:r>
      <w:r w:rsidRPr="007007AD">
        <w:rPr>
          <w:rFonts w:eastAsiaTheme="minorHAnsi"/>
          <w:kern w:val="2"/>
          <w:lang w:val="en-US"/>
          <w14:ligatures w14:val="standardContextual"/>
        </w:rPr>
        <w:t>Restless legs syndrome/</w:t>
      </w:r>
      <w:proofErr w:type="spellStart"/>
      <w:r w:rsidRPr="007007AD">
        <w:rPr>
          <w:rFonts w:eastAsiaTheme="minorHAnsi"/>
          <w:kern w:val="2"/>
          <w:lang w:val="en-US"/>
          <w14:ligatures w14:val="standardContextual"/>
        </w:rPr>
        <w:t>willis</w:t>
      </w:r>
      <w:proofErr w:type="spellEnd"/>
      <w:r w:rsidRPr="007007AD">
        <w:rPr>
          <w:rFonts w:eastAsiaTheme="minorHAnsi"/>
          <w:kern w:val="2"/>
          <w:lang w:val="en-US"/>
          <w14:ligatures w14:val="standardContextual"/>
        </w:rPr>
        <w:t>–</w:t>
      </w:r>
      <w:proofErr w:type="spellStart"/>
      <w:r w:rsidRPr="007007AD">
        <w:rPr>
          <w:rFonts w:eastAsiaTheme="minorHAnsi"/>
          <w:kern w:val="2"/>
          <w:lang w:val="en-US"/>
          <w14:ligatures w14:val="standardContextual"/>
        </w:rPr>
        <w:t>ekbom</w:t>
      </w:r>
      <w:proofErr w:type="spellEnd"/>
      <w:r w:rsidRPr="007007AD">
        <w:rPr>
          <w:rFonts w:eastAsiaTheme="minorHAnsi"/>
          <w:kern w:val="2"/>
          <w:lang w:val="en-US"/>
          <w14:ligatures w14:val="standardContextual"/>
        </w:rPr>
        <w:t xml:space="preserve"> disease diagnostic criteria: Updated international restless legs syndrome study group (IRLSSG) consensus criteria – history, rationale, description, and significance. Sleep Medicine, 15(8), 860–873. https://doi.org/10.1016/j.sleep.2014.03.025 </w:t>
      </w:r>
    </w:p>
    <w:p w14:paraId="621E1D1B" w14:textId="09EEDACD" w:rsidR="007D6E41" w:rsidRPr="007007AD" w:rsidRDefault="007D6E41"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 xml:space="preserve">Validation of the international restless </w:t>
      </w:r>
      <w:proofErr w:type="gramStart"/>
      <w:r w:rsidRPr="007007AD">
        <w:rPr>
          <w:rFonts w:eastAsiaTheme="minorHAnsi"/>
          <w:kern w:val="2"/>
          <w:lang w:val="en-US"/>
          <w14:ligatures w14:val="standardContextual"/>
        </w:rPr>
        <w:t>legs</w:t>
      </w:r>
      <w:proofErr w:type="gramEnd"/>
      <w:r w:rsidRPr="007007AD">
        <w:rPr>
          <w:rFonts w:eastAsiaTheme="minorHAnsi"/>
          <w:kern w:val="2"/>
          <w:lang w:val="en-US"/>
          <w14:ligatures w14:val="standardContextual"/>
        </w:rPr>
        <w:t xml:space="preserve"> syndrome study group rating scale for restless legs syndrome. (2003). Sleep Medicine, 4(2), 121–132. </w:t>
      </w:r>
      <w:hyperlink r:id="rId11" w:history="1">
        <w:r w:rsidRPr="007007AD">
          <w:rPr>
            <w:rFonts w:eastAsiaTheme="minorHAnsi"/>
            <w:kern w:val="2"/>
            <w:lang w:val="en-US"/>
            <w14:ligatures w14:val="standardContextual"/>
          </w:rPr>
          <w:t>https://doi.org/10.1016/s1389</w:t>
        </w:r>
      </w:hyperlink>
      <w:r w:rsidRPr="007007AD">
        <w:rPr>
          <w:rFonts w:eastAsiaTheme="minorHAnsi"/>
          <w:kern w:val="2"/>
          <w:lang w:val="en-US"/>
          <w14:ligatures w14:val="standardContextual"/>
        </w:rPr>
        <w:t xml:space="preserve"> 9457(02)00258-7 </w:t>
      </w:r>
    </w:p>
    <w:p w14:paraId="4B195B15" w14:textId="2C36FB2C" w:rsidR="007D6E41" w:rsidRPr="007007AD" w:rsidRDefault="007D6E41"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AY, E., HELVACI YILMAZ, N., ARICI DÜZ, Ö., &amp; ÖZER, F. F. (2019). Validity and reliability of the Turkish version of the International Restless Legs Syndrome Study Group Rating Scale. Acta Medica Alanya, 3(2), 105–110. https://doi.org/10.30565/medalanya.453150 </w:t>
      </w:r>
    </w:p>
    <w:p w14:paraId="092E7C98" w14:textId="458C34A9" w:rsidR="007D6E41" w:rsidRPr="007007AD" w:rsidRDefault="007D6E41"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Heim, B., Djamshidian, A., Heidbreder, A., Stefani, A., Zamarian, L., Pertl, M.-T., Brandauer, E., Delazer, M., Seppi, K., Poewe, W., &amp; Högl, B. (2016a). Augmentation and impulsive behaviors in restless legs syndrome. Neurology, 87(1), 36–40. https://doi.org/10.1212/wnl.0000000000002803 </w:t>
      </w:r>
    </w:p>
    <w:p w14:paraId="49AB4EB8" w14:textId="251C6287" w:rsidR="007D6E41" w:rsidRPr="007007AD" w:rsidRDefault="007D6E41"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Weintraub, D., Hoops, S., Shea, J. A., Lyons, K. E., Pahwa, R., Driver‐Dunckley, E. D., Adler, C. H., Potenza, M. N., Miyasaki, J., Siderowf, A. D., Duda, J. E., Hurtig, H. I., Colcher, A., Horn, S. S., Stern, M. B., &amp; Voon, V. (2009). Validation of the questionnaire for impulsive‐compulsive disorders in parkinson’s disease. Movement</w:t>
      </w:r>
      <w:r w:rsidR="008D60F4" w:rsidRPr="007007AD">
        <w:rPr>
          <w:rFonts w:eastAsiaTheme="minorHAnsi"/>
          <w:kern w:val="2"/>
          <w:lang w:val="en-US"/>
          <w14:ligatures w14:val="standardContextual"/>
        </w:rPr>
        <w:t xml:space="preserve"> </w:t>
      </w:r>
      <w:r w:rsidRPr="007007AD">
        <w:rPr>
          <w:rFonts w:eastAsiaTheme="minorHAnsi"/>
          <w:kern w:val="2"/>
          <w:lang w:val="en-US"/>
          <w14:ligatures w14:val="standardContextual"/>
        </w:rPr>
        <w:t>Disorders, 24(10), 1461–1467. https://doi.org/10.1002/mds.22571 </w:t>
      </w:r>
    </w:p>
    <w:p w14:paraId="1EFCD77B" w14:textId="77777777" w:rsidR="008D60F4" w:rsidRPr="007007AD" w:rsidRDefault="008D60F4"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Hurst, H., &amp; Bolton, J. (2004). Assessing the clinical significance of change scores recorded on subjective outcome measures. Journal of Manipulative and Physiological Therapeutics, 27(1), 26–35. https://doi.org/10.1016/j.jmpt.2003.11.003 </w:t>
      </w:r>
    </w:p>
    <w:p w14:paraId="3161562A" w14:textId="52801347" w:rsidR="007D6E41" w:rsidRPr="007007AD" w:rsidRDefault="008D60F4" w:rsidP="00B46A29">
      <w:pPr>
        <w:pStyle w:val="ListParagraph"/>
        <w:numPr>
          <w:ilvl w:val="0"/>
          <w:numId w:val="4"/>
        </w:numPr>
        <w:jc w:val="both"/>
        <w:rPr>
          <w:rFonts w:ascii="Times New Roman" w:hAnsi="Times New Roman" w:cs="Times New Roman"/>
        </w:rPr>
      </w:pPr>
      <w:r w:rsidRPr="007007AD">
        <w:rPr>
          <w:rFonts w:ascii="Times New Roman" w:hAnsi="Times New Roman" w:cs="Times New Roman"/>
        </w:rPr>
        <w:t>Hisli, N. (1989). Beck Depresyon Envanterinin geçerliği üzerine bir çalışma. Psikoloji Dergisi, 7(23), 3–13.</w:t>
      </w:r>
    </w:p>
    <w:p w14:paraId="2CC2A814" w14:textId="77777777" w:rsidR="008D60F4" w:rsidRPr="007007AD" w:rsidRDefault="008D60F4"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Haden, S. C., &amp; Shiva, A. (2008). Trait impulsivity in a forensic inpatient sample: An evaluation of the barratt impulsiveness scale. Behavioral Sciences &amp;amp; the Law, 26(6), 675–690. https://doi.org/10.1002/bsl.820 </w:t>
      </w:r>
    </w:p>
    <w:p w14:paraId="506B6A13" w14:textId="17A39704" w:rsidR="008D60F4" w:rsidRPr="007007AD" w:rsidRDefault="008D60F4"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 xml:space="preserve">Barratt, E. S. (1959). Anxiety and impulsiveness related to psychomotor efficiency. Perceptual and Motor Skills, 9(3), 191–198. </w:t>
      </w:r>
      <w:hyperlink r:id="rId12" w:history="1">
        <w:r w:rsidRPr="007007AD">
          <w:rPr>
            <w:rFonts w:eastAsiaTheme="minorHAnsi"/>
            <w:kern w:val="2"/>
            <w:lang w:val="en-US"/>
            <w14:ligatures w14:val="standardContextual"/>
          </w:rPr>
          <w:t>https://doi.org/10.2466/pms.1959.9.3.191</w:t>
        </w:r>
      </w:hyperlink>
      <w:r w:rsidRPr="007007AD">
        <w:rPr>
          <w:rFonts w:eastAsiaTheme="minorHAnsi"/>
          <w:kern w:val="2"/>
          <w:lang w:val="en-US"/>
          <w14:ligatures w14:val="standardContextual"/>
        </w:rPr>
        <w:t> </w:t>
      </w:r>
    </w:p>
    <w:p w14:paraId="5A0E49F3" w14:textId="7EB9117D" w:rsidR="008D60F4" w:rsidRPr="007007AD" w:rsidRDefault="00BA0647" w:rsidP="00B46A29">
      <w:pPr>
        <w:pStyle w:val="NormalWeb"/>
        <w:numPr>
          <w:ilvl w:val="0"/>
          <w:numId w:val="4"/>
        </w:numPr>
        <w:jc w:val="both"/>
        <w:rPr>
          <w:rFonts w:eastAsiaTheme="minorHAnsi"/>
          <w:kern w:val="2"/>
          <w:lang w:val="de-DE"/>
          <w14:ligatures w14:val="standardContextual"/>
        </w:rPr>
      </w:pPr>
      <w:r w:rsidRPr="007007AD">
        <w:rPr>
          <w:rFonts w:eastAsiaTheme="minorHAnsi"/>
          <w:kern w:val="2"/>
          <w:lang w:val="en-US"/>
          <w14:ligatures w14:val="standardContextual"/>
        </w:rPr>
        <w:t>Güleç, H., Tamam, L., Usta, H., Saygılı, İ., Yazıcı Güleç, M., Zengin, M., &amp; Karaku, G. (n.d.). </w:t>
      </w:r>
      <w:r w:rsidRPr="007007AD">
        <w:rPr>
          <w:rFonts w:eastAsiaTheme="minorHAnsi"/>
          <w:kern w:val="2"/>
          <w:lang w:val="de-DE"/>
          <w14:ligatures w14:val="standardContextual"/>
        </w:rPr>
        <w:t xml:space="preserve">Bipolar </w:t>
      </w:r>
      <w:proofErr w:type="spellStart"/>
      <w:r w:rsidRPr="007007AD">
        <w:rPr>
          <w:rFonts w:eastAsiaTheme="minorHAnsi"/>
          <w:kern w:val="2"/>
          <w:lang w:val="de-DE"/>
          <w14:ligatures w14:val="standardContextual"/>
        </w:rPr>
        <w:t>bozuklukta</w:t>
      </w:r>
      <w:proofErr w:type="spellEnd"/>
      <w:r w:rsidRPr="007007AD">
        <w:rPr>
          <w:rFonts w:eastAsiaTheme="minorHAnsi"/>
          <w:kern w:val="2"/>
          <w:lang w:val="de-DE"/>
          <w14:ligatures w14:val="standardContextual"/>
        </w:rPr>
        <w:t xml:space="preserve"> </w:t>
      </w:r>
      <w:proofErr w:type="spellStart"/>
      <w:r w:rsidRPr="007007AD">
        <w:rPr>
          <w:rFonts w:eastAsiaTheme="minorHAnsi"/>
          <w:kern w:val="2"/>
          <w:lang w:val="de-DE"/>
          <w14:ligatures w14:val="standardContextual"/>
        </w:rPr>
        <w:t>dürtüsellik</w:t>
      </w:r>
      <w:proofErr w:type="spellEnd"/>
      <w:r w:rsidRPr="007007AD">
        <w:rPr>
          <w:rFonts w:eastAsiaTheme="minorHAnsi"/>
          <w:kern w:val="2"/>
          <w:lang w:val="de-DE"/>
          <w14:ligatures w14:val="standardContextual"/>
        </w:rPr>
        <w:t> [</w:t>
      </w:r>
      <w:proofErr w:type="spellStart"/>
      <w:r w:rsidRPr="007007AD">
        <w:rPr>
          <w:rFonts w:eastAsiaTheme="minorHAnsi"/>
          <w:kern w:val="2"/>
          <w:lang w:val="de-DE"/>
          <w14:ligatures w14:val="standardContextual"/>
        </w:rPr>
        <w:t>Impulsivity</w:t>
      </w:r>
      <w:proofErr w:type="spellEnd"/>
      <w:r w:rsidRPr="007007AD">
        <w:rPr>
          <w:rFonts w:eastAsiaTheme="minorHAnsi"/>
          <w:kern w:val="2"/>
          <w:lang w:val="de-DE"/>
          <w14:ligatures w14:val="standardContextual"/>
        </w:rPr>
        <w:t xml:space="preserve"> in bipolar </w:t>
      </w:r>
      <w:proofErr w:type="spellStart"/>
      <w:r w:rsidRPr="007007AD">
        <w:rPr>
          <w:rFonts w:eastAsiaTheme="minorHAnsi"/>
          <w:kern w:val="2"/>
          <w:lang w:val="de-DE"/>
          <w14:ligatures w14:val="standardContextual"/>
        </w:rPr>
        <w:t>disorder</w:t>
      </w:r>
      <w:proofErr w:type="spellEnd"/>
      <w:r w:rsidRPr="007007AD">
        <w:rPr>
          <w:rFonts w:eastAsiaTheme="minorHAnsi"/>
          <w:kern w:val="2"/>
          <w:lang w:val="de-DE"/>
          <w14:ligatures w14:val="standardContextual"/>
        </w:rPr>
        <w:t>] [PDF]. ResearchGate. </w:t>
      </w:r>
      <w:hyperlink r:id="rId13" w:tgtFrame="_new" w:history="1">
        <w:r w:rsidRPr="007007AD">
          <w:rPr>
            <w:rFonts w:eastAsiaTheme="minorHAnsi"/>
            <w:kern w:val="2"/>
            <w:lang w:val="de-DE"/>
            <w14:ligatures w14:val="standardContextual"/>
          </w:rPr>
          <w:t>https://www.researchgate.net/publication/260420899_Bipolar_bozuklukta_durtusellik_Impulsivity_in_bipolar_disorder</w:t>
        </w:r>
      </w:hyperlink>
    </w:p>
    <w:p w14:paraId="7182124C" w14:textId="2B63BA83" w:rsidR="008D60F4" w:rsidRPr="007007AD" w:rsidRDefault="008D60F4"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Paul, B., Aggarwal, S., Paul, G., Khehra, A., &amp; Jain, A. (2023). Impulse-control disorders and restless leg syndrome in parkinson’s disease: Association or coexistence. Annals of</w:t>
      </w:r>
      <w:r w:rsidR="00BA0647" w:rsidRPr="007007AD">
        <w:rPr>
          <w:rFonts w:eastAsiaTheme="minorHAnsi"/>
          <w:kern w:val="2"/>
          <w:lang w:val="en-US"/>
          <w14:ligatures w14:val="standardContextual"/>
        </w:rPr>
        <w:t xml:space="preserve"> </w:t>
      </w:r>
      <w:r w:rsidRPr="007007AD">
        <w:rPr>
          <w:rFonts w:eastAsiaTheme="minorHAnsi"/>
          <w:kern w:val="2"/>
          <w:lang w:val="en-US"/>
          <w14:ligatures w14:val="standardContextual"/>
        </w:rPr>
        <w:t>Indian Academy of Neurology, 26(2), 161. https://doi.org/10.4103/aian.aian_940_22 </w:t>
      </w:r>
    </w:p>
    <w:p w14:paraId="2914505B" w14:textId="7581EFC2" w:rsidR="00BA0647" w:rsidRPr="007007AD" w:rsidRDefault="00BA0647"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Ondo, W. G., &amp; Lai, D. (2008). Predictors of impulsivity and reward seeking behavior with dopamine agonists. Parkinsonism &amp;amp; Related Disorders, 14(1), 28–32. https://doi.org/10.1016/j.parkreldis.2007.05.006 </w:t>
      </w:r>
    </w:p>
    <w:p w14:paraId="17ADCA3A" w14:textId="2C43C32C" w:rsidR="00BA0647" w:rsidRPr="007007AD" w:rsidRDefault="00BA0647"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 xml:space="preserve">Dang, D., Cunnington, D., &amp; Swieca, J. (2011). The emergence of devastating impulse control disorders during dopamine agonist therapy of the restless </w:t>
      </w:r>
      <w:proofErr w:type="gramStart"/>
      <w:r w:rsidRPr="007007AD">
        <w:rPr>
          <w:rFonts w:eastAsiaTheme="minorHAnsi"/>
          <w:kern w:val="2"/>
          <w:lang w:val="en-US"/>
          <w14:ligatures w14:val="standardContextual"/>
        </w:rPr>
        <w:t>legs</w:t>
      </w:r>
      <w:proofErr w:type="gramEnd"/>
      <w:r w:rsidRPr="007007AD">
        <w:rPr>
          <w:rFonts w:eastAsiaTheme="minorHAnsi"/>
          <w:kern w:val="2"/>
          <w:lang w:val="en-US"/>
          <w14:ligatures w14:val="standardContextual"/>
        </w:rPr>
        <w:t xml:space="preserve"> syndrome. Clinical Neuropharmacology, 34(2), 66–70. https://doi.org/10.1097/wnf.0b013e31820d6699 </w:t>
      </w:r>
    </w:p>
    <w:p w14:paraId="0670371E" w14:textId="491E0FF6" w:rsidR="00BA0647" w:rsidRPr="007007AD" w:rsidRDefault="00BA0647"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lastRenderedPageBreak/>
        <w:t>O’Sullivan, S. S., Evans, A. H., &amp; Lees, A. J. (2007). Punding in parkinson’s disease. Practical Neurology, 7(6), 397–399. https://doi.org/10.1136/jnnp.2007.129015 </w:t>
      </w:r>
    </w:p>
    <w:p w14:paraId="3C0A458F" w14:textId="2304A7F5" w:rsidR="00BA0647" w:rsidRPr="007007AD" w:rsidRDefault="00BA0647" w:rsidP="00B46A29">
      <w:pPr>
        <w:pStyle w:val="NormalWeb"/>
        <w:numPr>
          <w:ilvl w:val="0"/>
          <w:numId w:val="4"/>
        </w:numPr>
        <w:jc w:val="both"/>
        <w:rPr>
          <w:rFonts w:eastAsiaTheme="minorHAnsi"/>
          <w:kern w:val="2"/>
          <w:lang w:val="en-US"/>
          <w14:ligatures w14:val="standardContextual"/>
        </w:rPr>
      </w:pPr>
      <w:proofErr w:type="spellStart"/>
      <w:r w:rsidRPr="007007AD">
        <w:rPr>
          <w:rFonts w:eastAsiaTheme="minorHAnsi"/>
          <w:kern w:val="2"/>
          <w:lang w:val="de-DE"/>
          <w14:ligatures w14:val="standardContextual"/>
        </w:rPr>
        <w:t>Lipford</w:t>
      </w:r>
      <w:proofErr w:type="spellEnd"/>
      <w:r w:rsidRPr="007007AD">
        <w:rPr>
          <w:rFonts w:eastAsiaTheme="minorHAnsi"/>
          <w:kern w:val="2"/>
          <w:lang w:val="de-DE"/>
          <w14:ligatures w14:val="standardContextual"/>
        </w:rPr>
        <w:t xml:space="preserve">, M. C., &amp; Silber, M. H. (2012). </w:t>
      </w:r>
      <w:r w:rsidRPr="007007AD">
        <w:rPr>
          <w:rFonts w:eastAsiaTheme="minorHAnsi"/>
          <w:kern w:val="2"/>
          <w:lang w:val="en-US"/>
          <w14:ligatures w14:val="standardContextual"/>
        </w:rPr>
        <w:t>Long-term use of pramipexole in the management of Restless Legs Syndrome. Sleep Medicine, 13(10), 1280–1285. https://doi.org/10.1016/j.sleep.2012.08.004 </w:t>
      </w:r>
    </w:p>
    <w:p w14:paraId="1AFDBACE" w14:textId="0819F18E" w:rsidR="00BA0647" w:rsidRPr="007007AD" w:rsidRDefault="00BA0647"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Driver-Dunckley, E. D., Noble, B. N., Hentz, J. G., Evidente, V. G. H., Caviness, J. N., Parish, J., Krahn, L., &amp; Adler, C. H. (2007). Gambling and increased sexual desire with dopaminergic medications in restless legs syndrome. Clinical</w:t>
      </w:r>
      <w:r w:rsidR="00B46A29" w:rsidRPr="007007AD">
        <w:rPr>
          <w:rFonts w:eastAsiaTheme="minorHAnsi"/>
          <w:kern w:val="2"/>
          <w:lang w:val="en-US"/>
          <w14:ligatures w14:val="standardContextual"/>
        </w:rPr>
        <w:t xml:space="preserve"> </w:t>
      </w:r>
      <w:r w:rsidRPr="007007AD">
        <w:rPr>
          <w:rFonts w:eastAsiaTheme="minorHAnsi"/>
          <w:kern w:val="2"/>
          <w:lang w:val="en-US"/>
          <w14:ligatures w14:val="standardContextual"/>
        </w:rPr>
        <w:t>Neuropharmacology, 30(5), 249–255. https://doi.org/10.1097/wnf.0b013e31804c780e </w:t>
      </w:r>
    </w:p>
    <w:p w14:paraId="666069C8" w14:textId="729D6BD2" w:rsidR="00B46A29" w:rsidRPr="007007AD" w:rsidRDefault="00B46A29"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Paul, B., Aggarwal, S., Paul, G., Khehra, A., &amp; Jain, A. (2023a). Impulse-control disorders and restless leg syndrome in parkinson’s disease: Association or coexistence. Annals of Indian Academy of Neurology, 26(2), 161. https://doi.org/10.4103/aian.aian_940_22 </w:t>
      </w:r>
    </w:p>
    <w:p w14:paraId="30A58F8A" w14:textId="1B71C75C" w:rsidR="00B46A29" w:rsidRPr="007007AD" w:rsidRDefault="00B46A29" w:rsidP="00B46A29">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 xml:space="preserve">Khan, F. H., Ahlberg, C. D., Chow, C. A., Shah, D. R., &amp; Koo, B. B. (2017). Iron, dopamine, genetics, and hormones in the pathophysiology of restless legs syndrome. Journal of Neurology, 264(8), 1634–1641. </w:t>
      </w:r>
      <w:hyperlink r:id="rId14" w:history="1">
        <w:r w:rsidRPr="007007AD">
          <w:rPr>
            <w:rFonts w:eastAsiaTheme="minorHAnsi"/>
            <w:kern w:val="2"/>
            <w:lang w:val="en-US"/>
            <w14:ligatures w14:val="standardContextual"/>
          </w:rPr>
          <w:t>https://doi.org/10.1007/s00415</w:t>
        </w:r>
      </w:hyperlink>
      <w:r w:rsidRPr="007007AD">
        <w:rPr>
          <w:rFonts w:eastAsiaTheme="minorHAnsi"/>
          <w:kern w:val="2"/>
          <w:lang w:val="en-US"/>
          <w14:ligatures w14:val="standardContextual"/>
        </w:rPr>
        <w:t xml:space="preserve"> 017-8431-1 </w:t>
      </w:r>
    </w:p>
    <w:p w14:paraId="75207865" w14:textId="75AE2F91" w:rsidR="00B96318" w:rsidRPr="007007AD" w:rsidRDefault="00B46A29" w:rsidP="00E079F3">
      <w:pPr>
        <w:pStyle w:val="NormalWeb"/>
        <w:numPr>
          <w:ilvl w:val="0"/>
          <w:numId w:val="4"/>
        </w:numPr>
        <w:jc w:val="both"/>
        <w:rPr>
          <w:rFonts w:eastAsiaTheme="minorHAnsi"/>
          <w:kern w:val="2"/>
          <w:lang w:val="en-US"/>
          <w14:ligatures w14:val="standardContextual"/>
        </w:rPr>
      </w:pPr>
      <w:r w:rsidRPr="007007AD">
        <w:rPr>
          <w:rFonts w:eastAsiaTheme="minorHAnsi"/>
          <w:kern w:val="2"/>
          <w:lang w:val="en-US"/>
          <w14:ligatures w14:val="standardContextual"/>
        </w:rPr>
        <w:t>Pourcher, E., Rémillard, S., &amp; Cohen, H. (2010). Compulsive habits in restless legs syndrome patients under dopaminergic treatment. Journal of the Neurological Sciences, 290(1–2), 52–56. https://doi.org/10.1016/j.jns.2009.11.01</w:t>
      </w:r>
    </w:p>
    <w:p w14:paraId="10F35597" w14:textId="77777777" w:rsidR="00AE2D66" w:rsidRDefault="00AE2D66" w:rsidP="00B61137">
      <w:pPr>
        <w:rPr>
          <w:rFonts w:ascii="Times New Roman" w:eastAsia="Times New Roman" w:hAnsi="Times New Roman" w:cs="Times New Roman"/>
          <w:color w:val="000000"/>
        </w:rPr>
      </w:pPr>
    </w:p>
    <w:p w14:paraId="1843AC60" w14:textId="77777777" w:rsidR="00AE2D66" w:rsidRDefault="00AE2D66" w:rsidP="00B61137">
      <w:pPr>
        <w:rPr>
          <w:rFonts w:ascii="Times New Roman" w:eastAsia="Times New Roman" w:hAnsi="Times New Roman" w:cs="Times New Roman"/>
          <w:color w:val="000000"/>
        </w:rPr>
      </w:pPr>
    </w:p>
    <w:p w14:paraId="54BFE569" w14:textId="77777777" w:rsidR="00AE2D66" w:rsidRDefault="00AE2D66" w:rsidP="00B61137">
      <w:pPr>
        <w:rPr>
          <w:rFonts w:ascii="Times New Roman" w:eastAsia="Times New Roman" w:hAnsi="Times New Roman" w:cs="Times New Roman"/>
          <w:color w:val="000000"/>
        </w:rPr>
      </w:pPr>
    </w:p>
    <w:p w14:paraId="10F47135" w14:textId="77777777" w:rsidR="00C94541" w:rsidRDefault="00C94541" w:rsidP="00B61137">
      <w:pPr>
        <w:rPr>
          <w:rFonts w:ascii="Times New Roman" w:eastAsia="Times New Roman" w:hAnsi="Times New Roman" w:cs="Times New Roman"/>
          <w:color w:val="000000"/>
        </w:rPr>
      </w:pPr>
    </w:p>
    <w:p w14:paraId="1A14D0B1" w14:textId="77777777" w:rsidR="00C94541" w:rsidRDefault="00C94541" w:rsidP="00B61137">
      <w:pPr>
        <w:rPr>
          <w:rFonts w:ascii="Times New Roman" w:eastAsia="Times New Roman" w:hAnsi="Times New Roman" w:cs="Times New Roman"/>
          <w:color w:val="000000"/>
        </w:rPr>
      </w:pPr>
    </w:p>
    <w:p w14:paraId="55570B7A" w14:textId="77777777" w:rsidR="00C94541" w:rsidRDefault="00C94541" w:rsidP="00B61137">
      <w:pPr>
        <w:rPr>
          <w:rFonts w:ascii="Times New Roman" w:eastAsia="Times New Roman" w:hAnsi="Times New Roman" w:cs="Times New Roman"/>
          <w:color w:val="000000"/>
        </w:rPr>
      </w:pPr>
    </w:p>
    <w:p w14:paraId="5EBFDA22" w14:textId="77777777" w:rsidR="00C51EE6" w:rsidRDefault="00C51EE6" w:rsidP="00B61137">
      <w:pPr>
        <w:rPr>
          <w:rFonts w:ascii="Times New Roman" w:eastAsia="Times New Roman" w:hAnsi="Times New Roman" w:cs="Times New Roman"/>
          <w:color w:val="000000"/>
        </w:rPr>
      </w:pPr>
    </w:p>
    <w:p w14:paraId="198C694D" w14:textId="5431778F" w:rsidR="00B96318" w:rsidRPr="007007AD" w:rsidRDefault="00B46A29" w:rsidP="00B61137">
      <w:pPr>
        <w:rPr>
          <w:rFonts w:ascii="Times New Roman" w:eastAsia="Times New Roman" w:hAnsi="Times New Roman" w:cs="Times New Roman"/>
          <w:color w:val="000000"/>
        </w:rPr>
      </w:pPr>
      <w:r w:rsidRPr="007007AD">
        <w:rPr>
          <w:rFonts w:ascii="Times New Roman" w:hAnsi="Times New Roman" w:cs="Times New Roman"/>
          <w:noProof/>
        </w:rPr>
        <w:drawing>
          <wp:anchor distT="0" distB="0" distL="114300" distR="114300" simplePos="0" relativeHeight="251660288" behindDoc="0" locked="0" layoutInCell="1" allowOverlap="1" wp14:anchorId="29CE12D6" wp14:editId="62CC9B86">
            <wp:simplePos x="0" y="0"/>
            <wp:positionH relativeFrom="column">
              <wp:posOffset>406309</wp:posOffset>
            </wp:positionH>
            <wp:positionV relativeFrom="paragraph">
              <wp:posOffset>160655</wp:posOffset>
            </wp:positionV>
            <wp:extent cx="3923818" cy="1516283"/>
            <wp:effectExtent l="0" t="0" r="13335" b="8255"/>
            <wp:wrapSquare wrapText="bothSides"/>
            <wp:docPr id="1120617348" name="Grafik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14:paraId="4A995C8A" w14:textId="038B7816" w:rsidR="00B46A29" w:rsidRPr="007007AD" w:rsidRDefault="00B46A29" w:rsidP="00B46A29">
      <w:pPr>
        <w:pStyle w:val="ListParagraph"/>
        <w:jc w:val="both"/>
        <w:rPr>
          <w:rFonts w:ascii="Times New Roman" w:hAnsi="Times New Roman" w:cs="Times New Roman"/>
        </w:rPr>
      </w:pPr>
    </w:p>
    <w:p w14:paraId="614377AB" w14:textId="77777777" w:rsidR="00B46A29" w:rsidRPr="007007AD" w:rsidRDefault="00B46A29" w:rsidP="00B46A29">
      <w:pPr>
        <w:pStyle w:val="ListParagraph"/>
        <w:jc w:val="both"/>
        <w:rPr>
          <w:rFonts w:ascii="Times New Roman" w:hAnsi="Times New Roman" w:cs="Times New Roman"/>
        </w:rPr>
      </w:pPr>
    </w:p>
    <w:p w14:paraId="26C3B2B6" w14:textId="77777777" w:rsidR="00B46A29" w:rsidRPr="007007AD" w:rsidRDefault="00B46A29" w:rsidP="00B46A29">
      <w:pPr>
        <w:pStyle w:val="ListParagraph"/>
        <w:jc w:val="both"/>
        <w:rPr>
          <w:rFonts w:ascii="Times New Roman" w:hAnsi="Times New Roman" w:cs="Times New Roman"/>
        </w:rPr>
      </w:pPr>
    </w:p>
    <w:p w14:paraId="20734719" w14:textId="77777777" w:rsidR="00B46A29" w:rsidRPr="007007AD" w:rsidRDefault="00B46A29" w:rsidP="00B46A29">
      <w:pPr>
        <w:pStyle w:val="ListParagraph"/>
        <w:jc w:val="both"/>
        <w:rPr>
          <w:rFonts w:ascii="Times New Roman" w:hAnsi="Times New Roman" w:cs="Times New Roman"/>
        </w:rPr>
      </w:pPr>
    </w:p>
    <w:p w14:paraId="73E37B5B" w14:textId="77777777" w:rsidR="00B46A29" w:rsidRPr="007007AD" w:rsidRDefault="00B46A29" w:rsidP="00B46A29">
      <w:pPr>
        <w:pStyle w:val="ListParagraph"/>
        <w:jc w:val="both"/>
        <w:rPr>
          <w:rFonts w:ascii="Times New Roman" w:hAnsi="Times New Roman" w:cs="Times New Roman"/>
        </w:rPr>
      </w:pPr>
    </w:p>
    <w:p w14:paraId="18DFD9FA" w14:textId="77777777" w:rsidR="00B46A29" w:rsidRPr="007007AD" w:rsidRDefault="00B46A29" w:rsidP="00B46A29">
      <w:pPr>
        <w:pStyle w:val="ListParagraph"/>
        <w:jc w:val="both"/>
        <w:rPr>
          <w:rFonts w:ascii="Times New Roman" w:hAnsi="Times New Roman" w:cs="Times New Roman"/>
        </w:rPr>
      </w:pPr>
    </w:p>
    <w:p w14:paraId="244F6C92" w14:textId="77777777" w:rsidR="00B46A29" w:rsidRPr="007007AD" w:rsidRDefault="00B46A29" w:rsidP="00B46A29">
      <w:pPr>
        <w:pStyle w:val="ListParagraph"/>
        <w:jc w:val="both"/>
        <w:rPr>
          <w:rFonts w:ascii="Times New Roman" w:hAnsi="Times New Roman" w:cs="Times New Roman"/>
        </w:rPr>
      </w:pPr>
    </w:p>
    <w:p w14:paraId="55A87C9E" w14:textId="77777777" w:rsidR="00B46A29" w:rsidRPr="007007AD" w:rsidRDefault="00B46A29" w:rsidP="00B46A29">
      <w:pPr>
        <w:pStyle w:val="ListParagraph"/>
        <w:jc w:val="both"/>
        <w:rPr>
          <w:rFonts w:ascii="Times New Roman" w:hAnsi="Times New Roman" w:cs="Times New Roman"/>
        </w:rPr>
      </w:pPr>
    </w:p>
    <w:p w14:paraId="0FB574BF" w14:textId="77777777" w:rsidR="00B46A29" w:rsidRPr="007007AD" w:rsidRDefault="00B46A29" w:rsidP="00B46A29">
      <w:pPr>
        <w:pStyle w:val="ListParagraph"/>
        <w:jc w:val="both"/>
        <w:rPr>
          <w:rFonts w:ascii="Times New Roman" w:hAnsi="Times New Roman" w:cs="Times New Roman"/>
        </w:rPr>
      </w:pPr>
    </w:p>
    <w:p w14:paraId="35CCB474" w14:textId="3BC1AA77" w:rsidR="00B46A29" w:rsidRPr="007007AD" w:rsidRDefault="00B46A29" w:rsidP="00B46A29">
      <w:pPr>
        <w:pStyle w:val="ListParagraph"/>
        <w:jc w:val="both"/>
        <w:rPr>
          <w:rFonts w:ascii="Times New Roman" w:hAnsi="Times New Roman" w:cs="Times New Roman"/>
          <w:color w:val="000000" w:themeColor="text1"/>
          <w:lang w:val="tr-TR"/>
        </w:rPr>
      </w:pPr>
      <w:r w:rsidRPr="007007AD">
        <w:rPr>
          <w:rFonts w:ascii="Times New Roman" w:hAnsi="Times New Roman" w:cs="Times New Roman"/>
          <w:b/>
          <w:bCs/>
          <w:lang w:val="tr-TR"/>
        </w:rPr>
        <w:t>Figure-1:</w:t>
      </w:r>
      <w:r w:rsidRPr="007007AD">
        <w:rPr>
          <w:rFonts w:ascii="Times New Roman" w:hAnsi="Times New Roman" w:cs="Times New Roman"/>
          <w:lang w:val="tr-TR"/>
        </w:rPr>
        <w:t xml:space="preserve"> </w:t>
      </w:r>
      <w:r w:rsidRPr="007007AD">
        <w:rPr>
          <w:rFonts w:ascii="Times New Roman" w:hAnsi="Times New Roman" w:cs="Times New Roman"/>
          <w:color w:val="000000" w:themeColor="text1"/>
          <w:lang w:val="tr-TR"/>
        </w:rPr>
        <w:t xml:space="preserve">ICBD </w:t>
      </w:r>
      <w:proofErr w:type="spellStart"/>
      <w:r w:rsidRPr="007007AD">
        <w:rPr>
          <w:rFonts w:ascii="Times New Roman" w:hAnsi="Times New Roman" w:cs="Times New Roman"/>
          <w:color w:val="000000" w:themeColor="text1"/>
          <w:lang w:val="tr-TR"/>
        </w:rPr>
        <w:t>and</w:t>
      </w:r>
      <w:proofErr w:type="spellEnd"/>
      <w:r w:rsidRPr="007007AD">
        <w:rPr>
          <w:rFonts w:ascii="Times New Roman" w:hAnsi="Times New Roman" w:cs="Times New Roman"/>
          <w:color w:val="000000" w:themeColor="text1"/>
          <w:lang w:val="tr-TR"/>
        </w:rPr>
        <w:t xml:space="preserve"> </w:t>
      </w:r>
      <w:proofErr w:type="spellStart"/>
      <w:r w:rsidRPr="007007AD">
        <w:rPr>
          <w:rFonts w:ascii="Times New Roman" w:hAnsi="Times New Roman" w:cs="Times New Roman"/>
          <w:color w:val="000000" w:themeColor="text1"/>
          <w:lang w:val="tr-TR"/>
        </w:rPr>
        <w:t>Other</w:t>
      </w:r>
      <w:proofErr w:type="spellEnd"/>
      <w:r w:rsidRPr="007007AD">
        <w:rPr>
          <w:rFonts w:ascii="Times New Roman" w:hAnsi="Times New Roman" w:cs="Times New Roman"/>
          <w:color w:val="000000" w:themeColor="text1"/>
          <w:lang w:val="tr-TR"/>
        </w:rPr>
        <w:t xml:space="preserve"> </w:t>
      </w:r>
      <w:proofErr w:type="spellStart"/>
      <w:r w:rsidRPr="007007AD">
        <w:rPr>
          <w:rFonts w:ascii="Times New Roman" w:hAnsi="Times New Roman" w:cs="Times New Roman"/>
          <w:color w:val="000000" w:themeColor="text1"/>
          <w:lang w:val="tr-TR"/>
        </w:rPr>
        <w:t>Behavioral</w:t>
      </w:r>
      <w:proofErr w:type="spellEnd"/>
      <w:r w:rsidRPr="007007AD">
        <w:rPr>
          <w:rFonts w:ascii="Times New Roman" w:hAnsi="Times New Roman" w:cs="Times New Roman"/>
          <w:color w:val="000000" w:themeColor="text1"/>
          <w:lang w:val="tr-TR"/>
        </w:rPr>
        <w:t xml:space="preserve"> </w:t>
      </w:r>
      <w:proofErr w:type="spellStart"/>
      <w:r w:rsidRPr="007007AD">
        <w:rPr>
          <w:rFonts w:ascii="Times New Roman" w:hAnsi="Times New Roman" w:cs="Times New Roman"/>
          <w:color w:val="000000" w:themeColor="text1"/>
          <w:lang w:val="tr-TR"/>
        </w:rPr>
        <w:t>Disorder</w:t>
      </w:r>
      <w:proofErr w:type="spellEnd"/>
      <w:r w:rsidRPr="007007AD">
        <w:rPr>
          <w:rFonts w:ascii="Times New Roman" w:hAnsi="Times New Roman" w:cs="Times New Roman"/>
          <w:color w:val="000000" w:themeColor="text1"/>
          <w:lang w:val="tr-TR"/>
        </w:rPr>
        <w:t xml:space="preserve"> </w:t>
      </w:r>
      <w:proofErr w:type="spellStart"/>
      <w:r w:rsidRPr="007007AD">
        <w:rPr>
          <w:rFonts w:ascii="Times New Roman" w:hAnsi="Times New Roman" w:cs="Times New Roman"/>
          <w:color w:val="000000" w:themeColor="text1"/>
          <w:lang w:val="tr-TR"/>
        </w:rPr>
        <w:t>Types</w:t>
      </w:r>
      <w:proofErr w:type="spellEnd"/>
      <w:r w:rsidRPr="007007AD">
        <w:rPr>
          <w:rFonts w:ascii="Times New Roman" w:hAnsi="Times New Roman" w:cs="Times New Roman"/>
          <w:color w:val="000000" w:themeColor="text1"/>
          <w:lang w:val="tr-TR"/>
        </w:rPr>
        <w:t xml:space="preserve"> </w:t>
      </w:r>
      <w:proofErr w:type="spellStart"/>
      <w:r w:rsidRPr="007007AD">
        <w:rPr>
          <w:rFonts w:ascii="Times New Roman" w:hAnsi="Times New Roman" w:cs="Times New Roman"/>
          <w:color w:val="000000" w:themeColor="text1"/>
          <w:lang w:val="tr-TR"/>
        </w:rPr>
        <w:t>Between</w:t>
      </w:r>
      <w:proofErr w:type="spellEnd"/>
      <w:r w:rsidRPr="007007AD">
        <w:rPr>
          <w:rFonts w:ascii="Times New Roman" w:hAnsi="Times New Roman" w:cs="Times New Roman"/>
          <w:color w:val="000000" w:themeColor="text1"/>
          <w:lang w:val="tr-TR"/>
        </w:rPr>
        <w:t xml:space="preserve"> </w:t>
      </w:r>
      <w:proofErr w:type="spellStart"/>
      <w:r w:rsidRPr="007007AD">
        <w:rPr>
          <w:rFonts w:ascii="Times New Roman" w:hAnsi="Times New Roman" w:cs="Times New Roman"/>
          <w:color w:val="000000" w:themeColor="text1"/>
          <w:lang w:val="tr-TR"/>
        </w:rPr>
        <w:t>Groups</w:t>
      </w:r>
      <w:proofErr w:type="spellEnd"/>
    </w:p>
    <w:p w14:paraId="76E187B7" w14:textId="6A787567" w:rsidR="002107D8" w:rsidRDefault="00AC0AE9" w:rsidP="007007AD">
      <w:pPr>
        <w:pStyle w:val="ListParagraph"/>
        <w:jc w:val="both"/>
        <w:rPr>
          <w:rFonts w:ascii="Times New Roman" w:hAnsi="Times New Roman" w:cs="Times New Roman"/>
          <w:lang w:val="tr-TR"/>
        </w:rPr>
      </w:pPr>
      <w:r w:rsidRPr="007007AD">
        <w:rPr>
          <w:rFonts w:ascii="Times New Roman" w:hAnsi="Times New Roman" w:cs="Times New Roman"/>
          <w:lang w:val="tr-TR"/>
        </w:rPr>
        <w:br w:type="textWrapping" w:clear="all"/>
      </w:r>
    </w:p>
    <w:p w14:paraId="7E77BA79" w14:textId="77777777" w:rsidR="007007AD" w:rsidRDefault="007007AD" w:rsidP="007007AD">
      <w:pPr>
        <w:pStyle w:val="ListParagraph"/>
        <w:jc w:val="both"/>
        <w:rPr>
          <w:rFonts w:ascii="Times New Roman" w:hAnsi="Times New Roman" w:cs="Times New Roman"/>
          <w:lang w:val="tr-TR"/>
        </w:rPr>
      </w:pPr>
    </w:p>
    <w:p w14:paraId="4C6097B6" w14:textId="77777777" w:rsidR="00C51EE6" w:rsidRDefault="00C51EE6" w:rsidP="007007AD">
      <w:pPr>
        <w:pStyle w:val="ListParagraph"/>
        <w:jc w:val="both"/>
        <w:rPr>
          <w:rFonts w:ascii="Times New Roman" w:hAnsi="Times New Roman" w:cs="Times New Roman"/>
          <w:lang w:val="tr-TR"/>
        </w:rPr>
      </w:pPr>
    </w:p>
    <w:p w14:paraId="5B82BF3A" w14:textId="77777777" w:rsidR="00C51EE6" w:rsidRDefault="00C51EE6" w:rsidP="007007AD">
      <w:pPr>
        <w:pStyle w:val="ListParagraph"/>
        <w:jc w:val="both"/>
        <w:rPr>
          <w:rFonts w:ascii="Times New Roman" w:hAnsi="Times New Roman" w:cs="Times New Roman"/>
          <w:lang w:val="tr-TR"/>
        </w:rPr>
      </w:pPr>
    </w:p>
    <w:p w14:paraId="62442B0D" w14:textId="77777777" w:rsidR="00C51EE6" w:rsidRDefault="00C51EE6" w:rsidP="007007AD">
      <w:pPr>
        <w:pStyle w:val="ListParagraph"/>
        <w:jc w:val="both"/>
        <w:rPr>
          <w:rFonts w:ascii="Times New Roman" w:hAnsi="Times New Roman" w:cs="Times New Roman"/>
          <w:lang w:val="tr-TR"/>
        </w:rPr>
      </w:pPr>
    </w:p>
    <w:p w14:paraId="35DDB925" w14:textId="77777777" w:rsidR="00C51EE6" w:rsidRDefault="00C51EE6" w:rsidP="007007AD">
      <w:pPr>
        <w:pStyle w:val="ListParagraph"/>
        <w:jc w:val="both"/>
        <w:rPr>
          <w:rFonts w:ascii="Times New Roman" w:hAnsi="Times New Roman" w:cs="Times New Roman"/>
          <w:lang w:val="tr-TR"/>
        </w:rPr>
      </w:pPr>
    </w:p>
    <w:p w14:paraId="2CFCEA06" w14:textId="77777777" w:rsidR="00C51EE6" w:rsidRDefault="00C51EE6" w:rsidP="007007AD">
      <w:pPr>
        <w:pStyle w:val="ListParagraph"/>
        <w:jc w:val="both"/>
        <w:rPr>
          <w:rFonts w:ascii="Times New Roman" w:hAnsi="Times New Roman" w:cs="Times New Roman"/>
          <w:lang w:val="tr-TR"/>
        </w:rPr>
      </w:pPr>
    </w:p>
    <w:p w14:paraId="0920ABD0" w14:textId="77777777" w:rsidR="002107D8" w:rsidRPr="007007AD" w:rsidRDefault="002107D8" w:rsidP="00AC0AE9">
      <w:pPr>
        <w:jc w:val="both"/>
        <w:rPr>
          <w:rFonts w:ascii="Times New Roman" w:hAnsi="Times New Roman" w:cs="Times New Roman"/>
          <w:b/>
          <w:bCs/>
        </w:rPr>
      </w:pPr>
    </w:p>
    <w:p w14:paraId="17D94329" w14:textId="45207476" w:rsidR="00AC0AE9" w:rsidRPr="007007AD" w:rsidRDefault="00AC0AE9" w:rsidP="00AC0AE9">
      <w:pPr>
        <w:jc w:val="both"/>
        <w:rPr>
          <w:rFonts w:ascii="Times New Roman" w:hAnsi="Times New Roman" w:cs="Times New Roman"/>
        </w:rPr>
      </w:pPr>
      <w:r w:rsidRPr="007007AD">
        <w:rPr>
          <w:rFonts w:ascii="Times New Roman" w:hAnsi="Times New Roman" w:cs="Times New Roman"/>
          <w:b/>
          <w:bCs/>
        </w:rPr>
        <w:t>Table-1:</w:t>
      </w:r>
      <w:r w:rsidRPr="007007AD">
        <w:rPr>
          <w:rFonts w:ascii="Times New Roman" w:hAnsi="Times New Roman" w:cs="Times New Roman"/>
        </w:rPr>
        <w:t xml:space="preserve"> Demographic and Clinical Characteristics of RLS Patients</w:t>
      </w:r>
    </w:p>
    <w:tbl>
      <w:tblPr>
        <w:tblStyle w:val="PlainTable1"/>
        <w:tblW w:w="8269" w:type="dxa"/>
        <w:tblLook w:val="04A0" w:firstRow="1" w:lastRow="0" w:firstColumn="1" w:lastColumn="0" w:noHBand="0" w:noVBand="1"/>
      </w:tblPr>
      <w:tblGrid>
        <w:gridCol w:w="4164"/>
        <w:gridCol w:w="4105"/>
      </w:tblGrid>
      <w:tr w:rsidR="00AC0AE9" w:rsidRPr="007007AD" w14:paraId="512B07D4" w14:textId="77777777" w:rsidTr="00103CA3">
        <w:trPr>
          <w:cnfStyle w:val="100000000000" w:firstRow="1" w:lastRow="0" w:firstColumn="0" w:lastColumn="0" w:oddVBand="0" w:evenVBand="0" w:oddHBand="0"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04F23A17" w14:textId="77777777" w:rsidR="00AC0AE9" w:rsidRPr="007007AD" w:rsidRDefault="00AC0AE9" w:rsidP="00103CA3">
            <w:pPr>
              <w:jc w:val="both"/>
              <w:rPr>
                <w:rFonts w:ascii="Times New Roman" w:hAnsi="Times New Roman" w:cs="Times New Roman"/>
              </w:rPr>
            </w:pPr>
            <w:proofErr w:type="spellStart"/>
            <w:r w:rsidRPr="007007AD">
              <w:rPr>
                <w:rFonts w:ascii="Times New Roman" w:hAnsi="Times New Roman" w:cs="Times New Roman"/>
              </w:rPr>
              <w:t>Parameters</w:t>
            </w:r>
            <w:proofErr w:type="spellEnd"/>
          </w:p>
        </w:tc>
        <w:tc>
          <w:tcPr>
            <w:tcW w:w="4105" w:type="dxa"/>
            <w:noWrap/>
            <w:hideMark/>
          </w:tcPr>
          <w:p w14:paraId="5BAB2EB0" w14:textId="77777777" w:rsidR="00AC0AE9" w:rsidRPr="007007AD" w:rsidRDefault="00AC0AE9" w:rsidP="00103CA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 xml:space="preserve">Value </w:t>
            </w:r>
            <w:r w:rsidRPr="007007AD">
              <w:rPr>
                <w:rFonts w:ascii="Times New Roman" w:hAnsi="Times New Roman" w:cs="Times New Roman"/>
              </w:rPr>
              <w:br/>
              <w:t xml:space="preserve">(N, </w:t>
            </w:r>
            <w:proofErr w:type="spellStart"/>
            <w:r w:rsidRPr="007007AD">
              <w:rPr>
                <w:rFonts w:ascii="Times New Roman" w:hAnsi="Times New Roman" w:cs="Times New Roman"/>
              </w:rPr>
              <w:t>Mean</w:t>
            </w:r>
            <w:proofErr w:type="spellEnd"/>
            <w:r w:rsidRPr="007007AD">
              <w:rPr>
                <w:rFonts w:ascii="Times New Roman" w:hAnsi="Times New Roman" w:cs="Times New Roman"/>
              </w:rPr>
              <w:t xml:space="preserve"> ± SD / </w:t>
            </w:r>
            <w:proofErr w:type="spellStart"/>
            <w:r w:rsidRPr="007007AD">
              <w:rPr>
                <w:rFonts w:ascii="Times New Roman" w:hAnsi="Times New Roman" w:cs="Times New Roman"/>
              </w:rPr>
              <w:t>Median</w:t>
            </w:r>
            <w:proofErr w:type="spellEnd"/>
            <w:r w:rsidRPr="007007AD">
              <w:rPr>
                <w:rFonts w:ascii="Times New Roman" w:hAnsi="Times New Roman" w:cs="Times New Roman"/>
              </w:rPr>
              <w:t xml:space="preserve"> (</w:t>
            </w:r>
            <w:proofErr w:type="spellStart"/>
            <w:r w:rsidRPr="007007AD">
              <w:rPr>
                <w:rFonts w:ascii="Times New Roman" w:hAnsi="Times New Roman" w:cs="Times New Roman"/>
              </w:rPr>
              <w:t>Min-Max</w:t>
            </w:r>
            <w:proofErr w:type="spellEnd"/>
            <w:r w:rsidRPr="007007AD">
              <w:rPr>
                <w:rFonts w:ascii="Times New Roman" w:hAnsi="Times New Roman" w:cs="Times New Roman"/>
              </w:rPr>
              <w:t>))</w:t>
            </w:r>
          </w:p>
        </w:tc>
      </w:tr>
      <w:tr w:rsidR="00AC0AE9" w:rsidRPr="007007AD" w14:paraId="7EEEEE59" w14:textId="77777777" w:rsidTr="00103CA3">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7AD82D73" w14:textId="77777777" w:rsidR="00AC0AE9" w:rsidRPr="007007AD" w:rsidRDefault="00AC0AE9" w:rsidP="00103CA3">
            <w:pPr>
              <w:jc w:val="both"/>
              <w:rPr>
                <w:rFonts w:ascii="Times New Roman" w:hAnsi="Times New Roman" w:cs="Times New Roman"/>
                <w:b w:val="0"/>
                <w:bCs w:val="0"/>
              </w:rPr>
            </w:pPr>
            <w:proofErr w:type="spellStart"/>
            <w:r w:rsidRPr="007007AD">
              <w:rPr>
                <w:rFonts w:ascii="Times New Roman" w:hAnsi="Times New Roman" w:cs="Times New Roman"/>
                <w:b w:val="0"/>
                <w:bCs w:val="0"/>
              </w:rPr>
              <w:t>Sex</w:t>
            </w:r>
            <w:proofErr w:type="spellEnd"/>
          </w:p>
        </w:tc>
        <w:tc>
          <w:tcPr>
            <w:tcW w:w="4105" w:type="dxa"/>
            <w:noWrap/>
            <w:hideMark/>
          </w:tcPr>
          <w:p w14:paraId="52548206"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Male: 31,4% (n=34)</w:t>
            </w:r>
          </w:p>
          <w:p w14:paraId="0F0CF3BA"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sidRPr="007007AD">
              <w:rPr>
                <w:rFonts w:ascii="Times New Roman" w:hAnsi="Times New Roman" w:cs="Times New Roman"/>
              </w:rPr>
              <w:t>Female</w:t>
            </w:r>
            <w:proofErr w:type="spellEnd"/>
            <w:r w:rsidRPr="007007AD">
              <w:rPr>
                <w:rFonts w:ascii="Times New Roman" w:hAnsi="Times New Roman" w:cs="Times New Roman"/>
              </w:rPr>
              <w:t>: 68,5% (n=74)</w:t>
            </w:r>
          </w:p>
        </w:tc>
      </w:tr>
      <w:tr w:rsidR="00AC0AE9" w:rsidRPr="007007AD" w14:paraId="35198D62" w14:textId="77777777" w:rsidTr="00103CA3">
        <w:trPr>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2F3ACCFC" w14:textId="77777777" w:rsidR="00AC0AE9" w:rsidRPr="007007AD" w:rsidRDefault="00AC0AE9" w:rsidP="00103CA3">
            <w:pPr>
              <w:jc w:val="both"/>
              <w:rPr>
                <w:rFonts w:ascii="Times New Roman" w:hAnsi="Times New Roman" w:cs="Times New Roman"/>
                <w:b w:val="0"/>
                <w:bCs w:val="0"/>
              </w:rPr>
            </w:pPr>
            <w:r w:rsidRPr="007007AD">
              <w:rPr>
                <w:rFonts w:ascii="Times New Roman" w:hAnsi="Times New Roman" w:cs="Times New Roman"/>
                <w:b w:val="0"/>
                <w:bCs w:val="0"/>
              </w:rPr>
              <w:t>Age (</w:t>
            </w:r>
            <w:proofErr w:type="spellStart"/>
            <w:r w:rsidRPr="007007AD">
              <w:rPr>
                <w:rFonts w:ascii="Times New Roman" w:hAnsi="Times New Roman" w:cs="Times New Roman"/>
                <w:b w:val="0"/>
                <w:bCs w:val="0"/>
              </w:rPr>
              <w:t>years</w:t>
            </w:r>
            <w:proofErr w:type="spellEnd"/>
            <w:r w:rsidRPr="007007AD">
              <w:rPr>
                <w:rFonts w:ascii="Times New Roman" w:hAnsi="Times New Roman" w:cs="Times New Roman"/>
                <w:b w:val="0"/>
                <w:bCs w:val="0"/>
              </w:rPr>
              <w:t>)</w:t>
            </w:r>
          </w:p>
        </w:tc>
        <w:tc>
          <w:tcPr>
            <w:tcW w:w="4105" w:type="dxa"/>
            <w:noWrap/>
            <w:hideMark/>
          </w:tcPr>
          <w:p w14:paraId="7DD6B4BD"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52.88 ± 14.18</w:t>
            </w:r>
          </w:p>
          <w:p w14:paraId="30E0A4A8"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53 (19-85)</w:t>
            </w:r>
          </w:p>
        </w:tc>
      </w:tr>
      <w:tr w:rsidR="00AC0AE9" w:rsidRPr="007007AD" w14:paraId="51D40956" w14:textId="77777777" w:rsidTr="00103CA3">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3051C5F7" w14:textId="77777777" w:rsidR="00AC0AE9" w:rsidRPr="007007AD" w:rsidRDefault="00AC0AE9" w:rsidP="00103CA3">
            <w:pPr>
              <w:jc w:val="both"/>
              <w:rPr>
                <w:rFonts w:ascii="Times New Roman" w:hAnsi="Times New Roman" w:cs="Times New Roman"/>
                <w:b w:val="0"/>
                <w:bCs w:val="0"/>
              </w:rPr>
            </w:pPr>
            <w:r w:rsidRPr="007007AD">
              <w:rPr>
                <w:rFonts w:ascii="Times New Roman" w:hAnsi="Times New Roman" w:cs="Times New Roman"/>
                <w:b w:val="0"/>
                <w:bCs w:val="0"/>
              </w:rPr>
              <w:t xml:space="preserve">Age at </w:t>
            </w:r>
            <w:proofErr w:type="spellStart"/>
            <w:r w:rsidRPr="007007AD">
              <w:rPr>
                <w:rFonts w:ascii="Times New Roman" w:hAnsi="Times New Roman" w:cs="Times New Roman"/>
                <w:b w:val="0"/>
                <w:bCs w:val="0"/>
              </w:rPr>
              <w:t>disease</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onset</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years</w:t>
            </w:r>
            <w:proofErr w:type="spellEnd"/>
            <w:r w:rsidRPr="007007AD">
              <w:rPr>
                <w:rFonts w:ascii="Times New Roman" w:hAnsi="Times New Roman" w:cs="Times New Roman"/>
                <w:b w:val="0"/>
                <w:bCs w:val="0"/>
              </w:rPr>
              <w:t>)</w:t>
            </w:r>
          </w:p>
        </w:tc>
        <w:tc>
          <w:tcPr>
            <w:tcW w:w="4105" w:type="dxa"/>
            <w:noWrap/>
            <w:hideMark/>
          </w:tcPr>
          <w:p w14:paraId="4C2454A5"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45.77 ± 13.85</w:t>
            </w:r>
          </w:p>
          <w:p w14:paraId="28D01576"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46 (10-80)</w:t>
            </w:r>
          </w:p>
        </w:tc>
      </w:tr>
      <w:tr w:rsidR="00AC0AE9" w:rsidRPr="007007AD" w14:paraId="2506BF10" w14:textId="77777777" w:rsidTr="00103CA3">
        <w:trPr>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4E770E4B" w14:textId="77777777" w:rsidR="00AC0AE9" w:rsidRPr="007007AD" w:rsidRDefault="00AC0AE9" w:rsidP="00103CA3">
            <w:pPr>
              <w:jc w:val="both"/>
              <w:rPr>
                <w:rFonts w:ascii="Times New Roman" w:hAnsi="Times New Roman" w:cs="Times New Roman"/>
                <w:b w:val="0"/>
                <w:bCs w:val="0"/>
              </w:rPr>
            </w:pPr>
            <w:proofErr w:type="spellStart"/>
            <w:r w:rsidRPr="007007AD">
              <w:rPr>
                <w:rFonts w:ascii="Times New Roman" w:hAnsi="Times New Roman" w:cs="Times New Roman"/>
                <w:b w:val="0"/>
                <w:bCs w:val="0"/>
              </w:rPr>
              <w:t>Disease</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duration</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months</w:t>
            </w:r>
            <w:proofErr w:type="spellEnd"/>
            <w:r w:rsidRPr="007007AD">
              <w:rPr>
                <w:rFonts w:ascii="Times New Roman" w:hAnsi="Times New Roman" w:cs="Times New Roman"/>
                <w:b w:val="0"/>
                <w:bCs w:val="0"/>
              </w:rPr>
              <w:t>)</w:t>
            </w:r>
          </w:p>
        </w:tc>
        <w:tc>
          <w:tcPr>
            <w:tcW w:w="4105" w:type="dxa"/>
            <w:noWrap/>
            <w:hideMark/>
          </w:tcPr>
          <w:p w14:paraId="486C3C38"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28 ± 7.05</w:t>
            </w:r>
          </w:p>
          <w:p w14:paraId="7B4F1C89"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5 (1-40)</w:t>
            </w:r>
          </w:p>
        </w:tc>
      </w:tr>
      <w:tr w:rsidR="00AC0AE9" w:rsidRPr="007007AD" w14:paraId="391F3ECC" w14:textId="77777777" w:rsidTr="00103CA3">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0EDC9611" w14:textId="77777777" w:rsidR="00AC0AE9" w:rsidRPr="007007AD" w:rsidRDefault="00AC0AE9" w:rsidP="00103CA3">
            <w:pPr>
              <w:jc w:val="both"/>
              <w:rPr>
                <w:rFonts w:ascii="Times New Roman" w:hAnsi="Times New Roman" w:cs="Times New Roman"/>
                <w:b w:val="0"/>
                <w:bCs w:val="0"/>
              </w:rPr>
            </w:pPr>
            <w:proofErr w:type="spellStart"/>
            <w:r w:rsidRPr="007007AD">
              <w:rPr>
                <w:rFonts w:ascii="Times New Roman" w:hAnsi="Times New Roman" w:cs="Times New Roman"/>
                <w:b w:val="0"/>
                <w:bCs w:val="0"/>
              </w:rPr>
              <w:t>Marrital</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status</w:t>
            </w:r>
            <w:proofErr w:type="spellEnd"/>
          </w:p>
        </w:tc>
        <w:tc>
          <w:tcPr>
            <w:tcW w:w="4105" w:type="dxa"/>
            <w:noWrap/>
            <w:hideMark/>
          </w:tcPr>
          <w:p w14:paraId="3F75C811"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sidRPr="007007AD">
              <w:rPr>
                <w:rFonts w:ascii="Times New Roman" w:hAnsi="Times New Roman" w:cs="Times New Roman"/>
              </w:rPr>
              <w:t>Married</w:t>
            </w:r>
            <w:proofErr w:type="spellEnd"/>
            <w:r w:rsidRPr="007007AD">
              <w:rPr>
                <w:rFonts w:ascii="Times New Roman" w:hAnsi="Times New Roman" w:cs="Times New Roman"/>
              </w:rPr>
              <w:t>: 89,8% (n=97)</w:t>
            </w:r>
          </w:p>
          <w:p w14:paraId="24890F5E"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sidRPr="007007AD">
              <w:rPr>
                <w:rFonts w:ascii="Times New Roman" w:hAnsi="Times New Roman" w:cs="Times New Roman"/>
              </w:rPr>
              <w:t>Single</w:t>
            </w:r>
            <w:proofErr w:type="spellEnd"/>
            <w:r w:rsidRPr="007007AD">
              <w:rPr>
                <w:rFonts w:ascii="Times New Roman" w:hAnsi="Times New Roman" w:cs="Times New Roman"/>
              </w:rPr>
              <w:t>: 10,2% (n=11)</w:t>
            </w:r>
          </w:p>
        </w:tc>
      </w:tr>
      <w:tr w:rsidR="00AC0AE9" w:rsidRPr="007007AD" w14:paraId="32AB80C2" w14:textId="77777777" w:rsidTr="00103CA3">
        <w:trPr>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7EB8F40B" w14:textId="77777777" w:rsidR="00AC0AE9" w:rsidRPr="007007AD" w:rsidRDefault="00AC0AE9" w:rsidP="00103CA3">
            <w:pPr>
              <w:jc w:val="both"/>
              <w:rPr>
                <w:rFonts w:ascii="Times New Roman" w:hAnsi="Times New Roman" w:cs="Times New Roman"/>
                <w:b w:val="0"/>
                <w:bCs w:val="0"/>
              </w:rPr>
            </w:pPr>
            <w:r w:rsidRPr="007007AD">
              <w:rPr>
                <w:rFonts w:ascii="Times New Roman" w:hAnsi="Times New Roman" w:cs="Times New Roman"/>
                <w:b w:val="0"/>
                <w:bCs w:val="0"/>
              </w:rPr>
              <w:t xml:space="preserve">Presence of </w:t>
            </w:r>
            <w:proofErr w:type="spellStart"/>
            <w:r w:rsidRPr="007007AD">
              <w:rPr>
                <w:rFonts w:ascii="Times New Roman" w:hAnsi="Times New Roman" w:cs="Times New Roman"/>
                <w:b w:val="0"/>
                <w:bCs w:val="0"/>
              </w:rPr>
              <w:t>family</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history</w:t>
            </w:r>
            <w:proofErr w:type="spellEnd"/>
            <w:r w:rsidRPr="007007AD">
              <w:rPr>
                <w:rFonts w:ascii="Times New Roman" w:hAnsi="Times New Roman" w:cs="Times New Roman"/>
                <w:b w:val="0"/>
                <w:bCs w:val="0"/>
              </w:rPr>
              <w:t xml:space="preserve"> </w:t>
            </w:r>
          </w:p>
        </w:tc>
        <w:tc>
          <w:tcPr>
            <w:tcW w:w="4105" w:type="dxa"/>
            <w:noWrap/>
            <w:hideMark/>
          </w:tcPr>
          <w:p w14:paraId="18774555"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31,5% (n=34)</w:t>
            </w:r>
          </w:p>
        </w:tc>
      </w:tr>
      <w:tr w:rsidR="00AC0AE9" w:rsidRPr="007007AD" w14:paraId="2B40ABE9" w14:textId="77777777" w:rsidTr="00103CA3">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787752C3" w14:textId="77777777" w:rsidR="00AC0AE9" w:rsidRPr="007007AD" w:rsidRDefault="00AC0AE9" w:rsidP="00103CA3">
            <w:pPr>
              <w:jc w:val="both"/>
              <w:rPr>
                <w:rFonts w:ascii="Times New Roman" w:hAnsi="Times New Roman" w:cs="Times New Roman"/>
                <w:b w:val="0"/>
                <w:bCs w:val="0"/>
              </w:rPr>
            </w:pPr>
            <w:r w:rsidRPr="007007AD">
              <w:rPr>
                <w:rFonts w:ascii="Times New Roman" w:hAnsi="Times New Roman" w:cs="Times New Roman"/>
                <w:b w:val="0"/>
                <w:bCs w:val="0"/>
              </w:rPr>
              <w:t xml:space="preserve">RLS </w:t>
            </w:r>
            <w:proofErr w:type="spellStart"/>
            <w:r w:rsidRPr="007007AD">
              <w:rPr>
                <w:rFonts w:ascii="Times New Roman" w:hAnsi="Times New Roman" w:cs="Times New Roman"/>
                <w:b w:val="0"/>
                <w:bCs w:val="0"/>
              </w:rPr>
              <w:t>severity</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score</w:t>
            </w:r>
            <w:proofErr w:type="spellEnd"/>
          </w:p>
        </w:tc>
        <w:tc>
          <w:tcPr>
            <w:tcW w:w="4105" w:type="dxa"/>
            <w:noWrap/>
            <w:hideMark/>
          </w:tcPr>
          <w:p w14:paraId="14AEFD33"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27.84 ± 6.31</w:t>
            </w:r>
          </w:p>
          <w:p w14:paraId="183458D5"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28 (12-44)</w:t>
            </w:r>
          </w:p>
        </w:tc>
      </w:tr>
      <w:tr w:rsidR="00AC0AE9" w:rsidRPr="007007AD" w14:paraId="5D904F01" w14:textId="77777777" w:rsidTr="00103CA3">
        <w:trPr>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6B0FDCE3" w14:textId="77777777" w:rsidR="00AC0AE9" w:rsidRPr="007007AD" w:rsidRDefault="00AC0AE9" w:rsidP="00103CA3">
            <w:pPr>
              <w:jc w:val="both"/>
              <w:rPr>
                <w:rFonts w:ascii="Times New Roman" w:hAnsi="Times New Roman" w:cs="Times New Roman"/>
                <w:b w:val="0"/>
                <w:bCs w:val="0"/>
              </w:rPr>
            </w:pPr>
            <w:proofErr w:type="spellStart"/>
            <w:r w:rsidRPr="007007AD">
              <w:rPr>
                <w:rFonts w:ascii="Times New Roman" w:hAnsi="Times New Roman" w:cs="Times New Roman"/>
                <w:b w:val="0"/>
                <w:bCs w:val="0"/>
              </w:rPr>
              <w:t>Patients</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receiving</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pramipexole</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treatment</w:t>
            </w:r>
            <w:proofErr w:type="spellEnd"/>
          </w:p>
        </w:tc>
        <w:tc>
          <w:tcPr>
            <w:tcW w:w="4105" w:type="dxa"/>
            <w:noWrap/>
            <w:hideMark/>
          </w:tcPr>
          <w:p w14:paraId="5A99E919"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50,9% (n=55)</w:t>
            </w:r>
          </w:p>
        </w:tc>
      </w:tr>
      <w:tr w:rsidR="00AC0AE9" w:rsidRPr="007007AD" w14:paraId="46C0A080" w14:textId="77777777" w:rsidTr="00103CA3">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0433BAED" w14:textId="77777777" w:rsidR="00AC0AE9" w:rsidRPr="007007AD" w:rsidRDefault="00AC0AE9" w:rsidP="00103CA3">
            <w:pPr>
              <w:jc w:val="both"/>
              <w:rPr>
                <w:rFonts w:ascii="Times New Roman" w:hAnsi="Times New Roman" w:cs="Times New Roman"/>
                <w:b w:val="0"/>
                <w:bCs w:val="0"/>
              </w:rPr>
            </w:pPr>
            <w:proofErr w:type="spellStart"/>
            <w:r w:rsidRPr="007007AD">
              <w:rPr>
                <w:rFonts w:ascii="Times New Roman" w:hAnsi="Times New Roman" w:cs="Times New Roman"/>
                <w:b w:val="0"/>
                <w:bCs w:val="0"/>
              </w:rPr>
              <w:t>Pramipexole</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dose</w:t>
            </w:r>
            <w:proofErr w:type="spellEnd"/>
            <w:r w:rsidRPr="007007AD">
              <w:rPr>
                <w:rFonts w:ascii="Times New Roman" w:hAnsi="Times New Roman" w:cs="Times New Roman"/>
                <w:b w:val="0"/>
                <w:bCs w:val="0"/>
              </w:rPr>
              <w:t xml:space="preserve"> (mg)</w:t>
            </w:r>
          </w:p>
        </w:tc>
        <w:tc>
          <w:tcPr>
            <w:tcW w:w="4105" w:type="dxa"/>
            <w:noWrap/>
            <w:hideMark/>
          </w:tcPr>
          <w:p w14:paraId="4F96B63E"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0.52 ± 0.47</w:t>
            </w:r>
          </w:p>
          <w:p w14:paraId="63DA3F70"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0.25 (0.25-3)</w:t>
            </w:r>
          </w:p>
        </w:tc>
      </w:tr>
      <w:tr w:rsidR="00AC0AE9" w:rsidRPr="007007AD" w14:paraId="47C97FC0" w14:textId="77777777" w:rsidTr="00103CA3">
        <w:trPr>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66DA2F28" w14:textId="77777777" w:rsidR="00AC0AE9" w:rsidRPr="007007AD" w:rsidRDefault="00AC0AE9" w:rsidP="00103CA3">
            <w:pPr>
              <w:jc w:val="both"/>
              <w:rPr>
                <w:rFonts w:ascii="Times New Roman" w:hAnsi="Times New Roman" w:cs="Times New Roman"/>
                <w:b w:val="0"/>
                <w:bCs w:val="0"/>
              </w:rPr>
            </w:pPr>
            <w:proofErr w:type="spellStart"/>
            <w:r w:rsidRPr="007007AD">
              <w:rPr>
                <w:rFonts w:ascii="Times New Roman" w:hAnsi="Times New Roman" w:cs="Times New Roman"/>
                <w:b w:val="0"/>
                <w:bCs w:val="0"/>
              </w:rPr>
              <w:t>Pramipexole</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treatment</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duration</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months</w:t>
            </w:r>
            <w:proofErr w:type="spellEnd"/>
            <w:r w:rsidRPr="007007AD">
              <w:rPr>
                <w:rFonts w:ascii="Times New Roman" w:hAnsi="Times New Roman" w:cs="Times New Roman"/>
                <w:b w:val="0"/>
                <w:bCs w:val="0"/>
              </w:rPr>
              <w:t>)</w:t>
            </w:r>
          </w:p>
        </w:tc>
        <w:tc>
          <w:tcPr>
            <w:tcW w:w="4105" w:type="dxa"/>
            <w:noWrap/>
            <w:hideMark/>
          </w:tcPr>
          <w:p w14:paraId="5B4FF782"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3-41.98 ± 55.06</w:t>
            </w:r>
          </w:p>
          <w:p w14:paraId="25D7183C"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15 (1-180)</w:t>
            </w:r>
          </w:p>
        </w:tc>
      </w:tr>
      <w:tr w:rsidR="00AC0AE9" w:rsidRPr="007007AD" w14:paraId="017AF6CD" w14:textId="77777777" w:rsidTr="00103CA3">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1836CD4E" w14:textId="77777777" w:rsidR="00AC0AE9" w:rsidRPr="007007AD" w:rsidRDefault="00AC0AE9" w:rsidP="00103CA3">
            <w:pPr>
              <w:jc w:val="both"/>
              <w:rPr>
                <w:rFonts w:ascii="Times New Roman" w:hAnsi="Times New Roman" w:cs="Times New Roman"/>
                <w:b w:val="0"/>
                <w:bCs w:val="0"/>
              </w:rPr>
            </w:pPr>
            <w:r w:rsidRPr="007007AD">
              <w:rPr>
                <w:rFonts w:ascii="Times New Roman" w:hAnsi="Times New Roman" w:cs="Times New Roman"/>
                <w:b w:val="0"/>
                <w:bCs w:val="0"/>
              </w:rPr>
              <w:t xml:space="preserve">Presence of </w:t>
            </w:r>
            <w:proofErr w:type="spellStart"/>
            <w:r w:rsidRPr="007007AD">
              <w:rPr>
                <w:rFonts w:ascii="Times New Roman" w:hAnsi="Times New Roman" w:cs="Times New Roman"/>
                <w:b w:val="0"/>
                <w:bCs w:val="0"/>
              </w:rPr>
              <w:t>augmentation</w:t>
            </w:r>
            <w:proofErr w:type="spellEnd"/>
          </w:p>
        </w:tc>
        <w:tc>
          <w:tcPr>
            <w:tcW w:w="4105" w:type="dxa"/>
            <w:noWrap/>
            <w:hideMark/>
          </w:tcPr>
          <w:p w14:paraId="096EFA0A"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25% (n=27)</w:t>
            </w:r>
          </w:p>
        </w:tc>
      </w:tr>
      <w:tr w:rsidR="00AC0AE9" w:rsidRPr="007007AD" w14:paraId="09B669E3" w14:textId="77777777" w:rsidTr="00103CA3">
        <w:trPr>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655ACD8B" w14:textId="77777777" w:rsidR="00AC0AE9" w:rsidRPr="007007AD" w:rsidRDefault="00AC0AE9" w:rsidP="00103CA3">
            <w:pPr>
              <w:jc w:val="both"/>
              <w:rPr>
                <w:rFonts w:ascii="Times New Roman" w:hAnsi="Times New Roman" w:cs="Times New Roman"/>
                <w:b w:val="0"/>
                <w:bCs w:val="0"/>
              </w:rPr>
            </w:pPr>
            <w:proofErr w:type="spellStart"/>
            <w:r w:rsidRPr="007007AD">
              <w:rPr>
                <w:rFonts w:ascii="Times New Roman" w:hAnsi="Times New Roman" w:cs="Times New Roman"/>
                <w:b w:val="0"/>
                <w:bCs w:val="0"/>
              </w:rPr>
              <w:t>Tendency</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to</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increase</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pramipexole</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dose</w:t>
            </w:r>
            <w:proofErr w:type="spellEnd"/>
          </w:p>
        </w:tc>
        <w:tc>
          <w:tcPr>
            <w:tcW w:w="4105" w:type="dxa"/>
            <w:noWrap/>
            <w:hideMark/>
          </w:tcPr>
          <w:p w14:paraId="678C3ABE"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11,1% (n=12)</w:t>
            </w:r>
          </w:p>
        </w:tc>
      </w:tr>
      <w:tr w:rsidR="00AC0AE9" w:rsidRPr="007007AD" w14:paraId="6F09EFD8" w14:textId="77777777" w:rsidTr="00103CA3">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3608DB4B" w14:textId="77777777" w:rsidR="00AC0AE9" w:rsidRPr="007007AD" w:rsidRDefault="00AC0AE9" w:rsidP="00103CA3">
            <w:pPr>
              <w:jc w:val="both"/>
              <w:rPr>
                <w:rFonts w:ascii="Times New Roman" w:hAnsi="Times New Roman" w:cs="Times New Roman"/>
                <w:b w:val="0"/>
                <w:bCs w:val="0"/>
              </w:rPr>
            </w:pPr>
            <w:proofErr w:type="spellStart"/>
            <w:r w:rsidRPr="007007AD">
              <w:rPr>
                <w:rFonts w:ascii="Times New Roman" w:hAnsi="Times New Roman" w:cs="Times New Roman"/>
                <w:b w:val="0"/>
                <w:bCs w:val="0"/>
              </w:rPr>
              <w:t>Treatment</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response</w:t>
            </w:r>
            <w:proofErr w:type="spellEnd"/>
          </w:p>
        </w:tc>
        <w:tc>
          <w:tcPr>
            <w:tcW w:w="4105" w:type="dxa"/>
            <w:noWrap/>
            <w:hideMark/>
          </w:tcPr>
          <w:p w14:paraId="0CD19E12"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spellStart"/>
            <w:r w:rsidRPr="007007AD">
              <w:rPr>
                <w:rFonts w:ascii="Times New Roman" w:hAnsi="Times New Roman" w:cs="Times New Roman"/>
              </w:rPr>
              <w:t>Yes</w:t>
            </w:r>
            <w:proofErr w:type="spellEnd"/>
            <w:r w:rsidRPr="007007AD">
              <w:rPr>
                <w:rFonts w:ascii="Times New Roman" w:hAnsi="Times New Roman" w:cs="Times New Roman"/>
              </w:rPr>
              <w:t>: 30,6% (n=33)</w:t>
            </w:r>
          </w:p>
          <w:p w14:paraId="60A9D980"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No: 20,4% (n=22)</w:t>
            </w:r>
          </w:p>
        </w:tc>
      </w:tr>
      <w:tr w:rsidR="00AC0AE9" w:rsidRPr="007007AD" w14:paraId="67A3C853" w14:textId="77777777" w:rsidTr="00103CA3">
        <w:trPr>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6B432455" w14:textId="77777777" w:rsidR="00AC0AE9" w:rsidRPr="007007AD" w:rsidRDefault="00AC0AE9" w:rsidP="00103CA3">
            <w:pPr>
              <w:jc w:val="both"/>
              <w:rPr>
                <w:rFonts w:ascii="Times New Roman" w:hAnsi="Times New Roman" w:cs="Times New Roman"/>
                <w:b w:val="0"/>
                <w:bCs w:val="0"/>
              </w:rPr>
            </w:pPr>
            <w:r w:rsidRPr="007007AD">
              <w:rPr>
                <w:rFonts w:ascii="Times New Roman" w:hAnsi="Times New Roman" w:cs="Times New Roman"/>
                <w:b w:val="0"/>
                <w:bCs w:val="0"/>
              </w:rPr>
              <w:t xml:space="preserve">PGIC </w:t>
            </w:r>
            <w:proofErr w:type="spellStart"/>
            <w:r w:rsidRPr="007007AD">
              <w:rPr>
                <w:rFonts w:ascii="Times New Roman" w:hAnsi="Times New Roman" w:cs="Times New Roman"/>
                <w:b w:val="0"/>
                <w:bCs w:val="0"/>
              </w:rPr>
              <w:t>score</w:t>
            </w:r>
            <w:proofErr w:type="spellEnd"/>
          </w:p>
        </w:tc>
        <w:tc>
          <w:tcPr>
            <w:tcW w:w="4105" w:type="dxa"/>
            <w:noWrap/>
            <w:hideMark/>
          </w:tcPr>
          <w:p w14:paraId="09D5BC41"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3.75 ± 1.96 4 (1-7)</w:t>
            </w:r>
          </w:p>
        </w:tc>
      </w:tr>
      <w:tr w:rsidR="00AC0AE9" w:rsidRPr="007007AD" w14:paraId="56B420D3" w14:textId="77777777" w:rsidTr="00103CA3">
        <w:trPr>
          <w:cnfStyle w:val="000000100000" w:firstRow="0" w:lastRow="0" w:firstColumn="0" w:lastColumn="0" w:oddVBand="0" w:evenVBand="0" w:oddHBand="1" w:evenHBand="0" w:firstRowFirstColumn="0" w:firstRowLastColumn="0" w:lastRowFirstColumn="0" w:lastRowLastColumn="0"/>
          <w:trHeight w:val="103"/>
        </w:trPr>
        <w:tc>
          <w:tcPr>
            <w:cnfStyle w:val="001000000000" w:firstRow="0" w:lastRow="0" w:firstColumn="1" w:lastColumn="0" w:oddVBand="0" w:evenVBand="0" w:oddHBand="0" w:evenHBand="0" w:firstRowFirstColumn="0" w:firstRowLastColumn="0" w:lastRowFirstColumn="0" w:lastRowLastColumn="0"/>
            <w:tcW w:w="4164" w:type="dxa"/>
            <w:noWrap/>
            <w:hideMark/>
          </w:tcPr>
          <w:p w14:paraId="114919A2" w14:textId="77777777" w:rsidR="00AC0AE9" w:rsidRPr="007007AD" w:rsidRDefault="00AC0AE9" w:rsidP="00103CA3">
            <w:pPr>
              <w:jc w:val="both"/>
              <w:rPr>
                <w:rFonts w:ascii="Times New Roman" w:hAnsi="Times New Roman" w:cs="Times New Roman"/>
                <w:b w:val="0"/>
                <w:bCs w:val="0"/>
              </w:rPr>
            </w:pPr>
            <w:r w:rsidRPr="007007AD">
              <w:rPr>
                <w:rFonts w:ascii="Times New Roman" w:hAnsi="Times New Roman" w:cs="Times New Roman"/>
                <w:b w:val="0"/>
                <w:bCs w:val="0"/>
              </w:rPr>
              <w:t>BDI</w:t>
            </w:r>
          </w:p>
        </w:tc>
        <w:tc>
          <w:tcPr>
            <w:tcW w:w="4105" w:type="dxa"/>
            <w:noWrap/>
            <w:hideMark/>
          </w:tcPr>
          <w:p w14:paraId="3C690A88"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14.44 ± 10.15</w:t>
            </w:r>
          </w:p>
          <w:p w14:paraId="24C5E377"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12 (0-42)</w:t>
            </w:r>
          </w:p>
        </w:tc>
      </w:tr>
    </w:tbl>
    <w:p w14:paraId="575C1B43" w14:textId="77777777" w:rsidR="00AC0AE9" w:rsidRPr="007007AD" w:rsidRDefault="00AC0AE9" w:rsidP="00AC0AE9">
      <w:pPr>
        <w:jc w:val="both"/>
        <w:rPr>
          <w:rFonts w:ascii="Times New Roman" w:hAnsi="Times New Roman" w:cs="Times New Roman"/>
        </w:rPr>
      </w:pPr>
      <w:proofErr w:type="spellStart"/>
      <w:r w:rsidRPr="007007AD">
        <w:rPr>
          <w:rFonts w:ascii="Times New Roman" w:hAnsi="Times New Roman" w:cs="Times New Roman"/>
          <w:lang w:val="tr-TR"/>
        </w:rPr>
        <w:t>Abbrevations</w:t>
      </w:r>
      <w:proofErr w:type="spellEnd"/>
      <w:r w:rsidRPr="007007AD">
        <w:rPr>
          <w:rFonts w:ascii="Times New Roman" w:hAnsi="Times New Roman" w:cs="Times New Roman"/>
          <w:lang w:val="tr-TR"/>
        </w:rPr>
        <w:t xml:space="preserve">: RLS, </w:t>
      </w:r>
      <w:proofErr w:type="spellStart"/>
      <w:r w:rsidRPr="007007AD">
        <w:rPr>
          <w:rFonts w:ascii="Times New Roman" w:hAnsi="Times New Roman" w:cs="Times New Roman"/>
          <w:lang w:val="tr-TR"/>
        </w:rPr>
        <w:t>restless</w:t>
      </w:r>
      <w:proofErr w:type="spellEnd"/>
      <w:r w:rsidRPr="007007AD">
        <w:rPr>
          <w:rFonts w:ascii="Times New Roman" w:hAnsi="Times New Roman" w:cs="Times New Roman"/>
          <w:lang w:val="tr-TR"/>
        </w:rPr>
        <w:t xml:space="preserve"> </w:t>
      </w:r>
      <w:proofErr w:type="spellStart"/>
      <w:r w:rsidRPr="007007AD">
        <w:rPr>
          <w:rFonts w:ascii="Times New Roman" w:hAnsi="Times New Roman" w:cs="Times New Roman"/>
          <w:lang w:val="tr-TR"/>
        </w:rPr>
        <w:t>legs</w:t>
      </w:r>
      <w:proofErr w:type="spellEnd"/>
      <w:r w:rsidRPr="007007AD">
        <w:rPr>
          <w:rFonts w:ascii="Times New Roman" w:hAnsi="Times New Roman" w:cs="Times New Roman"/>
          <w:lang w:val="tr-TR"/>
        </w:rPr>
        <w:t xml:space="preserve"> </w:t>
      </w:r>
      <w:proofErr w:type="spellStart"/>
      <w:r w:rsidRPr="007007AD">
        <w:rPr>
          <w:rFonts w:ascii="Times New Roman" w:hAnsi="Times New Roman" w:cs="Times New Roman"/>
          <w:lang w:val="tr-TR"/>
        </w:rPr>
        <w:t>syndrome</w:t>
      </w:r>
      <w:proofErr w:type="spellEnd"/>
      <w:r w:rsidRPr="007007AD">
        <w:rPr>
          <w:rFonts w:ascii="Times New Roman" w:hAnsi="Times New Roman" w:cs="Times New Roman"/>
          <w:lang w:val="tr-TR"/>
        </w:rPr>
        <w:t xml:space="preserve">; PGIC, </w:t>
      </w:r>
      <w:r w:rsidRPr="007007AD">
        <w:rPr>
          <w:rFonts w:ascii="Times New Roman" w:hAnsi="Times New Roman" w:cs="Times New Roman"/>
        </w:rPr>
        <w:t>Patient Global Impression of Change; BDI, Beck Depression Inventory</w:t>
      </w:r>
    </w:p>
    <w:p w14:paraId="7F8B1D72" w14:textId="77777777" w:rsidR="00AC0AE9" w:rsidRPr="007007AD" w:rsidRDefault="00AC0AE9" w:rsidP="00AC0AE9">
      <w:pPr>
        <w:jc w:val="both"/>
        <w:rPr>
          <w:rFonts w:ascii="Times New Roman" w:hAnsi="Times New Roman" w:cs="Times New Roman"/>
          <w:lang w:val="tr-TR"/>
        </w:rPr>
      </w:pPr>
    </w:p>
    <w:p w14:paraId="03D2F7B0" w14:textId="77777777" w:rsidR="00AC0AE9" w:rsidRPr="007007AD" w:rsidRDefault="00AC0AE9" w:rsidP="00AC0AE9">
      <w:pPr>
        <w:jc w:val="both"/>
        <w:rPr>
          <w:rFonts w:ascii="Times New Roman" w:hAnsi="Times New Roman" w:cs="Times New Roman"/>
          <w:color w:val="000000" w:themeColor="text1"/>
        </w:rPr>
      </w:pPr>
      <w:r w:rsidRPr="007007AD">
        <w:rPr>
          <w:rFonts w:ascii="Times New Roman" w:hAnsi="Times New Roman" w:cs="Times New Roman"/>
          <w:b/>
          <w:bCs/>
          <w:color w:val="000000" w:themeColor="text1"/>
        </w:rPr>
        <w:t>Table-2:</w:t>
      </w:r>
      <w:r w:rsidRPr="007007AD">
        <w:rPr>
          <w:rFonts w:ascii="Times New Roman" w:hAnsi="Times New Roman" w:cs="Times New Roman"/>
          <w:color w:val="000000" w:themeColor="text1"/>
        </w:rPr>
        <w:t xml:space="preserve"> Comparison of Demographic Data Between Groups</w:t>
      </w:r>
    </w:p>
    <w:tbl>
      <w:tblPr>
        <w:tblStyle w:val="PlainTable1"/>
        <w:tblW w:w="9343" w:type="dxa"/>
        <w:tblInd w:w="-5" w:type="dxa"/>
        <w:tblLook w:val="04A0" w:firstRow="1" w:lastRow="0" w:firstColumn="1" w:lastColumn="0" w:noHBand="0" w:noVBand="1"/>
      </w:tblPr>
      <w:tblGrid>
        <w:gridCol w:w="3660"/>
        <w:gridCol w:w="2299"/>
        <w:gridCol w:w="2299"/>
        <w:gridCol w:w="1097"/>
      </w:tblGrid>
      <w:tr w:rsidR="00AC0AE9" w:rsidRPr="007007AD" w14:paraId="5A7BBA8B" w14:textId="77777777" w:rsidTr="00103CA3">
        <w:trPr>
          <w:cnfStyle w:val="100000000000" w:firstRow="1" w:lastRow="0" w:firstColumn="0" w:lastColumn="0" w:oddVBand="0" w:evenVBand="0" w:oddHBand="0" w:evenHBand="0" w:firstRowFirstColumn="0" w:firstRowLastColumn="0" w:lastRowFirstColumn="0" w:lastRowLastColumn="0"/>
          <w:trHeight w:val="206"/>
        </w:trPr>
        <w:tc>
          <w:tcPr>
            <w:cnfStyle w:val="001000000000" w:firstRow="0" w:lastRow="0" w:firstColumn="1" w:lastColumn="0" w:oddVBand="0" w:evenVBand="0" w:oddHBand="0" w:evenHBand="0" w:firstRowFirstColumn="0" w:firstRowLastColumn="0" w:lastRowFirstColumn="0" w:lastRowLastColumn="0"/>
            <w:tcW w:w="3686" w:type="dxa"/>
            <w:noWrap/>
            <w:hideMark/>
          </w:tcPr>
          <w:p w14:paraId="4F74D3F5" w14:textId="77777777" w:rsidR="00AC0AE9" w:rsidRPr="007007AD" w:rsidRDefault="00AC0AE9" w:rsidP="00103CA3">
            <w:pPr>
              <w:jc w:val="both"/>
              <w:rPr>
                <w:rFonts w:ascii="Times New Roman" w:hAnsi="Times New Roman" w:cs="Times New Roman"/>
                <w:color w:val="000000" w:themeColor="text1"/>
              </w:rPr>
            </w:pPr>
            <w:proofErr w:type="spellStart"/>
            <w:r w:rsidRPr="007007AD">
              <w:rPr>
                <w:rFonts w:ascii="Times New Roman" w:hAnsi="Times New Roman" w:cs="Times New Roman"/>
                <w:color w:val="000000" w:themeColor="text1"/>
              </w:rPr>
              <w:t>Parameters</w:t>
            </w:r>
            <w:proofErr w:type="spellEnd"/>
          </w:p>
        </w:tc>
        <w:tc>
          <w:tcPr>
            <w:tcW w:w="2314" w:type="dxa"/>
            <w:noWrap/>
            <w:hideMark/>
          </w:tcPr>
          <w:p w14:paraId="4FF4409C" w14:textId="77777777" w:rsidR="00AC0AE9" w:rsidRPr="007007AD" w:rsidRDefault="00AC0AE9" w:rsidP="00103CA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roofErr w:type="spellStart"/>
            <w:r w:rsidRPr="007007AD">
              <w:rPr>
                <w:rFonts w:ascii="Times New Roman" w:hAnsi="Times New Roman" w:cs="Times New Roman"/>
                <w:color w:val="000000" w:themeColor="text1"/>
              </w:rPr>
              <w:t>Pramipexole</w:t>
            </w:r>
            <w:proofErr w:type="spellEnd"/>
            <w:r w:rsidRPr="007007AD">
              <w:rPr>
                <w:rFonts w:ascii="Times New Roman" w:hAnsi="Times New Roman" w:cs="Times New Roman"/>
                <w:color w:val="000000" w:themeColor="text1"/>
              </w:rPr>
              <w:t xml:space="preserve"> </w:t>
            </w:r>
            <w:r w:rsidRPr="007007AD">
              <w:rPr>
                <w:rFonts w:ascii="Times New Roman" w:hAnsi="Times New Roman" w:cs="Times New Roman"/>
                <w:color w:val="000000" w:themeColor="text1"/>
              </w:rPr>
              <w:br/>
            </w:r>
            <w:proofErr w:type="spellStart"/>
            <w:r w:rsidRPr="007007AD">
              <w:rPr>
                <w:rFonts w:ascii="Times New Roman" w:hAnsi="Times New Roman" w:cs="Times New Roman"/>
                <w:color w:val="000000" w:themeColor="text1"/>
              </w:rPr>
              <w:t>Group</w:t>
            </w:r>
            <w:proofErr w:type="spellEnd"/>
            <w:r w:rsidRPr="007007AD">
              <w:rPr>
                <w:rFonts w:ascii="Times New Roman" w:hAnsi="Times New Roman" w:cs="Times New Roman"/>
                <w:color w:val="000000" w:themeColor="text1"/>
              </w:rPr>
              <w:t xml:space="preserve"> (N=55)</w:t>
            </w:r>
          </w:p>
        </w:tc>
        <w:tc>
          <w:tcPr>
            <w:tcW w:w="2314" w:type="dxa"/>
            <w:noWrap/>
            <w:hideMark/>
          </w:tcPr>
          <w:p w14:paraId="685F7C02" w14:textId="77777777" w:rsidR="00AC0AE9" w:rsidRPr="007007AD" w:rsidRDefault="00AC0AE9" w:rsidP="00103CA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roofErr w:type="spellStart"/>
            <w:r w:rsidRPr="007007AD">
              <w:rPr>
                <w:rFonts w:ascii="Times New Roman" w:hAnsi="Times New Roman" w:cs="Times New Roman"/>
                <w:color w:val="000000" w:themeColor="text1"/>
              </w:rPr>
              <w:t>Non-Pramipexole</w:t>
            </w:r>
            <w:proofErr w:type="spellEnd"/>
            <w:r w:rsidRPr="007007AD">
              <w:rPr>
                <w:rFonts w:ascii="Times New Roman" w:hAnsi="Times New Roman" w:cs="Times New Roman"/>
                <w:color w:val="000000" w:themeColor="text1"/>
              </w:rPr>
              <w:t xml:space="preserve"> </w:t>
            </w:r>
            <w:r w:rsidRPr="007007AD">
              <w:rPr>
                <w:rFonts w:ascii="Times New Roman" w:hAnsi="Times New Roman" w:cs="Times New Roman"/>
                <w:color w:val="000000" w:themeColor="text1"/>
              </w:rPr>
              <w:br/>
            </w:r>
            <w:proofErr w:type="spellStart"/>
            <w:r w:rsidRPr="007007AD">
              <w:rPr>
                <w:rFonts w:ascii="Times New Roman" w:hAnsi="Times New Roman" w:cs="Times New Roman"/>
                <w:color w:val="000000" w:themeColor="text1"/>
              </w:rPr>
              <w:t>Group</w:t>
            </w:r>
            <w:proofErr w:type="spellEnd"/>
            <w:r w:rsidRPr="007007AD">
              <w:rPr>
                <w:rFonts w:ascii="Times New Roman" w:hAnsi="Times New Roman" w:cs="Times New Roman"/>
                <w:color w:val="000000" w:themeColor="text1"/>
              </w:rPr>
              <w:t xml:space="preserve"> (N=53)</w:t>
            </w:r>
          </w:p>
        </w:tc>
        <w:tc>
          <w:tcPr>
            <w:tcW w:w="1029" w:type="dxa"/>
            <w:noWrap/>
            <w:hideMark/>
          </w:tcPr>
          <w:p w14:paraId="322542AD" w14:textId="77777777" w:rsidR="00AC0AE9" w:rsidRPr="007007AD" w:rsidRDefault="00AC0AE9" w:rsidP="00103CA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P-</w:t>
            </w:r>
            <w:proofErr w:type="spellStart"/>
            <w:r w:rsidRPr="007007AD">
              <w:rPr>
                <w:rFonts w:ascii="Times New Roman" w:hAnsi="Times New Roman" w:cs="Times New Roman"/>
                <w:color w:val="000000" w:themeColor="text1"/>
              </w:rPr>
              <w:t>value</w:t>
            </w:r>
            <w:proofErr w:type="spellEnd"/>
          </w:p>
        </w:tc>
      </w:tr>
      <w:tr w:rsidR="00AC0AE9" w:rsidRPr="007007AD" w14:paraId="7D424CC4" w14:textId="77777777" w:rsidTr="00103CA3">
        <w:trPr>
          <w:cnfStyle w:val="000000100000" w:firstRow="0" w:lastRow="0" w:firstColumn="0" w:lastColumn="0" w:oddVBand="0" w:evenVBand="0" w:oddHBand="1" w:evenHBand="0" w:firstRowFirstColumn="0" w:firstRowLastColumn="0" w:lastRowFirstColumn="0" w:lastRowLastColumn="0"/>
          <w:trHeight w:val="242"/>
        </w:trPr>
        <w:tc>
          <w:tcPr>
            <w:cnfStyle w:val="001000000000" w:firstRow="0" w:lastRow="0" w:firstColumn="1" w:lastColumn="0" w:oddVBand="0" w:evenVBand="0" w:oddHBand="0" w:evenHBand="0" w:firstRowFirstColumn="0" w:firstRowLastColumn="0" w:lastRowFirstColumn="0" w:lastRowLastColumn="0"/>
            <w:tcW w:w="3686" w:type="dxa"/>
            <w:vMerge w:val="restart"/>
            <w:noWrap/>
            <w:hideMark/>
          </w:tcPr>
          <w:p w14:paraId="57B03C37" w14:textId="77777777" w:rsidR="00AC0AE9" w:rsidRPr="007007AD" w:rsidRDefault="00AC0AE9" w:rsidP="00103CA3">
            <w:pPr>
              <w:jc w:val="both"/>
              <w:rPr>
                <w:rFonts w:ascii="Times New Roman" w:hAnsi="Times New Roman" w:cs="Times New Roman"/>
                <w:b w:val="0"/>
                <w:bCs w:val="0"/>
                <w:color w:val="000000" w:themeColor="text1"/>
              </w:rPr>
            </w:pPr>
            <w:proofErr w:type="spellStart"/>
            <w:r w:rsidRPr="007007AD">
              <w:rPr>
                <w:rFonts w:ascii="Times New Roman" w:hAnsi="Times New Roman" w:cs="Times New Roman"/>
                <w:b w:val="0"/>
                <w:bCs w:val="0"/>
                <w:color w:val="000000" w:themeColor="text1"/>
              </w:rPr>
              <w:t>Sex</w:t>
            </w:r>
            <w:proofErr w:type="spellEnd"/>
          </w:p>
        </w:tc>
        <w:tc>
          <w:tcPr>
            <w:tcW w:w="2314" w:type="dxa"/>
            <w:noWrap/>
            <w:hideMark/>
          </w:tcPr>
          <w:p w14:paraId="1F02DC07"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Male: %50,0 (n=17) </w:t>
            </w:r>
          </w:p>
        </w:tc>
        <w:tc>
          <w:tcPr>
            <w:tcW w:w="2314" w:type="dxa"/>
            <w:noWrap/>
            <w:hideMark/>
          </w:tcPr>
          <w:p w14:paraId="4BBFCE69"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Male: %50,0 (n=17)</w:t>
            </w:r>
          </w:p>
          <w:p w14:paraId="185E7221"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tc>
        <w:tc>
          <w:tcPr>
            <w:tcW w:w="1029" w:type="dxa"/>
            <w:vMerge w:val="restart"/>
            <w:noWrap/>
            <w:hideMark/>
          </w:tcPr>
          <w:p w14:paraId="7A4D299C"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1</w:t>
            </w:r>
          </w:p>
        </w:tc>
      </w:tr>
      <w:tr w:rsidR="00AC0AE9" w:rsidRPr="007007AD" w14:paraId="5A3AC23C" w14:textId="77777777" w:rsidTr="00103CA3">
        <w:trPr>
          <w:trHeight w:val="206"/>
        </w:trPr>
        <w:tc>
          <w:tcPr>
            <w:cnfStyle w:val="001000000000" w:firstRow="0" w:lastRow="0" w:firstColumn="1" w:lastColumn="0" w:oddVBand="0" w:evenVBand="0" w:oddHBand="0" w:evenHBand="0" w:firstRowFirstColumn="0" w:firstRowLastColumn="0" w:lastRowFirstColumn="0" w:lastRowLastColumn="0"/>
            <w:tcW w:w="3686" w:type="dxa"/>
            <w:vMerge/>
            <w:noWrap/>
          </w:tcPr>
          <w:p w14:paraId="7387E839" w14:textId="77777777" w:rsidR="00AC0AE9" w:rsidRPr="007007AD" w:rsidRDefault="00AC0AE9" w:rsidP="00103CA3">
            <w:pPr>
              <w:jc w:val="both"/>
              <w:rPr>
                <w:rFonts w:ascii="Times New Roman" w:hAnsi="Times New Roman" w:cs="Times New Roman"/>
                <w:b w:val="0"/>
                <w:bCs w:val="0"/>
                <w:color w:val="000000" w:themeColor="text1"/>
              </w:rPr>
            </w:pPr>
          </w:p>
        </w:tc>
        <w:tc>
          <w:tcPr>
            <w:tcW w:w="2314" w:type="dxa"/>
            <w:noWrap/>
          </w:tcPr>
          <w:p w14:paraId="3FE4B7A3"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roofErr w:type="spellStart"/>
            <w:r w:rsidRPr="007007AD">
              <w:rPr>
                <w:rFonts w:ascii="Times New Roman" w:hAnsi="Times New Roman" w:cs="Times New Roman"/>
                <w:color w:val="000000" w:themeColor="text1"/>
              </w:rPr>
              <w:t>Female</w:t>
            </w:r>
            <w:proofErr w:type="spellEnd"/>
            <w:r w:rsidRPr="007007AD">
              <w:rPr>
                <w:rFonts w:ascii="Times New Roman" w:hAnsi="Times New Roman" w:cs="Times New Roman"/>
                <w:color w:val="000000" w:themeColor="text1"/>
              </w:rPr>
              <w:t>: %51,4 (n=38)</w:t>
            </w:r>
          </w:p>
        </w:tc>
        <w:tc>
          <w:tcPr>
            <w:tcW w:w="2314" w:type="dxa"/>
            <w:noWrap/>
          </w:tcPr>
          <w:p w14:paraId="4465B577"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roofErr w:type="spellStart"/>
            <w:r w:rsidRPr="007007AD">
              <w:rPr>
                <w:rFonts w:ascii="Times New Roman" w:hAnsi="Times New Roman" w:cs="Times New Roman"/>
                <w:color w:val="000000" w:themeColor="text1"/>
              </w:rPr>
              <w:t>Female</w:t>
            </w:r>
            <w:proofErr w:type="spellEnd"/>
            <w:r w:rsidRPr="007007AD">
              <w:rPr>
                <w:rFonts w:ascii="Times New Roman" w:hAnsi="Times New Roman" w:cs="Times New Roman"/>
                <w:color w:val="000000" w:themeColor="text1"/>
              </w:rPr>
              <w:t>: %48,6 (n=36)</w:t>
            </w:r>
          </w:p>
        </w:tc>
        <w:tc>
          <w:tcPr>
            <w:tcW w:w="1029" w:type="dxa"/>
            <w:vMerge/>
            <w:noWrap/>
          </w:tcPr>
          <w:p w14:paraId="0CEF7A7D"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tc>
      </w:tr>
      <w:tr w:rsidR="00AC0AE9" w:rsidRPr="007007AD" w14:paraId="5FE1EF79" w14:textId="77777777" w:rsidTr="00103CA3">
        <w:trPr>
          <w:cnfStyle w:val="000000100000" w:firstRow="0" w:lastRow="0" w:firstColumn="0" w:lastColumn="0" w:oddVBand="0" w:evenVBand="0" w:oddHBand="1" w:evenHBand="0" w:firstRowFirstColumn="0" w:firstRowLastColumn="0" w:lastRowFirstColumn="0" w:lastRowLastColumn="0"/>
          <w:trHeight w:val="206"/>
        </w:trPr>
        <w:tc>
          <w:tcPr>
            <w:cnfStyle w:val="001000000000" w:firstRow="0" w:lastRow="0" w:firstColumn="1" w:lastColumn="0" w:oddVBand="0" w:evenVBand="0" w:oddHBand="0" w:evenHBand="0" w:firstRowFirstColumn="0" w:firstRowLastColumn="0" w:lastRowFirstColumn="0" w:lastRowLastColumn="0"/>
            <w:tcW w:w="3686" w:type="dxa"/>
            <w:noWrap/>
            <w:hideMark/>
          </w:tcPr>
          <w:p w14:paraId="1B3A53D0" w14:textId="77777777" w:rsidR="00AC0AE9" w:rsidRPr="007007AD" w:rsidRDefault="00AC0AE9" w:rsidP="00103CA3">
            <w:pPr>
              <w:jc w:val="both"/>
              <w:rPr>
                <w:rFonts w:ascii="Times New Roman" w:hAnsi="Times New Roman" w:cs="Times New Roman"/>
                <w:b w:val="0"/>
                <w:bCs w:val="0"/>
                <w:color w:val="000000" w:themeColor="text1"/>
              </w:rPr>
            </w:pPr>
            <w:r w:rsidRPr="007007AD">
              <w:rPr>
                <w:rFonts w:ascii="Times New Roman" w:hAnsi="Times New Roman" w:cs="Times New Roman"/>
                <w:b w:val="0"/>
                <w:bCs w:val="0"/>
                <w:color w:val="000000" w:themeColor="text1"/>
              </w:rPr>
              <w:t>Age (</w:t>
            </w:r>
            <w:proofErr w:type="spellStart"/>
            <w:r w:rsidRPr="007007AD">
              <w:rPr>
                <w:rFonts w:ascii="Times New Roman" w:hAnsi="Times New Roman" w:cs="Times New Roman"/>
                <w:b w:val="0"/>
                <w:bCs w:val="0"/>
                <w:color w:val="000000" w:themeColor="text1"/>
              </w:rPr>
              <w:t>years</w:t>
            </w:r>
            <w:proofErr w:type="spellEnd"/>
            <w:r w:rsidRPr="007007AD">
              <w:rPr>
                <w:rFonts w:ascii="Times New Roman" w:hAnsi="Times New Roman" w:cs="Times New Roman"/>
                <w:b w:val="0"/>
                <w:bCs w:val="0"/>
                <w:color w:val="000000" w:themeColor="text1"/>
              </w:rPr>
              <w:t>)</w:t>
            </w:r>
          </w:p>
        </w:tc>
        <w:tc>
          <w:tcPr>
            <w:tcW w:w="2314" w:type="dxa"/>
            <w:noWrap/>
            <w:hideMark/>
          </w:tcPr>
          <w:p w14:paraId="27AE0823"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55.6 ± 13.91</w:t>
            </w:r>
          </w:p>
        </w:tc>
        <w:tc>
          <w:tcPr>
            <w:tcW w:w="2314" w:type="dxa"/>
            <w:noWrap/>
            <w:hideMark/>
          </w:tcPr>
          <w:p w14:paraId="5A7AFBAF"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50.06 ± 14.03</w:t>
            </w:r>
          </w:p>
        </w:tc>
        <w:tc>
          <w:tcPr>
            <w:tcW w:w="1029" w:type="dxa"/>
            <w:noWrap/>
            <w:hideMark/>
          </w:tcPr>
          <w:p w14:paraId="3B1641AA"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0.593(s)</w:t>
            </w:r>
          </w:p>
        </w:tc>
      </w:tr>
      <w:tr w:rsidR="00AC0AE9" w:rsidRPr="007007AD" w14:paraId="0DC7D6B6" w14:textId="77777777" w:rsidTr="00103CA3">
        <w:trPr>
          <w:trHeight w:val="206"/>
        </w:trPr>
        <w:tc>
          <w:tcPr>
            <w:cnfStyle w:val="001000000000" w:firstRow="0" w:lastRow="0" w:firstColumn="1" w:lastColumn="0" w:oddVBand="0" w:evenVBand="0" w:oddHBand="0" w:evenHBand="0" w:firstRowFirstColumn="0" w:firstRowLastColumn="0" w:lastRowFirstColumn="0" w:lastRowLastColumn="0"/>
            <w:tcW w:w="3686" w:type="dxa"/>
            <w:noWrap/>
            <w:hideMark/>
          </w:tcPr>
          <w:p w14:paraId="79ACD131" w14:textId="77777777" w:rsidR="00AC0AE9" w:rsidRPr="007007AD" w:rsidRDefault="00AC0AE9" w:rsidP="00103CA3">
            <w:pPr>
              <w:jc w:val="both"/>
              <w:rPr>
                <w:rFonts w:ascii="Times New Roman" w:hAnsi="Times New Roman" w:cs="Times New Roman"/>
                <w:b w:val="0"/>
                <w:bCs w:val="0"/>
                <w:color w:val="000000" w:themeColor="text1"/>
              </w:rPr>
            </w:pPr>
            <w:r w:rsidRPr="007007AD">
              <w:rPr>
                <w:rFonts w:ascii="Times New Roman" w:hAnsi="Times New Roman" w:cs="Times New Roman"/>
                <w:b w:val="0"/>
                <w:bCs w:val="0"/>
                <w:color w:val="000000" w:themeColor="text1"/>
              </w:rPr>
              <w:t xml:space="preserve">Age at </w:t>
            </w:r>
            <w:proofErr w:type="spellStart"/>
            <w:r w:rsidRPr="007007AD">
              <w:rPr>
                <w:rFonts w:ascii="Times New Roman" w:hAnsi="Times New Roman" w:cs="Times New Roman"/>
                <w:b w:val="0"/>
                <w:bCs w:val="0"/>
                <w:color w:val="000000" w:themeColor="text1"/>
              </w:rPr>
              <w:t>disease</w:t>
            </w:r>
            <w:proofErr w:type="spellEnd"/>
            <w:r w:rsidRPr="007007AD">
              <w:rPr>
                <w:rFonts w:ascii="Times New Roman" w:hAnsi="Times New Roman" w:cs="Times New Roman"/>
                <w:b w:val="0"/>
                <w:bCs w:val="0"/>
                <w:color w:val="000000" w:themeColor="text1"/>
              </w:rPr>
              <w:t xml:space="preserve"> </w:t>
            </w:r>
            <w:proofErr w:type="spellStart"/>
            <w:r w:rsidRPr="007007AD">
              <w:rPr>
                <w:rFonts w:ascii="Times New Roman" w:hAnsi="Times New Roman" w:cs="Times New Roman"/>
                <w:b w:val="0"/>
                <w:bCs w:val="0"/>
                <w:color w:val="000000" w:themeColor="text1"/>
              </w:rPr>
              <w:t>onset</w:t>
            </w:r>
            <w:proofErr w:type="spellEnd"/>
            <w:r w:rsidRPr="007007AD">
              <w:rPr>
                <w:rFonts w:ascii="Times New Roman" w:hAnsi="Times New Roman" w:cs="Times New Roman"/>
                <w:b w:val="0"/>
                <w:bCs w:val="0"/>
                <w:color w:val="000000" w:themeColor="text1"/>
              </w:rPr>
              <w:t xml:space="preserve"> (</w:t>
            </w:r>
            <w:proofErr w:type="spellStart"/>
            <w:r w:rsidRPr="007007AD">
              <w:rPr>
                <w:rFonts w:ascii="Times New Roman" w:hAnsi="Times New Roman" w:cs="Times New Roman"/>
                <w:b w:val="0"/>
                <w:bCs w:val="0"/>
                <w:color w:val="000000" w:themeColor="text1"/>
              </w:rPr>
              <w:t>years</w:t>
            </w:r>
            <w:proofErr w:type="spellEnd"/>
            <w:r w:rsidRPr="007007AD">
              <w:rPr>
                <w:rFonts w:ascii="Times New Roman" w:hAnsi="Times New Roman" w:cs="Times New Roman"/>
                <w:b w:val="0"/>
                <w:bCs w:val="0"/>
                <w:color w:val="000000" w:themeColor="text1"/>
              </w:rPr>
              <w:t>)</w:t>
            </w:r>
          </w:p>
        </w:tc>
        <w:tc>
          <w:tcPr>
            <w:tcW w:w="2314" w:type="dxa"/>
            <w:noWrap/>
            <w:hideMark/>
          </w:tcPr>
          <w:p w14:paraId="75E235A4"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46.47 ± 14.84</w:t>
            </w:r>
          </w:p>
        </w:tc>
        <w:tc>
          <w:tcPr>
            <w:tcW w:w="2314" w:type="dxa"/>
            <w:noWrap/>
            <w:hideMark/>
          </w:tcPr>
          <w:p w14:paraId="0230C3B3"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45.04 ± 12.83</w:t>
            </w:r>
          </w:p>
        </w:tc>
        <w:tc>
          <w:tcPr>
            <w:tcW w:w="1029" w:type="dxa"/>
            <w:noWrap/>
            <w:hideMark/>
          </w:tcPr>
          <w:p w14:paraId="23D06BE4"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0.593(s)</w:t>
            </w:r>
          </w:p>
        </w:tc>
      </w:tr>
      <w:tr w:rsidR="00AC0AE9" w:rsidRPr="007007AD" w14:paraId="19A21D99" w14:textId="77777777" w:rsidTr="00103CA3">
        <w:trPr>
          <w:cnfStyle w:val="000000100000" w:firstRow="0" w:lastRow="0" w:firstColumn="0" w:lastColumn="0" w:oddVBand="0" w:evenVBand="0" w:oddHBand="1" w:evenHBand="0" w:firstRowFirstColumn="0" w:firstRowLastColumn="0" w:lastRowFirstColumn="0" w:lastRowLastColumn="0"/>
          <w:trHeight w:val="206"/>
        </w:trPr>
        <w:tc>
          <w:tcPr>
            <w:cnfStyle w:val="001000000000" w:firstRow="0" w:lastRow="0" w:firstColumn="1" w:lastColumn="0" w:oddVBand="0" w:evenVBand="0" w:oddHBand="0" w:evenHBand="0" w:firstRowFirstColumn="0" w:firstRowLastColumn="0" w:lastRowFirstColumn="0" w:lastRowLastColumn="0"/>
            <w:tcW w:w="3686" w:type="dxa"/>
            <w:noWrap/>
            <w:hideMark/>
          </w:tcPr>
          <w:p w14:paraId="4684B62B" w14:textId="77777777" w:rsidR="00AC0AE9" w:rsidRPr="007007AD" w:rsidRDefault="00AC0AE9" w:rsidP="00103CA3">
            <w:pPr>
              <w:jc w:val="both"/>
              <w:rPr>
                <w:rFonts w:ascii="Times New Roman" w:hAnsi="Times New Roman" w:cs="Times New Roman"/>
                <w:b w:val="0"/>
                <w:bCs w:val="0"/>
                <w:color w:val="000000" w:themeColor="text1"/>
              </w:rPr>
            </w:pPr>
            <w:proofErr w:type="spellStart"/>
            <w:r w:rsidRPr="007007AD">
              <w:rPr>
                <w:rFonts w:ascii="Times New Roman" w:hAnsi="Times New Roman" w:cs="Times New Roman"/>
                <w:b w:val="0"/>
                <w:bCs w:val="0"/>
                <w:color w:val="000000" w:themeColor="text1"/>
              </w:rPr>
              <w:t>Disease</w:t>
            </w:r>
            <w:proofErr w:type="spellEnd"/>
            <w:r w:rsidRPr="007007AD">
              <w:rPr>
                <w:rFonts w:ascii="Times New Roman" w:hAnsi="Times New Roman" w:cs="Times New Roman"/>
                <w:b w:val="0"/>
                <w:bCs w:val="0"/>
                <w:color w:val="000000" w:themeColor="text1"/>
              </w:rPr>
              <w:t xml:space="preserve"> </w:t>
            </w:r>
            <w:proofErr w:type="spellStart"/>
            <w:r w:rsidRPr="007007AD">
              <w:rPr>
                <w:rFonts w:ascii="Times New Roman" w:hAnsi="Times New Roman" w:cs="Times New Roman"/>
                <w:b w:val="0"/>
                <w:bCs w:val="0"/>
                <w:color w:val="000000" w:themeColor="text1"/>
              </w:rPr>
              <w:t>duration</w:t>
            </w:r>
            <w:proofErr w:type="spellEnd"/>
            <w:r w:rsidRPr="007007AD">
              <w:rPr>
                <w:rFonts w:ascii="Times New Roman" w:hAnsi="Times New Roman" w:cs="Times New Roman"/>
                <w:b w:val="0"/>
                <w:bCs w:val="0"/>
                <w:color w:val="000000" w:themeColor="text1"/>
              </w:rPr>
              <w:t xml:space="preserve"> (</w:t>
            </w:r>
            <w:proofErr w:type="spellStart"/>
            <w:r w:rsidRPr="007007AD">
              <w:rPr>
                <w:rFonts w:ascii="Times New Roman" w:hAnsi="Times New Roman" w:cs="Times New Roman"/>
                <w:b w:val="0"/>
                <w:bCs w:val="0"/>
                <w:color w:val="000000" w:themeColor="text1"/>
              </w:rPr>
              <w:t>months</w:t>
            </w:r>
            <w:proofErr w:type="spellEnd"/>
            <w:r w:rsidRPr="007007AD">
              <w:rPr>
                <w:rFonts w:ascii="Times New Roman" w:hAnsi="Times New Roman" w:cs="Times New Roman"/>
                <w:b w:val="0"/>
                <w:bCs w:val="0"/>
                <w:color w:val="000000" w:themeColor="text1"/>
              </w:rPr>
              <w:t xml:space="preserve">) </w:t>
            </w:r>
          </w:p>
        </w:tc>
        <w:tc>
          <w:tcPr>
            <w:tcW w:w="2314" w:type="dxa"/>
            <w:noWrap/>
            <w:hideMark/>
          </w:tcPr>
          <w:p w14:paraId="6C4D7658"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9.6 ± 7.07</w:t>
            </w:r>
          </w:p>
        </w:tc>
        <w:tc>
          <w:tcPr>
            <w:tcW w:w="2314" w:type="dxa"/>
            <w:noWrap/>
            <w:hideMark/>
          </w:tcPr>
          <w:p w14:paraId="72C20F4B"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4.87 ± 6.21</w:t>
            </w:r>
          </w:p>
        </w:tc>
        <w:tc>
          <w:tcPr>
            <w:tcW w:w="1029" w:type="dxa"/>
            <w:noWrap/>
            <w:hideMark/>
          </w:tcPr>
          <w:p w14:paraId="19D19DDE"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0.001(m)</w:t>
            </w:r>
          </w:p>
        </w:tc>
      </w:tr>
      <w:tr w:rsidR="00AC0AE9" w:rsidRPr="007007AD" w14:paraId="5AFC39F7" w14:textId="77777777" w:rsidTr="00103CA3">
        <w:trPr>
          <w:trHeight w:val="206"/>
        </w:trPr>
        <w:tc>
          <w:tcPr>
            <w:cnfStyle w:val="001000000000" w:firstRow="0" w:lastRow="0" w:firstColumn="1" w:lastColumn="0" w:oddVBand="0" w:evenVBand="0" w:oddHBand="0" w:evenHBand="0" w:firstRowFirstColumn="0" w:firstRowLastColumn="0" w:lastRowFirstColumn="0" w:lastRowLastColumn="0"/>
            <w:tcW w:w="3686" w:type="dxa"/>
            <w:noWrap/>
            <w:hideMark/>
          </w:tcPr>
          <w:p w14:paraId="7B564926" w14:textId="77777777" w:rsidR="00AC0AE9" w:rsidRPr="007007AD" w:rsidRDefault="00AC0AE9" w:rsidP="00103CA3">
            <w:pPr>
              <w:jc w:val="both"/>
              <w:rPr>
                <w:rFonts w:ascii="Times New Roman" w:hAnsi="Times New Roman" w:cs="Times New Roman"/>
                <w:b w:val="0"/>
                <w:bCs w:val="0"/>
                <w:color w:val="000000" w:themeColor="text1"/>
              </w:rPr>
            </w:pPr>
            <w:r w:rsidRPr="007007AD">
              <w:rPr>
                <w:rFonts w:ascii="Times New Roman" w:hAnsi="Times New Roman" w:cs="Times New Roman"/>
                <w:b w:val="0"/>
                <w:bCs w:val="0"/>
                <w:color w:val="000000" w:themeColor="text1"/>
              </w:rPr>
              <w:t xml:space="preserve">RLS </w:t>
            </w:r>
            <w:proofErr w:type="spellStart"/>
            <w:r w:rsidRPr="007007AD">
              <w:rPr>
                <w:rFonts w:ascii="Times New Roman" w:hAnsi="Times New Roman" w:cs="Times New Roman"/>
                <w:b w:val="0"/>
                <w:bCs w:val="0"/>
                <w:color w:val="000000" w:themeColor="text1"/>
              </w:rPr>
              <w:t>severity</w:t>
            </w:r>
            <w:proofErr w:type="spellEnd"/>
          </w:p>
        </w:tc>
        <w:tc>
          <w:tcPr>
            <w:tcW w:w="2314" w:type="dxa"/>
            <w:noWrap/>
            <w:hideMark/>
          </w:tcPr>
          <w:p w14:paraId="38413D74"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29.04 ± 5.37</w:t>
            </w:r>
          </w:p>
        </w:tc>
        <w:tc>
          <w:tcPr>
            <w:tcW w:w="2314" w:type="dxa"/>
            <w:noWrap/>
            <w:hideMark/>
          </w:tcPr>
          <w:p w14:paraId="39DF4E5A"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26.6 ± 6.99</w:t>
            </w:r>
          </w:p>
        </w:tc>
        <w:tc>
          <w:tcPr>
            <w:tcW w:w="1029" w:type="dxa"/>
            <w:noWrap/>
            <w:hideMark/>
          </w:tcPr>
          <w:p w14:paraId="46CDA9E9"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&lt;0.045</w:t>
            </w:r>
          </w:p>
        </w:tc>
      </w:tr>
      <w:tr w:rsidR="00AC0AE9" w:rsidRPr="007007AD" w14:paraId="2D6EEC4B" w14:textId="77777777" w:rsidTr="00103CA3">
        <w:trPr>
          <w:cnfStyle w:val="000000100000" w:firstRow="0" w:lastRow="0" w:firstColumn="0" w:lastColumn="0" w:oddVBand="0" w:evenVBand="0" w:oddHBand="1" w:evenHBand="0" w:firstRowFirstColumn="0" w:firstRowLastColumn="0" w:lastRowFirstColumn="0" w:lastRowLastColumn="0"/>
          <w:trHeight w:val="206"/>
        </w:trPr>
        <w:tc>
          <w:tcPr>
            <w:cnfStyle w:val="001000000000" w:firstRow="0" w:lastRow="0" w:firstColumn="1" w:lastColumn="0" w:oddVBand="0" w:evenVBand="0" w:oddHBand="0" w:evenHBand="0" w:firstRowFirstColumn="0" w:firstRowLastColumn="0" w:lastRowFirstColumn="0" w:lastRowLastColumn="0"/>
            <w:tcW w:w="3686" w:type="dxa"/>
            <w:noWrap/>
            <w:hideMark/>
          </w:tcPr>
          <w:p w14:paraId="1948AF45" w14:textId="77777777" w:rsidR="00AC0AE9" w:rsidRPr="007007AD" w:rsidRDefault="00AC0AE9" w:rsidP="00103CA3">
            <w:pPr>
              <w:jc w:val="both"/>
              <w:rPr>
                <w:rFonts w:ascii="Times New Roman" w:hAnsi="Times New Roman" w:cs="Times New Roman"/>
                <w:b w:val="0"/>
                <w:bCs w:val="0"/>
                <w:color w:val="000000" w:themeColor="text1"/>
              </w:rPr>
            </w:pPr>
            <w:r w:rsidRPr="007007AD">
              <w:rPr>
                <w:rFonts w:ascii="Times New Roman" w:hAnsi="Times New Roman" w:cs="Times New Roman"/>
                <w:b w:val="0"/>
                <w:bCs w:val="0"/>
                <w:color w:val="000000" w:themeColor="text1"/>
              </w:rPr>
              <w:t>BDI</w:t>
            </w:r>
          </w:p>
        </w:tc>
        <w:tc>
          <w:tcPr>
            <w:tcW w:w="2314" w:type="dxa"/>
            <w:noWrap/>
            <w:hideMark/>
          </w:tcPr>
          <w:p w14:paraId="1478AB2F"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14.11 ± 10.45</w:t>
            </w:r>
          </w:p>
        </w:tc>
        <w:tc>
          <w:tcPr>
            <w:tcW w:w="2314" w:type="dxa"/>
            <w:noWrap/>
            <w:hideMark/>
          </w:tcPr>
          <w:p w14:paraId="744BD7A1"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14.77 ± 19.93</w:t>
            </w:r>
          </w:p>
        </w:tc>
        <w:tc>
          <w:tcPr>
            <w:tcW w:w="1029" w:type="dxa"/>
            <w:noWrap/>
            <w:hideMark/>
          </w:tcPr>
          <w:p w14:paraId="1C9C261D"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7007AD">
              <w:rPr>
                <w:rFonts w:ascii="Times New Roman" w:hAnsi="Times New Roman" w:cs="Times New Roman"/>
                <w:color w:val="000000" w:themeColor="text1"/>
              </w:rPr>
              <w:t>0.534 (m)</w:t>
            </w:r>
          </w:p>
        </w:tc>
      </w:tr>
    </w:tbl>
    <w:p w14:paraId="192F4F7B" w14:textId="2E8A7ABA" w:rsidR="0019194E" w:rsidRPr="007007AD" w:rsidRDefault="00AC0AE9" w:rsidP="00815AFE">
      <w:pPr>
        <w:jc w:val="both"/>
        <w:rPr>
          <w:rFonts w:ascii="Times New Roman" w:hAnsi="Times New Roman" w:cs="Times New Roman"/>
        </w:rPr>
      </w:pPr>
      <w:r w:rsidRPr="007007AD">
        <w:rPr>
          <w:rFonts w:ascii="Times New Roman" w:hAnsi="Times New Roman" w:cs="Times New Roman"/>
        </w:rPr>
        <w:t xml:space="preserve">Stats: n, Mean ± SD/Median (Min–Max); (m) Mann Whitney U Test-, (s) Student’s T- </w:t>
      </w:r>
      <w:proofErr w:type="spellStart"/>
      <w:r w:rsidRPr="007007AD">
        <w:rPr>
          <w:rFonts w:ascii="Times New Roman" w:hAnsi="Times New Roman" w:cs="Times New Roman"/>
        </w:rPr>
        <w:t>tes</w:t>
      </w:r>
      <w:proofErr w:type="spellEnd"/>
    </w:p>
    <w:p w14:paraId="380EC144" w14:textId="77777777" w:rsidR="0019194E" w:rsidRPr="007007AD" w:rsidRDefault="0019194E" w:rsidP="00815AFE">
      <w:pPr>
        <w:jc w:val="both"/>
        <w:rPr>
          <w:rFonts w:ascii="Times New Roman" w:hAnsi="Times New Roman" w:cs="Times New Roman"/>
        </w:rPr>
      </w:pPr>
    </w:p>
    <w:p w14:paraId="7D7D185E" w14:textId="77777777" w:rsidR="0019194E" w:rsidRPr="007007AD" w:rsidRDefault="0019194E" w:rsidP="00AC0AE9">
      <w:pPr>
        <w:jc w:val="both"/>
        <w:rPr>
          <w:rFonts w:ascii="Times New Roman" w:hAnsi="Times New Roman" w:cs="Times New Roman"/>
        </w:rPr>
      </w:pPr>
    </w:p>
    <w:p w14:paraId="2C1ADDDD" w14:textId="0F59A78A" w:rsidR="00AC0AE9" w:rsidRPr="007007AD" w:rsidRDefault="00AC0AE9" w:rsidP="00AC0AE9">
      <w:pPr>
        <w:jc w:val="both"/>
        <w:rPr>
          <w:rFonts w:ascii="Times New Roman" w:hAnsi="Times New Roman" w:cs="Times New Roman"/>
        </w:rPr>
      </w:pPr>
      <w:r w:rsidRPr="007007AD">
        <w:rPr>
          <w:rFonts w:ascii="Times New Roman" w:hAnsi="Times New Roman" w:cs="Times New Roman"/>
          <w:b/>
          <w:bCs/>
        </w:rPr>
        <w:t>Table-3:</w:t>
      </w:r>
      <w:r w:rsidRPr="007007AD">
        <w:rPr>
          <w:rFonts w:ascii="Times New Roman" w:hAnsi="Times New Roman" w:cs="Times New Roman"/>
        </w:rPr>
        <w:t xml:space="preserve"> Comparison of BIS-11 SF Impulsivity Scores Between Groups</w:t>
      </w:r>
    </w:p>
    <w:tbl>
      <w:tblPr>
        <w:tblStyle w:val="PlainTable1"/>
        <w:tblW w:w="0" w:type="auto"/>
        <w:tblInd w:w="-5" w:type="dxa"/>
        <w:tblLook w:val="04A0" w:firstRow="1" w:lastRow="0" w:firstColumn="1" w:lastColumn="0" w:noHBand="0" w:noVBand="1"/>
      </w:tblPr>
      <w:tblGrid>
        <w:gridCol w:w="2874"/>
        <w:gridCol w:w="1565"/>
        <w:gridCol w:w="1723"/>
        <w:gridCol w:w="2060"/>
        <w:gridCol w:w="1103"/>
      </w:tblGrid>
      <w:tr w:rsidR="00AC0AE9" w:rsidRPr="007007AD" w14:paraId="4FAC2E31" w14:textId="77777777" w:rsidTr="00AC0AE9">
        <w:trPr>
          <w:cnfStyle w:val="100000000000" w:firstRow="1" w:lastRow="0" w:firstColumn="0" w:lastColumn="0" w:oddVBand="0" w:evenVBand="0" w:oddHBand="0"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874" w:type="dxa"/>
            <w:noWrap/>
            <w:hideMark/>
          </w:tcPr>
          <w:p w14:paraId="1DBE40AD" w14:textId="77777777" w:rsidR="00AC0AE9" w:rsidRPr="00987553" w:rsidRDefault="00AC0AE9" w:rsidP="00103CA3">
            <w:pPr>
              <w:jc w:val="both"/>
              <w:rPr>
                <w:rFonts w:ascii="Times New Roman" w:hAnsi="Times New Roman" w:cs="Times New Roman"/>
              </w:rPr>
            </w:pPr>
            <w:r w:rsidRPr="00987553">
              <w:rPr>
                <w:rFonts w:ascii="Times New Roman" w:hAnsi="Times New Roman" w:cs="Times New Roman"/>
              </w:rPr>
              <w:t>BIS-11 SF</w:t>
            </w:r>
          </w:p>
        </w:tc>
        <w:tc>
          <w:tcPr>
            <w:tcW w:w="1565" w:type="dxa"/>
            <w:noWrap/>
            <w:hideMark/>
          </w:tcPr>
          <w:p w14:paraId="26C3FB13" w14:textId="77777777" w:rsidR="00AC0AE9" w:rsidRPr="00987553" w:rsidRDefault="00AC0AE9" w:rsidP="00103CA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987553">
              <w:rPr>
                <w:rFonts w:ascii="Times New Roman" w:hAnsi="Times New Roman" w:cs="Times New Roman"/>
              </w:rPr>
              <w:t>Total RLS</w:t>
            </w:r>
          </w:p>
        </w:tc>
        <w:tc>
          <w:tcPr>
            <w:tcW w:w="1723" w:type="dxa"/>
            <w:noWrap/>
            <w:hideMark/>
          </w:tcPr>
          <w:p w14:paraId="4783D3A8" w14:textId="77777777" w:rsidR="00AC0AE9" w:rsidRPr="00987553" w:rsidRDefault="00AC0AE9" w:rsidP="00103CA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sidRPr="00987553">
              <w:rPr>
                <w:rFonts w:ascii="Times New Roman" w:hAnsi="Times New Roman" w:cs="Times New Roman"/>
                <w:color w:val="000000" w:themeColor="text1"/>
              </w:rPr>
              <w:t>Pramipexole</w:t>
            </w:r>
            <w:proofErr w:type="spellEnd"/>
            <w:r w:rsidRPr="00987553">
              <w:rPr>
                <w:rFonts w:ascii="Times New Roman" w:hAnsi="Times New Roman" w:cs="Times New Roman"/>
                <w:color w:val="000000" w:themeColor="text1"/>
              </w:rPr>
              <w:t xml:space="preserve"> </w:t>
            </w:r>
            <w:proofErr w:type="spellStart"/>
            <w:r w:rsidRPr="00987553">
              <w:rPr>
                <w:rFonts w:ascii="Times New Roman" w:hAnsi="Times New Roman" w:cs="Times New Roman"/>
                <w:color w:val="000000" w:themeColor="text1"/>
              </w:rPr>
              <w:t>Group</w:t>
            </w:r>
            <w:proofErr w:type="spellEnd"/>
            <w:r w:rsidRPr="00987553">
              <w:rPr>
                <w:rFonts w:ascii="Times New Roman" w:hAnsi="Times New Roman" w:cs="Times New Roman"/>
                <w:color w:val="000000" w:themeColor="text1"/>
              </w:rPr>
              <w:t xml:space="preserve"> </w:t>
            </w:r>
            <w:r w:rsidRPr="00987553">
              <w:rPr>
                <w:rFonts w:ascii="Times New Roman" w:hAnsi="Times New Roman" w:cs="Times New Roman"/>
              </w:rPr>
              <w:t>(N=55)</w:t>
            </w:r>
          </w:p>
        </w:tc>
        <w:tc>
          <w:tcPr>
            <w:tcW w:w="2060" w:type="dxa"/>
            <w:noWrap/>
            <w:hideMark/>
          </w:tcPr>
          <w:p w14:paraId="275BA003" w14:textId="77777777" w:rsidR="00AC0AE9" w:rsidRPr="00987553" w:rsidRDefault="00AC0AE9" w:rsidP="00103CA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sidRPr="00987553">
              <w:rPr>
                <w:rFonts w:ascii="Times New Roman" w:hAnsi="Times New Roman" w:cs="Times New Roman"/>
                <w:color w:val="000000" w:themeColor="text1"/>
              </w:rPr>
              <w:t>Non-Pramipexole</w:t>
            </w:r>
            <w:proofErr w:type="spellEnd"/>
            <w:r w:rsidRPr="00987553">
              <w:rPr>
                <w:rFonts w:ascii="Times New Roman" w:hAnsi="Times New Roman" w:cs="Times New Roman"/>
                <w:color w:val="000000" w:themeColor="text1"/>
              </w:rPr>
              <w:t xml:space="preserve"> </w:t>
            </w:r>
            <w:proofErr w:type="spellStart"/>
            <w:r w:rsidRPr="00987553">
              <w:rPr>
                <w:rFonts w:ascii="Times New Roman" w:hAnsi="Times New Roman" w:cs="Times New Roman"/>
                <w:color w:val="000000" w:themeColor="text1"/>
              </w:rPr>
              <w:t>Group</w:t>
            </w:r>
            <w:proofErr w:type="spellEnd"/>
            <w:r w:rsidRPr="00987553">
              <w:rPr>
                <w:rFonts w:ascii="Times New Roman" w:hAnsi="Times New Roman" w:cs="Times New Roman"/>
                <w:color w:val="000000" w:themeColor="text1"/>
              </w:rPr>
              <w:t xml:space="preserve"> </w:t>
            </w:r>
            <w:r w:rsidRPr="00987553">
              <w:rPr>
                <w:rFonts w:ascii="Times New Roman" w:hAnsi="Times New Roman" w:cs="Times New Roman"/>
              </w:rPr>
              <w:t>(N=53)</w:t>
            </w:r>
          </w:p>
        </w:tc>
        <w:tc>
          <w:tcPr>
            <w:tcW w:w="1037" w:type="dxa"/>
            <w:noWrap/>
            <w:hideMark/>
          </w:tcPr>
          <w:p w14:paraId="01164D9D" w14:textId="77777777" w:rsidR="00AC0AE9" w:rsidRPr="00987553" w:rsidRDefault="00AC0AE9" w:rsidP="00103CA3">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987553">
              <w:rPr>
                <w:rFonts w:ascii="Times New Roman" w:hAnsi="Times New Roman" w:cs="Times New Roman"/>
              </w:rPr>
              <w:t>P-</w:t>
            </w:r>
            <w:proofErr w:type="spellStart"/>
            <w:r w:rsidRPr="00987553">
              <w:rPr>
                <w:rFonts w:ascii="Times New Roman" w:hAnsi="Times New Roman" w:cs="Times New Roman"/>
              </w:rPr>
              <w:t>value</w:t>
            </w:r>
            <w:proofErr w:type="spellEnd"/>
          </w:p>
        </w:tc>
      </w:tr>
      <w:tr w:rsidR="00AC0AE9" w:rsidRPr="007007AD" w14:paraId="3479C076" w14:textId="77777777" w:rsidTr="00AC0AE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874" w:type="dxa"/>
            <w:noWrap/>
            <w:hideMark/>
          </w:tcPr>
          <w:p w14:paraId="1B74E373" w14:textId="77777777" w:rsidR="00AC0AE9" w:rsidRPr="007007AD" w:rsidRDefault="00AC0AE9" w:rsidP="00103CA3">
            <w:pPr>
              <w:jc w:val="both"/>
              <w:rPr>
                <w:rFonts w:ascii="Times New Roman" w:hAnsi="Times New Roman" w:cs="Times New Roman"/>
                <w:b w:val="0"/>
                <w:bCs w:val="0"/>
              </w:rPr>
            </w:pPr>
            <w:proofErr w:type="spellStart"/>
            <w:r w:rsidRPr="007007AD">
              <w:rPr>
                <w:rFonts w:ascii="Times New Roman" w:hAnsi="Times New Roman" w:cs="Times New Roman"/>
                <w:b w:val="0"/>
                <w:bCs w:val="0"/>
              </w:rPr>
              <w:t>Attention</w:t>
            </w:r>
            <w:proofErr w:type="spellEnd"/>
          </w:p>
        </w:tc>
        <w:tc>
          <w:tcPr>
            <w:tcW w:w="1565" w:type="dxa"/>
            <w:noWrap/>
            <w:hideMark/>
          </w:tcPr>
          <w:p w14:paraId="6E4662F4"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8.71 ± 3.0</w:t>
            </w:r>
          </w:p>
        </w:tc>
        <w:tc>
          <w:tcPr>
            <w:tcW w:w="1723" w:type="dxa"/>
            <w:noWrap/>
            <w:hideMark/>
          </w:tcPr>
          <w:p w14:paraId="1D4F22FA"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9.1 ± 3.37</w:t>
            </w:r>
          </w:p>
        </w:tc>
        <w:tc>
          <w:tcPr>
            <w:tcW w:w="2060" w:type="dxa"/>
            <w:noWrap/>
            <w:hideMark/>
          </w:tcPr>
          <w:p w14:paraId="7FFD9FDE"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8.3 ± 2.52</w:t>
            </w:r>
          </w:p>
        </w:tc>
        <w:tc>
          <w:tcPr>
            <w:tcW w:w="1037" w:type="dxa"/>
            <w:noWrap/>
            <w:hideMark/>
          </w:tcPr>
          <w:p w14:paraId="3FEAF9B1"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0.232(s)</w:t>
            </w:r>
          </w:p>
        </w:tc>
      </w:tr>
      <w:tr w:rsidR="00AC0AE9" w:rsidRPr="007007AD" w14:paraId="023AEE49" w14:textId="77777777" w:rsidTr="00AC0AE9">
        <w:trPr>
          <w:trHeight w:val="270"/>
        </w:trPr>
        <w:tc>
          <w:tcPr>
            <w:cnfStyle w:val="001000000000" w:firstRow="0" w:lastRow="0" w:firstColumn="1" w:lastColumn="0" w:oddVBand="0" w:evenVBand="0" w:oddHBand="0" w:evenHBand="0" w:firstRowFirstColumn="0" w:firstRowLastColumn="0" w:lastRowFirstColumn="0" w:lastRowLastColumn="0"/>
            <w:tcW w:w="2874" w:type="dxa"/>
            <w:noWrap/>
            <w:hideMark/>
          </w:tcPr>
          <w:p w14:paraId="3DD93B72" w14:textId="77777777" w:rsidR="00AC0AE9" w:rsidRPr="007007AD" w:rsidRDefault="00AC0AE9" w:rsidP="00103CA3">
            <w:pPr>
              <w:jc w:val="both"/>
              <w:rPr>
                <w:rFonts w:ascii="Times New Roman" w:hAnsi="Times New Roman" w:cs="Times New Roman"/>
                <w:b w:val="0"/>
                <w:bCs w:val="0"/>
              </w:rPr>
            </w:pPr>
            <w:r w:rsidRPr="007007AD">
              <w:rPr>
                <w:rFonts w:ascii="Times New Roman" w:hAnsi="Times New Roman" w:cs="Times New Roman"/>
                <w:b w:val="0"/>
                <w:bCs w:val="0"/>
              </w:rPr>
              <w:t xml:space="preserve">Motor </w:t>
            </w:r>
            <w:proofErr w:type="spellStart"/>
            <w:r w:rsidRPr="007007AD">
              <w:rPr>
                <w:rFonts w:ascii="Times New Roman" w:hAnsi="Times New Roman" w:cs="Times New Roman"/>
                <w:b w:val="0"/>
                <w:bCs w:val="0"/>
              </w:rPr>
              <w:t>Impulsivity</w:t>
            </w:r>
            <w:proofErr w:type="spellEnd"/>
          </w:p>
        </w:tc>
        <w:tc>
          <w:tcPr>
            <w:tcW w:w="1565" w:type="dxa"/>
            <w:noWrap/>
            <w:hideMark/>
          </w:tcPr>
          <w:p w14:paraId="51CA5051"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8.71 ± 3.64</w:t>
            </w:r>
          </w:p>
        </w:tc>
        <w:tc>
          <w:tcPr>
            <w:tcW w:w="1723" w:type="dxa"/>
            <w:noWrap/>
            <w:hideMark/>
          </w:tcPr>
          <w:p w14:paraId="59780D57"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9.17 ± 3.79</w:t>
            </w:r>
          </w:p>
        </w:tc>
        <w:tc>
          <w:tcPr>
            <w:tcW w:w="2060" w:type="dxa"/>
            <w:noWrap/>
            <w:hideMark/>
          </w:tcPr>
          <w:p w14:paraId="6DA49B3E"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8.23 ± 3.45</w:t>
            </w:r>
          </w:p>
        </w:tc>
        <w:tc>
          <w:tcPr>
            <w:tcW w:w="1037" w:type="dxa"/>
            <w:noWrap/>
            <w:hideMark/>
          </w:tcPr>
          <w:p w14:paraId="5EE49527"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0.498(m)</w:t>
            </w:r>
          </w:p>
        </w:tc>
      </w:tr>
      <w:tr w:rsidR="00AC0AE9" w:rsidRPr="007007AD" w14:paraId="5D12A9E9" w14:textId="77777777" w:rsidTr="00AC0AE9">
        <w:trPr>
          <w:cnfStyle w:val="000000100000" w:firstRow="0" w:lastRow="0" w:firstColumn="0" w:lastColumn="0" w:oddVBand="0" w:evenVBand="0" w:oddHBand="1" w:evenHBand="0" w:firstRowFirstColumn="0" w:firstRowLastColumn="0" w:lastRowFirstColumn="0" w:lastRowLastColumn="0"/>
          <w:trHeight w:val="270"/>
        </w:trPr>
        <w:tc>
          <w:tcPr>
            <w:cnfStyle w:val="001000000000" w:firstRow="0" w:lastRow="0" w:firstColumn="1" w:lastColumn="0" w:oddVBand="0" w:evenVBand="0" w:oddHBand="0" w:evenHBand="0" w:firstRowFirstColumn="0" w:firstRowLastColumn="0" w:lastRowFirstColumn="0" w:lastRowLastColumn="0"/>
            <w:tcW w:w="2874" w:type="dxa"/>
            <w:noWrap/>
            <w:hideMark/>
          </w:tcPr>
          <w:p w14:paraId="29D41653" w14:textId="77777777" w:rsidR="00AC0AE9" w:rsidRPr="007007AD" w:rsidRDefault="00AC0AE9" w:rsidP="00103CA3">
            <w:pPr>
              <w:jc w:val="both"/>
              <w:rPr>
                <w:rFonts w:ascii="Times New Roman" w:hAnsi="Times New Roman" w:cs="Times New Roman"/>
                <w:b w:val="0"/>
                <w:bCs w:val="0"/>
              </w:rPr>
            </w:pPr>
            <w:proofErr w:type="spellStart"/>
            <w:r w:rsidRPr="007007AD">
              <w:rPr>
                <w:rFonts w:ascii="Times New Roman" w:hAnsi="Times New Roman" w:cs="Times New Roman"/>
                <w:b w:val="0"/>
                <w:bCs w:val="0"/>
              </w:rPr>
              <w:t>Non</w:t>
            </w:r>
            <w:proofErr w:type="spellEnd"/>
            <w:r w:rsidRPr="007007AD">
              <w:rPr>
                <w:rFonts w:ascii="Times New Roman" w:hAnsi="Times New Roman" w:cs="Times New Roman"/>
                <w:b w:val="0"/>
                <w:bCs w:val="0"/>
              </w:rPr>
              <w:t>-Planning</w:t>
            </w:r>
          </w:p>
        </w:tc>
        <w:tc>
          <w:tcPr>
            <w:tcW w:w="1565" w:type="dxa"/>
            <w:noWrap/>
            <w:hideMark/>
          </w:tcPr>
          <w:p w14:paraId="486943A6"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13.62 ± 4.21</w:t>
            </w:r>
          </w:p>
        </w:tc>
        <w:tc>
          <w:tcPr>
            <w:tcW w:w="1723" w:type="dxa"/>
            <w:noWrap/>
            <w:hideMark/>
          </w:tcPr>
          <w:p w14:paraId="09550B74"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13.43 ± 4.15</w:t>
            </w:r>
          </w:p>
        </w:tc>
        <w:tc>
          <w:tcPr>
            <w:tcW w:w="2060" w:type="dxa"/>
            <w:noWrap/>
            <w:hideMark/>
          </w:tcPr>
          <w:p w14:paraId="1EA513F2"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13.83 ± 4.31</w:t>
            </w:r>
          </w:p>
        </w:tc>
        <w:tc>
          <w:tcPr>
            <w:tcW w:w="1037" w:type="dxa"/>
            <w:noWrap/>
            <w:hideMark/>
          </w:tcPr>
          <w:p w14:paraId="3DFAE43C" w14:textId="77777777" w:rsidR="00AC0AE9" w:rsidRPr="007007AD" w:rsidRDefault="00AC0AE9" w:rsidP="00103CA3">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0.695(m)</w:t>
            </w:r>
          </w:p>
        </w:tc>
      </w:tr>
      <w:tr w:rsidR="00AC0AE9" w:rsidRPr="007007AD" w14:paraId="6EEBF79C" w14:textId="77777777" w:rsidTr="00AC0AE9">
        <w:trPr>
          <w:trHeight w:val="270"/>
        </w:trPr>
        <w:tc>
          <w:tcPr>
            <w:cnfStyle w:val="001000000000" w:firstRow="0" w:lastRow="0" w:firstColumn="1" w:lastColumn="0" w:oddVBand="0" w:evenVBand="0" w:oddHBand="0" w:evenHBand="0" w:firstRowFirstColumn="0" w:firstRowLastColumn="0" w:lastRowFirstColumn="0" w:lastRowLastColumn="0"/>
            <w:tcW w:w="2874" w:type="dxa"/>
            <w:noWrap/>
            <w:hideMark/>
          </w:tcPr>
          <w:p w14:paraId="300D40DD" w14:textId="77777777" w:rsidR="00AC0AE9" w:rsidRPr="007007AD" w:rsidRDefault="00AC0AE9" w:rsidP="00103CA3">
            <w:pPr>
              <w:jc w:val="both"/>
              <w:rPr>
                <w:rFonts w:ascii="Times New Roman" w:hAnsi="Times New Roman" w:cs="Times New Roman"/>
                <w:b w:val="0"/>
                <w:bCs w:val="0"/>
              </w:rPr>
            </w:pPr>
            <w:r w:rsidRPr="007007AD">
              <w:rPr>
                <w:rFonts w:ascii="Times New Roman" w:hAnsi="Times New Roman" w:cs="Times New Roman"/>
                <w:b w:val="0"/>
                <w:bCs w:val="0"/>
              </w:rPr>
              <w:t xml:space="preserve">Total </w:t>
            </w:r>
            <w:proofErr w:type="spellStart"/>
            <w:r w:rsidRPr="007007AD">
              <w:rPr>
                <w:rFonts w:ascii="Times New Roman" w:hAnsi="Times New Roman" w:cs="Times New Roman"/>
                <w:b w:val="0"/>
                <w:bCs w:val="0"/>
              </w:rPr>
              <w:t>Impulsivity</w:t>
            </w:r>
            <w:proofErr w:type="spellEnd"/>
          </w:p>
        </w:tc>
        <w:tc>
          <w:tcPr>
            <w:tcW w:w="1565" w:type="dxa"/>
            <w:noWrap/>
            <w:hideMark/>
          </w:tcPr>
          <w:p w14:paraId="077E235F"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31.09 ± 7.03</w:t>
            </w:r>
          </w:p>
        </w:tc>
        <w:tc>
          <w:tcPr>
            <w:tcW w:w="1723" w:type="dxa"/>
            <w:noWrap/>
            <w:hideMark/>
          </w:tcPr>
          <w:p w14:paraId="0D1FB920"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31.79 ± 7.32</w:t>
            </w:r>
          </w:p>
        </w:tc>
        <w:tc>
          <w:tcPr>
            <w:tcW w:w="2060" w:type="dxa"/>
            <w:noWrap/>
            <w:hideMark/>
          </w:tcPr>
          <w:p w14:paraId="150DAA4A"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30.5 ± 6.73</w:t>
            </w:r>
          </w:p>
        </w:tc>
        <w:tc>
          <w:tcPr>
            <w:tcW w:w="1037" w:type="dxa"/>
            <w:noWrap/>
            <w:hideMark/>
          </w:tcPr>
          <w:p w14:paraId="484A8C0F" w14:textId="77777777" w:rsidR="00AC0AE9" w:rsidRPr="007007AD" w:rsidRDefault="00AC0AE9" w:rsidP="00103CA3">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0.324(m)</w:t>
            </w:r>
          </w:p>
        </w:tc>
      </w:tr>
    </w:tbl>
    <w:p w14:paraId="6D87058B" w14:textId="77777777" w:rsidR="00AC0AE9" w:rsidRPr="007007AD" w:rsidRDefault="00AC0AE9" w:rsidP="0019194E">
      <w:pPr>
        <w:jc w:val="both"/>
        <w:rPr>
          <w:rFonts w:ascii="Times New Roman" w:hAnsi="Times New Roman" w:cs="Times New Roman"/>
        </w:rPr>
      </w:pPr>
      <w:r w:rsidRPr="007007AD">
        <w:rPr>
          <w:rFonts w:ascii="Times New Roman" w:eastAsia="Times New Roman" w:hAnsi="Times New Roman" w:cs="Times New Roman"/>
          <w:color w:val="000000"/>
          <w:kern w:val="0"/>
          <w:lang w:eastAsia="tr-TR"/>
          <w14:ligatures w14:val="none"/>
        </w:rPr>
        <w:t>Stats: Mean ± SD/Median (Min–Max), (m) Mann Whitney U Test</w:t>
      </w:r>
      <w:proofErr w:type="gramStart"/>
      <w:r w:rsidRPr="007007AD">
        <w:rPr>
          <w:rFonts w:ascii="Times New Roman" w:eastAsia="Times New Roman" w:hAnsi="Times New Roman" w:cs="Times New Roman"/>
          <w:color w:val="000000"/>
          <w:kern w:val="0"/>
          <w:lang w:eastAsia="tr-TR"/>
          <w14:ligatures w14:val="none"/>
        </w:rPr>
        <w:t>-,(</w:t>
      </w:r>
      <w:proofErr w:type="gramEnd"/>
      <w:r w:rsidRPr="007007AD">
        <w:rPr>
          <w:rFonts w:ascii="Times New Roman" w:eastAsia="Times New Roman" w:hAnsi="Times New Roman" w:cs="Times New Roman"/>
          <w:color w:val="000000"/>
          <w:kern w:val="0"/>
          <w:lang w:eastAsia="tr-TR"/>
          <w14:ligatures w14:val="none"/>
        </w:rPr>
        <w:t>s) Student’s T- test</w:t>
      </w:r>
    </w:p>
    <w:p w14:paraId="61BFDD08" w14:textId="77777777" w:rsidR="00815AFE" w:rsidRPr="007007AD" w:rsidRDefault="00815AFE" w:rsidP="00AC0AE9">
      <w:pPr>
        <w:jc w:val="both"/>
        <w:rPr>
          <w:rFonts w:ascii="Times New Roman" w:hAnsi="Times New Roman" w:cs="Times New Roman"/>
          <w:lang w:val="tr-TR"/>
        </w:rPr>
      </w:pPr>
    </w:p>
    <w:p w14:paraId="188F737F" w14:textId="77777777" w:rsidR="00815AFE" w:rsidRPr="007007AD" w:rsidRDefault="00815AFE" w:rsidP="00815AFE">
      <w:pPr>
        <w:pStyle w:val="ListParagraph"/>
        <w:jc w:val="both"/>
        <w:rPr>
          <w:rFonts w:ascii="Times New Roman" w:hAnsi="Times New Roman" w:cs="Times New Roman"/>
          <w:lang w:val="tr-TR"/>
        </w:rPr>
      </w:pPr>
    </w:p>
    <w:p w14:paraId="4D55B85C" w14:textId="35DC6A5A" w:rsidR="00AC0AE9" w:rsidRPr="007007AD" w:rsidRDefault="00AC0AE9" w:rsidP="00AC0AE9">
      <w:pPr>
        <w:jc w:val="both"/>
        <w:rPr>
          <w:rFonts w:ascii="Times New Roman" w:hAnsi="Times New Roman" w:cs="Times New Roman"/>
        </w:rPr>
      </w:pPr>
      <w:r w:rsidRPr="007007AD">
        <w:rPr>
          <w:rFonts w:ascii="Times New Roman" w:hAnsi="Times New Roman" w:cs="Times New Roman"/>
          <w:b/>
          <w:bCs/>
        </w:rPr>
        <w:t>Table-4:</w:t>
      </w:r>
      <w:r w:rsidRPr="007007AD">
        <w:rPr>
          <w:rFonts w:ascii="Times New Roman" w:hAnsi="Times New Roman" w:cs="Times New Roman"/>
        </w:rPr>
        <w:t xml:space="preserve"> Correlations Between BIS-11 Subscales, RLS Severity Score, BDI and Age, Disease Duration,</w:t>
      </w:r>
      <w:r w:rsidR="0019194E" w:rsidRPr="007007AD">
        <w:rPr>
          <w:rFonts w:ascii="Times New Roman" w:hAnsi="Times New Roman" w:cs="Times New Roman"/>
        </w:rPr>
        <w:t xml:space="preserve"> </w:t>
      </w:r>
      <w:r w:rsidRPr="007007AD">
        <w:rPr>
          <w:rFonts w:ascii="Times New Roman" w:hAnsi="Times New Roman" w:cs="Times New Roman"/>
        </w:rPr>
        <w:t>and Treatment Parameters</w:t>
      </w:r>
    </w:p>
    <w:tbl>
      <w:tblPr>
        <w:tblStyle w:val="PlainTable1"/>
        <w:tblpPr w:leftFromText="141" w:rightFromText="141" w:vertAnchor="text" w:horzAnchor="margin" w:tblpY="71"/>
        <w:tblW w:w="9935" w:type="dxa"/>
        <w:tblLook w:val="04A0" w:firstRow="1" w:lastRow="0" w:firstColumn="1" w:lastColumn="0" w:noHBand="0" w:noVBand="1"/>
      </w:tblPr>
      <w:tblGrid>
        <w:gridCol w:w="3065"/>
        <w:gridCol w:w="1395"/>
        <w:gridCol w:w="1853"/>
        <w:gridCol w:w="1822"/>
        <w:gridCol w:w="1800"/>
      </w:tblGrid>
      <w:tr w:rsidR="00AC0AE9" w:rsidRPr="007007AD" w14:paraId="14AB2E1E" w14:textId="77777777" w:rsidTr="0019194E">
        <w:trPr>
          <w:cnfStyle w:val="100000000000" w:firstRow="1" w:lastRow="0" w:firstColumn="0" w:lastColumn="0" w:oddVBand="0" w:evenVBand="0" w:oddHBand="0"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065" w:type="dxa"/>
            <w:noWrap/>
            <w:hideMark/>
          </w:tcPr>
          <w:p w14:paraId="6C8E8633" w14:textId="2E029910" w:rsidR="00AC0AE9" w:rsidRPr="00987553" w:rsidRDefault="00AC0AE9" w:rsidP="0019194E">
            <w:pPr>
              <w:jc w:val="both"/>
              <w:rPr>
                <w:rFonts w:ascii="Times New Roman" w:hAnsi="Times New Roman" w:cs="Times New Roman"/>
              </w:rPr>
            </w:pPr>
            <w:proofErr w:type="spellStart"/>
            <w:r w:rsidRPr="00987553">
              <w:rPr>
                <w:rFonts w:ascii="Times New Roman" w:hAnsi="Times New Roman" w:cs="Times New Roman"/>
              </w:rPr>
              <w:t>Paramet</w:t>
            </w:r>
            <w:r w:rsidR="00987553" w:rsidRPr="00987553">
              <w:rPr>
                <w:rFonts w:ascii="Times New Roman" w:hAnsi="Times New Roman" w:cs="Times New Roman"/>
              </w:rPr>
              <w:t>ers</w:t>
            </w:r>
            <w:proofErr w:type="spellEnd"/>
          </w:p>
        </w:tc>
        <w:tc>
          <w:tcPr>
            <w:tcW w:w="1395" w:type="dxa"/>
            <w:noWrap/>
            <w:hideMark/>
          </w:tcPr>
          <w:p w14:paraId="32BF3822" w14:textId="77777777" w:rsidR="00AC0AE9" w:rsidRPr="00987553" w:rsidRDefault="00AC0AE9" w:rsidP="0019194E">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987553">
              <w:rPr>
                <w:rFonts w:ascii="Times New Roman" w:hAnsi="Times New Roman" w:cs="Times New Roman"/>
              </w:rPr>
              <w:t>Age (</w:t>
            </w:r>
            <w:proofErr w:type="spellStart"/>
            <w:r w:rsidRPr="00987553">
              <w:rPr>
                <w:rFonts w:ascii="Times New Roman" w:hAnsi="Times New Roman" w:cs="Times New Roman"/>
              </w:rPr>
              <w:t>years</w:t>
            </w:r>
            <w:proofErr w:type="spellEnd"/>
            <w:r w:rsidRPr="00987553">
              <w:rPr>
                <w:rFonts w:ascii="Times New Roman" w:hAnsi="Times New Roman" w:cs="Times New Roman"/>
              </w:rPr>
              <w:t>)</w:t>
            </w:r>
          </w:p>
        </w:tc>
        <w:tc>
          <w:tcPr>
            <w:tcW w:w="1853" w:type="dxa"/>
            <w:noWrap/>
            <w:hideMark/>
          </w:tcPr>
          <w:p w14:paraId="6CD92F84" w14:textId="77777777" w:rsidR="00AC0AE9" w:rsidRPr="00987553" w:rsidRDefault="00AC0AE9" w:rsidP="0019194E">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sidRPr="00987553">
              <w:rPr>
                <w:rFonts w:ascii="Times New Roman" w:hAnsi="Times New Roman" w:cs="Times New Roman"/>
              </w:rPr>
              <w:t>Disease</w:t>
            </w:r>
            <w:proofErr w:type="spellEnd"/>
            <w:r w:rsidRPr="00987553">
              <w:rPr>
                <w:rFonts w:ascii="Times New Roman" w:hAnsi="Times New Roman" w:cs="Times New Roman"/>
              </w:rPr>
              <w:t xml:space="preserve"> </w:t>
            </w:r>
            <w:proofErr w:type="spellStart"/>
            <w:r w:rsidRPr="00987553">
              <w:rPr>
                <w:rFonts w:ascii="Times New Roman" w:hAnsi="Times New Roman" w:cs="Times New Roman"/>
              </w:rPr>
              <w:t>Duration</w:t>
            </w:r>
            <w:proofErr w:type="spellEnd"/>
            <w:r w:rsidRPr="00987553">
              <w:rPr>
                <w:rFonts w:ascii="Times New Roman" w:hAnsi="Times New Roman" w:cs="Times New Roman"/>
              </w:rPr>
              <w:t xml:space="preserve"> (</w:t>
            </w:r>
            <w:proofErr w:type="spellStart"/>
            <w:r w:rsidRPr="00987553">
              <w:rPr>
                <w:rFonts w:ascii="Times New Roman" w:hAnsi="Times New Roman" w:cs="Times New Roman"/>
              </w:rPr>
              <w:t>months</w:t>
            </w:r>
            <w:proofErr w:type="spellEnd"/>
            <w:r w:rsidRPr="00987553">
              <w:rPr>
                <w:rFonts w:ascii="Times New Roman" w:hAnsi="Times New Roman" w:cs="Times New Roman"/>
              </w:rPr>
              <w:t>)</w:t>
            </w:r>
          </w:p>
        </w:tc>
        <w:tc>
          <w:tcPr>
            <w:tcW w:w="1822" w:type="dxa"/>
            <w:noWrap/>
            <w:hideMark/>
          </w:tcPr>
          <w:p w14:paraId="6300B983" w14:textId="77777777" w:rsidR="00AC0AE9" w:rsidRPr="00987553" w:rsidRDefault="00AC0AE9" w:rsidP="0019194E">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sidRPr="00987553">
              <w:rPr>
                <w:rFonts w:ascii="Times New Roman" w:hAnsi="Times New Roman" w:cs="Times New Roman"/>
              </w:rPr>
              <w:t>Pramipexole</w:t>
            </w:r>
            <w:proofErr w:type="spellEnd"/>
            <w:r w:rsidRPr="00987553">
              <w:rPr>
                <w:rFonts w:ascii="Times New Roman" w:hAnsi="Times New Roman" w:cs="Times New Roman"/>
              </w:rPr>
              <w:t xml:space="preserve"> </w:t>
            </w:r>
            <w:proofErr w:type="spellStart"/>
            <w:r w:rsidRPr="00987553">
              <w:rPr>
                <w:rFonts w:ascii="Times New Roman" w:hAnsi="Times New Roman" w:cs="Times New Roman"/>
              </w:rPr>
              <w:t>Dose</w:t>
            </w:r>
            <w:proofErr w:type="spellEnd"/>
            <w:r w:rsidRPr="00987553">
              <w:rPr>
                <w:rFonts w:ascii="Times New Roman" w:hAnsi="Times New Roman" w:cs="Times New Roman"/>
              </w:rPr>
              <w:t xml:space="preserve"> (mg)</w:t>
            </w:r>
          </w:p>
        </w:tc>
        <w:tc>
          <w:tcPr>
            <w:tcW w:w="1800" w:type="dxa"/>
            <w:noWrap/>
            <w:hideMark/>
          </w:tcPr>
          <w:p w14:paraId="2DD9B96C" w14:textId="77777777" w:rsidR="00AC0AE9" w:rsidRPr="00987553" w:rsidRDefault="00AC0AE9" w:rsidP="0019194E">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roofErr w:type="spellStart"/>
            <w:r w:rsidRPr="00987553">
              <w:rPr>
                <w:rFonts w:ascii="Times New Roman" w:hAnsi="Times New Roman" w:cs="Times New Roman"/>
              </w:rPr>
              <w:t>Treatment</w:t>
            </w:r>
            <w:proofErr w:type="spellEnd"/>
            <w:r w:rsidRPr="00987553">
              <w:rPr>
                <w:rFonts w:ascii="Times New Roman" w:hAnsi="Times New Roman" w:cs="Times New Roman"/>
              </w:rPr>
              <w:t xml:space="preserve"> </w:t>
            </w:r>
            <w:proofErr w:type="spellStart"/>
            <w:r w:rsidRPr="00987553">
              <w:rPr>
                <w:rFonts w:ascii="Times New Roman" w:hAnsi="Times New Roman" w:cs="Times New Roman"/>
              </w:rPr>
              <w:t>Duration</w:t>
            </w:r>
            <w:proofErr w:type="spellEnd"/>
            <w:r w:rsidRPr="00987553">
              <w:rPr>
                <w:rFonts w:ascii="Times New Roman" w:hAnsi="Times New Roman" w:cs="Times New Roman"/>
              </w:rPr>
              <w:t xml:space="preserve"> (</w:t>
            </w:r>
            <w:proofErr w:type="spellStart"/>
            <w:r w:rsidRPr="00987553">
              <w:rPr>
                <w:rFonts w:ascii="Times New Roman" w:hAnsi="Times New Roman" w:cs="Times New Roman"/>
              </w:rPr>
              <w:t>months</w:t>
            </w:r>
            <w:proofErr w:type="spellEnd"/>
            <w:r w:rsidRPr="00987553">
              <w:rPr>
                <w:rFonts w:ascii="Times New Roman" w:hAnsi="Times New Roman" w:cs="Times New Roman"/>
              </w:rPr>
              <w:t>)</w:t>
            </w:r>
          </w:p>
        </w:tc>
      </w:tr>
      <w:tr w:rsidR="00AC0AE9" w:rsidRPr="007007AD" w14:paraId="3DB12A37" w14:textId="77777777" w:rsidTr="0019194E">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065" w:type="dxa"/>
            <w:noWrap/>
            <w:hideMark/>
          </w:tcPr>
          <w:p w14:paraId="0614EC20" w14:textId="77777777" w:rsidR="00AC0AE9" w:rsidRPr="007007AD" w:rsidRDefault="00AC0AE9" w:rsidP="0019194E">
            <w:pPr>
              <w:jc w:val="both"/>
              <w:rPr>
                <w:rFonts w:ascii="Times New Roman" w:hAnsi="Times New Roman" w:cs="Times New Roman"/>
                <w:b w:val="0"/>
                <w:bCs w:val="0"/>
              </w:rPr>
            </w:pPr>
            <w:r w:rsidRPr="007007AD">
              <w:rPr>
                <w:rFonts w:ascii="Times New Roman" w:hAnsi="Times New Roman" w:cs="Times New Roman"/>
                <w:b w:val="0"/>
                <w:bCs w:val="0"/>
              </w:rPr>
              <w:t xml:space="preserve">BIS-11 SF Total </w:t>
            </w:r>
            <w:proofErr w:type="spellStart"/>
            <w:r w:rsidRPr="007007AD">
              <w:rPr>
                <w:rFonts w:ascii="Times New Roman" w:hAnsi="Times New Roman" w:cs="Times New Roman"/>
                <w:b w:val="0"/>
                <w:bCs w:val="0"/>
              </w:rPr>
              <w:t>Impulsivity</w:t>
            </w:r>
            <w:proofErr w:type="spellEnd"/>
          </w:p>
        </w:tc>
        <w:tc>
          <w:tcPr>
            <w:tcW w:w="1395" w:type="dxa"/>
            <w:noWrap/>
            <w:hideMark/>
          </w:tcPr>
          <w:p w14:paraId="6BB33614"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:0.133     </w:t>
            </w:r>
          </w:p>
          <w:p w14:paraId="552E8EC8"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:0.402</w:t>
            </w:r>
          </w:p>
        </w:tc>
        <w:tc>
          <w:tcPr>
            <w:tcW w:w="1853" w:type="dxa"/>
            <w:noWrap/>
            <w:hideMark/>
          </w:tcPr>
          <w:p w14:paraId="76286FAF"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:0.033         </w:t>
            </w:r>
          </w:p>
          <w:p w14:paraId="08519566"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:0.837</w:t>
            </w:r>
          </w:p>
        </w:tc>
        <w:tc>
          <w:tcPr>
            <w:tcW w:w="1822" w:type="dxa"/>
            <w:noWrap/>
            <w:hideMark/>
          </w:tcPr>
          <w:p w14:paraId="3CDD113E"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:0.023    </w:t>
            </w:r>
          </w:p>
          <w:p w14:paraId="07EB514B"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:0.888</w:t>
            </w:r>
          </w:p>
        </w:tc>
        <w:tc>
          <w:tcPr>
            <w:tcW w:w="1800" w:type="dxa"/>
            <w:noWrap/>
            <w:hideMark/>
          </w:tcPr>
          <w:p w14:paraId="699A4E96"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:0.087   </w:t>
            </w:r>
          </w:p>
          <w:p w14:paraId="5FC5AE00"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:0.589</w:t>
            </w:r>
          </w:p>
        </w:tc>
      </w:tr>
      <w:tr w:rsidR="00AC0AE9" w:rsidRPr="007007AD" w14:paraId="3B8E412F" w14:textId="77777777" w:rsidTr="0019194E">
        <w:trPr>
          <w:trHeight w:val="225"/>
        </w:trPr>
        <w:tc>
          <w:tcPr>
            <w:cnfStyle w:val="001000000000" w:firstRow="0" w:lastRow="0" w:firstColumn="1" w:lastColumn="0" w:oddVBand="0" w:evenVBand="0" w:oddHBand="0" w:evenHBand="0" w:firstRowFirstColumn="0" w:firstRowLastColumn="0" w:lastRowFirstColumn="0" w:lastRowLastColumn="0"/>
            <w:tcW w:w="3065" w:type="dxa"/>
            <w:noWrap/>
            <w:hideMark/>
          </w:tcPr>
          <w:p w14:paraId="50AD4F41" w14:textId="77777777" w:rsidR="00AC0AE9" w:rsidRPr="007007AD" w:rsidRDefault="00AC0AE9" w:rsidP="0019194E">
            <w:pPr>
              <w:jc w:val="both"/>
              <w:rPr>
                <w:rFonts w:ascii="Times New Roman" w:hAnsi="Times New Roman" w:cs="Times New Roman"/>
                <w:b w:val="0"/>
                <w:bCs w:val="0"/>
              </w:rPr>
            </w:pPr>
            <w:r w:rsidRPr="007007AD">
              <w:rPr>
                <w:rFonts w:ascii="Times New Roman" w:hAnsi="Times New Roman" w:cs="Times New Roman"/>
                <w:b w:val="0"/>
                <w:bCs w:val="0"/>
              </w:rPr>
              <w:t xml:space="preserve">BIS-11 </w:t>
            </w:r>
            <w:proofErr w:type="spellStart"/>
            <w:r w:rsidRPr="007007AD">
              <w:rPr>
                <w:rFonts w:ascii="Times New Roman" w:hAnsi="Times New Roman" w:cs="Times New Roman"/>
                <w:b w:val="0"/>
                <w:bCs w:val="0"/>
              </w:rPr>
              <w:t>Attention</w:t>
            </w:r>
            <w:proofErr w:type="spellEnd"/>
          </w:p>
        </w:tc>
        <w:tc>
          <w:tcPr>
            <w:tcW w:w="1395" w:type="dxa"/>
            <w:noWrap/>
            <w:hideMark/>
          </w:tcPr>
          <w:p w14:paraId="23C65133"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:0.003      </w:t>
            </w:r>
          </w:p>
          <w:p w14:paraId="0A25CA2D"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:0.985</w:t>
            </w:r>
          </w:p>
        </w:tc>
        <w:tc>
          <w:tcPr>
            <w:tcW w:w="1853" w:type="dxa"/>
            <w:noWrap/>
            <w:hideMark/>
          </w:tcPr>
          <w:p w14:paraId="66C9E01C"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:0.129          </w:t>
            </w:r>
          </w:p>
          <w:p w14:paraId="69A7821D"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:0.417</w:t>
            </w:r>
          </w:p>
        </w:tc>
        <w:tc>
          <w:tcPr>
            <w:tcW w:w="1822" w:type="dxa"/>
            <w:noWrap/>
            <w:hideMark/>
          </w:tcPr>
          <w:p w14:paraId="5A377A9C"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:0.068    </w:t>
            </w:r>
          </w:p>
          <w:p w14:paraId="1D6797FA"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:0.672</w:t>
            </w:r>
          </w:p>
        </w:tc>
        <w:tc>
          <w:tcPr>
            <w:tcW w:w="1800" w:type="dxa"/>
            <w:noWrap/>
            <w:hideMark/>
          </w:tcPr>
          <w:p w14:paraId="2A3E1B7A"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 0.265  </w:t>
            </w:r>
          </w:p>
          <w:p w14:paraId="2BB0E001"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:0.094</w:t>
            </w:r>
          </w:p>
        </w:tc>
      </w:tr>
      <w:tr w:rsidR="00AC0AE9" w:rsidRPr="007007AD" w14:paraId="55302B9F" w14:textId="77777777" w:rsidTr="0019194E">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065" w:type="dxa"/>
            <w:noWrap/>
            <w:hideMark/>
          </w:tcPr>
          <w:p w14:paraId="5B67721A" w14:textId="77777777" w:rsidR="00AC0AE9" w:rsidRPr="007007AD" w:rsidRDefault="00AC0AE9" w:rsidP="0019194E">
            <w:pPr>
              <w:jc w:val="both"/>
              <w:rPr>
                <w:rFonts w:ascii="Times New Roman" w:hAnsi="Times New Roman" w:cs="Times New Roman"/>
                <w:b w:val="0"/>
                <w:bCs w:val="0"/>
              </w:rPr>
            </w:pPr>
            <w:r w:rsidRPr="007007AD">
              <w:rPr>
                <w:rFonts w:ascii="Times New Roman" w:hAnsi="Times New Roman" w:cs="Times New Roman"/>
                <w:b w:val="0"/>
                <w:bCs w:val="0"/>
              </w:rPr>
              <w:t xml:space="preserve">BIS-11 Motor </w:t>
            </w:r>
            <w:proofErr w:type="spellStart"/>
            <w:r w:rsidRPr="007007AD">
              <w:rPr>
                <w:rFonts w:ascii="Times New Roman" w:hAnsi="Times New Roman" w:cs="Times New Roman"/>
                <w:b w:val="0"/>
                <w:bCs w:val="0"/>
              </w:rPr>
              <w:t>Impulsivity</w:t>
            </w:r>
            <w:proofErr w:type="spellEnd"/>
          </w:p>
        </w:tc>
        <w:tc>
          <w:tcPr>
            <w:tcW w:w="1395" w:type="dxa"/>
            <w:noWrap/>
            <w:hideMark/>
          </w:tcPr>
          <w:p w14:paraId="2A913AF8"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0.122    </w:t>
            </w:r>
          </w:p>
          <w:p w14:paraId="209008AC"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:0.44</w:t>
            </w:r>
          </w:p>
        </w:tc>
        <w:tc>
          <w:tcPr>
            <w:tcW w:w="1853" w:type="dxa"/>
            <w:noWrap/>
            <w:hideMark/>
          </w:tcPr>
          <w:p w14:paraId="50A97A63"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 0.249       </w:t>
            </w:r>
          </w:p>
          <w:p w14:paraId="10C901E2"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:0.11</w:t>
            </w:r>
          </w:p>
        </w:tc>
        <w:tc>
          <w:tcPr>
            <w:tcW w:w="1822" w:type="dxa"/>
            <w:noWrap/>
            <w:hideMark/>
          </w:tcPr>
          <w:p w14:paraId="0A59ED62"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0.143  </w:t>
            </w:r>
          </w:p>
          <w:p w14:paraId="36F47782"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:0.371</w:t>
            </w:r>
          </w:p>
        </w:tc>
        <w:tc>
          <w:tcPr>
            <w:tcW w:w="1800" w:type="dxa"/>
            <w:noWrap/>
            <w:hideMark/>
          </w:tcPr>
          <w:p w14:paraId="5B9984D3"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0.042 </w:t>
            </w:r>
          </w:p>
          <w:p w14:paraId="2B898140"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:0.794</w:t>
            </w:r>
          </w:p>
        </w:tc>
      </w:tr>
      <w:tr w:rsidR="00AC0AE9" w:rsidRPr="007007AD" w14:paraId="05F73899" w14:textId="77777777" w:rsidTr="0019194E">
        <w:trPr>
          <w:trHeight w:val="225"/>
        </w:trPr>
        <w:tc>
          <w:tcPr>
            <w:cnfStyle w:val="001000000000" w:firstRow="0" w:lastRow="0" w:firstColumn="1" w:lastColumn="0" w:oddVBand="0" w:evenVBand="0" w:oddHBand="0" w:evenHBand="0" w:firstRowFirstColumn="0" w:firstRowLastColumn="0" w:lastRowFirstColumn="0" w:lastRowLastColumn="0"/>
            <w:tcW w:w="3065" w:type="dxa"/>
            <w:noWrap/>
            <w:hideMark/>
          </w:tcPr>
          <w:p w14:paraId="34065585" w14:textId="77777777" w:rsidR="00AC0AE9" w:rsidRPr="007007AD" w:rsidRDefault="00AC0AE9" w:rsidP="0019194E">
            <w:pPr>
              <w:jc w:val="both"/>
              <w:rPr>
                <w:rFonts w:ascii="Times New Roman" w:hAnsi="Times New Roman" w:cs="Times New Roman"/>
                <w:b w:val="0"/>
                <w:bCs w:val="0"/>
              </w:rPr>
            </w:pPr>
            <w:r w:rsidRPr="007007AD">
              <w:rPr>
                <w:rFonts w:ascii="Times New Roman" w:hAnsi="Times New Roman" w:cs="Times New Roman"/>
                <w:b w:val="0"/>
                <w:bCs w:val="0"/>
              </w:rPr>
              <w:t xml:space="preserve">BIS-11 </w:t>
            </w:r>
            <w:proofErr w:type="spellStart"/>
            <w:r w:rsidRPr="007007AD">
              <w:rPr>
                <w:rFonts w:ascii="Times New Roman" w:hAnsi="Times New Roman" w:cs="Times New Roman"/>
                <w:b w:val="0"/>
                <w:bCs w:val="0"/>
              </w:rPr>
              <w:t>Non</w:t>
            </w:r>
            <w:proofErr w:type="spellEnd"/>
            <w:r w:rsidRPr="007007AD">
              <w:rPr>
                <w:rFonts w:ascii="Times New Roman" w:hAnsi="Times New Roman" w:cs="Times New Roman"/>
                <w:b w:val="0"/>
                <w:bCs w:val="0"/>
              </w:rPr>
              <w:t>-Planning</w:t>
            </w:r>
          </w:p>
        </w:tc>
        <w:tc>
          <w:tcPr>
            <w:tcW w:w="1395" w:type="dxa"/>
            <w:noWrap/>
            <w:hideMark/>
          </w:tcPr>
          <w:p w14:paraId="720B923A"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:0.292    </w:t>
            </w:r>
          </w:p>
          <w:p w14:paraId="40F59CC7"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:0.061</w:t>
            </w:r>
          </w:p>
        </w:tc>
        <w:tc>
          <w:tcPr>
            <w:tcW w:w="1853" w:type="dxa"/>
            <w:noWrap/>
            <w:hideMark/>
          </w:tcPr>
          <w:p w14:paraId="298C52BD"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:0.154           </w:t>
            </w:r>
          </w:p>
          <w:p w14:paraId="074EEB57"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007AD">
              <w:rPr>
                <w:rFonts w:ascii="Times New Roman" w:hAnsi="Times New Roman" w:cs="Times New Roman"/>
              </w:rPr>
              <w:t xml:space="preserve"> </w:t>
            </w:r>
            <w:proofErr w:type="gramStart"/>
            <w:r w:rsidRPr="007007AD">
              <w:rPr>
                <w:rFonts w:ascii="Times New Roman" w:hAnsi="Times New Roman" w:cs="Times New Roman"/>
              </w:rPr>
              <w:t>p</w:t>
            </w:r>
            <w:proofErr w:type="gramEnd"/>
            <w:r w:rsidRPr="007007AD">
              <w:rPr>
                <w:rFonts w:ascii="Times New Roman" w:hAnsi="Times New Roman" w:cs="Times New Roman"/>
              </w:rPr>
              <w:t>:0.329</w:t>
            </w:r>
          </w:p>
        </w:tc>
        <w:tc>
          <w:tcPr>
            <w:tcW w:w="1822" w:type="dxa"/>
            <w:noWrap/>
            <w:hideMark/>
          </w:tcPr>
          <w:p w14:paraId="79A71170"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:0.006     </w:t>
            </w:r>
          </w:p>
          <w:p w14:paraId="1954F5AB"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:0.15</w:t>
            </w:r>
          </w:p>
        </w:tc>
        <w:tc>
          <w:tcPr>
            <w:tcW w:w="1800" w:type="dxa"/>
            <w:noWrap/>
            <w:hideMark/>
          </w:tcPr>
          <w:p w14:paraId="6B615DE3"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:0.001  </w:t>
            </w:r>
          </w:p>
          <w:p w14:paraId="115BB338"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:0.994</w:t>
            </w:r>
          </w:p>
        </w:tc>
      </w:tr>
      <w:tr w:rsidR="00AC0AE9" w:rsidRPr="007007AD" w14:paraId="43FF8C01" w14:textId="77777777" w:rsidTr="0019194E">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3065" w:type="dxa"/>
            <w:noWrap/>
            <w:hideMark/>
          </w:tcPr>
          <w:p w14:paraId="78430378" w14:textId="77777777" w:rsidR="00AC0AE9" w:rsidRPr="007007AD" w:rsidRDefault="00AC0AE9" w:rsidP="0019194E">
            <w:pPr>
              <w:jc w:val="both"/>
              <w:rPr>
                <w:rFonts w:ascii="Times New Roman" w:hAnsi="Times New Roman" w:cs="Times New Roman"/>
                <w:b w:val="0"/>
                <w:bCs w:val="0"/>
              </w:rPr>
            </w:pPr>
            <w:r w:rsidRPr="007007AD">
              <w:rPr>
                <w:rFonts w:ascii="Times New Roman" w:hAnsi="Times New Roman" w:cs="Times New Roman"/>
                <w:b w:val="0"/>
                <w:bCs w:val="0"/>
              </w:rPr>
              <w:t xml:space="preserve">RLS </w:t>
            </w:r>
            <w:proofErr w:type="spellStart"/>
            <w:r w:rsidRPr="007007AD">
              <w:rPr>
                <w:rFonts w:ascii="Times New Roman" w:hAnsi="Times New Roman" w:cs="Times New Roman"/>
                <w:b w:val="0"/>
                <w:bCs w:val="0"/>
              </w:rPr>
              <w:t>Severity</w:t>
            </w:r>
            <w:proofErr w:type="spellEnd"/>
            <w:r w:rsidRPr="007007AD">
              <w:rPr>
                <w:rFonts w:ascii="Times New Roman" w:hAnsi="Times New Roman" w:cs="Times New Roman"/>
                <w:b w:val="0"/>
                <w:bCs w:val="0"/>
              </w:rPr>
              <w:t xml:space="preserve"> </w:t>
            </w:r>
            <w:proofErr w:type="spellStart"/>
            <w:r w:rsidRPr="007007AD">
              <w:rPr>
                <w:rFonts w:ascii="Times New Roman" w:hAnsi="Times New Roman" w:cs="Times New Roman"/>
                <w:b w:val="0"/>
                <w:bCs w:val="0"/>
              </w:rPr>
              <w:t>Score</w:t>
            </w:r>
            <w:proofErr w:type="spellEnd"/>
          </w:p>
        </w:tc>
        <w:tc>
          <w:tcPr>
            <w:tcW w:w="1395" w:type="dxa"/>
            <w:noWrap/>
            <w:hideMark/>
          </w:tcPr>
          <w:p w14:paraId="3DE91425"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0.12   </w:t>
            </w:r>
          </w:p>
          <w:p w14:paraId="31B6AB88"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:0.382</w:t>
            </w:r>
          </w:p>
        </w:tc>
        <w:tc>
          <w:tcPr>
            <w:tcW w:w="1853" w:type="dxa"/>
            <w:noWrap/>
            <w:hideMark/>
          </w:tcPr>
          <w:p w14:paraId="47DF3CF3"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:0.135            </w:t>
            </w:r>
          </w:p>
          <w:p w14:paraId="5A320720"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:0.326</w:t>
            </w:r>
          </w:p>
        </w:tc>
        <w:tc>
          <w:tcPr>
            <w:tcW w:w="1822" w:type="dxa"/>
            <w:noWrap/>
            <w:hideMark/>
          </w:tcPr>
          <w:p w14:paraId="4C483017"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:0.259</w:t>
            </w:r>
          </w:p>
          <w:p w14:paraId="0869B78D"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:0.058</w:t>
            </w:r>
          </w:p>
        </w:tc>
        <w:tc>
          <w:tcPr>
            <w:tcW w:w="1800" w:type="dxa"/>
            <w:noWrap/>
            <w:hideMark/>
          </w:tcPr>
          <w:p w14:paraId="5AB363DA"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:0.128    </w:t>
            </w:r>
          </w:p>
          <w:p w14:paraId="2F0A94E9"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:0.357</w:t>
            </w:r>
          </w:p>
        </w:tc>
      </w:tr>
      <w:tr w:rsidR="00AC0AE9" w:rsidRPr="007007AD" w14:paraId="2F0D50FC" w14:textId="77777777" w:rsidTr="0019194E">
        <w:trPr>
          <w:trHeight w:val="225"/>
        </w:trPr>
        <w:tc>
          <w:tcPr>
            <w:cnfStyle w:val="001000000000" w:firstRow="0" w:lastRow="0" w:firstColumn="1" w:lastColumn="0" w:oddVBand="0" w:evenVBand="0" w:oddHBand="0" w:evenHBand="0" w:firstRowFirstColumn="0" w:firstRowLastColumn="0" w:lastRowFirstColumn="0" w:lastRowLastColumn="0"/>
            <w:tcW w:w="3065" w:type="dxa"/>
            <w:noWrap/>
            <w:hideMark/>
          </w:tcPr>
          <w:p w14:paraId="3DAAE8A4" w14:textId="77777777" w:rsidR="00AC0AE9" w:rsidRPr="007007AD" w:rsidRDefault="00AC0AE9" w:rsidP="0019194E">
            <w:pPr>
              <w:jc w:val="both"/>
              <w:rPr>
                <w:rFonts w:ascii="Times New Roman" w:hAnsi="Times New Roman" w:cs="Times New Roman"/>
                <w:b w:val="0"/>
                <w:bCs w:val="0"/>
              </w:rPr>
            </w:pPr>
            <w:r w:rsidRPr="007007AD">
              <w:rPr>
                <w:rFonts w:ascii="Times New Roman" w:hAnsi="Times New Roman" w:cs="Times New Roman"/>
                <w:b w:val="0"/>
                <w:bCs w:val="0"/>
              </w:rPr>
              <w:t xml:space="preserve">Beck </w:t>
            </w:r>
            <w:proofErr w:type="spellStart"/>
            <w:r w:rsidRPr="007007AD">
              <w:rPr>
                <w:rFonts w:ascii="Times New Roman" w:hAnsi="Times New Roman" w:cs="Times New Roman"/>
                <w:b w:val="0"/>
                <w:bCs w:val="0"/>
              </w:rPr>
              <w:t>Depression</w:t>
            </w:r>
            <w:proofErr w:type="spellEnd"/>
            <w:r w:rsidRPr="007007AD">
              <w:rPr>
                <w:rFonts w:ascii="Times New Roman" w:hAnsi="Times New Roman" w:cs="Times New Roman"/>
                <w:b w:val="0"/>
                <w:bCs w:val="0"/>
              </w:rPr>
              <w:t xml:space="preserve"> Inventory</w:t>
            </w:r>
          </w:p>
        </w:tc>
        <w:tc>
          <w:tcPr>
            <w:tcW w:w="1395" w:type="dxa"/>
            <w:noWrap/>
            <w:hideMark/>
          </w:tcPr>
          <w:p w14:paraId="60ABB318"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:0.133      </w:t>
            </w:r>
          </w:p>
          <w:p w14:paraId="36027F8E"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:0.332</w:t>
            </w:r>
          </w:p>
        </w:tc>
        <w:tc>
          <w:tcPr>
            <w:tcW w:w="1853" w:type="dxa"/>
            <w:noWrap/>
            <w:hideMark/>
          </w:tcPr>
          <w:p w14:paraId="18E42A47"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E97132" w:themeColor="accent2"/>
              </w:rPr>
            </w:pPr>
            <w:proofErr w:type="gramStart"/>
            <w:r w:rsidRPr="007007AD">
              <w:rPr>
                <w:rFonts w:ascii="Times New Roman" w:hAnsi="Times New Roman" w:cs="Times New Roman"/>
                <w:color w:val="E97132" w:themeColor="accent2"/>
              </w:rPr>
              <w:t>r</w:t>
            </w:r>
            <w:proofErr w:type="gramEnd"/>
            <w:r w:rsidRPr="007007AD">
              <w:rPr>
                <w:rFonts w:ascii="Times New Roman" w:hAnsi="Times New Roman" w:cs="Times New Roman"/>
                <w:color w:val="E97132" w:themeColor="accent2"/>
              </w:rPr>
              <w:t xml:space="preserve">:0.12           </w:t>
            </w:r>
          </w:p>
          <w:p w14:paraId="0436A868"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:0.384</w:t>
            </w:r>
          </w:p>
        </w:tc>
        <w:tc>
          <w:tcPr>
            <w:tcW w:w="1822" w:type="dxa"/>
            <w:noWrap/>
            <w:hideMark/>
          </w:tcPr>
          <w:p w14:paraId="3FE7639D"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:0.258   </w:t>
            </w:r>
          </w:p>
          <w:p w14:paraId="2AE562F7"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:0.06</w:t>
            </w:r>
          </w:p>
        </w:tc>
        <w:tc>
          <w:tcPr>
            <w:tcW w:w="1800" w:type="dxa"/>
            <w:noWrap/>
            <w:hideMark/>
          </w:tcPr>
          <w:p w14:paraId="3D126AE8"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:0.223 </w:t>
            </w:r>
          </w:p>
          <w:p w14:paraId="069C2392" w14:textId="77777777" w:rsidR="00AC0AE9" w:rsidRPr="007007AD" w:rsidRDefault="00AC0AE9" w:rsidP="0019194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:0.105</w:t>
            </w:r>
          </w:p>
        </w:tc>
      </w:tr>
      <w:tr w:rsidR="00AC0AE9" w:rsidRPr="007007AD" w14:paraId="15C0F7DD" w14:textId="77777777" w:rsidTr="0019194E">
        <w:trPr>
          <w:cnfStyle w:val="000000100000" w:firstRow="0" w:lastRow="0" w:firstColumn="0" w:lastColumn="0" w:oddVBand="0" w:evenVBand="0" w:oddHBand="1" w:evenHBand="0" w:firstRowFirstColumn="0" w:firstRowLastColumn="0" w:lastRowFirstColumn="0" w:lastRowLastColumn="0"/>
          <w:trHeight w:val="34"/>
        </w:trPr>
        <w:tc>
          <w:tcPr>
            <w:cnfStyle w:val="001000000000" w:firstRow="0" w:lastRow="0" w:firstColumn="1" w:lastColumn="0" w:oddVBand="0" w:evenVBand="0" w:oddHBand="0" w:evenHBand="0" w:firstRowFirstColumn="0" w:firstRowLastColumn="0" w:lastRowFirstColumn="0" w:lastRowLastColumn="0"/>
            <w:tcW w:w="3065" w:type="dxa"/>
            <w:noWrap/>
            <w:hideMark/>
          </w:tcPr>
          <w:p w14:paraId="2CE8AF30" w14:textId="77777777" w:rsidR="00AC0AE9" w:rsidRPr="007007AD" w:rsidRDefault="00AC0AE9" w:rsidP="0019194E">
            <w:pPr>
              <w:jc w:val="both"/>
              <w:rPr>
                <w:rFonts w:ascii="Times New Roman" w:hAnsi="Times New Roman" w:cs="Times New Roman"/>
                <w:b w:val="0"/>
                <w:bCs w:val="0"/>
              </w:rPr>
            </w:pPr>
            <w:r w:rsidRPr="007007AD">
              <w:rPr>
                <w:rFonts w:ascii="Times New Roman" w:hAnsi="Times New Roman" w:cs="Times New Roman"/>
                <w:b w:val="0"/>
                <w:bCs w:val="0"/>
              </w:rPr>
              <w:t>PGIC</w:t>
            </w:r>
          </w:p>
        </w:tc>
        <w:tc>
          <w:tcPr>
            <w:tcW w:w="1395" w:type="dxa"/>
            <w:noWrap/>
            <w:hideMark/>
          </w:tcPr>
          <w:p w14:paraId="75957D88"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:0.038   </w:t>
            </w:r>
          </w:p>
          <w:p w14:paraId="02FDB3FC"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:0.793</w:t>
            </w:r>
          </w:p>
        </w:tc>
        <w:tc>
          <w:tcPr>
            <w:tcW w:w="1853" w:type="dxa"/>
            <w:noWrap/>
            <w:hideMark/>
          </w:tcPr>
          <w:p w14:paraId="59EE7B79"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0.163        </w:t>
            </w:r>
          </w:p>
          <w:p w14:paraId="2D03C241"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 xml:space="preserve">:0.259  </w:t>
            </w:r>
          </w:p>
        </w:tc>
        <w:tc>
          <w:tcPr>
            <w:tcW w:w="1822" w:type="dxa"/>
            <w:noWrap/>
            <w:hideMark/>
          </w:tcPr>
          <w:p w14:paraId="043FF44F"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 xml:space="preserve">0.227  </w:t>
            </w:r>
          </w:p>
          <w:p w14:paraId="248C331F"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:0.117</w:t>
            </w:r>
          </w:p>
        </w:tc>
        <w:tc>
          <w:tcPr>
            <w:tcW w:w="1800" w:type="dxa"/>
            <w:noWrap/>
            <w:hideMark/>
          </w:tcPr>
          <w:p w14:paraId="3191FD7C"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r:-</w:t>
            </w:r>
            <w:proofErr w:type="gramEnd"/>
            <w:r w:rsidRPr="007007AD">
              <w:rPr>
                <w:rFonts w:ascii="Times New Roman" w:hAnsi="Times New Roman" w:cs="Times New Roman"/>
              </w:rPr>
              <w:t>0.343</w:t>
            </w:r>
          </w:p>
          <w:p w14:paraId="48B653FD" w14:textId="77777777" w:rsidR="00AC0AE9" w:rsidRPr="007007AD" w:rsidRDefault="00AC0AE9" w:rsidP="0019194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roofErr w:type="gramStart"/>
            <w:r w:rsidRPr="007007AD">
              <w:rPr>
                <w:rFonts w:ascii="Times New Roman" w:hAnsi="Times New Roman" w:cs="Times New Roman"/>
              </w:rPr>
              <w:t>p</w:t>
            </w:r>
            <w:proofErr w:type="gramEnd"/>
            <w:r w:rsidRPr="007007AD">
              <w:rPr>
                <w:rFonts w:ascii="Times New Roman" w:hAnsi="Times New Roman" w:cs="Times New Roman"/>
              </w:rPr>
              <w:t>:0.016</w:t>
            </w:r>
          </w:p>
        </w:tc>
      </w:tr>
    </w:tbl>
    <w:p w14:paraId="26F1A2CB" w14:textId="44B219BA" w:rsidR="00AC0AE9" w:rsidRPr="007007AD" w:rsidRDefault="0019194E" w:rsidP="00AC0AE9">
      <w:pPr>
        <w:jc w:val="both"/>
        <w:rPr>
          <w:rFonts w:ascii="Times New Roman" w:eastAsia="Times New Roman" w:hAnsi="Times New Roman" w:cs="Times New Roman"/>
          <w:color w:val="000000"/>
          <w:kern w:val="0"/>
          <w:lang w:eastAsia="tr-TR"/>
          <w14:ligatures w14:val="none"/>
        </w:rPr>
      </w:pPr>
      <w:r w:rsidRPr="007007AD">
        <w:rPr>
          <w:rFonts w:ascii="Times New Roman" w:eastAsia="Times New Roman" w:hAnsi="Times New Roman" w:cs="Times New Roman"/>
          <w:color w:val="000000"/>
          <w:kern w:val="0"/>
          <w:lang w:eastAsia="tr-TR"/>
          <w14:ligatures w14:val="none"/>
        </w:rPr>
        <w:t xml:space="preserve">   </w:t>
      </w:r>
      <w:r w:rsidR="00AC0AE9" w:rsidRPr="007007AD">
        <w:rPr>
          <w:rFonts w:ascii="Times New Roman" w:eastAsia="Times New Roman" w:hAnsi="Times New Roman" w:cs="Times New Roman"/>
          <w:color w:val="000000"/>
          <w:kern w:val="0"/>
          <w:lang w:eastAsia="tr-TR"/>
          <w14:ligatures w14:val="none"/>
        </w:rPr>
        <w:t>Spearman's Correlation Test</w:t>
      </w:r>
    </w:p>
    <w:p w14:paraId="1EFF007E" w14:textId="77777777" w:rsidR="00AC0AE9" w:rsidRPr="007007AD" w:rsidRDefault="00AC0AE9" w:rsidP="00AC0AE9">
      <w:pPr>
        <w:ind w:firstLine="40"/>
        <w:rPr>
          <w:rFonts w:ascii="Times New Roman" w:hAnsi="Times New Roman" w:cs="Times New Roman"/>
        </w:rPr>
      </w:pPr>
    </w:p>
    <w:p w14:paraId="73711131" w14:textId="16658F05" w:rsidR="006C40B4" w:rsidRPr="007007AD" w:rsidRDefault="006C40B4" w:rsidP="00641836">
      <w:pPr>
        <w:ind w:firstLine="40"/>
        <w:rPr>
          <w:rFonts w:ascii="Times New Roman" w:hAnsi="Times New Roman" w:cs="Times New Roman"/>
        </w:rPr>
      </w:pPr>
    </w:p>
    <w:sectPr w:rsidR="006C40B4" w:rsidRPr="007007AD" w:rsidSect="000515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D035C1"/>
    <w:multiLevelType w:val="hybridMultilevel"/>
    <w:tmpl w:val="318AFB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9981CC4"/>
    <w:multiLevelType w:val="multilevel"/>
    <w:tmpl w:val="8390A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222DC6"/>
    <w:multiLevelType w:val="hybridMultilevel"/>
    <w:tmpl w:val="B478D5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DF2B67"/>
    <w:multiLevelType w:val="hybridMultilevel"/>
    <w:tmpl w:val="59AA2B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59177565">
    <w:abstractNumId w:val="1"/>
  </w:num>
  <w:num w:numId="2" w16cid:durableId="312293011">
    <w:abstractNumId w:val="3"/>
  </w:num>
  <w:num w:numId="3" w16cid:durableId="1574662085">
    <w:abstractNumId w:val="0"/>
  </w:num>
  <w:num w:numId="4" w16cid:durableId="1620937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0B4"/>
    <w:rsid w:val="000250B2"/>
    <w:rsid w:val="00050251"/>
    <w:rsid w:val="00051543"/>
    <w:rsid w:val="00056D30"/>
    <w:rsid w:val="000651DF"/>
    <w:rsid w:val="000818EA"/>
    <w:rsid w:val="001030B0"/>
    <w:rsid w:val="001846FB"/>
    <w:rsid w:val="0019194E"/>
    <w:rsid w:val="001A669F"/>
    <w:rsid w:val="001F6625"/>
    <w:rsid w:val="002107D8"/>
    <w:rsid w:val="00217F71"/>
    <w:rsid w:val="002638B3"/>
    <w:rsid w:val="00441B65"/>
    <w:rsid w:val="00470BB0"/>
    <w:rsid w:val="00474412"/>
    <w:rsid w:val="00593606"/>
    <w:rsid w:val="00641836"/>
    <w:rsid w:val="00644E2E"/>
    <w:rsid w:val="0064557A"/>
    <w:rsid w:val="006B1070"/>
    <w:rsid w:val="006C40B4"/>
    <w:rsid w:val="006D48C7"/>
    <w:rsid w:val="006F13C4"/>
    <w:rsid w:val="007007AD"/>
    <w:rsid w:val="00704DAE"/>
    <w:rsid w:val="0073175B"/>
    <w:rsid w:val="00750380"/>
    <w:rsid w:val="00790F6F"/>
    <w:rsid w:val="007D6E41"/>
    <w:rsid w:val="007E45A7"/>
    <w:rsid w:val="007F283C"/>
    <w:rsid w:val="00806756"/>
    <w:rsid w:val="00815AFE"/>
    <w:rsid w:val="00832AAD"/>
    <w:rsid w:val="00840061"/>
    <w:rsid w:val="00854092"/>
    <w:rsid w:val="008C69E4"/>
    <w:rsid w:val="008D60F4"/>
    <w:rsid w:val="00964356"/>
    <w:rsid w:val="00987553"/>
    <w:rsid w:val="009E3F45"/>
    <w:rsid w:val="00A54084"/>
    <w:rsid w:val="00A6076A"/>
    <w:rsid w:val="00A669C6"/>
    <w:rsid w:val="00AC0AE9"/>
    <w:rsid w:val="00AE2D66"/>
    <w:rsid w:val="00B13745"/>
    <w:rsid w:val="00B46A29"/>
    <w:rsid w:val="00B61137"/>
    <w:rsid w:val="00B96318"/>
    <w:rsid w:val="00BA0647"/>
    <w:rsid w:val="00C51EE6"/>
    <w:rsid w:val="00C94541"/>
    <w:rsid w:val="00CD4D91"/>
    <w:rsid w:val="00CF6AC6"/>
    <w:rsid w:val="00DE742A"/>
    <w:rsid w:val="00E079F3"/>
    <w:rsid w:val="00E170F1"/>
    <w:rsid w:val="00E774BC"/>
    <w:rsid w:val="00E90E09"/>
    <w:rsid w:val="00E9196B"/>
    <w:rsid w:val="00EA6CBB"/>
    <w:rsid w:val="00ED6B40"/>
    <w:rsid w:val="00F53BC6"/>
    <w:rsid w:val="00FC22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2C240"/>
  <w14:defaultImageDpi w14:val="32767"/>
  <w15:chartTrackingRefBased/>
  <w15:docId w15:val="{7A29BCE0-8A5F-8148-B1F6-F27BF77BD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C40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C40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C40B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C40B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C40B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C40B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C40B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C40B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C40B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40B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C40B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C40B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C40B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C40B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C40B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C40B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C40B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C40B4"/>
    <w:rPr>
      <w:rFonts w:eastAsiaTheme="majorEastAsia" w:cstheme="majorBidi"/>
      <w:color w:val="272727" w:themeColor="text1" w:themeTint="D8"/>
    </w:rPr>
  </w:style>
  <w:style w:type="paragraph" w:styleId="Title">
    <w:name w:val="Title"/>
    <w:basedOn w:val="Normal"/>
    <w:next w:val="Normal"/>
    <w:link w:val="TitleChar"/>
    <w:uiPriority w:val="10"/>
    <w:qFormat/>
    <w:rsid w:val="006C40B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C40B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C40B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C40B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C40B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C40B4"/>
    <w:rPr>
      <w:i/>
      <w:iCs/>
      <w:color w:val="404040" w:themeColor="text1" w:themeTint="BF"/>
    </w:rPr>
  </w:style>
  <w:style w:type="paragraph" w:styleId="ListParagraph">
    <w:name w:val="List Paragraph"/>
    <w:basedOn w:val="Normal"/>
    <w:uiPriority w:val="34"/>
    <w:qFormat/>
    <w:rsid w:val="006C40B4"/>
    <w:pPr>
      <w:ind w:left="720"/>
      <w:contextualSpacing/>
    </w:pPr>
  </w:style>
  <w:style w:type="character" w:styleId="IntenseEmphasis">
    <w:name w:val="Intense Emphasis"/>
    <w:basedOn w:val="DefaultParagraphFont"/>
    <w:uiPriority w:val="21"/>
    <w:qFormat/>
    <w:rsid w:val="006C40B4"/>
    <w:rPr>
      <w:i/>
      <w:iCs/>
      <w:color w:val="0F4761" w:themeColor="accent1" w:themeShade="BF"/>
    </w:rPr>
  </w:style>
  <w:style w:type="paragraph" w:styleId="IntenseQuote">
    <w:name w:val="Intense Quote"/>
    <w:basedOn w:val="Normal"/>
    <w:next w:val="Normal"/>
    <w:link w:val="IntenseQuoteChar"/>
    <w:uiPriority w:val="30"/>
    <w:qFormat/>
    <w:rsid w:val="006C40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C40B4"/>
    <w:rPr>
      <w:i/>
      <w:iCs/>
      <w:color w:val="0F4761" w:themeColor="accent1" w:themeShade="BF"/>
    </w:rPr>
  </w:style>
  <w:style w:type="character" w:styleId="IntenseReference">
    <w:name w:val="Intense Reference"/>
    <w:basedOn w:val="DefaultParagraphFont"/>
    <w:uiPriority w:val="32"/>
    <w:qFormat/>
    <w:rsid w:val="006C40B4"/>
    <w:rPr>
      <w:b/>
      <w:bCs/>
      <w:smallCaps/>
      <w:color w:val="0F4761" w:themeColor="accent1" w:themeShade="BF"/>
      <w:spacing w:val="5"/>
    </w:rPr>
  </w:style>
  <w:style w:type="character" w:styleId="Hyperlink">
    <w:name w:val="Hyperlink"/>
    <w:basedOn w:val="DefaultParagraphFont"/>
    <w:uiPriority w:val="99"/>
    <w:unhideWhenUsed/>
    <w:rsid w:val="006C40B4"/>
    <w:rPr>
      <w:color w:val="467886" w:themeColor="hyperlink"/>
      <w:u w:val="single"/>
    </w:rPr>
  </w:style>
  <w:style w:type="character" w:styleId="UnresolvedMention">
    <w:name w:val="Unresolved Mention"/>
    <w:basedOn w:val="DefaultParagraphFont"/>
    <w:uiPriority w:val="99"/>
    <w:rsid w:val="006C40B4"/>
    <w:rPr>
      <w:color w:val="605E5C"/>
      <w:shd w:val="clear" w:color="auto" w:fill="E1DFDD"/>
    </w:rPr>
  </w:style>
  <w:style w:type="character" w:styleId="FollowedHyperlink">
    <w:name w:val="FollowedHyperlink"/>
    <w:basedOn w:val="DefaultParagraphFont"/>
    <w:uiPriority w:val="99"/>
    <w:semiHidden/>
    <w:unhideWhenUsed/>
    <w:rsid w:val="001846FB"/>
    <w:rPr>
      <w:color w:val="96607D" w:themeColor="followedHyperlink"/>
      <w:u w:val="single"/>
    </w:rPr>
  </w:style>
  <w:style w:type="table" w:styleId="PlainTable1">
    <w:name w:val="Plain Table 1"/>
    <w:basedOn w:val="TableNormal"/>
    <w:uiPriority w:val="41"/>
    <w:rsid w:val="00854092"/>
    <w:rPr>
      <w:lang w:val="tr-T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
    <w:name w:val="Table Grid"/>
    <w:basedOn w:val="TableNormal"/>
    <w:uiPriority w:val="39"/>
    <w:rsid w:val="00854092"/>
    <w:rPr>
      <w:lang w:val="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6076A"/>
    <w:pPr>
      <w:spacing w:before="100" w:beforeAutospacing="1" w:after="100" w:afterAutospacing="1"/>
    </w:pPr>
    <w:rPr>
      <w:rFonts w:ascii="Times New Roman" w:eastAsia="Times New Roman" w:hAnsi="Times New Roman" w:cs="Times New Roman"/>
      <w:kern w:val="0"/>
      <w:lang w:val="en-TR"/>
      <w14:ligatures w14:val="none"/>
    </w:rPr>
  </w:style>
  <w:style w:type="character" w:customStyle="1" w:styleId="apple-converted-space">
    <w:name w:val="apple-converted-space"/>
    <w:basedOn w:val="DefaultParagraphFont"/>
    <w:rsid w:val="00A6076A"/>
  </w:style>
  <w:style w:type="table" w:styleId="GridTable1Light-Accent1">
    <w:name w:val="Grid Table 1 Light Accent 1"/>
    <w:basedOn w:val="TableNormal"/>
    <w:uiPriority w:val="46"/>
    <w:rsid w:val="00704DAE"/>
    <w:rPr>
      <w:rFonts w:eastAsiaTheme="minorEastAsia"/>
      <w:kern w:val="0"/>
      <w:lang w:val="tr-TR"/>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60296">
      <w:bodyDiv w:val="1"/>
      <w:marLeft w:val="0"/>
      <w:marRight w:val="0"/>
      <w:marTop w:val="0"/>
      <w:marBottom w:val="0"/>
      <w:divBdr>
        <w:top w:val="none" w:sz="0" w:space="0" w:color="auto"/>
        <w:left w:val="none" w:sz="0" w:space="0" w:color="auto"/>
        <w:bottom w:val="none" w:sz="0" w:space="0" w:color="auto"/>
        <w:right w:val="none" w:sz="0" w:space="0" w:color="auto"/>
      </w:divBdr>
    </w:div>
    <w:div w:id="109473051">
      <w:bodyDiv w:val="1"/>
      <w:marLeft w:val="0"/>
      <w:marRight w:val="0"/>
      <w:marTop w:val="0"/>
      <w:marBottom w:val="0"/>
      <w:divBdr>
        <w:top w:val="none" w:sz="0" w:space="0" w:color="auto"/>
        <w:left w:val="none" w:sz="0" w:space="0" w:color="auto"/>
        <w:bottom w:val="none" w:sz="0" w:space="0" w:color="auto"/>
        <w:right w:val="none" w:sz="0" w:space="0" w:color="auto"/>
      </w:divBdr>
    </w:div>
    <w:div w:id="126356278">
      <w:bodyDiv w:val="1"/>
      <w:marLeft w:val="0"/>
      <w:marRight w:val="0"/>
      <w:marTop w:val="0"/>
      <w:marBottom w:val="0"/>
      <w:divBdr>
        <w:top w:val="none" w:sz="0" w:space="0" w:color="auto"/>
        <w:left w:val="none" w:sz="0" w:space="0" w:color="auto"/>
        <w:bottom w:val="none" w:sz="0" w:space="0" w:color="auto"/>
        <w:right w:val="none" w:sz="0" w:space="0" w:color="auto"/>
      </w:divBdr>
    </w:div>
    <w:div w:id="158278383">
      <w:bodyDiv w:val="1"/>
      <w:marLeft w:val="0"/>
      <w:marRight w:val="0"/>
      <w:marTop w:val="0"/>
      <w:marBottom w:val="0"/>
      <w:divBdr>
        <w:top w:val="none" w:sz="0" w:space="0" w:color="auto"/>
        <w:left w:val="none" w:sz="0" w:space="0" w:color="auto"/>
        <w:bottom w:val="none" w:sz="0" w:space="0" w:color="auto"/>
        <w:right w:val="none" w:sz="0" w:space="0" w:color="auto"/>
      </w:divBdr>
    </w:div>
    <w:div w:id="216287374">
      <w:bodyDiv w:val="1"/>
      <w:marLeft w:val="0"/>
      <w:marRight w:val="0"/>
      <w:marTop w:val="0"/>
      <w:marBottom w:val="0"/>
      <w:divBdr>
        <w:top w:val="none" w:sz="0" w:space="0" w:color="auto"/>
        <w:left w:val="none" w:sz="0" w:space="0" w:color="auto"/>
        <w:bottom w:val="none" w:sz="0" w:space="0" w:color="auto"/>
        <w:right w:val="none" w:sz="0" w:space="0" w:color="auto"/>
      </w:divBdr>
    </w:div>
    <w:div w:id="393896214">
      <w:bodyDiv w:val="1"/>
      <w:marLeft w:val="0"/>
      <w:marRight w:val="0"/>
      <w:marTop w:val="0"/>
      <w:marBottom w:val="0"/>
      <w:divBdr>
        <w:top w:val="none" w:sz="0" w:space="0" w:color="auto"/>
        <w:left w:val="none" w:sz="0" w:space="0" w:color="auto"/>
        <w:bottom w:val="none" w:sz="0" w:space="0" w:color="auto"/>
        <w:right w:val="none" w:sz="0" w:space="0" w:color="auto"/>
      </w:divBdr>
    </w:div>
    <w:div w:id="479733877">
      <w:bodyDiv w:val="1"/>
      <w:marLeft w:val="0"/>
      <w:marRight w:val="0"/>
      <w:marTop w:val="0"/>
      <w:marBottom w:val="0"/>
      <w:divBdr>
        <w:top w:val="none" w:sz="0" w:space="0" w:color="auto"/>
        <w:left w:val="none" w:sz="0" w:space="0" w:color="auto"/>
        <w:bottom w:val="none" w:sz="0" w:space="0" w:color="auto"/>
        <w:right w:val="none" w:sz="0" w:space="0" w:color="auto"/>
      </w:divBdr>
    </w:div>
    <w:div w:id="579756461">
      <w:bodyDiv w:val="1"/>
      <w:marLeft w:val="0"/>
      <w:marRight w:val="0"/>
      <w:marTop w:val="0"/>
      <w:marBottom w:val="0"/>
      <w:divBdr>
        <w:top w:val="none" w:sz="0" w:space="0" w:color="auto"/>
        <w:left w:val="none" w:sz="0" w:space="0" w:color="auto"/>
        <w:bottom w:val="none" w:sz="0" w:space="0" w:color="auto"/>
        <w:right w:val="none" w:sz="0" w:space="0" w:color="auto"/>
      </w:divBdr>
    </w:div>
    <w:div w:id="637418272">
      <w:bodyDiv w:val="1"/>
      <w:marLeft w:val="0"/>
      <w:marRight w:val="0"/>
      <w:marTop w:val="0"/>
      <w:marBottom w:val="0"/>
      <w:divBdr>
        <w:top w:val="none" w:sz="0" w:space="0" w:color="auto"/>
        <w:left w:val="none" w:sz="0" w:space="0" w:color="auto"/>
        <w:bottom w:val="none" w:sz="0" w:space="0" w:color="auto"/>
        <w:right w:val="none" w:sz="0" w:space="0" w:color="auto"/>
      </w:divBdr>
    </w:div>
    <w:div w:id="686950393">
      <w:bodyDiv w:val="1"/>
      <w:marLeft w:val="0"/>
      <w:marRight w:val="0"/>
      <w:marTop w:val="0"/>
      <w:marBottom w:val="0"/>
      <w:divBdr>
        <w:top w:val="none" w:sz="0" w:space="0" w:color="auto"/>
        <w:left w:val="none" w:sz="0" w:space="0" w:color="auto"/>
        <w:bottom w:val="none" w:sz="0" w:space="0" w:color="auto"/>
        <w:right w:val="none" w:sz="0" w:space="0" w:color="auto"/>
      </w:divBdr>
    </w:div>
    <w:div w:id="717321701">
      <w:bodyDiv w:val="1"/>
      <w:marLeft w:val="0"/>
      <w:marRight w:val="0"/>
      <w:marTop w:val="0"/>
      <w:marBottom w:val="0"/>
      <w:divBdr>
        <w:top w:val="none" w:sz="0" w:space="0" w:color="auto"/>
        <w:left w:val="none" w:sz="0" w:space="0" w:color="auto"/>
        <w:bottom w:val="none" w:sz="0" w:space="0" w:color="auto"/>
        <w:right w:val="none" w:sz="0" w:space="0" w:color="auto"/>
      </w:divBdr>
    </w:div>
    <w:div w:id="755903272">
      <w:bodyDiv w:val="1"/>
      <w:marLeft w:val="0"/>
      <w:marRight w:val="0"/>
      <w:marTop w:val="0"/>
      <w:marBottom w:val="0"/>
      <w:divBdr>
        <w:top w:val="none" w:sz="0" w:space="0" w:color="auto"/>
        <w:left w:val="none" w:sz="0" w:space="0" w:color="auto"/>
        <w:bottom w:val="none" w:sz="0" w:space="0" w:color="auto"/>
        <w:right w:val="none" w:sz="0" w:space="0" w:color="auto"/>
      </w:divBdr>
    </w:div>
    <w:div w:id="777263157">
      <w:bodyDiv w:val="1"/>
      <w:marLeft w:val="0"/>
      <w:marRight w:val="0"/>
      <w:marTop w:val="0"/>
      <w:marBottom w:val="0"/>
      <w:divBdr>
        <w:top w:val="none" w:sz="0" w:space="0" w:color="auto"/>
        <w:left w:val="none" w:sz="0" w:space="0" w:color="auto"/>
        <w:bottom w:val="none" w:sz="0" w:space="0" w:color="auto"/>
        <w:right w:val="none" w:sz="0" w:space="0" w:color="auto"/>
      </w:divBdr>
    </w:div>
    <w:div w:id="833494804">
      <w:bodyDiv w:val="1"/>
      <w:marLeft w:val="0"/>
      <w:marRight w:val="0"/>
      <w:marTop w:val="0"/>
      <w:marBottom w:val="0"/>
      <w:divBdr>
        <w:top w:val="none" w:sz="0" w:space="0" w:color="auto"/>
        <w:left w:val="none" w:sz="0" w:space="0" w:color="auto"/>
        <w:bottom w:val="none" w:sz="0" w:space="0" w:color="auto"/>
        <w:right w:val="none" w:sz="0" w:space="0" w:color="auto"/>
      </w:divBdr>
    </w:div>
    <w:div w:id="835534481">
      <w:bodyDiv w:val="1"/>
      <w:marLeft w:val="0"/>
      <w:marRight w:val="0"/>
      <w:marTop w:val="0"/>
      <w:marBottom w:val="0"/>
      <w:divBdr>
        <w:top w:val="none" w:sz="0" w:space="0" w:color="auto"/>
        <w:left w:val="none" w:sz="0" w:space="0" w:color="auto"/>
        <w:bottom w:val="none" w:sz="0" w:space="0" w:color="auto"/>
        <w:right w:val="none" w:sz="0" w:space="0" w:color="auto"/>
      </w:divBdr>
    </w:div>
    <w:div w:id="898244011">
      <w:bodyDiv w:val="1"/>
      <w:marLeft w:val="0"/>
      <w:marRight w:val="0"/>
      <w:marTop w:val="0"/>
      <w:marBottom w:val="0"/>
      <w:divBdr>
        <w:top w:val="none" w:sz="0" w:space="0" w:color="auto"/>
        <w:left w:val="none" w:sz="0" w:space="0" w:color="auto"/>
        <w:bottom w:val="none" w:sz="0" w:space="0" w:color="auto"/>
        <w:right w:val="none" w:sz="0" w:space="0" w:color="auto"/>
      </w:divBdr>
    </w:div>
    <w:div w:id="995256275">
      <w:bodyDiv w:val="1"/>
      <w:marLeft w:val="0"/>
      <w:marRight w:val="0"/>
      <w:marTop w:val="0"/>
      <w:marBottom w:val="0"/>
      <w:divBdr>
        <w:top w:val="none" w:sz="0" w:space="0" w:color="auto"/>
        <w:left w:val="none" w:sz="0" w:space="0" w:color="auto"/>
        <w:bottom w:val="none" w:sz="0" w:space="0" w:color="auto"/>
        <w:right w:val="none" w:sz="0" w:space="0" w:color="auto"/>
      </w:divBdr>
      <w:divsChild>
        <w:div w:id="2076196897">
          <w:marLeft w:val="0"/>
          <w:marRight w:val="0"/>
          <w:marTop w:val="0"/>
          <w:marBottom w:val="0"/>
          <w:divBdr>
            <w:top w:val="none" w:sz="0" w:space="0" w:color="auto"/>
            <w:left w:val="none" w:sz="0" w:space="0" w:color="auto"/>
            <w:bottom w:val="none" w:sz="0" w:space="0" w:color="auto"/>
            <w:right w:val="none" w:sz="0" w:space="0" w:color="auto"/>
          </w:divBdr>
          <w:divsChild>
            <w:div w:id="1898121420">
              <w:marLeft w:val="0"/>
              <w:marRight w:val="0"/>
              <w:marTop w:val="0"/>
              <w:marBottom w:val="0"/>
              <w:divBdr>
                <w:top w:val="none" w:sz="0" w:space="0" w:color="auto"/>
                <w:left w:val="none" w:sz="0" w:space="0" w:color="auto"/>
                <w:bottom w:val="none" w:sz="0" w:space="0" w:color="auto"/>
                <w:right w:val="none" w:sz="0" w:space="0" w:color="auto"/>
              </w:divBdr>
              <w:divsChild>
                <w:div w:id="378819179">
                  <w:marLeft w:val="0"/>
                  <w:marRight w:val="0"/>
                  <w:marTop w:val="0"/>
                  <w:marBottom w:val="0"/>
                  <w:divBdr>
                    <w:top w:val="none" w:sz="0" w:space="0" w:color="auto"/>
                    <w:left w:val="none" w:sz="0" w:space="0" w:color="auto"/>
                    <w:bottom w:val="none" w:sz="0" w:space="0" w:color="auto"/>
                    <w:right w:val="none" w:sz="0" w:space="0" w:color="auto"/>
                  </w:divBdr>
                  <w:divsChild>
                    <w:div w:id="861477033">
                      <w:marLeft w:val="0"/>
                      <w:marRight w:val="0"/>
                      <w:marTop w:val="0"/>
                      <w:marBottom w:val="0"/>
                      <w:divBdr>
                        <w:top w:val="none" w:sz="0" w:space="0" w:color="auto"/>
                        <w:left w:val="none" w:sz="0" w:space="0" w:color="auto"/>
                        <w:bottom w:val="none" w:sz="0" w:space="0" w:color="auto"/>
                        <w:right w:val="none" w:sz="0" w:space="0" w:color="auto"/>
                      </w:divBdr>
                      <w:divsChild>
                        <w:div w:id="1172528459">
                          <w:marLeft w:val="0"/>
                          <w:marRight w:val="0"/>
                          <w:marTop w:val="0"/>
                          <w:marBottom w:val="0"/>
                          <w:divBdr>
                            <w:top w:val="none" w:sz="0" w:space="0" w:color="auto"/>
                            <w:left w:val="none" w:sz="0" w:space="0" w:color="auto"/>
                            <w:bottom w:val="none" w:sz="0" w:space="0" w:color="auto"/>
                            <w:right w:val="none" w:sz="0" w:space="0" w:color="auto"/>
                          </w:divBdr>
                          <w:divsChild>
                            <w:div w:id="57620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2606643">
      <w:bodyDiv w:val="1"/>
      <w:marLeft w:val="0"/>
      <w:marRight w:val="0"/>
      <w:marTop w:val="0"/>
      <w:marBottom w:val="0"/>
      <w:divBdr>
        <w:top w:val="none" w:sz="0" w:space="0" w:color="auto"/>
        <w:left w:val="none" w:sz="0" w:space="0" w:color="auto"/>
        <w:bottom w:val="none" w:sz="0" w:space="0" w:color="auto"/>
        <w:right w:val="none" w:sz="0" w:space="0" w:color="auto"/>
      </w:divBdr>
    </w:div>
    <w:div w:id="1071005579">
      <w:bodyDiv w:val="1"/>
      <w:marLeft w:val="0"/>
      <w:marRight w:val="0"/>
      <w:marTop w:val="0"/>
      <w:marBottom w:val="0"/>
      <w:divBdr>
        <w:top w:val="none" w:sz="0" w:space="0" w:color="auto"/>
        <w:left w:val="none" w:sz="0" w:space="0" w:color="auto"/>
        <w:bottom w:val="none" w:sz="0" w:space="0" w:color="auto"/>
        <w:right w:val="none" w:sz="0" w:space="0" w:color="auto"/>
      </w:divBdr>
    </w:div>
    <w:div w:id="1146819482">
      <w:bodyDiv w:val="1"/>
      <w:marLeft w:val="0"/>
      <w:marRight w:val="0"/>
      <w:marTop w:val="0"/>
      <w:marBottom w:val="0"/>
      <w:divBdr>
        <w:top w:val="none" w:sz="0" w:space="0" w:color="auto"/>
        <w:left w:val="none" w:sz="0" w:space="0" w:color="auto"/>
        <w:bottom w:val="none" w:sz="0" w:space="0" w:color="auto"/>
        <w:right w:val="none" w:sz="0" w:space="0" w:color="auto"/>
      </w:divBdr>
    </w:div>
    <w:div w:id="1198473609">
      <w:bodyDiv w:val="1"/>
      <w:marLeft w:val="0"/>
      <w:marRight w:val="0"/>
      <w:marTop w:val="0"/>
      <w:marBottom w:val="0"/>
      <w:divBdr>
        <w:top w:val="none" w:sz="0" w:space="0" w:color="auto"/>
        <w:left w:val="none" w:sz="0" w:space="0" w:color="auto"/>
        <w:bottom w:val="none" w:sz="0" w:space="0" w:color="auto"/>
        <w:right w:val="none" w:sz="0" w:space="0" w:color="auto"/>
      </w:divBdr>
    </w:div>
    <w:div w:id="1236427606">
      <w:bodyDiv w:val="1"/>
      <w:marLeft w:val="0"/>
      <w:marRight w:val="0"/>
      <w:marTop w:val="0"/>
      <w:marBottom w:val="0"/>
      <w:divBdr>
        <w:top w:val="none" w:sz="0" w:space="0" w:color="auto"/>
        <w:left w:val="none" w:sz="0" w:space="0" w:color="auto"/>
        <w:bottom w:val="none" w:sz="0" w:space="0" w:color="auto"/>
        <w:right w:val="none" w:sz="0" w:space="0" w:color="auto"/>
      </w:divBdr>
    </w:div>
    <w:div w:id="1263879796">
      <w:bodyDiv w:val="1"/>
      <w:marLeft w:val="0"/>
      <w:marRight w:val="0"/>
      <w:marTop w:val="0"/>
      <w:marBottom w:val="0"/>
      <w:divBdr>
        <w:top w:val="none" w:sz="0" w:space="0" w:color="auto"/>
        <w:left w:val="none" w:sz="0" w:space="0" w:color="auto"/>
        <w:bottom w:val="none" w:sz="0" w:space="0" w:color="auto"/>
        <w:right w:val="none" w:sz="0" w:space="0" w:color="auto"/>
      </w:divBdr>
    </w:div>
    <w:div w:id="1284464547">
      <w:bodyDiv w:val="1"/>
      <w:marLeft w:val="0"/>
      <w:marRight w:val="0"/>
      <w:marTop w:val="0"/>
      <w:marBottom w:val="0"/>
      <w:divBdr>
        <w:top w:val="none" w:sz="0" w:space="0" w:color="auto"/>
        <w:left w:val="none" w:sz="0" w:space="0" w:color="auto"/>
        <w:bottom w:val="none" w:sz="0" w:space="0" w:color="auto"/>
        <w:right w:val="none" w:sz="0" w:space="0" w:color="auto"/>
      </w:divBdr>
    </w:div>
    <w:div w:id="1321273837">
      <w:bodyDiv w:val="1"/>
      <w:marLeft w:val="0"/>
      <w:marRight w:val="0"/>
      <w:marTop w:val="0"/>
      <w:marBottom w:val="0"/>
      <w:divBdr>
        <w:top w:val="none" w:sz="0" w:space="0" w:color="auto"/>
        <w:left w:val="none" w:sz="0" w:space="0" w:color="auto"/>
        <w:bottom w:val="none" w:sz="0" w:space="0" w:color="auto"/>
        <w:right w:val="none" w:sz="0" w:space="0" w:color="auto"/>
      </w:divBdr>
    </w:div>
    <w:div w:id="1324548409">
      <w:bodyDiv w:val="1"/>
      <w:marLeft w:val="0"/>
      <w:marRight w:val="0"/>
      <w:marTop w:val="0"/>
      <w:marBottom w:val="0"/>
      <w:divBdr>
        <w:top w:val="none" w:sz="0" w:space="0" w:color="auto"/>
        <w:left w:val="none" w:sz="0" w:space="0" w:color="auto"/>
        <w:bottom w:val="none" w:sz="0" w:space="0" w:color="auto"/>
        <w:right w:val="none" w:sz="0" w:space="0" w:color="auto"/>
      </w:divBdr>
    </w:div>
    <w:div w:id="1326200708">
      <w:bodyDiv w:val="1"/>
      <w:marLeft w:val="0"/>
      <w:marRight w:val="0"/>
      <w:marTop w:val="0"/>
      <w:marBottom w:val="0"/>
      <w:divBdr>
        <w:top w:val="none" w:sz="0" w:space="0" w:color="auto"/>
        <w:left w:val="none" w:sz="0" w:space="0" w:color="auto"/>
        <w:bottom w:val="none" w:sz="0" w:space="0" w:color="auto"/>
        <w:right w:val="none" w:sz="0" w:space="0" w:color="auto"/>
      </w:divBdr>
    </w:div>
    <w:div w:id="1413116254">
      <w:bodyDiv w:val="1"/>
      <w:marLeft w:val="0"/>
      <w:marRight w:val="0"/>
      <w:marTop w:val="0"/>
      <w:marBottom w:val="0"/>
      <w:divBdr>
        <w:top w:val="none" w:sz="0" w:space="0" w:color="auto"/>
        <w:left w:val="none" w:sz="0" w:space="0" w:color="auto"/>
        <w:bottom w:val="none" w:sz="0" w:space="0" w:color="auto"/>
        <w:right w:val="none" w:sz="0" w:space="0" w:color="auto"/>
      </w:divBdr>
    </w:div>
    <w:div w:id="1433281720">
      <w:bodyDiv w:val="1"/>
      <w:marLeft w:val="0"/>
      <w:marRight w:val="0"/>
      <w:marTop w:val="0"/>
      <w:marBottom w:val="0"/>
      <w:divBdr>
        <w:top w:val="none" w:sz="0" w:space="0" w:color="auto"/>
        <w:left w:val="none" w:sz="0" w:space="0" w:color="auto"/>
        <w:bottom w:val="none" w:sz="0" w:space="0" w:color="auto"/>
        <w:right w:val="none" w:sz="0" w:space="0" w:color="auto"/>
      </w:divBdr>
    </w:div>
    <w:div w:id="1504735213">
      <w:bodyDiv w:val="1"/>
      <w:marLeft w:val="0"/>
      <w:marRight w:val="0"/>
      <w:marTop w:val="0"/>
      <w:marBottom w:val="0"/>
      <w:divBdr>
        <w:top w:val="none" w:sz="0" w:space="0" w:color="auto"/>
        <w:left w:val="none" w:sz="0" w:space="0" w:color="auto"/>
        <w:bottom w:val="none" w:sz="0" w:space="0" w:color="auto"/>
        <w:right w:val="none" w:sz="0" w:space="0" w:color="auto"/>
      </w:divBdr>
    </w:div>
    <w:div w:id="1532915585">
      <w:bodyDiv w:val="1"/>
      <w:marLeft w:val="0"/>
      <w:marRight w:val="0"/>
      <w:marTop w:val="0"/>
      <w:marBottom w:val="0"/>
      <w:divBdr>
        <w:top w:val="none" w:sz="0" w:space="0" w:color="auto"/>
        <w:left w:val="none" w:sz="0" w:space="0" w:color="auto"/>
        <w:bottom w:val="none" w:sz="0" w:space="0" w:color="auto"/>
        <w:right w:val="none" w:sz="0" w:space="0" w:color="auto"/>
      </w:divBdr>
    </w:div>
    <w:div w:id="1599171162">
      <w:bodyDiv w:val="1"/>
      <w:marLeft w:val="0"/>
      <w:marRight w:val="0"/>
      <w:marTop w:val="0"/>
      <w:marBottom w:val="0"/>
      <w:divBdr>
        <w:top w:val="none" w:sz="0" w:space="0" w:color="auto"/>
        <w:left w:val="none" w:sz="0" w:space="0" w:color="auto"/>
        <w:bottom w:val="none" w:sz="0" w:space="0" w:color="auto"/>
        <w:right w:val="none" w:sz="0" w:space="0" w:color="auto"/>
      </w:divBdr>
    </w:div>
    <w:div w:id="1602183627">
      <w:bodyDiv w:val="1"/>
      <w:marLeft w:val="0"/>
      <w:marRight w:val="0"/>
      <w:marTop w:val="0"/>
      <w:marBottom w:val="0"/>
      <w:divBdr>
        <w:top w:val="none" w:sz="0" w:space="0" w:color="auto"/>
        <w:left w:val="none" w:sz="0" w:space="0" w:color="auto"/>
        <w:bottom w:val="none" w:sz="0" w:space="0" w:color="auto"/>
        <w:right w:val="none" w:sz="0" w:space="0" w:color="auto"/>
      </w:divBdr>
    </w:div>
    <w:div w:id="1634553951">
      <w:bodyDiv w:val="1"/>
      <w:marLeft w:val="0"/>
      <w:marRight w:val="0"/>
      <w:marTop w:val="0"/>
      <w:marBottom w:val="0"/>
      <w:divBdr>
        <w:top w:val="none" w:sz="0" w:space="0" w:color="auto"/>
        <w:left w:val="none" w:sz="0" w:space="0" w:color="auto"/>
        <w:bottom w:val="none" w:sz="0" w:space="0" w:color="auto"/>
        <w:right w:val="none" w:sz="0" w:space="0" w:color="auto"/>
      </w:divBdr>
    </w:div>
    <w:div w:id="1653753191">
      <w:bodyDiv w:val="1"/>
      <w:marLeft w:val="0"/>
      <w:marRight w:val="0"/>
      <w:marTop w:val="0"/>
      <w:marBottom w:val="0"/>
      <w:divBdr>
        <w:top w:val="none" w:sz="0" w:space="0" w:color="auto"/>
        <w:left w:val="none" w:sz="0" w:space="0" w:color="auto"/>
        <w:bottom w:val="none" w:sz="0" w:space="0" w:color="auto"/>
        <w:right w:val="none" w:sz="0" w:space="0" w:color="auto"/>
      </w:divBdr>
    </w:div>
    <w:div w:id="1681614952">
      <w:bodyDiv w:val="1"/>
      <w:marLeft w:val="0"/>
      <w:marRight w:val="0"/>
      <w:marTop w:val="0"/>
      <w:marBottom w:val="0"/>
      <w:divBdr>
        <w:top w:val="none" w:sz="0" w:space="0" w:color="auto"/>
        <w:left w:val="none" w:sz="0" w:space="0" w:color="auto"/>
        <w:bottom w:val="none" w:sz="0" w:space="0" w:color="auto"/>
        <w:right w:val="none" w:sz="0" w:space="0" w:color="auto"/>
      </w:divBdr>
    </w:div>
    <w:div w:id="1729379637">
      <w:bodyDiv w:val="1"/>
      <w:marLeft w:val="0"/>
      <w:marRight w:val="0"/>
      <w:marTop w:val="0"/>
      <w:marBottom w:val="0"/>
      <w:divBdr>
        <w:top w:val="none" w:sz="0" w:space="0" w:color="auto"/>
        <w:left w:val="none" w:sz="0" w:space="0" w:color="auto"/>
        <w:bottom w:val="none" w:sz="0" w:space="0" w:color="auto"/>
        <w:right w:val="none" w:sz="0" w:space="0" w:color="auto"/>
      </w:divBdr>
    </w:div>
    <w:div w:id="1734812879">
      <w:bodyDiv w:val="1"/>
      <w:marLeft w:val="0"/>
      <w:marRight w:val="0"/>
      <w:marTop w:val="0"/>
      <w:marBottom w:val="0"/>
      <w:divBdr>
        <w:top w:val="none" w:sz="0" w:space="0" w:color="auto"/>
        <w:left w:val="none" w:sz="0" w:space="0" w:color="auto"/>
        <w:bottom w:val="none" w:sz="0" w:space="0" w:color="auto"/>
        <w:right w:val="none" w:sz="0" w:space="0" w:color="auto"/>
      </w:divBdr>
    </w:div>
    <w:div w:id="1787777117">
      <w:bodyDiv w:val="1"/>
      <w:marLeft w:val="0"/>
      <w:marRight w:val="0"/>
      <w:marTop w:val="0"/>
      <w:marBottom w:val="0"/>
      <w:divBdr>
        <w:top w:val="none" w:sz="0" w:space="0" w:color="auto"/>
        <w:left w:val="none" w:sz="0" w:space="0" w:color="auto"/>
        <w:bottom w:val="none" w:sz="0" w:space="0" w:color="auto"/>
        <w:right w:val="none" w:sz="0" w:space="0" w:color="auto"/>
      </w:divBdr>
    </w:div>
    <w:div w:id="1797481420">
      <w:bodyDiv w:val="1"/>
      <w:marLeft w:val="0"/>
      <w:marRight w:val="0"/>
      <w:marTop w:val="0"/>
      <w:marBottom w:val="0"/>
      <w:divBdr>
        <w:top w:val="none" w:sz="0" w:space="0" w:color="auto"/>
        <w:left w:val="none" w:sz="0" w:space="0" w:color="auto"/>
        <w:bottom w:val="none" w:sz="0" w:space="0" w:color="auto"/>
        <w:right w:val="none" w:sz="0" w:space="0" w:color="auto"/>
      </w:divBdr>
    </w:div>
    <w:div w:id="1843935906">
      <w:bodyDiv w:val="1"/>
      <w:marLeft w:val="0"/>
      <w:marRight w:val="0"/>
      <w:marTop w:val="0"/>
      <w:marBottom w:val="0"/>
      <w:divBdr>
        <w:top w:val="none" w:sz="0" w:space="0" w:color="auto"/>
        <w:left w:val="none" w:sz="0" w:space="0" w:color="auto"/>
        <w:bottom w:val="none" w:sz="0" w:space="0" w:color="auto"/>
        <w:right w:val="none" w:sz="0" w:space="0" w:color="auto"/>
      </w:divBdr>
      <w:divsChild>
        <w:div w:id="1758207191">
          <w:marLeft w:val="0"/>
          <w:marRight w:val="0"/>
          <w:marTop w:val="0"/>
          <w:marBottom w:val="0"/>
          <w:divBdr>
            <w:top w:val="none" w:sz="0" w:space="0" w:color="auto"/>
            <w:left w:val="none" w:sz="0" w:space="0" w:color="auto"/>
            <w:bottom w:val="none" w:sz="0" w:space="0" w:color="auto"/>
            <w:right w:val="none" w:sz="0" w:space="0" w:color="auto"/>
          </w:divBdr>
          <w:divsChild>
            <w:div w:id="1326590852">
              <w:marLeft w:val="0"/>
              <w:marRight w:val="0"/>
              <w:marTop w:val="0"/>
              <w:marBottom w:val="0"/>
              <w:divBdr>
                <w:top w:val="none" w:sz="0" w:space="0" w:color="auto"/>
                <w:left w:val="none" w:sz="0" w:space="0" w:color="auto"/>
                <w:bottom w:val="none" w:sz="0" w:space="0" w:color="auto"/>
                <w:right w:val="none" w:sz="0" w:space="0" w:color="auto"/>
              </w:divBdr>
              <w:divsChild>
                <w:div w:id="216287503">
                  <w:marLeft w:val="0"/>
                  <w:marRight w:val="0"/>
                  <w:marTop w:val="0"/>
                  <w:marBottom w:val="0"/>
                  <w:divBdr>
                    <w:top w:val="none" w:sz="0" w:space="0" w:color="auto"/>
                    <w:left w:val="none" w:sz="0" w:space="0" w:color="auto"/>
                    <w:bottom w:val="none" w:sz="0" w:space="0" w:color="auto"/>
                    <w:right w:val="none" w:sz="0" w:space="0" w:color="auto"/>
                  </w:divBdr>
                  <w:divsChild>
                    <w:div w:id="1353149231">
                      <w:marLeft w:val="0"/>
                      <w:marRight w:val="0"/>
                      <w:marTop w:val="0"/>
                      <w:marBottom w:val="0"/>
                      <w:divBdr>
                        <w:top w:val="none" w:sz="0" w:space="0" w:color="auto"/>
                        <w:left w:val="none" w:sz="0" w:space="0" w:color="auto"/>
                        <w:bottom w:val="none" w:sz="0" w:space="0" w:color="auto"/>
                        <w:right w:val="none" w:sz="0" w:space="0" w:color="auto"/>
                      </w:divBdr>
                      <w:divsChild>
                        <w:div w:id="233396025">
                          <w:marLeft w:val="0"/>
                          <w:marRight w:val="0"/>
                          <w:marTop w:val="0"/>
                          <w:marBottom w:val="0"/>
                          <w:divBdr>
                            <w:top w:val="none" w:sz="0" w:space="0" w:color="auto"/>
                            <w:left w:val="none" w:sz="0" w:space="0" w:color="auto"/>
                            <w:bottom w:val="none" w:sz="0" w:space="0" w:color="auto"/>
                            <w:right w:val="none" w:sz="0" w:space="0" w:color="auto"/>
                          </w:divBdr>
                          <w:divsChild>
                            <w:div w:id="103658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2210560">
      <w:bodyDiv w:val="1"/>
      <w:marLeft w:val="0"/>
      <w:marRight w:val="0"/>
      <w:marTop w:val="0"/>
      <w:marBottom w:val="0"/>
      <w:divBdr>
        <w:top w:val="none" w:sz="0" w:space="0" w:color="auto"/>
        <w:left w:val="none" w:sz="0" w:space="0" w:color="auto"/>
        <w:bottom w:val="none" w:sz="0" w:space="0" w:color="auto"/>
        <w:right w:val="none" w:sz="0" w:space="0" w:color="auto"/>
      </w:divBdr>
    </w:div>
    <w:div w:id="1943343752">
      <w:bodyDiv w:val="1"/>
      <w:marLeft w:val="0"/>
      <w:marRight w:val="0"/>
      <w:marTop w:val="0"/>
      <w:marBottom w:val="0"/>
      <w:divBdr>
        <w:top w:val="none" w:sz="0" w:space="0" w:color="auto"/>
        <w:left w:val="none" w:sz="0" w:space="0" w:color="auto"/>
        <w:bottom w:val="none" w:sz="0" w:space="0" w:color="auto"/>
        <w:right w:val="none" w:sz="0" w:space="0" w:color="auto"/>
      </w:divBdr>
    </w:div>
    <w:div w:id="208413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books/NBK551686/" TargetMode="External"/><Relationship Id="rId13" Type="http://schemas.openxmlformats.org/officeDocument/2006/relationships/hyperlink" Target="https://www.researchgate.net/publication/260420899_Bipolar_bozuklukta_durtusellik_Impulsivity_in_bipolar_disorder" TargetMode="External"/><Relationship Id="rId3" Type="http://schemas.openxmlformats.org/officeDocument/2006/relationships/styles" Target="styles.xml"/><Relationship Id="rId7" Type="http://schemas.openxmlformats.org/officeDocument/2006/relationships/hyperlink" Target="mailto:aysenur.gencalp@gmail.com" TargetMode="External"/><Relationship Id="rId12" Type="http://schemas.openxmlformats.org/officeDocument/2006/relationships/hyperlink" Target="https://doi.org/10.2466/pms.1959.9.3.19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drilknurcann@gmail.com" TargetMode="External"/><Relationship Id="rId11" Type="http://schemas.openxmlformats.org/officeDocument/2006/relationships/hyperlink" Target="https://doi.org/10.1016/s1389" TargetMode="Externa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yperlink" Target="https://www.ncbi.nlm.nih.gov/pmc/articles/PMC2802252/" TargetMode="External"/><Relationship Id="rId4" Type="http://schemas.openxmlformats.org/officeDocument/2006/relationships/settings" Target="settings.xml"/><Relationship Id="rId9" Type="http://schemas.openxmlformats.org/officeDocument/2006/relationships/hyperlink" Target="https://psychiatryonline.org/" TargetMode="External"/><Relationship Id="rId14" Type="http://schemas.openxmlformats.org/officeDocument/2006/relationships/hyperlink" Target="https://doi.org/10.1007/s00415"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Sayfa1!$B$1</c:f>
              <c:strCache>
                <c:ptCount val="1"/>
                <c:pt idx="0">
                  <c:v>Pramipexole users (n)</c:v>
                </c:pt>
              </c:strCache>
            </c:strRef>
          </c:tx>
          <c:spPr>
            <a:solidFill>
              <a:schemeClr val="accent1"/>
            </a:solidFill>
            <a:ln>
              <a:noFill/>
            </a:ln>
            <a:effectLst/>
          </c:spPr>
          <c:invertIfNegative val="0"/>
          <c:cat>
            <c:strRef>
              <c:f>Sayfa1!$A$2:$A$4</c:f>
              <c:strCache>
                <c:ptCount val="3"/>
                <c:pt idx="0">
                  <c:v>Compulsive behaviour other</c:v>
                </c:pt>
                <c:pt idx="1">
                  <c:v>Compulsive eating</c:v>
                </c:pt>
                <c:pt idx="2">
                  <c:v>Hypersexuality</c:v>
                </c:pt>
              </c:strCache>
            </c:strRef>
          </c:cat>
          <c:val>
            <c:numRef>
              <c:f>Sayfa1!$B$2:$B$4</c:f>
              <c:numCache>
                <c:formatCode>General</c:formatCode>
                <c:ptCount val="3"/>
                <c:pt idx="0">
                  <c:v>12</c:v>
                </c:pt>
                <c:pt idx="1">
                  <c:v>9</c:v>
                </c:pt>
                <c:pt idx="2">
                  <c:v>1</c:v>
                </c:pt>
              </c:numCache>
            </c:numRef>
          </c:val>
          <c:extLst>
            <c:ext xmlns:c16="http://schemas.microsoft.com/office/drawing/2014/chart" uri="{C3380CC4-5D6E-409C-BE32-E72D297353CC}">
              <c16:uniqueId val="{00000000-CE5C-F74D-B96D-EACB993CD9D3}"/>
            </c:ext>
          </c:extLst>
        </c:ser>
        <c:ser>
          <c:idx val="1"/>
          <c:order val="1"/>
          <c:tx>
            <c:strRef>
              <c:f>Sayfa1!$C$1</c:f>
              <c:strCache>
                <c:ptCount val="1"/>
                <c:pt idx="0">
                  <c:v>Pramipexole non-users (n)</c:v>
                </c:pt>
              </c:strCache>
            </c:strRef>
          </c:tx>
          <c:spPr>
            <a:solidFill>
              <a:schemeClr val="accent2"/>
            </a:solidFill>
            <a:ln>
              <a:noFill/>
            </a:ln>
            <a:effectLst/>
          </c:spPr>
          <c:invertIfNegative val="0"/>
          <c:cat>
            <c:strRef>
              <c:f>Sayfa1!$A$2:$A$4</c:f>
              <c:strCache>
                <c:ptCount val="3"/>
                <c:pt idx="0">
                  <c:v>Compulsive behaviour other</c:v>
                </c:pt>
                <c:pt idx="1">
                  <c:v>Compulsive eating</c:v>
                </c:pt>
                <c:pt idx="2">
                  <c:v>Hypersexuality</c:v>
                </c:pt>
              </c:strCache>
            </c:strRef>
          </c:cat>
          <c:val>
            <c:numRef>
              <c:f>Sayfa1!$C$2:$C$4</c:f>
              <c:numCache>
                <c:formatCode>General</c:formatCode>
                <c:ptCount val="3"/>
                <c:pt idx="0">
                  <c:v>9</c:v>
                </c:pt>
                <c:pt idx="1">
                  <c:v>6</c:v>
                </c:pt>
                <c:pt idx="2">
                  <c:v>3</c:v>
                </c:pt>
              </c:numCache>
            </c:numRef>
          </c:val>
          <c:extLst>
            <c:ext xmlns:c16="http://schemas.microsoft.com/office/drawing/2014/chart" uri="{C3380CC4-5D6E-409C-BE32-E72D297353CC}">
              <c16:uniqueId val="{00000001-CE5C-F74D-B96D-EACB993CD9D3}"/>
            </c:ext>
          </c:extLst>
        </c:ser>
        <c:dLbls>
          <c:showLegendKey val="0"/>
          <c:showVal val="0"/>
          <c:showCatName val="0"/>
          <c:showSerName val="0"/>
          <c:showPercent val="0"/>
          <c:showBubbleSize val="0"/>
        </c:dLbls>
        <c:gapWidth val="182"/>
        <c:axId val="1868999024"/>
        <c:axId val="1867540816"/>
      </c:barChart>
      <c:catAx>
        <c:axId val="18689990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en-TR"/>
          </a:p>
        </c:txPr>
        <c:crossAx val="1867540816"/>
        <c:crosses val="autoZero"/>
        <c:auto val="1"/>
        <c:lblAlgn val="ctr"/>
        <c:lblOffset val="100"/>
        <c:noMultiLvlLbl val="0"/>
      </c:catAx>
      <c:valAx>
        <c:axId val="186754081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en-TR"/>
          </a:p>
        </c:txPr>
        <c:crossAx val="1868999024"/>
        <c:crosses val="autoZero"/>
        <c:crossBetween val="between"/>
      </c:valAx>
      <c:spPr>
        <a:noFill/>
        <a:ln>
          <a:noFill/>
        </a:ln>
        <a:effectLst/>
      </c:spPr>
    </c:plotArea>
    <c:legend>
      <c:legendPos val="b"/>
      <c:layout>
        <c:manualLayout>
          <c:xMode val="edge"/>
          <c:yMode val="edge"/>
          <c:x val="0.16245449089053218"/>
          <c:y val="0.81845561093719588"/>
          <c:w val="0.76248354535873986"/>
          <c:h val="0.1312720807259796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Calibri" panose="020F0502020204030204" pitchFamily="34" charset="0"/>
              <a:ea typeface="+mn-ea"/>
              <a:cs typeface="Calibri" panose="020F0502020204030204" pitchFamily="34" charset="0"/>
            </a:defRPr>
          </a:pPr>
          <a:endParaRPr lang="en-T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sz="800">
          <a:latin typeface="Calibri" panose="020F0502020204030204" pitchFamily="34" charset="0"/>
          <a:cs typeface="Calibri" panose="020F0502020204030204" pitchFamily="34" charset="0"/>
        </a:defRPr>
      </a:pPr>
      <a:endParaRPr lang="en-T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00287CF-9651-3149-9DB9-88370AB7949B}">
  <we:reference id="wa104382081" version="1.55.1.0" store="tr-TR" storeType="OMEX"/>
  <we:alternateReferences>
    <we:reference id="WA104382081" version="1.55.1.0" store="" storeType="OMEX"/>
  </we:alternateReferences>
  <we:properties>
    <we:property name="MENDELEY_CITATIONS" value="[]"/>
    <we:property name="MENDELEY_CITATIONS_STYLE" value="{&quot;id&quot;:&quot;https://www.zotero.org/styles/vancouver&quot;,&quot;title&quot;:&quot;Vancouver&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ED86EF-B894-4149-BA7F-2AA8ED1F7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12</Pages>
  <Words>5101</Words>
  <Characters>29078</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Seifi, Ali</dc:creator>
  <cp:keywords/>
  <dc:description/>
  <cp:lastModifiedBy>AYŞENUR GENÇALP</cp:lastModifiedBy>
  <cp:revision>38</cp:revision>
  <dcterms:created xsi:type="dcterms:W3CDTF">2025-01-22T18:00:00Z</dcterms:created>
  <dcterms:modified xsi:type="dcterms:W3CDTF">2025-02-06T18:30:00Z</dcterms:modified>
</cp:coreProperties>
</file>