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F3A0E" w14:textId="77777777" w:rsidR="00C33040" w:rsidRDefault="00C33040" w:rsidP="003875C0">
      <w:pPr>
        <w:spacing w:after="0" w:line="480" w:lineRule="auto"/>
        <w:rPr>
          <w:rFonts w:ascii="Times New Roman" w:hAnsi="Times New Roman" w:cs="Times New Roman"/>
          <w:sz w:val="24"/>
          <w:szCs w:val="24"/>
        </w:rPr>
      </w:pPr>
    </w:p>
    <w:p w14:paraId="14FE1A25" w14:textId="77777777" w:rsidR="00C33040" w:rsidRDefault="00C33040" w:rsidP="003875C0">
      <w:pPr>
        <w:spacing w:after="0" w:line="480" w:lineRule="auto"/>
        <w:rPr>
          <w:rFonts w:ascii="Times New Roman" w:hAnsi="Times New Roman" w:cs="Times New Roman"/>
          <w:sz w:val="24"/>
          <w:szCs w:val="24"/>
        </w:rPr>
      </w:pPr>
    </w:p>
    <w:p w14:paraId="24848D55" w14:textId="77777777" w:rsidR="00C33040" w:rsidRDefault="00C33040" w:rsidP="003875C0">
      <w:pPr>
        <w:spacing w:after="0" w:line="480" w:lineRule="auto"/>
        <w:rPr>
          <w:rFonts w:ascii="Times New Roman" w:hAnsi="Times New Roman" w:cs="Times New Roman"/>
          <w:sz w:val="24"/>
          <w:szCs w:val="24"/>
        </w:rPr>
      </w:pPr>
    </w:p>
    <w:p w14:paraId="545E4A0A" w14:textId="77777777" w:rsidR="00D54B6A" w:rsidRDefault="00C33040" w:rsidP="00C82A18">
      <w:pPr>
        <w:spacing w:after="0" w:line="480" w:lineRule="auto"/>
        <w:jc w:val="center"/>
        <w:rPr>
          <w:rFonts w:ascii="Times New Roman" w:hAnsi="Times New Roman" w:cs="Times New Roman"/>
          <w:b/>
          <w:bCs/>
          <w:sz w:val="24"/>
          <w:szCs w:val="24"/>
        </w:rPr>
      </w:pPr>
      <w:r w:rsidRPr="00D54B6A">
        <w:rPr>
          <w:rFonts w:ascii="Times New Roman" w:hAnsi="Times New Roman" w:cs="Times New Roman"/>
          <w:b/>
          <w:bCs/>
          <w:sz w:val="24"/>
          <w:szCs w:val="24"/>
        </w:rPr>
        <w:t xml:space="preserve">Civil-Military Relations in the Aftermath of Coups: </w:t>
      </w:r>
      <w:r w:rsidR="00D54B6A" w:rsidRPr="00D54B6A">
        <w:rPr>
          <w:rFonts w:ascii="Times New Roman" w:hAnsi="Times New Roman" w:cs="Times New Roman"/>
          <w:b/>
          <w:bCs/>
          <w:sz w:val="24"/>
          <w:szCs w:val="24"/>
        </w:rPr>
        <w:t>How Does Coup Failure Affect Counterbalancing in Autocratic Regimes?</w:t>
      </w:r>
    </w:p>
    <w:p w14:paraId="2E7BAA5A" w14:textId="77777777" w:rsidR="008E1A9B" w:rsidRPr="00D54B6A" w:rsidRDefault="008E1A9B" w:rsidP="00C82A18">
      <w:pPr>
        <w:spacing w:after="0" w:line="480" w:lineRule="auto"/>
        <w:jc w:val="center"/>
        <w:rPr>
          <w:b/>
          <w:bCs/>
        </w:rPr>
      </w:pPr>
    </w:p>
    <w:p w14:paraId="790C2CB9" w14:textId="1FD4468A" w:rsidR="00C33040" w:rsidRDefault="00D54B6A" w:rsidP="00C82A18">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Manuscript</w:t>
      </w:r>
      <w:r w:rsidR="00B97C9B">
        <w:rPr>
          <w:rFonts w:ascii="Times New Roman" w:hAnsi="Times New Roman" w:cs="Times New Roman"/>
          <w:sz w:val="24"/>
          <w:szCs w:val="24"/>
        </w:rPr>
        <w:t xml:space="preserve"> </w:t>
      </w:r>
      <w:r w:rsidR="002F5524">
        <w:rPr>
          <w:rFonts w:ascii="Times New Roman" w:hAnsi="Times New Roman" w:cs="Times New Roman"/>
          <w:sz w:val="24"/>
          <w:szCs w:val="24"/>
        </w:rPr>
        <w:t>for Submission to the Journal of Conflict Resolution</w:t>
      </w:r>
    </w:p>
    <w:p w14:paraId="01BD935A" w14:textId="370A3516" w:rsidR="00B97C9B" w:rsidRDefault="00B97C9B" w:rsidP="00C82A18">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Word Count: 1</w:t>
      </w:r>
      <w:r w:rsidR="00D95AA5">
        <w:rPr>
          <w:rFonts w:ascii="Times New Roman" w:hAnsi="Times New Roman" w:cs="Times New Roman"/>
          <w:sz w:val="24"/>
          <w:szCs w:val="24"/>
        </w:rPr>
        <w:t>0</w:t>
      </w:r>
      <w:r w:rsidR="008410F8">
        <w:rPr>
          <w:rFonts w:ascii="Times New Roman" w:hAnsi="Times New Roman" w:cs="Times New Roman"/>
          <w:sz w:val="24"/>
          <w:szCs w:val="24"/>
        </w:rPr>
        <w:t>,</w:t>
      </w:r>
      <w:r w:rsidR="00D95AA5">
        <w:rPr>
          <w:rFonts w:ascii="Times New Roman" w:hAnsi="Times New Roman" w:cs="Times New Roman"/>
          <w:sz w:val="24"/>
          <w:szCs w:val="24"/>
        </w:rPr>
        <w:t>9</w:t>
      </w:r>
      <w:r w:rsidR="00742C36">
        <w:rPr>
          <w:rFonts w:ascii="Times New Roman" w:hAnsi="Times New Roman" w:cs="Times New Roman"/>
          <w:sz w:val="24"/>
          <w:szCs w:val="24"/>
        </w:rPr>
        <w:t>5</w:t>
      </w:r>
      <w:r w:rsidR="001E4D01">
        <w:rPr>
          <w:rFonts w:ascii="Times New Roman" w:hAnsi="Times New Roman" w:cs="Times New Roman"/>
          <w:sz w:val="24"/>
          <w:szCs w:val="24"/>
        </w:rPr>
        <w:t>8</w:t>
      </w:r>
    </w:p>
    <w:p w14:paraId="481BC4E5" w14:textId="77777777" w:rsidR="00B97C9B" w:rsidRDefault="00B97C9B" w:rsidP="00B97C9B">
      <w:pPr>
        <w:spacing w:after="0" w:line="480" w:lineRule="auto"/>
        <w:rPr>
          <w:rFonts w:ascii="Times New Roman" w:hAnsi="Times New Roman" w:cs="Times New Roman"/>
          <w:sz w:val="24"/>
          <w:szCs w:val="24"/>
        </w:rPr>
      </w:pPr>
    </w:p>
    <w:p w14:paraId="471C1525" w14:textId="6128B60E" w:rsidR="00C82A18" w:rsidRDefault="00B97C9B" w:rsidP="00C82A18">
      <w:pPr>
        <w:spacing w:line="480" w:lineRule="auto"/>
        <w:rPr>
          <w:rFonts w:ascii="Times New Roman" w:hAnsi="Times New Roman" w:cs="Times New Roman"/>
          <w:sz w:val="24"/>
          <w:szCs w:val="24"/>
        </w:rPr>
      </w:pPr>
      <w:r w:rsidRPr="00C82A18">
        <w:rPr>
          <w:rFonts w:ascii="Times New Roman" w:hAnsi="Times New Roman" w:cs="Times New Roman"/>
          <w:b/>
          <w:bCs/>
          <w:sz w:val="24"/>
          <w:szCs w:val="24"/>
        </w:rPr>
        <w:t>Abstract:</w:t>
      </w:r>
      <w:r w:rsidRPr="00C82A18">
        <w:rPr>
          <w:rFonts w:ascii="Times New Roman" w:hAnsi="Times New Roman" w:cs="Times New Roman"/>
          <w:sz w:val="24"/>
          <w:szCs w:val="24"/>
        </w:rPr>
        <w:t xml:space="preserve"> </w:t>
      </w:r>
      <w:r w:rsidR="00EB71C5">
        <w:rPr>
          <w:rFonts w:ascii="Times New Roman" w:hAnsi="Times New Roman" w:cs="Times New Roman"/>
          <w:sz w:val="24"/>
          <w:szCs w:val="24"/>
        </w:rPr>
        <w:t xml:space="preserve">How do </w:t>
      </w:r>
      <w:r w:rsidR="00C82A18" w:rsidRPr="00C82A18">
        <w:rPr>
          <w:rFonts w:ascii="Times New Roman" w:hAnsi="Times New Roman" w:cs="Times New Roman"/>
          <w:sz w:val="24"/>
          <w:szCs w:val="24"/>
        </w:rPr>
        <w:t xml:space="preserve">dictators </w:t>
      </w:r>
      <w:r w:rsidR="00EB71C5">
        <w:rPr>
          <w:rFonts w:ascii="Times New Roman" w:hAnsi="Times New Roman" w:cs="Times New Roman"/>
          <w:sz w:val="24"/>
          <w:szCs w:val="24"/>
        </w:rPr>
        <w:t xml:space="preserve">successfully </w:t>
      </w:r>
      <w:r w:rsidR="00C82A18" w:rsidRPr="00C82A18">
        <w:rPr>
          <w:rFonts w:ascii="Times New Roman" w:hAnsi="Times New Roman" w:cs="Times New Roman"/>
          <w:sz w:val="24"/>
          <w:szCs w:val="24"/>
        </w:rPr>
        <w:t>counterbalance (fragment their coercive apparatus) despite the significant risk of military retaliation? Drawing on recent insights that the timing of coup-proofing is essential to its success, I argue that dictators are more likely to increase counter</w:t>
      </w:r>
      <w:r w:rsidR="00C82A18">
        <w:rPr>
          <w:rFonts w:ascii="Times New Roman" w:hAnsi="Times New Roman" w:cs="Times New Roman"/>
          <w:sz w:val="24"/>
          <w:szCs w:val="24"/>
        </w:rPr>
        <w:t>-</w:t>
      </w:r>
      <w:r w:rsidR="00C82A18" w:rsidRPr="00C82A18">
        <w:rPr>
          <w:rFonts w:ascii="Times New Roman" w:hAnsi="Times New Roman" w:cs="Times New Roman"/>
          <w:sz w:val="24"/>
          <w:szCs w:val="24"/>
        </w:rPr>
        <w:t>balancing efforts in the aftermath of failed coups. I test this proposition in a difference-in-differences framework, using novel data on coups and counterbalancing. I find a statistically significant, albeit moderate effect of coup failure. I substantiate my analysis with two illustrative examples from Sierra Leone and Turkey that probe the plausibility of my theorized mechanism. My findings contribute to the growing literature on the effects of failed coups by opening up the discussion on their long-term structural consequences for the dictator’s security apparatus.</w:t>
      </w:r>
    </w:p>
    <w:p w14:paraId="12168972" w14:textId="4E3F8B48" w:rsidR="00C82A18" w:rsidRPr="00C82A18" w:rsidRDefault="00C82A18" w:rsidP="00C82A18">
      <w:pPr>
        <w:spacing w:line="480" w:lineRule="auto"/>
        <w:rPr>
          <w:rFonts w:ascii="Times New Roman" w:hAnsi="Times New Roman" w:cs="Times New Roman"/>
          <w:sz w:val="24"/>
          <w:szCs w:val="24"/>
        </w:rPr>
      </w:pPr>
      <w:r w:rsidRPr="00C82A18">
        <w:rPr>
          <w:rFonts w:ascii="Times New Roman" w:hAnsi="Times New Roman" w:cs="Times New Roman"/>
          <w:b/>
          <w:bCs/>
          <w:sz w:val="24"/>
          <w:szCs w:val="24"/>
        </w:rPr>
        <w:t>Key</w:t>
      </w:r>
      <w:r w:rsidR="00871969">
        <w:rPr>
          <w:rFonts w:ascii="Times New Roman" w:hAnsi="Times New Roman" w:cs="Times New Roman"/>
          <w:b/>
          <w:bCs/>
          <w:sz w:val="24"/>
          <w:szCs w:val="24"/>
        </w:rPr>
        <w:t>w</w:t>
      </w:r>
      <w:r w:rsidRPr="00C82A18">
        <w:rPr>
          <w:rFonts w:ascii="Times New Roman" w:hAnsi="Times New Roman" w:cs="Times New Roman"/>
          <w:b/>
          <w:bCs/>
          <w:sz w:val="24"/>
          <w:szCs w:val="24"/>
        </w:rPr>
        <w:t>ords</w:t>
      </w:r>
      <w:r>
        <w:rPr>
          <w:rFonts w:ascii="Times New Roman" w:hAnsi="Times New Roman" w:cs="Times New Roman"/>
          <w:sz w:val="24"/>
          <w:szCs w:val="24"/>
        </w:rPr>
        <w:t xml:space="preserve">: </w:t>
      </w:r>
      <w:r w:rsidR="00503EB6">
        <w:rPr>
          <w:rFonts w:ascii="Times New Roman" w:hAnsi="Times New Roman" w:cs="Times New Roman"/>
          <w:sz w:val="24"/>
          <w:szCs w:val="24"/>
        </w:rPr>
        <w:t>Civil-Military Relations, Coup D’Etat, Authoritarian Power-Sharing, Counte</w:t>
      </w:r>
      <w:r w:rsidR="00871969">
        <w:rPr>
          <w:rFonts w:ascii="Times New Roman" w:hAnsi="Times New Roman" w:cs="Times New Roman"/>
          <w:sz w:val="24"/>
          <w:szCs w:val="24"/>
        </w:rPr>
        <w:t>r</w:t>
      </w:r>
      <w:r w:rsidR="00503EB6">
        <w:rPr>
          <w:rFonts w:ascii="Times New Roman" w:hAnsi="Times New Roman" w:cs="Times New Roman"/>
          <w:sz w:val="24"/>
          <w:szCs w:val="24"/>
        </w:rPr>
        <w:t>balancing</w:t>
      </w:r>
    </w:p>
    <w:p w14:paraId="53F6FFD8" w14:textId="1B640708" w:rsidR="00B97C9B" w:rsidRDefault="00B97C9B" w:rsidP="00B97C9B">
      <w:pPr>
        <w:spacing w:after="0" w:line="480" w:lineRule="auto"/>
        <w:rPr>
          <w:rFonts w:ascii="Times New Roman" w:hAnsi="Times New Roman" w:cs="Times New Roman"/>
          <w:sz w:val="24"/>
          <w:szCs w:val="24"/>
        </w:rPr>
      </w:pPr>
    </w:p>
    <w:p w14:paraId="03DD22CE" w14:textId="77777777" w:rsidR="00C33040" w:rsidRDefault="00C33040" w:rsidP="003875C0">
      <w:pPr>
        <w:spacing w:after="0" w:line="480" w:lineRule="auto"/>
        <w:rPr>
          <w:rFonts w:ascii="Times New Roman" w:hAnsi="Times New Roman" w:cs="Times New Roman"/>
          <w:sz w:val="24"/>
          <w:szCs w:val="24"/>
        </w:rPr>
      </w:pPr>
    </w:p>
    <w:p w14:paraId="5D6A8B64" w14:textId="77777777" w:rsidR="00871969" w:rsidRDefault="00871969" w:rsidP="003875C0">
      <w:pPr>
        <w:spacing w:after="0" w:line="480" w:lineRule="auto"/>
        <w:rPr>
          <w:rFonts w:ascii="Times New Roman" w:hAnsi="Times New Roman" w:cs="Times New Roman"/>
          <w:sz w:val="24"/>
          <w:szCs w:val="24"/>
        </w:rPr>
      </w:pPr>
    </w:p>
    <w:p w14:paraId="30F7D7B7" w14:textId="5C9F8DD5" w:rsidR="00D65BE6" w:rsidRPr="00A32801" w:rsidRDefault="003875C0" w:rsidP="00C965BF">
      <w:pPr>
        <w:spacing w:after="0" w:line="480" w:lineRule="auto"/>
        <w:rPr>
          <w:rFonts w:ascii="Times New Roman" w:hAnsi="Times New Roman" w:cs="Times New Roman"/>
          <w:b/>
          <w:bCs/>
          <w:sz w:val="24"/>
          <w:szCs w:val="24"/>
        </w:rPr>
      </w:pPr>
      <w:r w:rsidRPr="00194AF4">
        <w:rPr>
          <w:rFonts w:ascii="Times New Roman" w:hAnsi="Times New Roman" w:cs="Times New Roman"/>
          <w:b/>
          <w:bCs/>
          <w:sz w:val="24"/>
          <w:szCs w:val="24"/>
        </w:rPr>
        <w:lastRenderedPageBreak/>
        <w:t>Introduction</w:t>
      </w:r>
    </w:p>
    <w:p w14:paraId="45D66BEF" w14:textId="77777777" w:rsidR="00034CE3" w:rsidRDefault="00034CE3" w:rsidP="00034CE3">
      <w:pPr>
        <w:spacing w:after="0" w:line="480" w:lineRule="auto"/>
        <w:rPr>
          <w:rFonts w:ascii="Times New Roman" w:hAnsi="Times New Roman" w:cs="Times New Roman"/>
          <w:sz w:val="24"/>
          <w:szCs w:val="24"/>
        </w:rPr>
      </w:pPr>
      <w:r>
        <w:rPr>
          <w:rFonts w:ascii="Times New Roman" w:eastAsiaTheme="minorEastAsia" w:hAnsi="Times New Roman" w:cs="Times New Roman"/>
          <w:sz w:val="24"/>
          <w:szCs w:val="24"/>
        </w:rPr>
        <w:t>Perhaps once thought of as a relic of the Cold War, military coups, defined as “</w:t>
      </w:r>
      <w:r w:rsidRPr="00194AF4">
        <w:rPr>
          <w:rFonts w:ascii="Times New Roman" w:hAnsi="Times New Roman" w:cs="Times New Roman"/>
          <w:sz w:val="24"/>
          <w:szCs w:val="24"/>
        </w:rPr>
        <w:t>the removal or attempted removal of a state’s chief executive by the regular armed forces through the use or threat of use of force” (Thompson 1973, 6),</w:t>
      </w:r>
      <w:r>
        <w:rPr>
          <w:rFonts w:ascii="Times New Roman" w:hAnsi="Times New Roman" w:cs="Times New Roman"/>
          <w:sz w:val="24"/>
          <w:szCs w:val="24"/>
        </w:rPr>
        <w:t xml:space="preserve"> are on the rise again. Since 2020, fourteen coups have been attempted against incumbent dictators in Sub-Saharan Africa, nine of which succeeded (Duzor and Williamson 2023). The most recent success saw the overthrow of President Bongo in Gabon on 30 August 2023 (Beaumont 2023). Three-quarters of all autocrats were removed via coup between 1946 and 2019 (Chin et al. 2021); forty percent of those removed were either executed, incarcerated or exiled within the first year of losing office (Geddes et al. 2018, 72).</w:t>
      </w:r>
    </w:p>
    <w:p w14:paraId="5DF811EE" w14:textId="4D5EA2AF" w:rsidR="00E572F7" w:rsidRPr="00D3508B" w:rsidRDefault="003875C0" w:rsidP="00D3508B">
      <w:pPr>
        <w:spacing w:after="0" w:line="480" w:lineRule="auto"/>
        <w:ind w:firstLine="720"/>
        <w:rPr>
          <w:rFonts w:ascii="Times New Roman" w:hAnsi="Times New Roman" w:cs="Times New Roman"/>
          <w:sz w:val="24"/>
          <w:szCs w:val="24"/>
          <w:u w:val="single"/>
        </w:rPr>
      </w:pPr>
      <w:r>
        <w:rPr>
          <w:rFonts w:ascii="Times New Roman" w:hAnsi="Times New Roman" w:cs="Times New Roman"/>
          <w:sz w:val="24"/>
          <w:szCs w:val="24"/>
        </w:rPr>
        <w:t>To insulate themselves from being overthrown by their armed forces, dictators try to ‘coup-proof’ their regimes. Coup-proofing refers to a broad range of strategies the purpose of which is to deplete or eliminate the capacity of potential coup-plotters from staging a coup (Quinlivan 1999). One such strategy is to ‘institutionally’ coup-proof or ‘counterbalance’</w:t>
      </w:r>
      <w:r w:rsidR="00F470BA">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the </w:t>
      </w:r>
      <w:r w:rsidR="00476037">
        <w:rPr>
          <w:rFonts w:ascii="Times New Roman" w:hAnsi="Times New Roman" w:cs="Times New Roman"/>
          <w:sz w:val="24"/>
          <w:szCs w:val="24"/>
        </w:rPr>
        <w:t>military</w:t>
      </w:r>
      <w:r>
        <w:rPr>
          <w:rFonts w:ascii="Times New Roman" w:hAnsi="Times New Roman" w:cs="Times New Roman"/>
          <w:sz w:val="24"/>
          <w:szCs w:val="24"/>
        </w:rPr>
        <w:t xml:space="preserve"> (Böhmelt</w:t>
      </w:r>
      <w:r w:rsidR="00E84D63">
        <w:rPr>
          <w:rFonts w:ascii="Times New Roman" w:hAnsi="Times New Roman" w:cs="Times New Roman"/>
          <w:sz w:val="24"/>
          <w:szCs w:val="24"/>
        </w:rPr>
        <w:t xml:space="preserve"> and Pilster</w:t>
      </w:r>
      <w:r>
        <w:rPr>
          <w:rFonts w:ascii="Times New Roman" w:hAnsi="Times New Roman" w:cs="Times New Roman"/>
          <w:sz w:val="24"/>
          <w:szCs w:val="24"/>
        </w:rPr>
        <w:t xml:space="preserve"> 2015; De </w:t>
      </w:r>
      <w:r w:rsidRPr="003E04E2">
        <w:rPr>
          <w:rFonts w:ascii="Times New Roman" w:hAnsi="Times New Roman" w:cs="Times New Roman"/>
          <w:sz w:val="24"/>
          <w:szCs w:val="24"/>
        </w:rPr>
        <w:t>Bruin 2018).</w:t>
      </w:r>
      <w:r w:rsidR="003E04E2" w:rsidRPr="003E04E2">
        <w:rPr>
          <w:rFonts w:ascii="Times New Roman" w:hAnsi="Times New Roman" w:cs="Times New Roman"/>
          <w:sz w:val="24"/>
          <w:szCs w:val="24"/>
        </w:rPr>
        <w:t xml:space="preserve"> </w:t>
      </w:r>
      <w:r w:rsidR="00712FF3">
        <w:rPr>
          <w:rFonts w:ascii="Times New Roman" w:hAnsi="Times New Roman" w:cs="Times New Roman"/>
          <w:sz w:val="24"/>
          <w:szCs w:val="24"/>
        </w:rPr>
        <w:t>This involves</w:t>
      </w:r>
      <w:r w:rsidRPr="003E04E2">
        <w:rPr>
          <w:rFonts w:ascii="Times New Roman" w:hAnsi="Times New Roman" w:cs="Times New Roman"/>
          <w:sz w:val="24"/>
          <w:szCs w:val="24"/>
        </w:rPr>
        <w:t xml:space="preserve"> </w:t>
      </w:r>
      <w:r w:rsidR="00B7661C" w:rsidRPr="003E04E2">
        <w:rPr>
          <w:rFonts w:ascii="Times New Roman" w:hAnsi="Times New Roman" w:cs="Times New Roman"/>
          <w:sz w:val="24"/>
          <w:szCs w:val="24"/>
        </w:rPr>
        <w:t>fragmenting</w:t>
      </w:r>
      <w:r w:rsidR="008909AF">
        <w:rPr>
          <w:rFonts w:ascii="Times New Roman" w:hAnsi="Times New Roman" w:cs="Times New Roman"/>
          <w:sz w:val="24"/>
          <w:szCs w:val="24"/>
        </w:rPr>
        <w:t xml:space="preserve"> </w:t>
      </w:r>
      <w:r w:rsidR="00F52D04">
        <w:rPr>
          <w:rFonts w:ascii="Times New Roman" w:hAnsi="Times New Roman" w:cs="Times New Roman"/>
          <w:sz w:val="24"/>
          <w:szCs w:val="24"/>
        </w:rPr>
        <w:t>a</w:t>
      </w:r>
      <w:r w:rsidR="00B86C72">
        <w:rPr>
          <w:rFonts w:ascii="Times New Roman" w:hAnsi="Times New Roman" w:cs="Times New Roman"/>
          <w:sz w:val="24"/>
          <w:szCs w:val="24"/>
        </w:rPr>
        <w:t xml:space="preserve"> </w:t>
      </w:r>
      <w:r>
        <w:rPr>
          <w:rFonts w:ascii="Times New Roman" w:hAnsi="Times New Roman" w:cs="Times New Roman"/>
          <w:sz w:val="24"/>
          <w:szCs w:val="24"/>
        </w:rPr>
        <w:t xml:space="preserve">country’s coercive manpower into rival security organizations that check and balance one another. This can entail </w:t>
      </w:r>
      <w:r w:rsidR="006009F7">
        <w:rPr>
          <w:rFonts w:ascii="Times New Roman" w:hAnsi="Times New Roman" w:cs="Times New Roman"/>
          <w:sz w:val="24"/>
          <w:szCs w:val="24"/>
        </w:rPr>
        <w:t>creating</w:t>
      </w:r>
      <w:r>
        <w:rPr>
          <w:rFonts w:ascii="Times New Roman" w:hAnsi="Times New Roman" w:cs="Times New Roman"/>
          <w:sz w:val="24"/>
          <w:szCs w:val="24"/>
        </w:rPr>
        <w:t xml:space="preserve"> separate branches within the military (e.g.</w:t>
      </w:r>
      <w:r w:rsidR="008C70BF">
        <w:rPr>
          <w:rFonts w:ascii="Times New Roman" w:hAnsi="Times New Roman" w:cs="Times New Roman"/>
          <w:sz w:val="24"/>
          <w:szCs w:val="24"/>
        </w:rPr>
        <w:t xml:space="preserve"> creating</w:t>
      </w:r>
      <w:r w:rsidR="00FC5E18">
        <w:rPr>
          <w:rFonts w:ascii="Times New Roman" w:hAnsi="Times New Roman" w:cs="Times New Roman"/>
          <w:sz w:val="24"/>
          <w:szCs w:val="24"/>
        </w:rPr>
        <w:t xml:space="preserve"> </w:t>
      </w:r>
      <w:r>
        <w:rPr>
          <w:rFonts w:ascii="Times New Roman" w:hAnsi="Times New Roman" w:cs="Times New Roman"/>
          <w:sz w:val="24"/>
          <w:szCs w:val="24"/>
        </w:rPr>
        <w:t xml:space="preserve">a coastal guard in addition to the navy), or </w:t>
      </w:r>
      <w:r w:rsidR="00FC5E18">
        <w:rPr>
          <w:rFonts w:ascii="Times New Roman" w:hAnsi="Times New Roman" w:cs="Times New Roman"/>
          <w:sz w:val="24"/>
          <w:szCs w:val="24"/>
        </w:rPr>
        <w:t>establishing</w:t>
      </w:r>
      <w:r>
        <w:rPr>
          <w:rFonts w:ascii="Times New Roman" w:hAnsi="Times New Roman" w:cs="Times New Roman"/>
          <w:sz w:val="24"/>
          <w:szCs w:val="24"/>
        </w:rPr>
        <w:t xml:space="preserve"> parallel security organizations with a command structure outside of the regular armed forces (e.g. a presidential guard) (Belkin and Schofer 2003; 2005)</w:t>
      </w:r>
      <w:r w:rsidR="00712FF3">
        <w:rPr>
          <w:rFonts w:ascii="Times New Roman" w:hAnsi="Times New Roman" w:cs="Times New Roman"/>
          <w:sz w:val="24"/>
          <w:szCs w:val="24"/>
        </w:rPr>
        <w:t>.</w:t>
      </w:r>
    </w:p>
    <w:p w14:paraId="0428ABF9" w14:textId="7E1AD36D" w:rsidR="003875C0" w:rsidRDefault="003875C0" w:rsidP="003875C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Efforts to counterbalance the military, however, entail significant risks (Sudduth 2017b). </w:t>
      </w:r>
      <w:r w:rsidRPr="00645D97">
        <w:rPr>
          <w:rFonts w:ascii="Times New Roman" w:hAnsi="Times New Roman" w:cs="Times New Roman"/>
          <w:sz w:val="24"/>
          <w:szCs w:val="24"/>
        </w:rPr>
        <w:t xml:space="preserve">In a bid to preserve its corporate interests and autonomy, the </w:t>
      </w:r>
      <w:r>
        <w:rPr>
          <w:rFonts w:ascii="Times New Roman" w:hAnsi="Times New Roman" w:cs="Times New Roman"/>
          <w:sz w:val="24"/>
          <w:szCs w:val="24"/>
        </w:rPr>
        <w:t>army</w:t>
      </w:r>
      <w:r w:rsidRPr="00645D97">
        <w:rPr>
          <w:rFonts w:ascii="Times New Roman" w:hAnsi="Times New Roman" w:cs="Times New Roman"/>
          <w:sz w:val="24"/>
          <w:szCs w:val="24"/>
        </w:rPr>
        <w:t xml:space="preserve"> might intervene in a pre-emptive coup, displacing the autocrat prior to losing its coup-making capacity</w:t>
      </w:r>
      <w:r w:rsidRPr="00957393">
        <w:rPr>
          <w:rFonts w:ascii="Times New Roman" w:hAnsi="Times New Roman" w:cs="Times New Roman"/>
          <w:sz w:val="24"/>
          <w:szCs w:val="24"/>
        </w:rPr>
        <w:t xml:space="preserve">. For example, in Algeria, </w:t>
      </w:r>
      <w:r w:rsidR="00A83526">
        <w:rPr>
          <w:rFonts w:ascii="Times New Roman" w:hAnsi="Times New Roman" w:cs="Times New Roman"/>
          <w:sz w:val="24"/>
          <w:szCs w:val="24"/>
        </w:rPr>
        <w:t>President</w:t>
      </w:r>
      <w:r w:rsidRPr="00957393">
        <w:rPr>
          <w:rFonts w:ascii="Times New Roman" w:hAnsi="Times New Roman" w:cs="Times New Roman"/>
          <w:sz w:val="24"/>
          <w:szCs w:val="24"/>
        </w:rPr>
        <w:t xml:space="preserve"> Ben Bella was overthrown in 1965 by his officers after he tried to establish a </w:t>
      </w:r>
      <w:r w:rsidRPr="00957393">
        <w:rPr>
          <w:rFonts w:ascii="Times New Roman" w:hAnsi="Times New Roman" w:cs="Times New Roman"/>
          <w:sz w:val="24"/>
          <w:szCs w:val="24"/>
        </w:rPr>
        <w:lastRenderedPageBreak/>
        <w:t xml:space="preserve">system of popular militias that threatened the </w:t>
      </w:r>
      <w:r>
        <w:rPr>
          <w:rFonts w:ascii="Times New Roman" w:hAnsi="Times New Roman" w:cs="Times New Roman"/>
          <w:sz w:val="24"/>
          <w:szCs w:val="24"/>
        </w:rPr>
        <w:t>army</w:t>
      </w:r>
      <w:r w:rsidRPr="00957393">
        <w:rPr>
          <w:rFonts w:ascii="Times New Roman" w:hAnsi="Times New Roman" w:cs="Times New Roman"/>
          <w:sz w:val="24"/>
          <w:szCs w:val="24"/>
        </w:rPr>
        <w:t>’s monopoly on the use of violence</w:t>
      </w:r>
      <w:r w:rsidRPr="00645D97">
        <w:rPr>
          <w:rFonts w:ascii="Times New Roman" w:hAnsi="Times New Roman" w:cs="Times New Roman"/>
          <w:sz w:val="24"/>
          <w:szCs w:val="24"/>
        </w:rPr>
        <w:t xml:space="preserve"> (Zartman 1970). The 1966 coup in Ghana, the 1973 coup in Niger</w:t>
      </w:r>
      <w:r>
        <w:rPr>
          <w:rFonts w:ascii="Times New Roman" w:hAnsi="Times New Roman" w:cs="Times New Roman"/>
          <w:sz w:val="24"/>
          <w:szCs w:val="24"/>
        </w:rPr>
        <w:t xml:space="preserve"> </w:t>
      </w:r>
      <w:r w:rsidRPr="00645D97">
        <w:rPr>
          <w:rFonts w:ascii="Times New Roman" w:hAnsi="Times New Roman" w:cs="Times New Roman"/>
          <w:sz w:val="24"/>
          <w:szCs w:val="24"/>
        </w:rPr>
        <w:t>and the 1977 coup in Pakistan</w:t>
      </w:r>
      <w:r>
        <w:rPr>
          <w:rFonts w:ascii="Times New Roman" w:hAnsi="Times New Roman" w:cs="Times New Roman"/>
          <w:sz w:val="24"/>
          <w:szCs w:val="24"/>
        </w:rPr>
        <w:t xml:space="preserve"> </w:t>
      </w:r>
      <w:r w:rsidRPr="00645D97">
        <w:rPr>
          <w:rFonts w:ascii="Times New Roman" w:hAnsi="Times New Roman" w:cs="Times New Roman"/>
          <w:sz w:val="24"/>
          <w:szCs w:val="24"/>
        </w:rPr>
        <w:t xml:space="preserve">were similarly staged in response to rulers’ efforts to </w:t>
      </w:r>
      <w:r>
        <w:rPr>
          <w:rFonts w:ascii="Times New Roman" w:hAnsi="Times New Roman" w:cs="Times New Roman"/>
          <w:sz w:val="24"/>
          <w:szCs w:val="24"/>
        </w:rPr>
        <w:t xml:space="preserve">fragment </w:t>
      </w:r>
      <w:r w:rsidRPr="00645D97">
        <w:rPr>
          <w:rFonts w:ascii="Times New Roman" w:hAnsi="Times New Roman" w:cs="Times New Roman"/>
          <w:sz w:val="24"/>
          <w:szCs w:val="24"/>
        </w:rPr>
        <w:t>their militaries</w:t>
      </w:r>
      <w:r>
        <w:rPr>
          <w:rFonts w:ascii="Times New Roman" w:hAnsi="Times New Roman" w:cs="Times New Roman"/>
          <w:sz w:val="24"/>
          <w:szCs w:val="24"/>
        </w:rPr>
        <w:t xml:space="preserve"> </w:t>
      </w:r>
      <w:r w:rsidRPr="00645D97">
        <w:rPr>
          <w:rFonts w:ascii="Times New Roman" w:hAnsi="Times New Roman" w:cs="Times New Roman"/>
          <w:sz w:val="24"/>
          <w:szCs w:val="24"/>
        </w:rPr>
        <w:t>(Higgott and Fuglestad 1975</w:t>
      </w:r>
      <w:r>
        <w:rPr>
          <w:rFonts w:ascii="Times New Roman" w:hAnsi="Times New Roman" w:cs="Times New Roman"/>
          <w:sz w:val="24"/>
          <w:szCs w:val="24"/>
        </w:rPr>
        <w:t xml:space="preserve">; </w:t>
      </w:r>
      <w:r w:rsidRPr="00645D97">
        <w:rPr>
          <w:rFonts w:ascii="Times New Roman" w:hAnsi="Times New Roman" w:cs="Times New Roman"/>
          <w:sz w:val="24"/>
          <w:szCs w:val="24"/>
        </w:rPr>
        <w:t>Baynham 1985</w:t>
      </w:r>
      <w:r>
        <w:rPr>
          <w:rFonts w:ascii="Times New Roman" w:hAnsi="Times New Roman" w:cs="Times New Roman"/>
          <w:sz w:val="24"/>
          <w:szCs w:val="24"/>
        </w:rPr>
        <w:t xml:space="preserve">; </w:t>
      </w:r>
      <w:r w:rsidRPr="00645D97">
        <w:rPr>
          <w:rFonts w:ascii="Times New Roman" w:hAnsi="Times New Roman" w:cs="Times New Roman"/>
          <w:sz w:val="24"/>
          <w:szCs w:val="24"/>
        </w:rPr>
        <w:t>Shafqat 1997</w:t>
      </w:r>
      <w:r>
        <w:rPr>
          <w:rFonts w:ascii="Times New Roman" w:hAnsi="Times New Roman" w:cs="Times New Roman"/>
          <w:sz w:val="24"/>
          <w:szCs w:val="24"/>
        </w:rPr>
        <w:t>).</w:t>
      </w:r>
    </w:p>
    <w:p w14:paraId="475A03BD" w14:textId="7B61DF3A" w:rsidR="003875C0" w:rsidRDefault="003875C0" w:rsidP="00500F2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Despite the often-hazardous consequences associated with the strategy, counterbalancing remains a central element in any coup-proofing effort (Pilster and Böhmelt 2012). Sixty-three percent of all </w:t>
      </w:r>
      <w:r w:rsidRPr="009C42C9">
        <w:rPr>
          <w:rFonts w:ascii="Times New Roman" w:hAnsi="Times New Roman" w:cs="Times New Roman"/>
          <w:sz w:val="24"/>
          <w:szCs w:val="24"/>
        </w:rPr>
        <w:t>autocratic regimes between 1946 and 2010</w:t>
      </w:r>
      <w:r>
        <w:rPr>
          <w:rFonts w:ascii="Times New Roman" w:hAnsi="Times New Roman" w:cs="Times New Roman"/>
          <w:sz w:val="24"/>
          <w:szCs w:val="24"/>
        </w:rPr>
        <w:t xml:space="preserve"> </w:t>
      </w:r>
      <w:r w:rsidRPr="009C42C9">
        <w:rPr>
          <w:rFonts w:ascii="Times New Roman" w:hAnsi="Times New Roman" w:cs="Times New Roman"/>
          <w:sz w:val="24"/>
          <w:szCs w:val="24"/>
        </w:rPr>
        <w:t xml:space="preserve">succeeded in </w:t>
      </w:r>
      <w:r w:rsidR="0032538D">
        <w:rPr>
          <w:rFonts w:ascii="Times New Roman" w:hAnsi="Times New Roman" w:cs="Times New Roman"/>
          <w:sz w:val="24"/>
          <w:szCs w:val="24"/>
        </w:rPr>
        <w:t>counterbalancing</w:t>
      </w:r>
      <w:r w:rsidR="005957EC">
        <w:rPr>
          <w:rFonts w:ascii="Times New Roman" w:hAnsi="Times New Roman" w:cs="Times New Roman"/>
          <w:sz w:val="24"/>
          <w:szCs w:val="24"/>
        </w:rPr>
        <w:t xml:space="preserve"> </w:t>
      </w:r>
      <w:r w:rsidRPr="009C42C9">
        <w:rPr>
          <w:rFonts w:ascii="Times New Roman" w:hAnsi="Times New Roman" w:cs="Times New Roman"/>
          <w:sz w:val="24"/>
          <w:szCs w:val="24"/>
        </w:rPr>
        <w:t xml:space="preserve">their </w:t>
      </w:r>
      <w:r>
        <w:rPr>
          <w:rFonts w:ascii="Times New Roman" w:hAnsi="Times New Roman" w:cs="Times New Roman"/>
          <w:sz w:val="24"/>
          <w:szCs w:val="24"/>
        </w:rPr>
        <w:t xml:space="preserve">militaries </w:t>
      </w:r>
      <w:r w:rsidRPr="009C42C9">
        <w:rPr>
          <w:rFonts w:ascii="Times New Roman" w:hAnsi="Times New Roman" w:cs="Times New Roman"/>
          <w:sz w:val="24"/>
          <w:szCs w:val="24"/>
        </w:rPr>
        <w:t>(Geddes et al. 2018, 163), while, as shown in Figure 1, the average</w:t>
      </w:r>
      <w:r w:rsidR="00500F27">
        <w:rPr>
          <w:rFonts w:ascii="Times New Roman" w:hAnsi="Times New Roman" w:cs="Times New Roman"/>
          <w:sz w:val="24"/>
          <w:szCs w:val="24"/>
        </w:rPr>
        <w:t xml:space="preserve"> </w:t>
      </w:r>
      <w:r w:rsidRPr="009C42C9">
        <w:rPr>
          <w:rFonts w:ascii="Times New Roman" w:hAnsi="Times New Roman" w:cs="Times New Roman"/>
          <w:sz w:val="24"/>
          <w:szCs w:val="24"/>
        </w:rPr>
        <w:t>number of counterweights (parallel security forces) adopted by dictators worldwide has almost</w:t>
      </w:r>
      <w:r>
        <w:rPr>
          <w:rFonts w:ascii="Times New Roman" w:hAnsi="Times New Roman" w:cs="Times New Roman"/>
          <w:sz w:val="24"/>
          <w:szCs w:val="24"/>
        </w:rPr>
        <w:t xml:space="preserve"> </w:t>
      </w:r>
      <w:r w:rsidRPr="009C42C9">
        <w:rPr>
          <w:rFonts w:ascii="Times New Roman" w:hAnsi="Times New Roman" w:cs="Times New Roman"/>
          <w:sz w:val="24"/>
          <w:szCs w:val="24"/>
        </w:rPr>
        <w:t>doubled since 1960</w:t>
      </w:r>
      <w:r w:rsidRPr="009C42C9">
        <w:rPr>
          <w:rStyle w:val="FootnoteReference"/>
          <w:rFonts w:ascii="Times New Roman" w:hAnsi="Times New Roman" w:cs="Times New Roman"/>
          <w:sz w:val="24"/>
          <w:szCs w:val="24"/>
        </w:rPr>
        <w:footnoteReference w:id="3"/>
      </w:r>
      <w:r w:rsidRPr="009C42C9">
        <w:rPr>
          <w:rFonts w:ascii="Times New Roman" w:hAnsi="Times New Roman" w:cs="Times New Roman"/>
          <w:sz w:val="24"/>
          <w:szCs w:val="24"/>
        </w:rPr>
        <w:t>.</w:t>
      </w:r>
      <w:r w:rsidR="0032538D">
        <w:rPr>
          <w:rFonts w:ascii="Times New Roman" w:hAnsi="Times New Roman" w:cs="Times New Roman"/>
          <w:sz w:val="24"/>
          <w:szCs w:val="24"/>
        </w:rPr>
        <w:t xml:space="preserve"> </w:t>
      </w:r>
      <w:r w:rsidR="00A23A0C">
        <w:rPr>
          <w:rFonts w:ascii="Times New Roman" w:hAnsi="Times New Roman" w:cs="Times New Roman"/>
          <w:sz w:val="24"/>
          <w:szCs w:val="24"/>
        </w:rPr>
        <w:t>How is it that dictators successfully counterbalance despite th</w:t>
      </w:r>
      <w:r w:rsidR="00C316AD">
        <w:rPr>
          <w:rFonts w:ascii="Times New Roman" w:hAnsi="Times New Roman" w:cs="Times New Roman"/>
          <w:sz w:val="24"/>
          <w:szCs w:val="24"/>
        </w:rPr>
        <w:t>is</w:t>
      </w:r>
      <w:r w:rsidR="00A23A0C">
        <w:rPr>
          <w:rFonts w:ascii="Times New Roman" w:hAnsi="Times New Roman" w:cs="Times New Roman"/>
          <w:sz w:val="24"/>
          <w:szCs w:val="24"/>
        </w:rPr>
        <w:t xml:space="preserve"> significant risk of military retaliation?</w:t>
      </w:r>
    </w:p>
    <w:p w14:paraId="634E43A6" w14:textId="77777777" w:rsidR="003875C0" w:rsidRPr="00862B84" w:rsidRDefault="003875C0" w:rsidP="003875C0">
      <w:pPr>
        <w:spacing w:after="0" w:line="480" w:lineRule="auto"/>
        <w:jc w:val="center"/>
        <w:rPr>
          <w:rFonts w:ascii="Times New Roman" w:eastAsia="Calibri" w:hAnsi="Times New Roman" w:cs="Times New Roman"/>
          <w:sz w:val="20"/>
          <w:szCs w:val="20"/>
        </w:rPr>
      </w:pPr>
      <w:r w:rsidRPr="00862B84">
        <w:rPr>
          <w:rFonts w:ascii="Times New Roman" w:eastAsia="Calibri" w:hAnsi="Times New Roman" w:cs="Times New Roman"/>
          <w:sz w:val="20"/>
          <w:szCs w:val="20"/>
        </w:rPr>
        <w:t>Figure 1: Average Number of Counterweights in Autocracies Over Time (Dashed Line Depicts Sample Mean)</w:t>
      </w:r>
    </w:p>
    <w:p w14:paraId="0ABEC463" w14:textId="7E2F2D5B" w:rsidR="00A6494C" w:rsidRDefault="003875C0" w:rsidP="00A6494C">
      <w:pPr>
        <w:spacing w:after="0" w:line="480" w:lineRule="auto"/>
        <w:jc w:val="center"/>
        <w:rPr>
          <w:rFonts w:ascii="Times New Roman" w:hAnsi="Times New Roman" w:cs="Times New Roman"/>
          <w:sz w:val="24"/>
          <w:szCs w:val="24"/>
        </w:rPr>
      </w:pPr>
      <w:r w:rsidRPr="009C42C9">
        <w:rPr>
          <w:rFonts w:eastAsia="Calibri" w:cs="Times New Roman"/>
          <w:noProof/>
          <w:sz w:val="24"/>
          <w:szCs w:val="24"/>
        </w:rPr>
        <w:drawing>
          <wp:inline distT="0" distB="0" distL="0" distR="0" wp14:anchorId="4F61E316" wp14:editId="7D8D9400">
            <wp:extent cx="5393266" cy="3028524"/>
            <wp:effectExtent l="0" t="0" r="0" b="635"/>
            <wp:docPr id="1835622574" name="Picture 21" descr="A graph showing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22574" name="Picture 21" descr="A graph showing a li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213" cy="3153156"/>
                    </a:xfrm>
                    <a:prstGeom prst="rect">
                      <a:avLst/>
                    </a:prstGeom>
                    <a:noFill/>
                    <a:ln>
                      <a:noFill/>
                    </a:ln>
                  </pic:spPr>
                </pic:pic>
              </a:graphicData>
            </a:graphic>
          </wp:inline>
        </w:drawing>
      </w:r>
    </w:p>
    <w:p w14:paraId="4F29E028" w14:textId="2F3476D0" w:rsidR="003875C0" w:rsidRPr="005E73A9" w:rsidRDefault="003875C0" w:rsidP="003875C0">
      <w:pPr>
        <w:spacing w:after="0" w:line="480" w:lineRule="auto"/>
        <w:ind w:firstLine="720"/>
        <w:rPr>
          <w:rFonts w:ascii="Times New Roman" w:hAnsi="Times New Roman" w:cs="Times New Roman"/>
          <w:sz w:val="24"/>
          <w:szCs w:val="24"/>
          <w:u w:val="single"/>
        </w:rPr>
      </w:pPr>
      <w:r w:rsidRPr="005E5304">
        <w:rPr>
          <w:rFonts w:ascii="Times New Roman" w:hAnsi="Times New Roman" w:cs="Times New Roman"/>
          <w:sz w:val="24"/>
          <w:szCs w:val="24"/>
        </w:rPr>
        <w:lastRenderedPageBreak/>
        <w:t>Drawing on Sudduth’s (2017a) insight that the timing of coup-proofing is essential to its success, I argue that dictators are more likely to increase counterbalancing efforts in the aftermath of failed coups. A failed coup can be understood as an internal shock to the regime that temporarily shifts the balance of power in favor of the incumbent and provides him with an opportunity to fragment his coercive apparatus while the military is weakened and unable to resist such coup-proofing efforts</w:t>
      </w:r>
      <w:r>
        <w:rPr>
          <w:rFonts w:ascii="Times New Roman" w:hAnsi="Times New Roman" w:cs="Times New Roman"/>
          <w:sz w:val="24"/>
          <w:szCs w:val="24"/>
        </w:rPr>
        <w:t xml:space="preserve">. Case-based scholarship has long argued that failed coups are associated with group-level consequences, such as the abolition of the military (Powell 2012). </w:t>
      </w:r>
      <w:r w:rsidR="003E26A9">
        <w:rPr>
          <w:rFonts w:ascii="Times New Roman" w:hAnsi="Times New Roman" w:cs="Times New Roman"/>
          <w:sz w:val="24"/>
          <w:szCs w:val="24"/>
        </w:rPr>
        <w:t>However, t</w:t>
      </w:r>
      <w:r>
        <w:rPr>
          <w:rFonts w:ascii="Times New Roman" w:hAnsi="Times New Roman" w:cs="Times New Roman"/>
          <w:sz w:val="24"/>
          <w:szCs w:val="24"/>
        </w:rPr>
        <w:t>he generality of these consequences</w:t>
      </w:r>
      <w:r w:rsidR="003E26A9">
        <w:rPr>
          <w:rFonts w:ascii="Times New Roman" w:hAnsi="Times New Roman" w:cs="Times New Roman"/>
          <w:sz w:val="24"/>
          <w:szCs w:val="24"/>
        </w:rPr>
        <w:t xml:space="preserve"> </w:t>
      </w:r>
      <w:r w:rsidR="00C43695">
        <w:rPr>
          <w:rFonts w:ascii="Times New Roman" w:hAnsi="Times New Roman" w:cs="Times New Roman"/>
          <w:sz w:val="24"/>
          <w:szCs w:val="24"/>
        </w:rPr>
        <w:t>is</w:t>
      </w:r>
      <w:r>
        <w:rPr>
          <w:rFonts w:ascii="Times New Roman" w:hAnsi="Times New Roman" w:cs="Times New Roman"/>
          <w:sz w:val="24"/>
          <w:szCs w:val="24"/>
        </w:rPr>
        <w:t xml:space="preserve"> yet to be systematically analyzed. This is particularly the case when it comes to the institutional design of the armed forces and, more broadly, the emergence and development of a state’s security apparatus. </w:t>
      </w:r>
      <w:r w:rsidRPr="00601C80">
        <w:rPr>
          <w:rFonts w:ascii="Times New Roman" w:hAnsi="Times New Roman" w:cs="Times New Roman"/>
          <w:sz w:val="24"/>
          <w:szCs w:val="24"/>
        </w:rPr>
        <w:t>This begs the following question: how does coup failure affect counterbalancing in autocratic regimes, if at all?</w:t>
      </w:r>
    </w:p>
    <w:p w14:paraId="5200109B" w14:textId="0FD85BF7" w:rsidR="004D4C61" w:rsidRDefault="003875C0" w:rsidP="00ED5E6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To answer this question, I carry out a large-n panel analysis employing a</w:t>
      </w:r>
      <w:r w:rsidR="000A3375">
        <w:rPr>
          <w:rFonts w:ascii="Times New Roman" w:hAnsi="Times New Roman" w:cs="Times New Roman"/>
          <w:sz w:val="24"/>
          <w:szCs w:val="24"/>
        </w:rPr>
        <w:t xml:space="preserve"> </w:t>
      </w:r>
      <w:r>
        <w:rPr>
          <w:rFonts w:ascii="Times New Roman" w:hAnsi="Times New Roman" w:cs="Times New Roman"/>
          <w:sz w:val="24"/>
          <w:szCs w:val="24"/>
        </w:rPr>
        <w:t>difference-in-difference estimator. Using data on autocratic leaders from 1960 to 2010, I find a statistically significant albeit moderate effect of coup failure on counterbalancing.</w:t>
      </w:r>
      <w:r w:rsidR="009C539D">
        <w:rPr>
          <w:rFonts w:ascii="Times New Roman" w:hAnsi="Times New Roman" w:cs="Times New Roman"/>
          <w:sz w:val="24"/>
          <w:szCs w:val="24"/>
        </w:rPr>
        <w:t xml:space="preserve"> </w:t>
      </w:r>
      <w:r w:rsidR="00AF693A">
        <w:rPr>
          <w:rFonts w:ascii="Times New Roman" w:hAnsi="Times New Roman" w:cs="Times New Roman"/>
          <w:sz w:val="24"/>
          <w:szCs w:val="24"/>
        </w:rPr>
        <w:t xml:space="preserve">Given the difficulty of identifying causal effects </w:t>
      </w:r>
      <w:r w:rsidR="00ED5E6E">
        <w:rPr>
          <w:rFonts w:ascii="Times New Roman" w:hAnsi="Times New Roman" w:cs="Times New Roman"/>
          <w:sz w:val="24"/>
          <w:szCs w:val="24"/>
        </w:rPr>
        <w:t xml:space="preserve">with observational data, I leverage two illustrative cases to probe the plausibility of the theorized mechanism. </w:t>
      </w:r>
      <w:r w:rsidRPr="00FD5A9F">
        <w:rPr>
          <w:rFonts w:ascii="Times New Roman" w:hAnsi="Times New Roman" w:cs="Times New Roman"/>
          <w:sz w:val="24"/>
          <w:szCs w:val="24"/>
        </w:rPr>
        <w:t xml:space="preserve">These cases are: (1) the 1971 failed coup in Sierra Leone, which </w:t>
      </w:r>
      <w:r w:rsidR="00ED5E6E">
        <w:rPr>
          <w:rFonts w:ascii="Times New Roman" w:hAnsi="Times New Roman" w:cs="Times New Roman"/>
          <w:sz w:val="24"/>
          <w:szCs w:val="24"/>
        </w:rPr>
        <w:t>led to</w:t>
      </w:r>
      <w:r w:rsidRPr="00FD5A9F">
        <w:rPr>
          <w:rFonts w:ascii="Times New Roman" w:hAnsi="Times New Roman" w:cs="Times New Roman"/>
          <w:sz w:val="24"/>
          <w:szCs w:val="24"/>
        </w:rPr>
        <w:t xml:space="preserve"> the creation of the Internal Security Unit, a parallel military organization akin to a presidential guard, and (2) the 2016 failed coup in Turkey, which </w:t>
      </w:r>
      <w:r w:rsidR="00ED5E6E">
        <w:rPr>
          <w:rFonts w:ascii="Times New Roman" w:hAnsi="Times New Roman" w:cs="Times New Roman"/>
          <w:sz w:val="24"/>
          <w:szCs w:val="24"/>
        </w:rPr>
        <w:t>resulted in</w:t>
      </w:r>
      <w:r w:rsidRPr="00FD5A9F">
        <w:rPr>
          <w:rFonts w:ascii="Times New Roman" w:hAnsi="Times New Roman" w:cs="Times New Roman"/>
          <w:sz w:val="24"/>
          <w:szCs w:val="24"/>
        </w:rPr>
        <w:t xml:space="preserve"> the institutional re-design of the Turkish Armed Forces and the establishment </w:t>
      </w:r>
      <w:r w:rsidR="004D4C61">
        <w:rPr>
          <w:rFonts w:ascii="Times New Roman" w:hAnsi="Times New Roman" w:cs="Times New Roman"/>
          <w:sz w:val="24"/>
          <w:szCs w:val="24"/>
        </w:rPr>
        <w:t xml:space="preserve">multiple additional counterweights to the military. </w:t>
      </w:r>
    </w:p>
    <w:p w14:paraId="6DA398EF" w14:textId="77777777" w:rsidR="003875C0" w:rsidRDefault="003875C0" w:rsidP="003875C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answering this question, I contribute to two adjacent literatures. </w:t>
      </w:r>
      <w:r w:rsidRPr="006E5952">
        <w:rPr>
          <w:rFonts w:ascii="Times New Roman" w:hAnsi="Times New Roman" w:cs="Times New Roman"/>
          <w:sz w:val="24"/>
          <w:szCs w:val="24"/>
        </w:rPr>
        <w:t xml:space="preserve">First, literature on the outcomes of coups has undertheorized the effects of failed coups, despite coup failure accounting for half of all overt coup attempts (Powell and Thyne 2011). In fact, failed coups are commonly </w:t>
      </w:r>
      <w:r w:rsidRPr="006E5952">
        <w:rPr>
          <w:rFonts w:ascii="Times New Roman" w:hAnsi="Times New Roman" w:cs="Times New Roman"/>
          <w:sz w:val="24"/>
          <w:szCs w:val="24"/>
        </w:rPr>
        <w:lastRenderedPageBreak/>
        <w:t>overlooked or deliberately ignored within the academic literature on grounds that there is no such thing as “half a coup” (Londregan and Poole 1990, 160)</w:t>
      </w:r>
      <w:r>
        <w:rPr>
          <w:rFonts w:ascii="Times New Roman" w:hAnsi="Times New Roman" w:cs="Times New Roman"/>
          <w:sz w:val="24"/>
          <w:szCs w:val="24"/>
        </w:rPr>
        <w:t>. A few exceptions include recent work that finds that coup failure leads to a greater number of cabinet purges (Bokobza et al. 2022) and a short-term increase in the level of personalism of a regime (Timoneda et al. 2023). However, while purges occur in the immediate aftermath, or ‘the morning after’ failed attempts, the long-term structural consequences of failed coups are rarely considered, particularly as they pertain to the actors most directly involved in the coup attempt.</w:t>
      </w:r>
    </w:p>
    <w:p w14:paraId="4FDDDA40" w14:textId="7B639CA5" w:rsidR="00C10346" w:rsidRDefault="003875C0" w:rsidP="0092568C">
      <w:pPr>
        <w:spacing w:after="0" w:line="480" w:lineRule="auto"/>
        <w:ind w:firstLine="720"/>
        <w:rPr>
          <w:rFonts w:ascii="Times New Roman" w:hAnsi="Times New Roman" w:cs="Times New Roman"/>
          <w:sz w:val="24"/>
          <w:szCs w:val="24"/>
        </w:rPr>
      </w:pPr>
      <w:r w:rsidRPr="00525556">
        <w:rPr>
          <w:rFonts w:ascii="Times New Roman" w:hAnsi="Times New Roman" w:cs="Times New Roman"/>
          <w:sz w:val="24"/>
          <w:szCs w:val="24"/>
        </w:rPr>
        <w:t>Second, I contribute to the growing literature on the determinants of counterbalancing. Despite the existence of a vast literature on the effectiveness of counterbalancing in deterring coups (De Bruin 2018), little scholarly attention has been paid to the origins and development of a state’s coercive institutions. Outside of case studies (Frazer 1994; Greitens 2016)</w:t>
      </w:r>
      <w:r>
        <w:rPr>
          <w:rFonts w:ascii="Times New Roman" w:hAnsi="Times New Roman" w:cs="Times New Roman"/>
          <w:sz w:val="24"/>
          <w:szCs w:val="24"/>
        </w:rPr>
        <w:t>, examinations of the timing of the institutional (re-)design of the dictator’s security apparatus are lacking. Meanwhile, existing literature on the effect of coups on counterbalancing theorizes this relationship in terms of 'coup risk' i.e. the higher (lower) the risk of a coup, the greater the chance that the ruler will try to counterbalance his military (</w:t>
      </w:r>
      <w:r w:rsidRPr="006D2B67">
        <w:rPr>
          <w:rFonts w:ascii="Times New Roman" w:hAnsi="Times New Roman" w:cs="Times New Roman"/>
          <w:sz w:val="24"/>
          <w:szCs w:val="24"/>
        </w:rPr>
        <w:t>Belkin and Schofer 2003; also, Sudduth 2017a</w:t>
      </w:r>
      <w:r>
        <w:rPr>
          <w:rFonts w:ascii="Times New Roman" w:hAnsi="Times New Roman" w:cs="Times New Roman"/>
          <w:sz w:val="24"/>
          <w:szCs w:val="24"/>
        </w:rPr>
        <w:t xml:space="preserve">). However, such latent measures are either constructed from indices that are endogenous to counterbalancing itself, or suffer from issues pertaining to construct validity. In contrast, the measure of ‘coup failure’ employed here provides a more direct and valid test of this relationship as it clarifies the underlying conditions under which institutional coup-proofing occurs. The following section contextualizes my contribution within the broader literature. </w:t>
      </w:r>
      <w:r w:rsidR="00EA703A">
        <w:rPr>
          <w:rFonts w:ascii="Times New Roman" w:hAnsi="Times New Roman" w:cs="Times New Roman"/>
          <w:sz w:val="24"/>
          <w:szCs w:val="24"/>
        </w:rPr>
        <w:t>I then</w:t>
      </w:r>
      <w:r>
        <w:rPr>
          <w:rFonts w:ascii="Times New Roman" w:hAnsi="Times New Roman" w:cs="Times New Roman"/>
          <w:sz w:val="24"/>
          <w:szCs w:val="24"/>
        </w:rPr>
        <w:t xml:space="preserve"> introduce and test my theorized mechanism, drawing on two examples to substantiate my findings.</w:t>
      </w:r>
    </w:p>
    <w:p w14:paraId="61AD40A3" w14:textId="77777777" w:rsidR="0092568C" w:rsidRDefault="0092568C" w:rsidP="0092568C">
      <w:pPr>
        <w:spacing w:after="0" w:line="480" w:lineRule="auto"/>
        <w:ind w:firstLine="720"/>
        <w:rPr>
          <w:rFonts w:ascii="Times New Roman" w:hAnsi="Times New Roman" w:cs="Times New Roman"/>
          <w:sz w:val="24"/>
          <w:szCs w:val="24"/>
        </w:rPr>
      </w:pPr>
    </w:p>
    <w:p w14:paraId="5B1182BF" w14:textId="77777777" w:rsidR="0092568C" w:rsidRPr="0092568C" w:rsidRDefault="0092568C" w:rsidP="0092568C">
      <w:pPr>
        <w:spacing w:after="0" w:line="480" w:lineRule="auto"/>
        <w:ind w:firstLine="720"/>
        <w:rPr>
          <w:rFonts w:ascii="Times New Roman" w:hAnsi="Times New Roman" w:cs="Times New Roman"/>
          <w:sz w:val="24"/>
          <w:szCs w:val="24"/>
        </w:rPr>
      </w:pPr>
    </w:p>
    <w:p w14:paraId="137103AC" w14:textId="189CBBD0" w:rsidR="003875C0" w:rsidRDefault="003875C0" w:rsidP="003875C0">
      <w:pPr>
        <w:spacing w:after="0" w:line="480" w:lineRule="auto"/>
        <w:rPr>
          <w:rFonts w:ascii="Times New Roman" w:hAnsi="Times New Roman" w:cs="Times New Roman"/>
          <w:b/>
          <w:bCs/>
          <w:sz w:val="24"/>
          <w:szCs w:val="24"/>
        </w:rPr>
      </w:pPr>
      <w:r w:rsidRPr="00FE70CF">
        <w:rPr>
          <w:rFonts w:ascii="Times New Roman" w:hAnsi="Times New Roman" w:cs="Times New Roman"/>
          <w:b/>
          <w:bCs/>
          <w:sz w:val="24"/>
          <w:szCs w:val="24"/>
        </w:rPr>
        <w:lastRenderedPageBreak/>
        <w:t>Literature Review</w:t>
      </w:r>
    </w:p>
    <w:p w14:paraId="71A6A2F1" w14:textId="77777777" w:rsidR="003875C0" w:rsidRPr="001D5575" w:rsidRDefault="003875C0" w:rsidP="003875C0">
      <w:pPr>
        <w:spacing w:after="0" w:line="480" w:lineRule="auto"/>
        <w:rPr>
          <w:rFonts w:ascii="Times New Roman" w:hAnsi="Times New Roman" w:cs="Times New Roman"/>
          <w:b/>
          <w:bCs/>
          <w:sz w:val="24"/>
          <w:szCs w:val="24"/>
        </w:rPr>
      </w:pPr>
      <w:r w:rsidRPr="00FE70CF">
        <w:rPr>
          <w:rFonts w:ascii="Times New Roman" w:hAnsi="Times New Roman" w:cs="Times New Roman"/>
          <w:sz w:val="24"/>
          <w:szCs w:val="24"/>
        </w:rPr>
        <w:t>From the perspective of coup-plotters, coups can be understood as an outcome of a decision-making process in which satisfaction with the incumbent leader is weighed against the perceived benefits and costs associated with a coup attempt (Bell and Sudduth 2017). These costs can include individual-level consequences, such as imprisonment or exile; group-level consequences, such as the abolition of the military; and the worst possible outcome of all – the escalation of a coup into a fratricidal conflict. Every conspirator wants to avoid their attempt from escalating into a violent confrontation and potentially a civil war (Powell 2012).</w:t>
      </w:r>
    </w:p>
    <w:p w14:paraId="20C5E001"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Contrary to common sense expectation that coups are intense battles akin to civil wars or foreign invasions, coups are better understood as ‘coordination games’ (Singh 2014). The goal of a coup is not to overpower the rest of the armed forces, but rather to quickly capture strategically important targets, such as symbolic sites and broadcasting stations, and convince other members of the military that the coup d’état is a ‘fait accompli’ – a process Singh (2014) calls ‘making a fact’. As the rest of the military would want to avoid fratricide, they will rally to whichever side they perceive will prevail, thus making coup success a self-fulfilling prophecy. Informational uncertainty is crucial for such endeavors, as coup-plotters can only shift expectation about the inevitability of their victory when other actors have incomplete information about their true strength (Geddes et al. 2018).</w:t>
      </w:r>
    </w:p>
    <w:p w14:paraId="622F41EE"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Counterbalancing changes this equation by increasing the associated costs of carrying out a coup (Quinlivan 1999). Within the literature, this challenge manifests itself in two arguments. First, it aggravates</w:t>
      </w:r>
      <w:r w:rsidRPr="00FE70CF">
        <w:rPr>
          <w:rFonts w:ascii="Times New Roman" w:hAnsi="Times New Roman" w:cs="Times New Roman"/>
          <w:b/>
          <w:bCs/>
          <w:sz w:val="24"/>
          <w:szCs w:val="24"/>
        </w:rPr>
        <w:t xml:space="preserve"> </w:t>
      </w:r>
      <w:r w:rsidRPr="00FE70CF">
        <w:rPr>
          <w:rFonts w:ascii="Times New Roman" w:hAnsi="Times New Roman" w:cs="Times New Roman"/>
          <w:sz w:val="24"/>
          <w:szCs w:val="24"/>
        </w:rPr>
        <w:t xml:space="preserve">the collective action problem inherent in executing coups. Additional counterweights not only complicate coordination efforts by increasing the number of actors whom the coup-plotters have to either eliminate or seduce (Luttwak 1979), it also creates </w:t>
      </w:r>
      <w:r w:rsidRPr="00FE70CF">
        <w:rPr>
          <w:rFonts w:ascii="Times New Roman" w:hAnsi="Times New Roman" w:cs="Times New Roman"/>
          <w:sz w:val="24"/>
          <w:szCs w:val="24"/>
        </w:rPr>
        <w:lastRenderedPageBreak/>
        <w:t>obstacles to cross-unit coordination among the coup-plotters themselves (Böhmelt and Pilster 2015). This leads to a greater likelihood of tactical errors, which impedes the seizure of coup targets, making it more difficult for coup-plotters to shape expectations about the coup’s likely outcome (De Bruin 20</w:t>
      </w:r>
      <w:r>
        <w:rPr>
          <w:rFonts w:ascii="Times New Roman" w:hAnsi="Times New Roman" w:cs="Times New Roman"/>
          <w:sz w:val="24"/>
          <w:szCs w:val="24"/>
        </w:rPr>
        <w:t>20</w:t>
      </w:r>
      <w:r w:rsidRPr="00FE70CF">
        <w:rPr>
          <w:rFonts w:ascii="Times New Roman" w:hAnsi="Times New Roman" w:cs="Times New Roman"/>
          <w:sz w:val="24"/>
          <w:szCs w:val="24"/>
        </w:rPr>
        <w:t>).</w:t>
      </w:r>
    </w:p>
    <w:p w14:paraId="4A0130CF"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Second, counterbalancing creates strong incentives for some soldiers to resist coup attempts (De Bruin 20</w:t>
      </w:r>
      <w:r>
        <w:rPr>
          <w:rFonts w:ascii="Times New Roman" w:hAnsi="Times New Roman" w:cs="Times New Roman"/>
          <w:sz w:val="24"/>
          <w:szCs w:val="24"/>
        </w:rPr>
        <w:t>18</w:t>
      </w:r>
      <w:r w:rsidRPr="00FE70CF">
        <w:rPr>
          <w:rFonts w:ascii="Times New Roman" w:hAnsi="Times New Roman" w:cs="Times New Roman"/>
          <w:sz w:val="24"/>
          <w:szCs w:val="24"/>
        </w:rPr>
        <w:t>). Typically, parallel security forces, such as the presidential guard, are not only created by the dictator, but are also directly bound to him through personal or ethnic ties (take, for example, Muammar Gaddafi’s Revolutionary Guard). This creates a vested interest among the organization’s members to maintain the status quo and defend the regime in case of a coup (Escribà-Folch et al. 2020). Consequently, resistance during a coup attempt increases the likelihood it escalates into a violent confrontation, possibly a civil war</w:t>
      </w:r>
      <w:r>
        <w:rPr>
          <w:rFonts w:ascii="Times New Roman" w:hAnsi="Times New Roman" w:cs="Times New Roman"/>
          <w:sz w:val="24"/>
          <w:szCs w:val="24"/>
        </w:rPr>
        <w:t>, which</w:t>
      </w:r>
      <w:r w:rsidRPr="00FE70CF">
        <w:rPr>
          <w:rFonts w:ascii="Times New Roman" w:hAnsi="Times New Roman" w:cs="Times New Roman"/>
          <w:sz w:val="24"/>
          <w:szCs w:val="24"/>
        </w:rPr>
        <w:t xml:space="preserve"> should deter rational actors from staging </w:t>
      </w:r>
      <w:r>
        <w:rPr>
          <w:rFonts w:ascii="Times New Roman" w:hAnsi="Times New Roman" w:cs="Times New Roman"/>
          <w:sz w:val="24"/>
          <w:szCs w:val="24"/>
        </w:rPr>
        <w:t>one to begin with.</w:t>
      </w:r>
    </w:p>
    <w:p w14:paraId="2ABA5DE0"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 xml:space="preserve">Empirical evidence on the effectiveness of counterbalancing, however, has been mixed. Whereas some scholars find partial evidence for its deterrent effect (Powell 2012; Albrecht and Eibl 2018), others find a curvilinear relationship between the number of parallel security forces and coup risk (Böhmelt and Pilster 2015). Still others find no effect whatsoever (Albrecht 2015). More recent scholarship seems to suggest that while counterbalancing has no effect on coup attempts, </w:t>
      </w:r>
      <w:r>
        <w:rPr>
          <w:rFonts w:ascii="Times New Roman" w:hAnsi="Times New Roman" w:cs="Times New Roman"/>
          <w:sz w:val="24"/>
          <w:szCs w:val="24"/>
        </w:rPr>
        <w:t>it</w:t>
      </w:r>
      <w:r w:rsidRPr="00FE70CF">
        <w:rPr>
          <w:rFonts w:ascii="Times New Roman" w:hAnsi="Times New Roman" w:cs="Times New Roman"/>
          <w:sz w:val="24"/>
          <w:szCs w:val="24"/>
        </w:rPr>
        <w:t xml:space="preserve"> reduces the likelihood </w:t>
      </w:r>
      <w:r>
        <w:rPr>
          <w:rFonts w:ascii="Times New Roman" w:hAnsi="Times New Roman" w:cs="Times New Roman"/>
          <w:sz w:val="24"/>
          <w:szCs w:val="24"/>
        </w:rPr>
        <w:t xml:space="preserve">that </w:t>
      </w:r>
      <w:r w:rsidRPr="00FE70CF">
        <w:rPr>
          <w:rFonts w:ascii="Times New Roman" w:hAnsi="Times New Roman" w:cs="Times New Roman"/>
          <w:sz w:val="24"/>
          <w:szCs w:val="24"/>
        </w:rPr>
        <w:t>a coup will succeed once underway (De Bruin</w:t>
      </w:r>
      <w:r>
        <w:rPr>
          <w:rFonts w:ascii="Times New Roman" w:hAnsi="Times New Roman" w:cs="Times New Roman"/>
          <w:sz w:val="24"/>
          <w:szCs w:val="24"/>
        </w:rPr>
        <w:t xml:space="preserve"> </w:t>
      </w:r>
      <w:r w:rsidRPr="00FE70CF">
        <w:rPr>
          <w:rFonts w:ascii="Times New Roman" w:hAnsi="Times New Roman" w:cs="Times New Roman"/>
          <w:sz w:val="24"/>
          <w:szCs w:val="24"/>
        </w:rPr>
        <w:t>2020).</w:t>
      </w:r>
    </w:p>
    <w:p w14:paraId="4AB02AB3"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Notwithstanding this mixed evidence, counterbalancing has been linked to a plethora of (unintended) consequences for autocratic regimes. One implication is that counterbalancing decreases the battlefield effectiveness of the dictator’s army</w:t>
      </w:r>
      <w:r>
        <w:rPr>
          <w:rFonts w:ascii="Times New Roman" w:hAnsi="Times New Roman" w:cs="Times New Roman"/>
          <w:sz w:val="24"/>
          <w:szCs w:val="24"/>
        </w:rPr>
        <w:t xml:space="preserve">. </w:t>
      </w:r>
      <w:r w:rsidRPr="00FE70CF">
        <w:rPr>
          <w:rFonts w:ascii="Times New Roman" w:hAnsi="Times New Roman" w:cs="Times New Roman"/>
          <w:sz w:val="24"/>
          <w:szCs w:val="24"/>
        </w:rPr>
        <w:t xml:space="preserve">Not only does the creation of parallel military structures siphon away resources from the regular army and invests them into organizations whose primary responsibility is not to defend the state (Quinlivan 1999), but </w:t>
      </w:r>
      <w:r w:rsidRPr="00FE70CF">
        <w:rPr>
          <w:rFonts w:ascii="Times New Roman" w:hAnsi="Times New Roman" w:cs="Times New Roman"/>
          <w:sz w:val="24"/>
          <w:szCs w:val="24"/>
        </w:rPr>
        <w:lastRenderedPageBreak/>
        <w:t>factionalizing the armed forces may also inhibit cross-unit coordination crucial for conducting complex military operations (Talmadge 2015). Pilster and Böhmelt (2011) test this argument and find that the more counterbalanced the attacker is, the higher the number of battlefield deaths he suffers in a military engagement relative to the defender. This has three broader implications.</w:t>
      </w:r>
    </w:p>
    <w:p w14:paraId="6362E413"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 xml:space="preserve">First, by depleting the battlefield effectiveness of the military, </w:t>
      </w:r>
      <w:r>
        <w:rPr>
          <w:rFonts w:ascii="Times New Roman" w:hAnsi="Times New Roman" w:cs="Times New Roman"/>
          <w:sz w:val="24"/>
          <w:szCs w:val="24"/>
        </w:rPr>
        <w:t xml:space="preserve">counterbalancing </w:t>
      </w:r>
      <w:r w:rsidRPr="00FE70CF">
        <w:rPr>
          <w:rFonts w:ascii="Times New Roman" w:hAnsi="Times New Roman" w:cs="Times New Roman"/>
          <w:sz w:val="24"/>
          <w:szCs w:val="24"/>
        </w:rPr>
        <w:t xml:space="preserve">also depletes their counter-insurgency capacity, which might motivate rebels to take up arms against the state (Powell 2019). Second, underfunding and cross-unit rivalry due to counterbalancing impedes intelligence gathering capabilities. This translates into broader, more intense and indiscriminate violence against civilians during periods of mass unrest by the dictator’s repressive apparatus (Greitens 2016). Third, counterbalancing has also been linked to the proliferation of nuclear weapons (Brown et al. 2016). As institutional coup-proofing inhibits the military’s performance, dictators might choose to substitute their armed forces for a strategic deterrent against foreign threats that relies not on soldiers but on scientists instead. </w:t>
      </w:r>
    </w:p>
    <w:p w14:paraId="63D49EF1" w14:textId="77777777" w:rsidR="003875C0" w:rsidRPr="002C0BD8" w:rsidRDefault="003875C0" w:rsidP="003875C0">
      <w:pPr>
        <w:spacing w:after="0" w:line="480" w:lineRule="auto"/>
        <w:ind w:firstLine="720"/>
        <w:rPr>
          <w:rFonts w:ascii="Times New Roman" w:hAnsi="Times New Roman" w:cs="Times New Roman"/>
          <w:sz w:val="24"/>
          <w:szCs w:val="24"/>
        </w:rPr>
      </w:pPr>
      <w:r w:rsidRPr="002C0BD8">
        <w:rPr>
          <w:rFonts w:ascii="Times New Roman" w:hAnsi="Times New Roman" w:cs="Times New Roman"/>
          <w:sz w:val="24"/>
          <w:szCs w:val="24"/>
        </w:rPr>
        <w:t>Despite these significant implications and the growing literature on the effectiveness of counterbalancing in deterring coups, little has been written on the determinants of counter</w:t>
      </w:r>
      <w:r>
        <w:rPr>
          <w:rFonts w:ascii="Times New Roman" w:hAnsi="Times New Roman" w:cs="Times New Roman"/>
          <w:sz w:val="24"/>
          <w:szCs w:val="24"/>
        </w:rPr>
        <w:t>-</w:t>
      </w:r>
      <w:r w:rsidRPr="002C0BD8">
        <w:rPr>
          <w:rFonts w:ascii="Times New Roman" w:hAnsi="Times New Roman" w:cs="Times New Roman"/>
          <w:sz w:val="24"/>
          <w:szCs w:val="24"/>
        </w:rPr>
        <w:t xml:space="preserve">balancing itself. </w:t>
      </w:r>
      <w:r>
        <w:rPr>
          <w:rFonts w:ascii="Times New Roman" w:hAnsi="Times New Roman" w:cs="Times New Roman"/>
          <w:sz w:val="24"/>
          <w:szCs w:val="24"/>
        </w:rPr>
        <w:t>In light of this shortcoming</w:t>
      </w:r>
      <w:r w:rsidRPr="002C0BD8">
        <w:rPr>
          <w:rFonts w:ascii="Times New Roman" w:hAnsi="Times New Roman" w:cs="Times New Roman"/>
          <w:sz w:val="24"/>
          <w:szCs w:val="24"/>
        </w:rPr>
        <w:t>, regime type (</w:t>
      </w:r>
      <w:bookmarkStart w:id="0" w:name="_Hlk149734315"/>
      <w:r w:rsidRPr="002C0BD8">
        <w:rPr>
          <w:rFonts w:ascii="Times New Roman" w:hAnsi="Times New Roman" w:cs="Times New Roman"/>
          <w:sz w:val="24"/>
          <w:szCs w:val="24"/>
        </w:rPr>
        <w:t>Pilster and Böhmelt</w:t>
      </w:r>
      <w:bookmarkEnd w:id="0"/>
      <w:r w:rsidRPr="002C0BD8">
        <w:rPr>
          <w:rFonts w:ascii="Times New Roman" w:hAnsi="Times New Roman" w:cs="Times New Roman"/>
          <w:sz w:val="24"/>
          <w:szCs w:val="24"/>
        </w:rPr>
        <w:t xml:space="preserve"> 2012; </w:t>
      </w:r>
      <w:bookmarkStart w:id="1" w:name="_Hlk162974511"/>
      <w:r w:rsidRPr="002C0BD8">
        <w:rPr>
          <w:rFonts w:ascii="Times New Roman" w:hAnsi="Times New Roman" w:cs="Times New Roman"/>
          <w:sz w:val="24"/>
          <w:szCs w:val="24"/>
        </w:rPr>
        <w:t>Escribà-Folch et al.</w:t>
      </w:r>
      <w:bookmarkEnd w:id="1"/>
      <w:r w:rsidRPr="002C0BD8">
        <w:rPr>
          <w:rFonts w:ascii="Times New Roman" w:hAnsi="Times New Roman" w:cs="Times New Roman"/>
          <w:sz w:val="24"/>
          <w:szCs w:val="24"/>
        </w:rPr>
        <w:t xml:space="preserve"> 2020) and colonial legacy (Mehrl and Choulis 2021) have emerged as robust predictors of </w:t>
      </w:r>
      <w:r>
        <w:rPr>
          <w:rFonts w:ascii="Times New Roman" w:hAnsi="Times New Roman" w:cs="Times New Roman"/>
          <w:sz w:val="24"/>
          <w:szCs w:val="24"/>
        </w:rPr>
        <w:t>autocrats’ decision to fragment their militaries.</w:t>
      </w:r>
    </w:p>
    <w:p w14:paraId="6EE26EEC"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Others have looked at ‘coup risk’ as the main culprit behind the proliferation of counter</w:t>
      </w:r>
      <w:r>
        <w:rPr>
          <w:rFonts w:ascii="Times New Roman" w:hAnsi="Times New Roman" w:cs="Times New Roman"/>
          <w:sz w:val="24"/>
          <w:szCs w:val="24"/>
        </w:rPr>
        <w:t>-</w:t>
      </w:r>
      <w:r w:rsidRPr="00FE70CF">
        <w:rPr>
          <w:rFonts w:ascii="Times New Roman" w:hAnsi="Times New Roman" w:cs="Times New Roman"/>
          <w:sz w:val="24"/>
          <w:szCs w:val="24"/>
        </w:rPr>
        <w:t>balancing efforts</w:t>
      </w:r>
      <w:r>
        <w:rPr>
          <w:rFonts w:ascii="Times New Roman" w:hAnsi="Times New Roman" w:cs="Times New Roman"/>
          <w:sz w:val="24"/>
          <w:szCs w:val="24"/>
        </w:rPr>
        <w:t xml:space="preserve">. </w:t>
      </w:r>
      <w:r w:rsidRPr="00FE70CF">
        <w:rPr>
          <w:rFonts w:ascii="Times New Roman" w:hAnsi="Times New Roman" w:cs="Times New Roman"/>
          <w:sz w:val="24"/>
          <w:szCs w:val="24"/>
        </w:rPr>
        <w:t xml:space="preserve">The argument follows that as coup risk rises, the dictator is incentivized to protect himself from a potential coup by counterbalancing his military (Belkin and Schofer 2003; 2005). However, using an alternative measure of coup risk, Sudduth (2017b) challenges Belkin and Schofer’s (2003; 2005) findings and shows that counterbalancing actually decreases as coup </w:t>
      </w:r>
      <w:r w:rsidRPr="00FE70CF">
        <w:rPr>
          <w:rFonts w:ascii="Times New Roman" w:hAnsi="Times New Roman" w:cs="Times New Roman"/>
          <w:sz w:val="24"/>
          <w:szCs w:val="24"/>
        </w:rPr>
        <w:lastRenderedPageBreak/>
        <w:t>risk rises given the potential that such efforts will be retaliated against by the military in a pre-emptive coup. Instead, dictators will fragment their security apparatus when coup risk is low: when the military is unable to resist the dictator’s opportunism (Sudduth 2017a).</w:t>
      </w:r>
    </w:p>
    <w:p w14:paraId="78012501" w14:textId="77777777" w:rsidR="008A697C" w:rsidRPr="00FE70CF" w:rsidRDefault="008A697C" w:rsidP="008A697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That said</w:t>
      </w:r>
      <w:r w:rsidRPr="00FE70CF">
        <w:rPr>
          <w:rFonts w:ascii="Times New Roman" w:hAnsi="Times New Roman" w:cs="Times New Roman"/>
          <w:sz w:val="24"/>
          <w:szCs w:val="24"/>
        </w:rPr>
        <w:t>, latent measures of coup risk, although</w:t>
      </w:r>
      <w:r>
        <w:rPr>
          <w:rFonts w:ascii="Times New Roman" w:hAnsi="Times New Roman" w:cs="Times New Roman"/>
          <w:sz w:val="24"/>
          <w:szCs w:val="24"/>
        </w:rPr>
        <w:t xml:space="preserve"> highly </w:t>
      </w:r>
      <w:r w:rsidRPr="00FE70CF">
        <w:rPr>
          <w:rFonts w:ascii="Times New Roman" w:hAnsi="Times New Roman" w:cs="Times New Roman"/>
          <w:sz w:val="24"/>
          <w:szCs w:val="24"/>
        </w:rPr>
        <w:t>nuanced, are insufficient at gauging the direct causal relationship between coups and institutional coup-proofing. Not only do they lead to inconsistent findings, but such aggregate measures are constructed from broad indices, such as strength of civil society, regime legitimacy and previous coups (Belkin and Schofer 2003), which are arguably selected or weighed arbitrarily, and are endogenous to counterbalancing itself.</w:t>
      </w:r>
      <w:r w:rsidRPr="00FE70CF">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Newer measures are </w:t>
      </w:r>
      <w:r w:rsidRPr="00FE70CF">
        <w:rPr>
          <w:rFonts w:ascii="Times New Roman" w:hAnsi="Times New Roman" w:cs="Times New Roman"/>
          <w:sz w:val="24"/>
          <w:szCs w:val="24"/>
        </w:rPr>
        <w:t>derived from estimating a model of coup success and then using the yearly predicted probabilities from that model as an estimate of coup risk (e.g. Sudduth 2017b; Boutton 2019). However, given that so few determinants of coups have been found to be statistically robust (Gassebner et al. 2016), and given that coup outcomes are argued to be quasi-random (Lachapelle 2020), models that try to predict either outcome tend to be</w:t>
      </w:r>
      <w:r>
        <w:rPr>
          <w:rFonts w:ascii="Times New Roman" w:hAnsi="Times New Roman" w:cs="Times New Roman"/>
          <w:sz w:val="24"/>
          <w:szCs w:val="24"/>
        </w:rPr>
        <w:t xml:space="preserve"> </w:t>
      </w:r>
      <w:r w:rsidRPr="00FE70CF">
        <w:rPr>
          <w:rFonts w:ascii="Times New Roman" w:hAnsi="Times New Roman" w:cs="Times New Roman"/>
          <w:sz w:val="24"/>
          <w:szCs w:val="24"/>
        </w:rPr>
        <w:t>underspecified.</w:t>
      </w:r>
      <w:r>
        <w:rPr>
          <w:rFonts w:ascii="Times New Roman" w:hAnsi="Times New Roman" w:cs="Times New Roman"/>
          <w:sz w:val="24"/>
          <w:szCs w:val="24"/>
        </w:rPr>
        <w:t xml:space="preserve"> As such, the predicted probabilities derived from them tend to produce noisy measures with high levels of random error. </w:t>
      </w:r>
      <w:r w:rsidRPr="00FE70CF">
        <w:rPr>
          <w:rFonts w:ascii="Times New Roman" w:hAnsi="Times New Roman" w:cs="Times New Roman"/>
          <w:sz w:val="24"/>
          <w:szCs w:val="24"/>
        </w:rPr>
        <w:t>Instead, a</w:t>
      </w:r>
      <w:r>
        <w:rPr>
          <w:rFonts w:ascii="Times New Roman" w:hAnsi="Times New Roman" w:cs="Times New Roman"/>
          <w:sz w:val="24"/>
          <w:szCs w:val="24"/>
        </w:rPr>
        <w:t xml:space="preserve"> </w:t>
      </w:r>
      <w:r w:rsidRPr="00FE70CF">
        <w:rPr>
          <w:rFonts w:ascii="Times New Roman" w:hAnsi="Times New Roman" w:cs="Times New Roman"/>
          <w:sz w:val="24"/>
          <w:szCs w:val="24"/>
        </w:rPr>
        <w:t xml:space="preserve">direct measure of coup failure might be more appropriate </w:t>
      </w:r>
      <w:r>
        <w:rPr>
          <w:rFonts w:ascii="Times New Roman" w:hAnsi="Times New Roman" w:cs="Times New Roman"/>
          <w:sz w:val="24"/>
          <w:szCs w:val="24"/>
        </w:rPr>
        <w:t>at</w:t>
      </w:r>
      <w:r w:rsidRPr="00FE70CF">
        <w:rPr>
          <w:rFonts w:ascii="Times New Roman" w:hAnsi="Times New Roman" w:cs="Times New Roman"/>
          <w:sz w:val="24"/>
          <w:szCs w:val="24"/>
        </w:rPr>
        <w:t xml:space="preserve"> </w:t>
      </w:r>
      <w:r>
        <w:rPr>
          <w:rFonts w:ascii="Times New Roman" w:hAnsi="Times New Roman" w:cs="Times New Roman"/>
          <w:sz w:val="24"/>
          <w:szCs w:val="24"/>
        </w:rPr>
        <w:t>testing the causal relationship between coups and counterbalancing.</w:t>
      </w:r>
    </w:p>
    <w:p w14:paraId="727B7ECD" w14:textId="77777777" w:rsidR="003875C0" w:rsidRPr="00FE70CF"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 xml:space="preserve">When it comes to coup failure, a prominent debate that has emerged in recent years is whether coups can enhance the prospects for democracy in autocratic states. Proponents of the ‘democratic coup hypothesis’ argue that successful coups can provide an opportunity for democratization by forcefully extricating staunch autocrats from power (Kuehn 2017). Early empirical scholarship corroborates this proposition by finding that, at least in the post-Cold War era and in aid-dependent states, military seizure groups have sought to legitimize their </w:t>
      </w:r>
      <w:r w:rsidRPr="00FE70CF">
        <w:rPr>
          <w:rFonts w:ascii="Times New Roman" w:hAnsi="Times New Roman" w:cs="Times New Roman"/>
          <w:sz w:val="24"/>
          <w:szCs w:val="24"/>
        </w:rPr>
        <w:lastRenderedPageBreak/>
        <w:t>intervention by opening up the political process and holding elections (Marinov and Goemans 2014; Thyne and Powell 2016; Chacha and Powell 2018).</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w:t>
      </w:r>
      <w:r w:rsidRPr="00FE70CF">
        <w:rPr>
          <w:rFonts w:ascii="Times New Roman" w:hAnsi="Times New Roman" w:cs="Times New Roman"/>
          <w:sz w:val="24"/>
          <w:szCs w:val="24"/>
        </w:rPr>
        <w:t>Less attention, however, has been given to the role of failed coups in this process, despite coup failure accounting for half of all overt coup attempts (Powell and Thyne 2011). The literature that does exist is sparse.</w:t>
      </w:r>
    </w:p>
    <w:p w14:paraId="06BC7E14" w14:textId="6442FD20" w:rsidR="003875C0" w:rsidRDefault="003875C0" w:rsidP="003875C0">
      <w:pPr>
        <w:spacing w:after="0" w:line="480" w:lineRule="auto"/>
        <w:ind w:firstLine="720"/>
        <w:rPr>
          <w:rFonts w:ascii="Times New Roman" w:hAnsi="Times New Roman" w:cs="Times New Roman"/>
          <w:sz w:val="24"/>
          <w:szCs w:val="24"/>
        </w:rPr>
      </w:pPr>
      <w:r w:rsidRPr="00FE70CF">
        <w:rPr>
          <w:rFonts w:ascii="Times New Roman" w:hAnsi="Times New Roman" w:cs="Times New Roman"/>
          <w:sz w:val="24"/>
          <w:szCs w:val="24"/>
        </w:rPr>
        <w:t>On the one hand, Thyne and Powell (2016) maintain that in the aftermath of failed coups, dictators, vulnerable to future attempts to unseat them (as surviving a coup in no way guarantees political stability), will adopt liberalizing reforms with the intention of legitimizing their rule. As advocated by the authors, “leaders will realize that the best path to continued survival includes strengthening the economy, establishing political legitimacy, and improving relations with the outside world. Each of these is best achieved through opening the political process to the population” (199). On the other hand, skeptics have argued that failed coups are conducive to lengthening autocratic tenure and further entrenching rulers whose position was not as secure prior. Bokobza et al. (2022) find that failed coups are associated with extensive cabinet reshuffling, while Easton and Siverson (2018) demonstrate that such post-coup purges tend to prolong a dictator’s tenure. More recently, using a latent measure of regime personalism, Timoneda et al. (2023) find that failed coups lead to a sharp increase in the dictator’s mean personalism score, which reflects the surviving autocrat’s proclivity to abolish institutional constraints, purge rivals and personally appoint cabinet positions.</w:t>
      </w:r>
    </w:p>
    <w:p w14:paraId="5D971CE1" w14:textId="5ED16328" w:rsidR="00564C8D" w:rsidRDefault="003875C0" w:rsidP="00564C8D">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Taking this debate further requires disaggregating latent concepts, such as personalism, and specifying the mechanisms underpinning regime transformations. Although purges have emerged as the go-to instrument of autocratic power consolidation (Bokobza et al. 2022), scant attention has been paid to institutional coup-proofing, despite the centrality of the military to </w:t>
      </w:r>
      <w:r>
        <w:rPr>
          <w:rFonts w:ascii="Times New Roman" w:hAnsi="Times New Roman" w:cs="Times New Roman"/>
          <w:sz w:val="24"/>
          <w:szCs w:val="24"/>
        </w:rPr>
        <w:lastRenderedPageBreak/>
        <w:t xml:space="preserve">coup attempts. </w:t>
      </w:r>
      <w:r w:rsidRPr="00FE70CF">
        <w:rPr>
          <w:rFonts w:ascii="Times New Roman" w:hAnsi="Times New Roman" w:cs="Times New Roman"/>
          <w:sz w:val="24"/>
          <w:szCs w:val="24"/>
        </w:rPr>
        <w:t>Likewise, whereas purges happen in ‘the morning after’ failed attempts, long-term structural consequences, particularly when it comes to the dictator’s security apparatus, have been neglected</w:t>
      </w:r>
      <w:r>
        <w:rPr>
          <w:rFonts w:ascii="Times New Roman" w:hAnsi="Times New Roman" w:cs="Times New Roman"/>
          <w:sz w:val="24"/>
          <w:szCs w:val="24"/>
        </w:rPr>
        <w:t>. Timoneda et al. (2023) do disaggregate their analysis and look at the effect of failed coups on the personalization of security forces. However, security force personalization is conceptually and empirically distinct from its fragmentation</w:t>
      </w:r>
      <w:r w:rsidR="00564C8D">
        <w:rPr>
          <w:rFonts w:ascii="Times New Roman" w:hAnsi="Times New Roman" w:cs="Times New Roman"/>
          <w:sz w:val="24"/>
          <w:szCs w:val="24"/>
        </w:rPr>
        <w:t>, which warrants its own analysis.</w:t>
      </w:r>
    </w:p>
    <w:p w14:paraId="70D4E6FA" w14:textId="3EEB7210" w:rsidR="00C10346" w:rsidRDefault="002976A5" w:rsidP="00C620B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l</w:t>
      </w:r>
      <w:r w:rsidR="008016DA">
        <w:rPr>
          <w:rFonts w:ascii="Times New Roman" w:hAnsi="Times New Roman" w:cs="Times New Roman"/>
          <w:sz w:val="24"/>
          <w:szCs w:val="24"/>
        </w:rPr>
        <w:t xml:space="preserve">iterature </w:t>
      </w:r>
      <w:r w:rsidR="00703C09">
        <w:rPr>
          <w:rFonts w:ascii="Times New Roman" w:hAnsi="Times New Roman" w:cs="Times New Roman"/>
          <w:sz w:val="24"/>
          <w:szCs w:val="24"/>
        </w:rPr>
        <w:t xml:space="preserve">that does exist </w:t>
      </w:r>
      <w:r w:rsidR="008016DA">
        <w:rPr>
          <w:rFonts w:ascii="Times New Roman" w:hAnsi="Times New Roman" w:cs="Times New Roman"/>
          <w:sz w:val="24"/>
          <w:szCs w:val="24"/>
        </w:rPr>
        <w:t xml:space="preserve">on security force fragmentation </w:t>
      </w:r>
      <w:r w:rsidR="005B518F">
        <w:rPr>
          <w:rFonts w:ascii="Times New Roman" w:hAnsi="Times New Roman" w:cs="Times New Roman"/>
          <w:sz w:val="24"/>
          <w:szCs w:val="24"/>
        </w:rPr>
        <w:t xml:space="preserve">is largely case-based and links the emergence of autocratic coercive institutions to either the struggle </w:t>
      </w:r>
      <w:r w:rsidR="00BB74A4">
        <w:rPr>
          <w:rFonts w:ascii="Times New Roman" w:hAnsi="Times New Roman" w:cs="Times New Roman"/>
          <w:sz w:val="24"/>
          <w:szCs w:val="24"/>
        </w:rPr>
        <w:t>for colonial independence (Frazer 1994) or a dictator’s perceived threat environment (Greitens 2016).</w:t>
      </w:r>
      <w:r w:rsidR="00B65C1C">
        <w:rPr>
          <w:rFonts w:ascii="Times New Roman" w:hAnsi="Times New Roman" w:cs="Times New Roman"/>
          <w:sz w:val="24"/>
          <w:szCs w:val="24"/>
        </w:rPr>
        <w:t xml:space="preserve"> </w:t>
      </w:r>
      <w:r w:rsidR="00564C8D">
        <w:rPr>
          <w:rFonts w:ascii="Times New Roman" w:hAnsi="Times New Roman" w:cs="Times New Roman"/>
          <w:sz w:val="24"/>
          <w:szCs w:val="24"/>
        </w:rPr>
        <w:t xml:space="preserve">This begets more systematic theorization and analysis. </w:t>
      </w:r>
    </w:p>
    <w:p w14:paraId="134DC540" w14:textId="77777777" w:rsidR="003875C0" w:rsidRPr="00862B84" w:rsidRDefault="003875C0" w:rsidP="003875C0">
      <w:pPr>
        <w:spacing w:after="0" w:line="480" w:lineRule="auto"/>
        <w:rPr>
          <w:rFonts w:ascii="Times New Roman" w:hAnsi="Times New Roman" w:cs="Times New Roman"/>
          <w:b/>
          <w:bCs/>
          <w:sz w:val="24"/>
          <w:szCs w:val="24"/>
        </w:rPr>
      </w:pPr>
      <w:r w:rsidRPr="00706BDE">
        <w:rPr>
          <w:rFonts w:ascii="Times New Roman" w:hAnsi="Times New Roman" w:cs="Times New Roman"/>
          <w:b/>
          <w:bCs/>
          <w:sz w:val="24"/>
          <w:szCs w:val="24"/>
        </w:rPr>
        <w:t>A Theory of Failed Coups and Counterbalancing</w:t>
      </w:r>
    </w:p>
    <w:p w14:paraId="2994EA30" w14:textId="77777777" w:rsidR="003875C0" w:rsidRDefault="003875C0" w:rsidP="003875C0">
      <w:pPr>
        <w:spacing w:after="0" w:line="480" w:lineRule="auto"/>
        <w:rPr>
          <w:rFonts w:ascii="Times New Roman" w:hAnsi="Times New Roman" w:cs="Times New Roman"/>
          <w:sz w:val="24"/>
          <w:szCs w:val="24"/>
        </w:rPr>
      </w:pPr>
      <w:r w:rsidRPr="00706BDE">
        <w:rPr>
          <w:rFonts w:ascii="Times New Roman" w:hAnsi="Times New Roman" w:cs="Times New Roman"/>
          <w:sz w:val="24"/>
          <w:szCs w:val="24"/>
        </w:rPr>
        <w:t>The goal of all autocratic leaders is to survive in office (Bueno de Mesquita et al. 2003). To achieve this</w:t>
      </w:r>
      <w:r>
        <w:rPr>
          <w:rFonts w:ascii="Times New Roman" w:hAnsi="Times New Roman" w:cs="Times New Roman"/>
          <w:sz w:val="24"/>
          <w:szCs w:val="24"/>
        </w:rPr>
        <w:t xml:space="preserve"> goal</w:t>
      </w:r>
      <w:r w:rsidRPr="00706BDE">
        <w:rPr>
          <w:rFonts w:ascii="Times New Roman" w:hAnsi="Times New Roman" w:cs="Times New Roman"/>
          <w:sz w:val="24"/>
          <w:szCs w:val="24"/>
        </w:rPr>
        <w:t xml:space="preserve">, </w:t>
      </w:r>
      <w:r>
        <w:rPr>
          <w:rFonts w:ascii="Times New Roman" w:hAnsi="Times New Roman" w:cs="Times New Roman"/>
          <w:sz w:val="24"/>
          <w:szCs w:val="24"/>
        </w:rPr>
        <w:t>they enter into power-sharing arrangements with members of the elite whose support is necessary for their survival. This group is known as the ruling coalition (Svolik 2009).</w:t>
      </w:r>
    </w:p>
    <w:p w14:paraId="50E90748" w14:textId="77777777" w:rsidR="003875C0" w:rsidRPr="00706BDE" w:rsidRDefault="003875C0" w:rsidP="003875C0">
      <w:pPr>
        <w:spacing w:after="0" w:line="480" w:lineRule="auto"/>
        <w:ind w:firstLine="720"/>
        <w:rPr>
          <w:rFonts w:ascii="Times New Roman" w:hAnsi="Times New Roman" w:cs="Times New Roman"/>
          <w:sz w:val="24"/>
          <w:szCs w:val="24"/>
        </w:rPr>
      </w:pPr>
      <w:r w:rsidRPr="00706BDE">
        <w:rPr>
          <w:rFonts w:ascii="Times New Roman" w:hAnsi="Times New Roman" w:cs="Times New Roman"/>
          <w:sz w:val="24"/>
          <w:szCs w:val="24"/>
        </w:rPr>
        <w:t>In any authoritarian regime, high-ranking military officials are an indispensable part of the ruling coalition. They are in control of the state’s coercive apparatus, so securing their acquiescence is necessary to prevent insider coups (Meng and Paine 2022). Power-sharing between the dictator and his military elite takes the form of a quid-pro-quo arrangement where in exchange for pivotal cabinet positions, autonomy</w:t>
      </w:r>
      <w:r>
        <w:rPr>
          <w:rFonts w:ascii="Times New Roman" w:hAnsi="Times New Roman" w:cs="Times New Roman"/>
          <w:sz w:val="24"/>
          <w:szCs w:val="24"/>
        </w:rPr>
        <w:t xml:space="preserve"> from oversight</w:t>
      </w:r>
      <w:r w:rsidRPr="00706BDE">
        <w:rPr>
          <w:rFonts w:ascii="Times New Roman" w:hAnsi="Times New Roman" w:cs="Times New Roman"/>
          <w:sz w:val="24"/>
          <w:szCs w:val="24"/>
        </w:rPr>
        <w:t xml:space="preserve">, and greater say in political decision-making, officers promise not to </w:t>
      </w:r>
      <w:r>
        <w:rPr>
          <w:rFonts w:ascii="Times New Roman" w:hAnsi="Times New Roman" w:cs="Times New Roman"/>
          <w:sz w:val="24"/>
          <w:szCs w:val="24"/>
        </w:rPr>
        <w:t>oust</w:t>
      </w:r>
      <w:r w:rsidRPr="00706BDE">
        <w:rPr>
          <w:rFonts w:ascii="Times New Roman" w:hAnsi="Times New Roman" w:cs="Times New Roman"/>
          <w:sz w:val="24"/>
          <w:szCs w:val="24"/>
        </w:rPr>
        <w:t xml:space="preserve"> the leader (Brooks and White 2022).</w:t>
      </w:r>
    </w:p>
    <w:p w14:paraId="16C938D0" w14:textId="77777777" w:rsidR="003875C0" w:rsidRPr="00706BDE" w:rsidRDefault="003875C0" w:rsidP="003875C0">
      <w:pPr>
        <w:spacing w:after="0" w:line="480" w:lineRule="auto"/>
        <w:ind w:firstLine="720"/>
        <w:rPr>
          <w:rFonts w:ascii="Times New Roman" w:hAnsi="Times New Roman" w:cs="Times New Roman"/>
          <w:sz w:val="28"/>
          <w:szCs w:val="28"/>
        </w:rPr>
      </w:pPr>
      <w:r w:rsidRPr="00706BDE">
        <w:rPr>
          <w:rFonts w:ascii="Times New Roman" w:hAnsi="Times New Roman" w:cs="Times New Roman"/>
          <w:sz w:val="24"/>
          <w:szCs w:val="24"/>
        </w:rPr>
        <w:t xml:space="preserve">However, this brings attention to the fundamental problem of authoritarian power-sharing: the lack of an independent authority that could enforce power-sharing agreements between the key political actors (Svolik 2012). There are no guarantees that the military elite will not use its access to state resources to overthrow the dictator, which incentivizes the autocrat to </w:t>
      </w:r>
      <w:r w:rsidRPr="00706BDE">
        <w:rPr>
          <w:rFonts w:ascii="Times New Roman" w:hAnsi="Times New Roman" w:cs="Times New Roman"/>
          <w:sz w:val="24"/>
          <w:szCs w:val="24"/>
        </w:rPr>
        <w:lastRenderedPageBreak/>
        <w:t>accumulate power whenever the opportunity to do so arises. In an ideal world for autocrats, the intra-regime balance of power is such that the ruling elite can no longer credibly threaten the dictator with his removal, but rather finds itself subordinate to his whims.</w:t>
      </w:r>
    </w:p>
    <w:p w14:paraId="40954D5E" w14:textId="64B6DE75" w:rsidR="003875C0" w:rsidRPr="00706BDE" w:rsidRDefault="003875C0" w:rsidP="003875C0">
      <w:pPr>
        <w:spacing w:after="0" w:line="480" w:lineRule="auto"/>
        <w:ind w:firstLine="720"/>
        <w:rPr>
          <w:rFonts w:ascii="Times New Roman" w:hAnsi="Times New Roman" w:cs="Times New Roman"/>
          <w:sz w:val="32"/>
          <w:szCs w:val="32"/>
        </w:rPr>
      </w:pPr>
      <w:r w:rsidRPr="00706BDE">
        <w:rPr>
          <w:rFonts w:ascii="Times New Roman" w:hAnsi="Times New Roman" w:cs="Times New Roman"/>
          <w:sz w:val="24"/>
          <w:szCs w:val="24"/>
        </w:rPr>
        <w:t xml:space="preserve">In order to achieve this, dictators must make a series of risky power grabs, which entails institutionally coup-proofing their military to reduce its coup-making </w:t>
      </w:r>
      <w:r>
        <w:rPr>
          <w:rFonts w:ascii="Times New Roman" w:hAnsi="Times New Roman" w:cs="Times New Roman"/>
          <w:sz w:val="24"/>
          <w:szCs w:val="24"/>
        </w:rPr>
        <w:t>potential</w:t>
      </w:r>
      <w:r w:rsidRPr="00706BDE">
        <w:rPr>
          <w:rFonts w:ascii="Times New Roman" w:hAnsi="Times New Roman" w:cs="Times New Roman"/>
          <w:sz w:val="24"/>
          <w:szCs w:val="24"/>
        </w:rPr>
        <w:t xml:space="preserve">. Such efforts, however, </w:t>
      </w:r>
      <w:r>
        <w:rPr>
          <w:rFonts w:ascii="Times New Roman" w:hAnsi="Times New Roman" w:cs="Times New Roman"/>
          <w:sz w:val="24"/>
          <w:szCs w:val="24"/>
        </w:rPr>
        <w:t>entail significant risks</w:t>
      </w:r>
      <w:r w:rsidRPr="00706BDE">
        <w:rPr>
          <w:rFonts w:ascii="Times New Roman" w:hAnsi="Times New Roman" w:cs="Times New Roman"/>
          <w:sz w:val="24"/>
          <w:szCs w:val="24"/>
        </w:rPr>
        <w:t>. Literature on civil-military relations has long argued that civilian intervention in military affairs strongly encourages coup attempts by military officers seeking to preserve their autonomy and corporate interests (Thompson 1973).</w:t>
      </w:r>
    </w:p>
    <w:p w14:paraId="3AC5E5C4" w14:textId="77777777" w:rsidR="003875C0" w:rsidRPr="00706BDE" w:rsidRDefault="003875C0" w:rsidP="003875C0">
      <w:pPr>
        <w:spacing w:after="0" w:line="480" w:lineRule="auto"/>
        <w:ind w:firstLine="720"/>
        <w:rPr>
          <w:rFonts w:ascii="Times New Roman" w:hAnsi="Times New Roman" w:cs="Times New Roman"/>
          <w:sz w:val="24"/>
          <w:szCs w:val="24"/>
        </w:rPr>
      </w:pPr>
      <w:r w:rsidRPr="00706BDE">
        <w:rPr>
          <w:rFonts w:ascii="Times New Roman" w:hAnsi="Times New Roman" w:cs="Times New Roman"/>
          <w:sz w:val="24"/>
          <w:szCs w:val="24"/>
        </w:rPr>
        <w:t>Dividing the military into rivaling organizations or creating additional paramilitary units hurts these interests as it challenges the military’s monopoly over the use of violence and depletes its budget (Geddes et al. 2018). Furthermore, as removal via coup is the only means by which the ruling coalition can keep its leaders accountable and commit resources to their benefit (Svolik 2009; 2012), it is crucial that the military elite stop autocrats’ coup-proofing efforts by removing them beforehand. This motivates senior officers to intervene pre-emptively.</w:t>
      </w:r>
    </w:p>
    <w:p w14:paraId="550C6924" w14:textId="77777777" w:rsidR="003875C0" w:rsidRDefault="003875C0" w:rsidP="003875C0">
      <w:pPr>
        <w:spacing w:after="0" w:line="480" w:lineRule="auto"/>
        <w:ind w:firstLine="720"/>
        <w:rPr>
          <w:rFonts w:ascii="Times New Roman" w:hAnsi="Times New Roman" w:cs="Times New Roman"/>
          <w:sz w:val="28"/>
          <w:szCs w:val="28"/>
        </w:rPr>
      </w:pPr>
      <w:r w:rsidRPr="00706BDE">
        <w:rPr>
          <w:rFonts w:ascii="Times New Roman" w:hAnsi="Times New Roman" w:cs="Times New Roman"/>
          <w:sz w:val="24"/>
          <w:szCs w:val="24"/>
        </w:rPr>
        <w:t xml:space="preserve">In light of this, Svolik (2012) argues that power aggrandizement is likely to occur under the guise of secrecy – when such efforts go unnoticed by other elites. However, it is highly unlikely that the creation of an additional security force would go unnoticed by the military. Instead, more recent evidence seems to suggest that dictators are more likely to coup-proof their regimes when such efforts go unretaliated (Sudduth 2017a; 2017b; Bokobza et al. 2022). This happens “when the probability that elites can successfully remove the dictator via coup is </w:t>
      </w:r>
      <w:r w:rsidRPr="00706BDE">
        <w:rPr>
          <w:rFonts w:ascii="Times New Roman" w:hAnsi="Times New Roman" w:cs="Times New Roman"/>
          <w:i/>
          <w:iCs/>
          <w:sz w:val="24"/>
          <w:szCs w:val="24"/>
        </w:rPr>
        <w:t>temporarily low</w:t>
      </w:r>
      <w:r w:rsidRPr="00706BDE">
        <w:rPr>
          <w:rFonts w:ascii="Times New Roman" w:hAnsi="Times New Roman" w:cs="Times New Roman"/>
          <w:sz w:val="24"/>
          <w:szCs w:val="24"/>
        </w:rPr>
        <w:t xml:space="preserve">” (Sudduth 2017a, 7). For Sudduth (2017a), this occurs in the immediate aftermath of a successful coup – when the number of elites who are willing to challenge the new </w:t>
      </w:r>
      <w:r w:rsidRPr="00706BDE">
        <w:rPr>
          <w:rFonts w:ascii="Times New Roman" w:hAnsi="Times New Roman" w:cs="Times New Roman"/>
          <w:sz w:val="24"/>
          <w:szCs w:val="24"/>
        </w:rPr>
        <w:lastRenderedPageBreak/>
        <w:t>dictator is small and their capacity to coordinate against him is low.</w:t>
      </w:r>
      <w:r>
        <w:rPr>
          <w:rFonts w:ascii="Times New Roman" w:hAnsi="Times New Roman" w:cs="Times New Roman"/>
          <w:sz w:val="24"/>
          <w:szCs w:val="24"/>
        </w:rPr>
        <w:t xml:space="preserve"> </w:t>
      </w:r>
      <w:r w:rsidRPr="00706BDE">
        <w:rPr>
          <w:rFonts w:ascii="Times New Roman" w:hAnsi="Times New Roman" w:cs="Times New Roman"/>
          <w:sz w:val="24"/>
          <w:szCs w:val="24"/>
        </w:rPr>
        <w:t>However, this argument can also be extended to failed coups.</w:t>
      </w:r>
      <w:r>
        <w:rPr>
          <w:rFonts w:ascii="Times New Roman" w:hAnsi="Times New Roman" w:cs="Times New Roman"/>
          <w:sz w:val="28"/>
          <w:szCs w:val="28"/>
        </w:rPr>
        <w:t xml:space="preserve"> </w:t>
      </w:r>
    </w:p>
    <w:p w14:paraId="6C46AA52" w14:textId="044FBBC1" w:rsidR="008D2AC4" w:rsidRPr="00C620B0" w:rsidRDefault="003875C0" w:rsidP="00C620B0">
      <w:pPr>
        <w:spacing w:after="0" w:line="480" w:lineRule="auto"/>
        <w:ind w:firstLine="720"/>
        <w:rPr>
          <w:rFonts w:ascii="Times New Roman" w:hAnsi="Times New Roman" w:cs="Times New Roman"/>
          <w:sz w:val="24"/>
          <w:szCs w:val="24"/>
        </w:rPr>
      </w:pPr>
      <w:r w:rsidRPr="00706BDE">
        <w:rPr>
          <w:rFonts w:ascii="Times New Roman" w:hAnsi="Times New Roman" w:cs="Times New Roman"/>
          <w:sz w:val="24"/>
          <w:szCs w:val="24"/>
        </w:rPr>
        <w:t>A failed coup serves as an internal shock to the regime, which temporarily shifts the balance of power between the dictator and his ruling coalition in favor of the incumbent. Momentarily finding himself in a position of power vis-à-vis his military elite, the dictator has both an incentive and an opportunity to counterbalance his armed forces, while they are unable or unwilling to effectively resist such coup-proofing efforts. The following sections unravel these two logics in more detail.</w:t>
      </w:r>
    </w:p>
    <w:p w14:paraId="70C5F7D2" w14:textId="5F8429DB" w:rsidR="003875C0" w:rsidRPr="00706BDE" w:rsidRDefault="003875C0" w:rsidP="003875C0">
      <w:pPr>
        <w:spacing w:after="0" w:line="480" w:lineRule="auto"/>
        <w:rPr>
          <w:rFonts w:ascii="Times New Roman" w:hAnsi="Times New Roman" w:cs="Times New Roman"/>
          <w:i/>
          <w:iCs/>
          <w:sz w:val="24"/>
          <w:szCs w:val="24"/>
        </w:rPr>
      </w:pPr>
      <w:r w:rsidRPr="00706BDE">
        <w:rPr>
          <w:rFonts w:ascii="Times New Roman" w:hAnsi="Times New Roman" w:cs="Times New Roman"/>
          <w:i/>
          <w:iCs/>
          <w:sz w:val="24"/>
          <w:szCs w:val="24"/>
        </w:rPr>
        <w:t>Incentive</w:t>
      </w:r>
    </w:p>
    <w:p w14:paraId="75C12361" w14:textId="77777777" w:rsidR="003875C0" w:rsidRDefault="003875C0" w:rsidP="003875C0">
      <w:pPr>
        <w:spacing w:after="0" w:line="480" w:lineRule="auto"/>
        <w:rPr>
          <w:rFonts w:ascii="Times New Roman" w:hAnsi="Times New Roman" w:cs="Times New Roman"/>
          <w:sz w:val="24"/>
          <w:szCs w:val="24"/>
        </w:rPr>
      </w:pPr>
      <w:r w:rsidRPr="00706BDE">
        <w:rPr>
          <w:rFonts w:ascii="Times New Roman" w:hAnsi="Times New Roman" w:cs="Times New Roman"/>
          <w:sz w:val="24"/>
          <w:szCs w:val="24"/>
        </w:rPr>
        <w:t xml:space="preserve">First, </w:t>
      </w:r>
      <w:r>
        <w:rPr>
          <w:rFonts w:ascii="Times New Roman" w:hAnsi="Times New Roman" w:cs="Times New Roman"/>
          <w:sz w:val="24"/>
          <w:szCs w:val="24"/>
        </w:rPr>
        <w:t xml:space="preserve">a failed coup signals to the dictator that his position is not sufficiently entrenched and that existing arrangements with the military are not efficient in deterring rebellion (Timoneda et al. 2023). </w:t>
      </w:r>
      <w:r w:rsidRPr="00F012CE">
        <w:rPr>
          <w:rFonts w:ascii="Times New Roman" w:hAnsi="Times New Roman" w:cs="Times New Roman"/>
          <w:sz w:val="24"/>
          <w:szCs w:val="24"/>
        </w:rPr>
        <w:t>As such, the incumbent has an</w:t>
      </w:r>
      <w:r>
        <w:rPr>
          <w:rFonts w:ascii="Times New Roman" w:hAnsi="Times New Roman" w:cs="Times New Roman"/>
          <w:sz w:val="24"/>
          <w:szCs w:val="24"/>
        </w:rPr>
        <w:t xml:space="preserve"> increased</w:t>
      </w:r>
      <w:r w:rsidRPr="00F012CE">
        <w:rPr>
          <w:rFonts w:ascii="Times New Roman" w:hAnsi="Times New Roman" w:cs="Times New Roman"/>
          <w:sz w:val="24"/>
          <w:szCs w:val="24"/>
        </w:rPr>
        <w:t xml:space="preserve"> incentive to prevent a repetition of such attempts by further consolidating his power</w:t>
      </w:r>
      <w:r>
        <w:rPr>
          <w:rFonts w:ascii="Times New Roman" w:hAnsi="Times New Roman" w:cs="Times New Roman"/>
          <w:sz w:val="24"/>
          <w:szCs w:val="24"/>
        </w:rPr>
        <w:t xml:space="preserve"> (Powell et al. 2018).</w:t>
      </w:r>
    </w:p>
    <w:p w14:paraId="0D773641" w14:textId="77777777" w:rsidR="003875C0" w:rsidRDefault="003875C0" w:rsidP="003875C0">
      <w:pPr>
        <w:spacing w:after="0" w:line="480" w:lineRule="auto"/>
        <w:ind w:firstLine="360"/>
        <w:rPr>
          <w:rFonts w:ascii="Times New Roman" w:hAnsi="Times New Roman" w:cs="Times New Roman"/>
          <w:sz w:val="24"/>
          <w:szCs w:val="24"/>
        </w:rPr>
      </w:pPr>
      <w:r w:rsidRPr="00485C19">
        <w:rPr>
          <w:rFonts w:ascii="Times New Roman" w:hAnsi="Times New Roman" w:cs="Times New Roman"/>
          <w:sz w:val="24"/>
          <w:szCs w:val="24"/>
        </w:rPr>
        <w:t>Some have argued that failed coups m</w:t>
      </w:r>
      <w:r>
        <w:rPr>
          <w:rFonts w:ascii="Times New Roman" w:hAnsi="Times New Roman" w:cs="Times New Roman"/>
          <w:sz w:val="24"/>
          <w:szCs w:val="24"/>
        </w:rPr>
        <w:t>ay</w:t>
      </w:r>
      <w:r w:rsidRPr="00485C19">
        <w:rPr>
          <w:rFonts w:ascii="Times New Roman" w:hAnsi="Times New Roman" w:cs="Times New Roman"/>
          <w:sz w:val="24"/>
          <w:szCs w:val="24"/>
        </w:rPr>
        <w:t xml:space="preserve"> lead to an extension of power-sharing</w:t>
      </w:r>
      <w:r>
        <w:rPr>
          <w:rFonts w:ascii="Times New Roman" w:hAnsi="Times New Roman" w:cs="Times New Roman"/>
          <w:sz w:val="24"/>
          <w:szCs w:val="24"/>
        </w:rPr>
        <w:t xml:space="preserve"> arrangements</w:t>
      </w:r>
      <w:r w:rsidRPr="00485C19">
        <w:rPr>
          <w:rFonts w:ascii="Times New Roman" w:hAnsi="Times New Roman" w:cs="Times New Roman"/>
          <w:sz w:val="24"/>
          <w:szCs w:val="24"/>
        </w:rPr>
        <w:t xml:space="preserve"> instead. For example, Thyne and Powell (2016) argue that dictators, vulnerable to future efforts to unseat them, would seek to legitimize their rule by opening up the political process</w:t>
      </w:r>
      <w:r>
        <w:rPr>
          <w:rFonts w:ascii="Times New Roman" w:hAnsi="Times New Roman" w:cs="Times New Roman"/>
          <w:sz w:val="24"/>
          <w:szCs w:val="24"/>
        </w:rPr>
        <w:t>, which entails</w:t>
      </w:r>
      <w:r w:rsidRPr="00485C19">
        <w:rPr>
          <w:rFonts w:ascii="Times New Roman" w:hAnsi="Times New Roman" w:cs="Times New Roman"/>
          <w:sz w:val="24"/>
          <w:szCs w:val="24"/>
        </w:rPr>
        <w:t xml:space="preserve"> further redistributing power to the ruling </w:t>
      </w:r>
      <w:r>
        <w:rPr>
          <w:rFonts w:ascii="Times New Roman" w:hAnsi="Times New Roman" w:cs="Times New Roman"/>
          <w:sz w:val="24"/>
          <w:szCs w:val="24"/>
        </w:rPr>
        <w:t>coalition</w:t>
      </w:r>
      <w:r w:rsidRPr="00485C19">
        <w:rPr>
          <w:rFonts w:ascii="Times New Roman" w:hAnsi="Times New Roman" w:cs="Times New Roman"/>
          <w:sz w:val="24"/>
          <w:szCs w:val="24"/>
        </w:rPr>
        <w:t>. Such tactics, however, instead of addressing the underlying commitment problem (the lack of a</w:t>
      </w:r>
      <w:r>
        <w:rPr>
          <w:rFonts w:ascii="Times New Roman" w:hAnsi="Times New Roman" w:cs="Times New Roman"/>
          <w:sz w:val="24"/>
          <w:szCs w:val="24"/>
        </w:rPr>
        <w:t>ny</w:t>
      </w:r>
      <w:r w:rsidRPr="00485C19">
        <w:rPr>
          <w:rFonts w:ascii="Times New Roman" w:hAnsi="Times New Roman" w:cs="Times New Roman"/>
          <w:sz w:val="24"/>
          <w:szCs w:val="24"/>
        </w:rPr>
        <w:t xml:space="preserve"> third-party enforcement mechanism) that led to the initial bargaining failure, simply enhance the elite’s ability to coordinate against the dictator and more credibly threaten him with his removal down the line.</w:t>
      </w:r>
    </w:p>
    <w:p w14:paraId="31691263" w14:textId="77777777" w:rsidR="003875C0" w:rsidRDefault="003875C0" w:rsidP="003875C0">
      <w:pPr>
        <w:spacing w:after="0" w:line="480" w:lineRule="auto"/>
        <w:ind w:firstLine="360"/>
        <w:rPr>
          <w:rFonts w:ascii="Times New Roman" w:hAnsi="Times New Roman" w:cs="Times New Roman"/>
          <w:sz w:val="24"/>
          <w:szCs w:val="24"/>
        </w:rPr>
      </w:pPr>
      <w:r>
        <w:rPr>
          <w:rFonts w:ascii="Times New Roman" w:hAnsi="Times New Roman" w:cs="Times New Roman"/>
          <w:sz w:val="24"/>
          <w:szCs w:val="24"/>
        </w:rPr>
        <w:t>Furthermore</w:t>
      </w:r>
      <w:r w:rsidRPr="002C3137">
        <w:rPr>
          <w:rFonts w:ascii="Times New Roman" w:hAnsi="Times New Roman" w:cs="Times New Roman"/>
          <w:sz w:val="24"/>
          <w:szCs w:val="24"/>
        </w:rPr>
        <w:t>, the discussion so far has assumed that the military is a unitary actor</w:t>
      </w:r>
      <w:r>
        <w:rPr>
          <w:rFonts w:ascii="Times New Roman" w:hAnsi="Times New Roman" w:cs="Times New Roman"/>
          <w:sz w:val="24"/>
          <w:szCs w:val="24"/>
        </w:rPr>
        <w:t>, reflecting the interests of its senior officers</w:t>
      </w:r>
      <w:r w:rsidRPr="002C3137">
        <w:rPr>
          <w:rFonts w:ascii="Times New Roman" w:hAnsi="Times New Roman" w:cs="Times New Roman"/>
          <w:sz w:val="24"/>
          <w:szCs w:val="24"/>
        </w:rPr>
        <w:t xml:space="preserve">. Although this is the case in professionalized militaries, where individuals’ career success is inextricably bound to following orders from their commanders, a </w:t>
      </w:r>
      <w:r w:rsidRPr="002C3137">
        <w:rPr>
          <w:rFonts w:ascii="Times New Roman" w:hAnsi="Times New Roman" w:cs="Times New Roman"/>
          <w:sz w:val="24"/>
          <w:szCs w:val="24"/>
        </w:rPr>
        <w:lastRenderedPageBreak/>
        <w:t>common occurrence of the past century has been the emergence of factionalized militaries. In such forces</w:t>
      </w:r>
      <w:r>
        <w:rPr>
          <w:rFonts w:ascii="Times New Roman" w:hAnsi="Times New Roman" w:cs="Times New Roman"/>
          <w:sz w:val="24"/>
          <w:szCs w:val="24"/>
        </w:rPr>
        <w:t>,</w:t>
      </w:r>
      <w:r w:rsidRPr="002C3137">
        <w:rPr>
          <w:rFonts w:ascii="Times New Roman" w:hAnsi="Times New Roman" w:cs="Times New Roman"/>
          <w:sz w:val="24"/>
          <w:szCs w:val="24"/>
        </w:rPr>
        <w:t xml:space="preserve"> personal, partisan or ethnic loyalties can crosscut the military’s strict hierarchy and result in ‘rogue’ coups organized by junior officers or faction leaders seeking a faster way to promotion. With factionalized militaries, senior officers included in the ruling coalition cannot commit their subordinates to abide by the power-sharing bargain as unconditional obedience to a strict hierarchy is absent (Geddes et al. 2018, 100–101). </w:t>
      </w:r>
      <w:r>
        <w:rPr>
          <w:rFonts w:ascii="Times New Roman" w:hAnsi="Times New Roman" w:cs="Times New Roman"/>
          <w:sz w:val="24"/>
          <w:szCs w:val="24"/>
        </w:rPr>
        <w:t>I</w:t>
      </w:r>
      <w:r w:rsidRPr="002C3137">
        <w:rPr>
          <w:rFonts w:ascii="Times New Roman" w:hAnsi="Times New Roman" w:cs="Times New Roman"/>
          <w:sz w:val="24"/>
          <w:szCs w:val="24"/>
        </w:rPr>
        <w:t>f the dictator has reason to doubt senior officers’ ability to prevent factions from launching rogue coups, or if the dictator was at the receiving end of a rogue coup, it makes little sense for him to extend power-sharing as doing so will not protect him</w:t>
      </w:r>
      <w:r>
        <w:rPr>
          <w:rFonts w:ascii="Times New Roman" w:hAnsi="Times New Roman" w:cs="Times New Roman"/>
          <w:sz w:val="24"/>
          <w:szCs w:val="24"/>
        </w:rPr>
        <w:t>. Instead, he will seek to undermine the ability of rogue factions to launch coups by fracturing the military apparatus.</w:t>
      </w:r>
    </w:p>
    <w:p w14:paraId="5AB8941F" w14:textId="77777777" w:rsidR="003875C0" w:rsidRPr="009C2D5E" w:rsidRDefault="003875C0" w:rsidP="003875C0">
      <w:pPr>
        <w:spacing w:after="0" w:line="480" w:lineRule="auto"/>
        <w:rPr>
          <w:rFonts w:ascii="Times New Roman" w:hAnsi="Times New Roman" w:cs="Times New Roman"/>
          <w:i/>
          <w:iCs/>
          <w:sz w:val="24"/>
          <w:szCs w:val="24"/>
        </w:rPr>
      </w:pPr>
      <w:r w:rsidRPr="009C2D5E">
        <w:rPr>
          <w:rFonts w:ascii="Times New Roman" w:hAnsi="Times New Roman" w:cs="Times New Roman"/>
          <w:i/>
          <w:iCs/>
          <w:sz w:val="24"/>
          <w:szCs w:val="24"/>
        </w:rPr>
        <w:t>Opportunit</w:t>
      </w:r>
      <w:r>
        <w:rPr>
          <w:rFonts w:ascii="Times New Roman" w:hAnsi="Times New Roman" w:cs="Times New Roman"/>
          <w:i/>
          <w:iCs/>
          <w:sz w:val="24"/>
          <w:szCs w:val="24"/>
        </w:rPr>
        <w:t>y</w:t>
      </w:r>
    </w:p>
    <w:p w14:paraId="761747F8" w14:textId="77777777" w:rsidR="003875C0" w:rsidRDefault="003875C0" w:rsidP="003875C0">
      <w:pPr>
        <w:spacing w:after="0" w:line="480" w:lineRule="auto"/>
        <w:rPr>
          <w:rFonts w:ascii="Times New Roman" w:hAnsi="Times New Roman" w:cs="Times New Roman"/>
          <w:sz w:val="24"/>
          <w:szCs w:val="24"/>
        </w:rPr>
      </w:pPr>
      <w:r w:rsidRPr="00B931BF">
        <w:rPr>
          <w:rFonts w:ascii="Times New Roman" w:hAnsi="Times New Roman" w:cs="Times New Roman"/>
          <w:sz w:val="24"/>
          <w:szCs w:val="24"/>
        </w:rPr>
        <w:t>Arguably, rulers always have an incentive to punish coup conspirators, however, they might not be able to act out on this incentive save for the presence of distinct opportunities to do so.</w:t>
      </w:r>
      <w:r>
        <w:rPr>
          <w:rFonts w:ascii="Times New Roman" w:hAnsi="Times New Roman" w:cs="Times New Roman"/>
          <w:sz w:val="24"/>
          <w:szCs w:val="24"/>
        </w:rPr>
        <w:t xml:space="preserve"> Failed coups provide this opportunity by reducing the military’s ability and willingness to strike again.</w:t>
      </w:r>
    </w:p>
    <w:p w14:paraId="7630E5B5" w14:textId="77777777" w:rsidR="003875C0" w:rsidRDefault="003875C0" w:rsidP="003875C0">
      <w:pPr>
        <w:spacing w:after="0" w:line="480" w:lineRule="auto"/>
        <w:ind w:firstLine="360"/>
        <w:rPr>
          <w:rFonts w:ascii="Times New Roman" w:hAnsi="Times New Roman" w:cs="Times New Roman"/>
          <w:sz w:val="24"/>
          <w:szCs w:val="24"/>
        </w:rPr>
      </w:pPr>
      <w:r w:rsidRPr="005C6DB2">
        <w:rPr>
          <w:rFonts w:ascii="Times New Roman" w:hAnsi="Times New Roman" w:cs="Times New Roman"/>
          <w:sz w:val="24"/>
          <w:szCs w:val="24"/>
        </w:rPr>
        <w:t xml:space="preserve">Regarding ability, informational incompleteness is paramount to a successful coup (Singh 2014). </w:t>
      </w:r>
      <w:r>
        <w:rPr>
          <w:rFonts w:ascii="Times New Roman" w:hAnsi="Times New Roman" w:cs="Times New Roman"/>
          <w:sz w:val="24"/>
          <w:szCs w:val="24"/>
        </w:rPr>
        <w:t xml:space="preserve">As opponents to the attempt are revealed and military factions choose sides, the same level of informational uncertainty necessary for coup success is absent in its aftermath. By exposing military allegiances and loyalties, failed coups undermine remaining rivals’ ability to shape the narrative surrounding their likely success in any repeat attempt. This deters dissatisfied elites from launching another attack. </w:t>
      </w:r>
      <w:r w:rsidRPr="002C206B">
        <w:rPr>
          <w:rFonts w:ascii="Times New Roman" w:hAnsi="Times New Roman" w:cs="Times New Roman"/>
          <w:sz w:val="24"/>
          <w:szCs w:val="24"/>
        </w:rPr>
        <w:t xml:space="preserve">Furthermore, after the plot fails, the dictator is able to rat out and eliminate rivals to weaken their organizational capacity. Recent work has been adamant about the fact that failed coups lead to extensive purges of elites found to have joined or </w:t>
      </w:r>
      <w:r w:rsidRPr="002C206B">
        <w:rPr>
          <w:rFonts w:ascii="Times New Roman" w:hAnsi="Times New Roman" w:cs="Times New Roman"/>
          <w:sz w:val="24"/>
          <w:szCs w:val="24"/>
        </w:rPr>
        <w:lastRenderedPageBreak/>
        <w:t>supported a coup (Easton and Siverson 2018; Bokobza et al. 2022). They also serve as a pretext for sidelining other powerful elites deemed untrustworthy by the ruler (Powell et al. 2018).</w:t>
      </w:r>
    </w:p>
    <w:p w14:paraId="4CE95141" w14:textId="39985A90" w:rsidR="003875C0" w:rsidRPr="00387B57" w:rsidRDefault="003875C0" w:rsidP="003875C0">
      <w:pPr>
        <w:spacing w:after="0" w:line="480" w:lineRule="auto"/>
        <w:ind w:firstLine="360"/>
        <w:rPr>
          <w:rFonts w:ascii="Times New Roman" w:hAnsi="Times New Roman" w:cs="Times New Roman"/>
          <w:sz w:val="24"/>
          <w:szCs w:val="24"/>
        </w:rPr>
      </w:pPr>
      <w:r w:rsidRPr="00387B57">
        <w:rPr>
          <w:rFonts w:ascii="Times New Roman" w:hAnsi="Times New Roman" w:cs="Times New Roman"/>
          <w:sz w:val="24"/>
          <w:szCs w:val="24"/>
        </w:rPr>
        <w:t>Regarding willingness, a new post-coup environment reshapes the incentive structure of those elites who remain. A failed coup informs elites about the possibility of another faction’s takeover and, in turn, the risk of them losing their privileged position inside the ruling coalition. This risk induces loyalty towards the incumbent, making them more likely to acquiesce to the dictator’s power grabs since remaining inside the inner circle leaves them better off than being excluded or risking failure in a new challenge (Timoneda et al. 2023, 7). Likewise, purges in the aftermath of failed coups lead to the narrowing of the dictator’s ruling coalition. This increases the loyalty norm among the remaining backers as it (1) increases the share of spoils allocated to them (as there are now fewer rivals to share patronage rents with) and (2) increases the chance of their exclusion from a subsequent winning coalition if a repeat coup were to succeed</w:t>
      </w:r>
      <w:r w:rsidR="00A16158">
        <w:rPr>
          <w:rFonts w:ascii="Times New Roman" w:hAnsi="Times New Roman" w:cs="Times New Roman"/>
          <w:sz w:val="24"/>
          <w:szCs w:val="24"/>
        </w:rPr>
        <w:t xml:space="preserve"> (</w:t>
      </w:r>
      <w:r w:rsidR="00A16158" w:rsidRPr="00387B57">
        <w:rPr>
          <w:rFonts w:ascii="Times New Roman" w:hAnsi="Times New Roman" w:cs="Times New Roman"/>
          <w:sz w:val="24"/>
          <w:szCs w:val="24"/>
        </w:rPr>
        <w:t>Bueno de Mesquita et al. 2003</w:t>
      </w:r>
      <w:r w:rsidR="00A16158">
        <w:rPr>
          <w:rFonts w:ascii="Times New Roman" w:hAnsi="Times New Roman" w:cs="Times New Roman"/>
          <w:sz w:val="24"/>
          <w:szCs w:val="24"/>
        </w:rPr>
        <w:t>)</w:t>
      </w:r>
      <w:r w:rsidR="002D44EE">
        <w:rPr>
          <w:rFonts w:ascii="Times New Roman" w:hAnsi="Times New Roman" w:cs="Times New Roman"/>
          <w:sz w:val="24"/>
          <w:szCs w:val="24"/>
        </w:rPr>
        <w:t xml:space="preserve">. </w:t>
      </w:r>
      <w:r>
        <w:rPr>
          <w:rFonts w:ascii="Times New Roman" w:hAnsi="Times New Roman" w:cs="Times New Roman"/>
          <w:sz w:val="24"/>
          <w:szCs w:val="24"/>
        </w:rPr>
        <w:t>Moreover, the ruler might seek to pacify the remaining elite through an extension of private goods</w:t>
      </w:r>
      <w:r w:rsidR="004670A5">
        <w:rPr>
          <w:rFonts w:ascii="Times New Roman" w:hAnsi="Times New Roman" w:cs="Times New Roman"/>
          <w:sz w:val="24"/>
          <w:szCs w:val="24"/>
        </w:rPr>
        <w:t xml:space="preserve"> allocation</w:t>
      </w:r>
      <w:r>
        <w:rPr>
          <w:rFonts w:ascii="Times New Roman" w:hAnsi="Times New Roman" w:cs="Times New Roman"/>
          <w:sz w:val="24"/>
          <w:szCs w:val="24"/>
        </w:rPr>
        <w:t>, which further enhances the loyalty norm among remaining backers</w:t>
      </w:r>
      <w:r w:rsidR="002D44EE">
        <w:rPr>
          <w:rFonts w:ascii="Times New Roman" w:hAnsi="Times New Roman" w:cs="Times New Roman"/>
          <w:sz w:val="24"/>
          <w:szCs w:val="24"/>
        </w:rPr>
        <w:t xml:space="preserve"> </w:t>
      </w:r>
      <w:r w:rsidR="002D44EE" w:rsidRPr="00803446">
        <w:rPr>
          <w:rFonts w:ascii="Times New Roman" w:hAnsi="Times New Roman" w:cs="Times New Roman"/>
          <w:sz w:val="24"/>
          <w:szCs w:val="24"/>
        </w:rPr>
        <w:t>(</w:t>
      </w:r>
      <w:r w:rsidR="00803446" w:rsidRPr="00803446">
        <w:rPr>
          <w:rFonts w:ascii="Times New Roman" w:hAnsi="Times New Roman" w:cs="Times New Roman"/>
          <w:sz w:val="24"/>
          <w:szCs w:val="24"/>
        </w:rPr>
        <w:t>ibid</w:t>
      </w:r>
      <w:r w:rsidR="002D44EE" w:rsidRPr="00803446">
        <w:rPr>
          <w:rFonts w:ascii="Times New Roman" w:hAnsi="Times New Roman" w:cs="Times New Roman"/>
          <w:sz w:val="24"/>
          <w:szCs w:val="24"/>
        </w:rPr>
        <w:t>).</w:t>
      </w:r>
    </w:p>
    <w:p w14:paraId="2DDF183C" w14:textId="77777777" w:rsidR="003875C0" w:rsidRPr="00387B57" w:rsidRDefault="003875C0" w:rsidP="003875C0">
      <w:pPr>
        <w:spacing w:after="0" w:line="480" w:lineRule="auto"/>
        <w:ind w:firstLine="360"/>
        <w:rPr>
          <w:rFonts w:ascii="Times New Roman" w:hAnsi="Times New Roman" w:cs="Times New Roman"/>
          <w:sz w:val="24"/>
          <w:szCs w:val="24"/>
        </w:rPr>
      </w:pPr>
      <w:r w:rsidRPr="00387B57">
        <w:rPr>
          <w:rFonts w:ascii="Times New Roman" w:hAnsi="Times New Roman" w:cs="Times New Roman"/>
          <w:sz w:val="24"/>
          <w:szCs w:val="24"/>
        </w:rPr>
        <w:t>To summarize, with the coup plotters’ ability to resist the ruler eliminated and the remaining elites’ willingness to do so diminished, dictators are offered an opportunity to aggrandize power by setting up parallel security organizations for their protection. In contrast to arguments emphasizing the extension of power-sharing in the aftermath of failed coups (Thyne and Powell 2016), I argue that the unique opportunity presented by the post-coup environment is more conducive to institutional coup-proofing instead, in which case failed coups should lead to greater counterbalancing efforts.</w:t>
      </w:r>
    </w:p>
    <w:p w14:paraId="3C0C2B0B" w14:textId="02297D7D" w:rsidR="005402A8" w:rsidRPr="00C620B0" w:rsidRDefault="003875C0" w:rsidP="00C620B0">
      <w:pPr>
        <w:spacing w:after="0" w:line="480" w:lineRule="auto"/>
        <w:ind w:firstLine="360"/>
        <w:rPr>
          <w:rFonts w:ascii="Times New Roman" w:hAnsi="Times New Roman" w:cs="Times New Roman"/>
          <w:i/>
          <w:iCs/>
          <w:sz w:val="24"/>
          <w:szCs w:val="24"/>
        </w:rPr>
      </w:pPr>
      <w:r w:rsidRPr="00387B57">
        <w:rPr>
          <w:rFonts w:ascii="Times New Roman" w:hAnsi="Times New Roman" w:cs="Times New Roman"/>
          <w:i/>
          <w:iCs/>
          <w:sz w:val="24"/>
          <w:szCs w:val="24"/>
        </w:rPr>
        <w:t>H1: Failed military coups lead to an increase in counterbalancing.</w:t>
      </w:r>
      <w:bookmarkStart w:id="2" w:name="_Hlk183278313"/>
      <w:bookmarkEnd w:id="2"/>
    </w:p>
    <w:p w14:paraId="0A921770" w14:textId="63E7509B" w:rsidR="00D04996" w:rsidRPr="00980746" w:rsidRDefault="00D04996" w:rsidP="00D04996">
      <w:pPr>
        <w:spacing w:after="0" w:line="480" w:lineRule="auto"/>
        <w:rPr>
          <w:rFonts w:ascii="Times New Roman" w:hAnsi="Times New Roman" w:cs="Times New Roman"/>
          <w:b/>
          <w:bCs/>
          <w:sz w:val="24"/>
          <w:szCs w:val="24"/>
        </w:rPr>
      </w:pPr>
      <w:r w:rsidRPr="00980746">
        <w:rPr>
          <w:rFonts w:ascii="Times New Roman" w:hAnsi="Times New Roman" w:cs="Times New Roman"/>
          <w:b/>
          <w:bCs/>
          <w:sz w:val="24"/>
          <w:szCs w:val="24"/>
        </w:rPr>
        <w:lastRenderedPageBreak/>
        <w:t>Research Design, Data and Methodology</w:t>
      </w:r>
    </w:p>
    <w:p w14:paraId="2199CC3A" w14:textId="7EAB790F" w:rsidR="00D04996" w:rsidRDefault="00D04996" w:rsidP="00D04996">
      <w:pPr>
        <w:spacing w:after="0" w:line="480" w:lineRule="auto"/>
        <w:rPr>
          <w:rFonts w:ascii="Times New Roman" w:hAnsi="Times New Roman" w:cs="Times New Roman"/>
          <w:sz w:val="24"/>
          <w:szCs w:val="24"/>
        </w:rPr>
      </w:pPr>
      <w:r w:rsidRPr="00980746">
        <w:rPr>
          <w:rFonts w:ascii="Times New Roman" w:hAnsi="Times New Roman" w:cs="Times New Roman"/>
          <w:sz w:val="24"/>
          <w:szCs w:val="24"/>
        </w:rPr>
        <w:t xml:space="preserve">To test the hypothesis, I combine a large-n quantitative analysis with two illustrative examples of the theorized mechanism. Unlike </w:t>
      </w:r>
      <w:r>
        <w:rPr>
          <w:rFonts w:ascii="Times New Roman" w:hAnsi="Times New Roman" w:cs="Times New Roman"/>
          <w:sz w:val="24"/>
          <w:szCs w:val="24"/>
        </w:rPr>
        <w:t>other</w:t>
      </w:r>
      <w:r w:rsidRPr="00980746">
        <w:rPr>
          <w:rFonts w:ascii="Times New Roman" w:hAnsi="Times New Roman" w:cs="Times New Roman"/>
          <w:sz w:val="24"/>
          <w:szCs w:val="24"/>
        </w:rPr>
        <w:t xml:space="preserve"> studies that have used the quasi-random property of coup outcomes</w:t>
      </w:r>
      <w:r>
        <w:rPr>
          <w:rFonts w:ascii="Times New Roman" w:hAnsi="Times New Roman" w:cs="Times New Roman"/>
          <w:sz w:val="24"/>
          <w:szCs w:val="24"/>
        </w:rPr>
        <w:t xml:space="preserve"> (coup success vs. coup failure)</w:t>
      </w:r>
      <w:r w:rsidRPr="00980746">
        <w:rPr>
          <w:rFonts w:ascii="Times New Roman" w:hAnsi="Times New Roman" w:cs="Times New Roman"/>
          <w:sz w:val="24"/>
          <w:szCs w:val="24"/>
        </w:rPr>
        <w:t xml:space="preserve"> for causal identification (e.g. Lachapelle 2020; Benett et al. 2021), the conditional independence assumption necessary for identification in the case of counterbalancing might be violated due to simultaneity bias (</w:t>
      </w:r>
      <w:r>
        <w:rPr>
          <w:rFonts w:ascii="Times New Roman" w:hAnsi="Times New Roman" w:cs="Times New Roman"/>
          <w:sz w:val="24"/>
          <w:szCs w:val="24"/>
        </w:rPr>
        <w:t>the strategy affects coup outcomes</w:t>
      </w:r>
      <w:r w:rsidRPr="00980746">
        <w:rPr>
          <w:rFonts w:ascii="Times New Roman" w:hAnsi="Times New Roman" w:cs="Times New Roman"/>
          <w:sz w:val="24"/>
          <w:szCs w:val="24"/>
        </w:rPr>
        <w:t>).</w:t>
      </w:r>
      <w:r>
        <w:rPr>
          <w:rFonts w:ascii="Times New Roman" w:hAnsi="Times New Roman" w:cs="Times New Roman"/>
          <w:sz w:val="24"/>
          <w:szCs w:val="24"/>
        </w:rPr>
        <w:t xml:space="preserve"> Instead</w:t>
      </w:r>
      <w:r w:rsidRPr="00980746">
        <w:rPr>
          <w:rFonts w:ascii="Times New Roman" w:hAnsi="Times New Roman" w:cs="Times New Roman"/>
          <w:sz w:val="24"/>
          <w:szCs w:val="24"/>
        </w:rPr>
        <w:t xml:space="preserve">, I assume selection on observables and </w:t>
      </w:r>
      <w:r>
        <w:rPr>
          <w:rFonts w:ascii="Times New Roman" w:hAnsi="Times New Roman" w:cs="Times New Roman"/>
          <w:sz w:val="24"/>
          <w:szCs w:val="24"/>
        </w:rPr>
        <w:t xml:space="preserve">treat </w:t>
      </w:r>
      <w:r w:rsidR="00955193">
        <w:rPr>
          <w:rFonts w:ascii="Times New Roman" w:hAnsi="Times New Roman" w:cs="Times New Roman"/>
          <w:sz w:val="24"/>
          <w:szCs w:val="24"/>
        </w:rPr>
        <w:t>years prior to failed coups as the control.</w:t>
      </w:r>
    </w:p>
    <w:p w14:paraId="243C8AD0" w14:textId="77777777" w:rsidR="00D04996" w:rsidRDefault="00D04996" w:rsidP="00D04996">
      <w:pPr>
        <w:spacing w:after="0" w:line="480" w:lineRule="auto"/>
        <w:ind w:firstLine="720"/>
        <w:rPr>
          <w:rFonts w:ascii="Times New Roman" w:hAnsi="Times New Roman" w:cs="Times New Roman"/>
          <w:sz w:val="24"/>
          <w:szCs w:val="24"/>
        </w:rPr>
      </w:pPr>
      <w:r w:rsidRPr="00980746">
        <w:rPr>
          <w:rFonts w:ascii="Times New Roman" w:hAnsi="Times New Roman" w:cs="Times New Roman"/>
          <w:sz w:val="24"/>
          <w:szCs w:val="24"/>
        </w:rPr>
        <w:t xml:space="preserve">I use panel data with autocratic leader-years as the unit of analysis. I derive my list of </w:t>
      </w:r>
      <w:r>
        <w:rPr>
          <w:rFonts w:ascii="Times New Roman" w:hAnsi="Times New Roman" w:cs="Times New Roman"/>
          <w:sz w:val="24"/>
          <w:szCs w:val="24"/>
        </w:rPr>
        <w:t xml:space="preserve">authoritarian </w:t>
      </w:r>
      <w:r w:rsidRPr="00980746">
        <w:rPr>
          <w:rFonts w:ascii="Times New Roman" w:hAnsi="Times New Roman" w:cs="Times New Roman"/>
          <w:sz w:val="24"/>
          <w:szCs w:val="24"/>
        </w:rPr>
        <w:t xml:space="preserve">leaders </w:t>
      </w:r>
      <w:r w:rsidRPr="00827C4E">
        <w:rPr>
          <w:rFonts w:ascii="Times New Roman" w:hAnsi="Times New Roman" w:cs="Times New Roman"/>
          <w:sz w:val="24"/>
          <w:szCs w:val="24"/>
        </w:rPr>
        <w:t xml:space="preserve">from the </w:t>
      </w:r>
      <w:r w:rsidRPr="00980746">
        <w:rPr>
          <w:rFonts w:ascii="Times New Roman" w:hAnsi="Times New Roman" w:cs="Times New Roman"/>
          <w:sz w:val="24"/>
          <w:szCs w:val="24"/>
        </w:rPr>
        <w:t>Geddes et al. (2018) data on authoritarian regimes. This yields a total of 3899 unique leader-year observations across the period of 1960 to 2010, featuring 243 autocratic regimes with 482 leader-spells. A leader-spell is defined as the number of sequential years a given autocrat stays in power. The average length of a leader-spell is nine years</w:t>
      </w:r>
      <w:r>
        <w:rPr>
          <w:rFonts w:ascii="Times New Roman" w:hAnsi="Times New Roman" w:cs="Times New Roman"/>
          <w:sz w:val="24"/>
          <w:szCs w:val="24"/>
        </w:rPr>
        <w:t xml:space="preserve">. Finally, leader-spells </w:t>
      </w:r>
      <w:r w:rsidRPr="00980746">
        <w:rPr>
          <w:rFonts w:ascii="Times New Roman" w:hAnsi="Times New Roman" w:cs="Times New Roman"/>
          <w:sz w:val="24"/>
          <w:szCs w:val="24"/>
        </w:rPr>
        <w:t>inform the group-level at which the treatment is applied.</w:t>
      </w:r>
    </w:p>
    <w:p w14:paraId="41A61AD0" w14:textId="77777777" w:rsidR="00D04996" w:rsidRPr="000634FA" w:rsidRDefault="00D04996" w:rsidP="00D04996">
      <w:pPr>
        <w:spacing w:after="0" w:line="480" w:lineRule="auto"/>
        <w:rPr>
          <w:rFonts w:ascii="Times New Roman" w:hAnsi="Times New Roman" w:cs="Times New Roman"/>
          <w:i/>
          <w:iCs/>
          <w:sz w:val="24"/>
          <w:szCs w:val="24"/>
        </w:rPr>
      </w:pPr>
      <w:r w:rsidRPr="000634FA">
        <w:rPr>
          <w:rFonts w:ascii="Times New Roman" w:hAnsi="Times New Roman" w:cs="Times New Roman"/>
          <w:i/>
          <w:iCs/>
          <w:sz w:val="24"/>
          <w:szCs w:val="24"/>
        </w:rPr>
        <w:t>Counterbalancing</w:t>
      </w:r>
    </w:p>
    <w:p w14:paraId="1C5F81D2" w14:textId="77777777" w:rsidR="00D04996" w:rsidRDefault="00D04996" w:rsidP="00D04996">
      <w:pPr>
        <w:spacing w:after="0" w:line="480" w:lineRule="auto"/>
        <w:rPr>
          <w:rFonts w:ascii="Times New Roman" w:eastAsia="Calibri" w:hAnsi="Times New Roman" w:cs="Times New Roman"/>
          <w:sz w:val="24"/>
          <w:szCs w:val="24"/>
        </w:rPr>
      </w:pPr>
      <w:r w:rsidRPr="00637FB4">
        <w:rPr>
          <w:rFonts w:ascii="Times New Roman" w:eastAsia="Calibri" w:hAnsi="Times New Roman" w:cs="Times New Roman"/>
          <w:sz w:val="24"/>
          <w:szCs w:val="24"/>
        </w:rPr>
        <w:t>To date, the most comprehensive data collection effort on counterbalancing has been carried out by De Bruin (2020)</w:t>
      </w:r>
      <w:r>
        <w:rPr>
          <w:rFonts w:ascii="Times New Roman" w:eastAsia="Calibri" w:hAnsi="Times New Roman" w:cs="Times New Roman"/>
          <w:sz w:val="24"/>
          <w:szCs w:val="24"/>
        </w:rPr>
        <w:t>. As such, for the dependent variable, I rely on her State Security Forces dataset, which codes measures for 375 security forces in 110 countries between 1960 and 2010. The author defines a security force as a ground combat-capable force with a concrete leader and name that is under the administrative control of a recognized state beyond the army, navy and air force that comprise a traditional military (De Bruin 2021, 317).</w:t>
      </w:r>
    </w:p>
    <w:p w14:paraId="17040A1E" w14:textId="77777777" w:rsidR="00D04996" w:rsidRDefault="00D04996" w:rsidP="00D04996">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t xml:space="preserve">A security force is coded as a ‘counterweight’ to the military if it is: (1) stationed within 60 miles (100 kilometers) of the capital and (2) is placed outside of the normal (military) chain of command (De Bruin 2021, 318). Security forces that have capital deployment potential are </w:t>
      </w:r>
      <w:r>
        <w:rPr>
          <w:rFonts w:ascii="Times New Roman" w:eastAsia="Calibri" w:hAnsi="Times New Roman" w:cs="Times New Roman"/>
          <w:sz w:val="24"/>
          <w:szCs w:val="24"/>
        </w:rPr>
        <w:lastRenderedPageBreak/>
        <w:t>relevant to coups as they are in the immediate vicinity of coup targets, while independence from the military is crucial for carrying out autonomous operations during an attempt (Luttwak 1979). Such security forces are thus explicitly created or have the ability to counterbalance the military.</w:t>
      </w:r>
    </w:p>
    <w:p w14:paraId="1104D68D" w14:textId="77777777" w:rsidR="00D04996" w:rsidRDefault="00D04996" w:rsidP="00D04996">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ab/>
      </w:r>
      <w:r w:rsidRPr="004B46CD">
        <w:rPr>
          <w:rFonts w:ascii="Times New Roman" w:eastAsia="Calibri" w:hAnsi="Times New Roman" w:cs="Times New Roman"/>
          <w:sz w:val="24"/>
          <w:szCs w:val="24"/>
        </w:rPr>
        <w:t>The main measure of ‘counterbalancing’ is a binary indicator of whether in a given year, the dictator employs an above-average number of counterweights.</w:t>
      </w:r>
      <w:r w:rsidRPr="004B46CD">
        <w:t xml:space="preserve"> </w:t>
      </w:r>
      <w:r w:rsidRPr="004B46CD">
        <w:rPr>
          <w:rFonts w:ascii="Times New Roman" w:eastAsia="Calibri" w:hAnsi="Times New Roman" w:cs="Times New Roman"/>
          <w:sz w:val="24"/>
          <w:szCs w:val="24"/>
        </w:rPr>
        <w:t>This operationalization is used extensively by other authors who look at counterbalancing (Escriba-Folch et al. 2020; Mehrl and Choulis 2021) and is coded as 1 if the number of counterweights in a given autocratic leader-year is above the sample average (approximately 1.468 counterweights) and 0 if not. As an alternative measure (and a more substantively interpretable one), I use an operationalization of whether in a given autocratic leader-year at least one counterweight was present (coded as 1, otherwise 0).</w:t>
      </w:r>
    </w:p>
    <w:p w14:paraId="01A794CD" w14:textId="18CDECD0" w:rsidR="00D04996" w:rsidRPr="00134DD5" w:rsidRDefault="00D04996" w:rsidP="00D04996">
      <w:pPr>
        <w:spacing w:after="0" w:line="480" w:lineRule="auto"/>
        <w:ind w:firstLine="720"/>
        <w:rPr>
          <w:rFonts w:ascii="Times New Roman" w:eastAsia="Calibri" w:hAnsi="Times New Roman" w:cs="Times New Roman"/>
          <w:sz w:val="24"/>
          <w:szCs w:val="24"/>
        </w:rPr>
      </w:pPr>
      <w:r w:rsidRPr="004B46CD">
        <w:rPr>
          <w:rFonts w:ascii="Times New Roman" w:eastAsia="Calibri" w:hAnsi="Times New Roman" w:cs="Times New Roman"/>
          <w:sz w:val="24"/>
          <w:szCs w:val="24"/>
        </w:rPr>
        <w:t>As argued by De Bruin (2018, 1441), “because coups can be staged (and prevented) by even a small number of men, we should expect the logic of counterbalancing to hold no matter the size of the counterweight”. This makes the dichotomous measures sufficient for testing the hypothesis. Additionally, a binary indicator escapes the problem of outliers and minimizes the measurement error introduced by misidentifying some security units as (non-)counterweights (Mehrl and Choulis 2021).</w:t>
      </w:r>
      <w:r>
        <w:rPr>
          <w:rFonts w:ascii="Times New Roman" w:eastAsia="Calibri" w:hAnsi="Times New Roman" w:cs="Times New Roman"/>
          <w:sz w:val="24"/>
          <w:szCs w:val="24"/>
        </w:rPr>
        <w:t xml:space="preserve"> That said, I also use the log transformed number of counterweights available </w:t>
      </w:r>
      <w:r w:rsidR="00D70254">
        <w:rPr>
          <w:rFonts w:ascii="Times New Roman" w:eastAsia="Calibri" w:hAnsi="Times New Roman" w:cs="Times New Roman"/>
          <w:sz w:val="24"/>
          <w:szCs w:val="24"/>
        </w:rPr>
        <w:t>at</w:t>
      </w:r>
      <w:r w:rsidR="006755F5">
        <w:rPr>
          <w:rFonts w:ascii="Times New Roman" w:eastAsia="Calibri" w:hAnsi="Times New Roman" w:cs="Times New Roman"/>
          <w:sz w:val="24"/>
          <w:szCs w:val="24"/>
        </w:rPr>
        <w:t xml:space="preserve"> each leader-year</w:t>
      </w:r>
      <w:r>
        <w:rPr>
          <w:rFonts w:ascii="Times New Roman" w:eastAsia="Calibri" w:hAnsi="Times New Roman" w:cs="Times New Roman"/>
          <w:sz w:val="24"/>
          <w:szCs w:val="24"/>
        </w:rPr>
        <w:t xml:space="preserve"> for additional robustness. </w:t>
      </w:r>
      <w:r w:rsidRPr="0026672B">
        <w:rPr>
          <w:rFonts w:ascii="Times New Roman" w:eastAsia="Calibri" w:hAnsi="Times New Roman" w:cs="Times New Roman"/>
          <w:sz w:val="24"/>
          <w:szCs w:val="24"/>
        </w:rPr>
        <w:t>44% of</w:t>
      </w:r>
      <w:r>
        <w:rPr>
          <w:rFonts w:ascii="Times New Roman" w:eastAsia="Calibri" w:hAnsi="Times New Roman" w:cs="Times New Roman"/>
          <w:sz w:val="24"/>
          <w:szCs w:val="24"/>
        </w:rPr>
        <w:t xml:space="preserve"> </w:t>
      </w:r>
      <w:r w:rsidR="000315B9">
        <w:rPr>
          <w:rFonts w:ascii="Times New Roman" w:eastAsia="Calibri" w:hAnsi="Times New Roman" w:cs="Times New Roman"/>
          <w:sz w:val="24"/>
          <w:szCs w:val="24"/>
        </w:rPr>
        <w:t xml:space="preserve">all </w:t>
      </w:r>
      <w:r w:rsidRPr="0026672B">
        <w:rPr>
          <w:rFonts w:ascii="Times New Roman" w:eastAsia="Calibri" w:hAnsi="Times New Roman" w:cs="Times New Roman"/>
          <w:sz w:val="24"/>
          <w:szCs w:val="24"/>
        </w:rPr>
        <w:t xml:space="preserve">observations </w:t>
      </w:r>
      <w:r>
        <w:rPr>
          <w:rFonts w:ascii="Times New Roman" w:eastAsia="Calibri" w:hAnsi="Times New Roman" w:cs="Times New Roman"/>
          <w:sz w:val="24"/>
          <w:szCs w:val="24"/>
        </w:rPr>
        <w:t>are coded as having</w:t>
      </w:r>
      <w:r w:rsidRPr="0026672B">
        <w:rPr>
          <w:rFonts w:ascii="Times New Roman" w:eastAsia="Calibri" w:hAnsi="Times New Roman" w:cs="Times New Roman"/>
          <w:sz w:val="24"/>
          <w:szCs w:val="24"/>
        </w:rPr>
        <w:t xml:space="preserve"> an above-average number of counterweights, whereas 76% of all autocratic leader-years have at least one counterweight.</w:t>
      </w:r>
      <w:r>
        <w:rPr>
          <w:rFonts w:ascii="Times New Roman" w:eastAsia="Calibri" w:hAnsi="Times New Roman" w:cs="Times New Roman"/>
          <w:sz w:val="24"/>
          <w:szCs w:val="24"/>
        </w:rPr>
        <w:t xml:space="preserve"> The mean log number of counterweights available in each year is 0.77 with a standard deviation of 0.51, a minimum of 0 and a maximum of 2.30.</w:t>
      </w:r>
    </w:p>
    <w:p w14:paraId="15042B15" w14:textId="77777777" w:rsidR="00D04996" w:rsidRPr="002A66E3" w:rsidRDefault="00D04996" w:rsidP="00D04996">
      <w:pPr>
        <w:spacing w:after="0" w:line="480" w:lineRule="auto"/>
        <w:rPr>
          <w:rFonts w:ascii="Times New Roman" w:eastAsia="Calibri" w:hAnsi="Times New Roman" w:cs="Times New Roman"/>
          <w:i/>
          <w:iCs/>
          <w:sz w:val="24"/>
          <w:szCs w:val="24"/>
        </w:rPr>
      </w:pPr>
      <w:r w:rsidRPr="002A66E3">
        <w:rPr>
          <w:rFonts w:ascii="Times New Roman" w:eastAsia="Calibri" w:hAnsi="Times New Roman" w:cs="Times New Roman"/>
          <w:i/>
          <w:iCs/>
          <w:sz w:val="24"/>
          <w:szCs w:val="24"/>
        </w:rPr>
        <w:t>Failed Coups</w:t>
      </w:r>
    </w:p>
    <w:p w14:paraId="5BF5775B" w14:textId="77777777" w:rsidR="00D04996" w:rsidRDefault="00D04996" w:rsidP="00D04996">
      <w:pPr>
        <w:spacing w:after="0" w:line="48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For a measure of failed coups, I rely on the Colpus Dataset, which categorizes coup attempts into military and non-military categories, with the former requiring the participation of “at least one </w:t>
      </w:r>
      <w:r>
        <w:rPr>
          <w:rFonts w:ascii="Times New Roman" w:eastAsia="Calibri" w:hAnsi="Times New Roman" w:cs="Times New Roman"/>
          <w:sz w:val="24"/>
          <w:szCs w:val="24"/>
        </w:rPr>
        <w:lastRenderedPageBreak/>
        <w:t>current and active member of the regime’s military and/or security apparatus” (Chin et al. 2021, 3). Although a stretch from Thompson’s (1973) definition introduced prior, Colpus offers the most comprehensive data on military coups to date. The authors rely on an unprecedented amount of documentation to justify, provide transparency for and bolster confidence in their coding of coup events. Alternative datasets either fail to distinguish military coups from coups organized by other within-regime elites (Powell and Thyne 2011), do not distinguish between successful and failed coups, while also failing to provide transparent coding rules (Belkin and Schofer 2005), or provide a definition of coups that does not target the sitting executive (Buddy et al. 2024). That said, I reproduce my findings using the most widely cited coup dataset, the Powell and Thyne (2011) (PT) dataset, as well.</w:t>
      </w:r>
    </w:p>
    <w:p w14:paraId="72F0C246" w14:textId="77777777" w:rsidR="00D04996" w:rsidRPr="001067FD" w:rsidRDefault="00D04996" w:rsidP="00D04996">
      <w:pPr>
        <w:spacing w:after="0" w:line="480" w:lineRule="auto"/>
        <w:jc w:val="center"/>
        <w:rPr>
          <w:rFonts w:ascii="Times New Roman" w:eastAsia="Calibri" w:hAnsi="Times New Roman" w:cs="Times New Roman"/>
          <w:sz w:val="20"/>
          <w:szCs w:val="20"/>
        </w:rPr>
      </w:pPr>
      <w:r w:rsidRPr="001067FD">
        <w:rPr>
          <w:rFonts w:ascii="Times New Roman" w:eastAsia="Calibri" w:hAnsi="Times New Roman" w:cs="Times New Roman"/>
          <w:sz w:val="20"/>
          <w:szCs w:val="20"/>
        </w:rPr>
        <w:t>Figure 2: Failed Coups Time Trend</w:t>
      </w:r>
    </w:p>
    <w:p w14:paraId="1959E248" w14:textId="77777777" w:rsidR="00D04996" w:rsidRDefault="00D04996" w:rsidP="00D04996">
      <w:pPr>
        <w:spacing w:after="0" w:line="480" w:lineRule="auto"/>
        <w:jc w:val="center"/>
        <w:rPr>
          <w:rFonts w:ascii="Times New Roman" w:eastAsia="Calibri" w:hAnsi="Times New Roman" w:cs="Times New Roman"/>
          <w:sz w:val="24"/>
          <w:szCs w:val="24"/>
        </w:rPr>
      </w:pPr>
      <w:r>
        <w:rPr>
          <w:noProof/>
        </w:rPr>
        <w:drawing>
          <wp:inline distT="0" distB="0" distL="0" distR="0" wp14:anchorId="35476CD7" wp14:editId="4DA9A233">
            <wp:extent cx="5819961" cy="3268133"/>
            <wp:effectExtent l="0" t="0" r="0" b="8890"/>
            <wp:docPr id="914411074" name="Picture 2" descr="A graph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11074" name="Picture 2" descr="A graph with black line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0120" cy="3391761"/>
                    </a:xfrm>
                    <a:prstGeom prst="rect">
                      <a:avLst/>
                    </a:prstGeom>
                    <a:noFill/>
                    <a:ln>
                      <a:noFill/>
                    </a:ln>
                  </pic:spPr>
                </pic:pic>
              </a:graphicData>
            </a:graphic>
          </wp:inline>
        </w:drawing>
      </w:r>
    </w:p>
    <w:p w14:paraId="284A9888" w14:textId="77777777" w:rsidR="00D04996" w:rsidRDefault="00D04996" w:rsidP="00D04996">
      <w:pPr>
        <w:spacing w:after="0" w:line="48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 xml:space="preserve">A failed coup is broadly defined by Colpus as a coup event in which the regime leader does not lose power during the calendar dates of the event (Chin et al. 2021, 11). If multiple failed coups occur in a single leader-year, they are coded as a single event. For the period 1960 to </w:t>
      </w:r>
      <w:r>
        <w:rPr>
          <w:rFonts w:ascii="Times New Roman" w:eastAsia="Calibri" w:hAnsi="Times New Roman" w:cs="Times New Roman"/>
          <w:sz w:val="24"/>
          <w:szCs w:val="24"/>
        </w:rPr>
        <w:lastRenderedPageBreak/>
        <w:t>2010, 129 such events are identified. Figure 2 shows that despite declining in frequency since the 1970s, there have only been seven years that did not experience a failed coup in the sample.</w:t>
      </w:r>
    </w:p>
    <w:p w14:paraId="50CA71F9" w14:textId="77777777" w:rsidR="00D04996" w:rsidRPr="00AE07FE" w:rsidRDefault="00D04996" w:rsidP="00D04996">
      <w:pPr>
        <w:spacing w:after="0" w:line="480" w:lineRule="auto"/>
        <w:rPr>
          <w:rFonts w:ascii="Times New Roman" w:hAnsi="Times New Roman" w:cs="Times New Roman"/>
          <w:i/>
          <w:iCs/>
          <w:sz w:val="24"/>
          <w:szCs w:val="24"/>
        </w:rPr>
      </w:pPr>
      <w:r w:rsidRPr="00AE07FE">
        <w:rPr>
          <w:rFonts w:ascii="Times New Roman" w:hAnsi="Times New Roman" w:cs="Times New Roman"/>
          <w:i/>
          <w:iCs/>
          <w:sz w:val="24"/>
          <w:szCs w:val="24"/>
        </w:rPr>
        <w:t>Treatment</w:t>
      </w:r>
    </w:p>
    <w:p w14:paraId="01832BC3" w14:textId="4CE7D00A" w:rsidR="00D04996" w:rsidRDefault="00D04996" w:rsidP="00D04996">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The main independent variable of interest is ‘Post-Fail Coup’, which is </w:t>
      </w:r>
      <w:r w:rsidRPr="00C73781">
        <w:rPr>
          <w:rFonts w:ascii="Times New Roman" w:hAnsi="Times New Roman" w:cs="Times New Roman"/>
          <w:sz w:val="24"/>
          <w:szCs w:val="24"/>
        </w:rPr>
        <w:t>coded as 0 for all leader-year observations that have not experienced a failed coup prior and 1 for all observations after a failed coup within a given leader-spell. If more than one failed coup occurs, these observations are also coded as 1 until the end of that leader-spell. The treatment is coded at the group-level, which allows one to distinguish between three groups. First, the ‘never-treated’, or leader-spells that have never experienced a failed coup and are thus coded as a 0</w:t>
      </w:r>
      <w:r w:rsidR="00AF24E4">
        <w:rPr>
          <w:rFonts w:ascii="Times New Roman" w:hAnsi="Times New Roman" w:cs="Times New Roman"/>
          <w:sz w:val="24"/>
          <w:szCs w:val="24"/>
        </w:rPr>
        <w:t xml:space="preserve"> throughout</w:t>
      </w:r>
      <w:r w:rsidRPr="00C73781">
        <w:rPr>
          <w:rFonts w:ascii="Times New Roman" w:hAnsi="Times New Roman" w:cs="Times New Roman"/>
          <w:sz w:val="24"/>
          <w:szCs w:val="24"/>
        </w:rPr>
        <w:t>. Second, the ‘untreated’, or observations within leader-spells prior to the introduction of the treatment (</w:t>
      </w:r>
      <w:r w:rsidR="00A845E6">
        <w:rPr>
          <w:rFonts w:ascii="Times New Roman" w:hAnsi="Times New Roman" w:cs="Times New Roman"/>
          <w:sz w:val="24"/>
          <w:szCs w:val="24"/>
        </w:rPr>
        <w:t xml:space="preserve">also </w:t>
      </w:r>
      <w:r w:rsidRPr="00C73781">
        <w:rPr>
          <w:rFonts w:ascii="Times New Roman" w:hAnsi="Times New Roman" w:cs="Times New Roman"/>
          <w:sz w:val="24"/>
          <w:szCs w:val="24"/>
        </w:rPr>
        <w:t>coded as 0) and third,</w:t>
      </w:r>
      <w:r w:rsidR="00A845E6">
        <w:rPr>
          <w:rFonts w:ascii="Times New Roman" w:hAnsi="Times New Roman" w:cs="Times New Roman"/>
          <w:sz w:val="24"/>
          <w:szCs w:val="24"/>
        </w:rPr>
        <w:t xml:space="preserve"> </w:t>
      </w:r>
      <w:r w:rsidR="00AF24E4">
        <w:rPr>
          <w:rFonts w:ascii="Times New Roman" w:hAnsi="Times New Roman" w:cs="Times New Roman"/>
          <w:sz w:val="24"/>
          <w:szCs w:val="24"/>
        </w:rPr>
        <w:t xml:space="preserve">the </w:t>
      </w:r>
      <w:r w:rsidRPr="00C73781">
        <w:rPr>
          <w:rFonts w:ascii="Times New Roman" w:hAnsi="Times New Roman" w:cs="Times New Roman"/>
          <w:sz w:val="24"/>
          <w:szCs w:val="24"/>
        </w:rPr>
        <w:t>‘treated</w:t>
      </w:r>
      <w:r w:rsidR="00AF24E4">
        <w:rPr>
          <w:rFonts w:ascii="Times New Roman" w:hAnsi="Times New Roman" w:cs="Times New Roman"/>
          <w:sz w:val="24"/>
          <w:szCs w:val="24"/>
        </w:rPr>
        <w:t xml:space="preserve">’ – </w:t>
      </w:r>
      <w:r w:rsidRPr="00C73781">
        <w:rPr>
          <w:rFonts w:ascii="Times New Roman" w:hAnsi="Times New Roman" w:cs="Times New Roman"/>
          <w:sz w:val="24"/>
          <w:szCs w:val="24"/>
        </w:rPr>
        <w:t>observations within leader-spells after the introduction of the treatment (coded as 1).</w:t>
      </w:r>
      <w:r>
        <w:rPr>
          <w:rFonts w:ascii="Times New Roman" w:hAnsi="Times New Roman" w:cs="Times New Roman"/>
          <w:sz w:val="24"/>
          <w:szCs w:val="24"/>
        </w:rPr>
        <w:t xml:space="preserve"> The treatment </w:t>
      </w:r>
      <w:r w:rsidR="00AF24E4">
        <w:rPr>
          <w:rFonts w:ascii="Times New Roman" w:hAnsi="Times New Roman" w:cs="Times New Roman"/>
          <w:sz w:val="24"/>
          <w:szCs w:val="24"/>
        </w:rPr>
        <w:t xml:space="preserve">itself </w:t>
      </w:r>
      <w:r w:rsidR="00506161">
        <w:rPr>
          <w:rFonts w:ascii="Times New Roman" w:hAnsi="Times New Roman" w:cs="Times New Roman"/>
          <w:sz w:val="24"/>
          <w:szCs w:val="24"/>
        </w:rPr>
        <w:t>is</w:t>
      </w:r>
      <w:r>
        <w:rPr>
          <w:rFonts w:ascii="Times New Roman" w:hAnsi="Times New Roman" w:cs="Times New Roman"/>
          <w:sz w:val="24"/>
          <w:szCs w:val="24"/>
        </w:rPr>
        <w:t xml:space="preserve"> a binary indicator of whether a given leader-year experienced a failed coup.</w:t>
      </w:r>
    </w:p>
    <w:p w14:paraId="7D109DA7" w14:textId="0C7CB2ED" w:rsidR="00964FDE" w:rsidRPr="00C10346" w:rsidRDefault="00D04996" w:rsidP="00C1034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Within the sample, 2,879 observations are coded as never-treated (73.8%), 296 observations are coded as untreated (7.6%) and 724 are coded as treated (18.6%). Figure 3 depicts the average number of counterweights by treatment status. While the never-treated and untreated units have an average of 1.381 and 1.422 counterweights respectively, treated units have an average of 1.778 counterweights. </w:t>
      </w:r>
      <w:r w:rsidRPr="00EB344E">
        <w:rPr>
          <w:rFonts w:ascii="Times New Roman" w:hAnsi="Times New Roman" w:cs="Times New Roman"/>
          <w:sz w:val="24"/>
          <w:szCs w:val="24"/>
        </w:rPr>
        <w:t xml:space="preserve">A </w:t>
      </w:r>
      <w:r w:rsidR="001C6C54">
        <w:rPr>
          <w:rFonts w:ascii="Times New Roman" w:hAnsi="Times New Roman" w:cs="Times New Roman"/>
          <w:sz w:val="24"/>
          <w:szCs w:val="24"/>
        </w:rPr>
        <w:t>basic</w:t>
      </w:r>
      <w:r w:rsidRPr="00EB344E">
        <w:rPr>
          <w:rFonts w:ascii="Times New Roman" w:hAnsi="Times New Roman" w:cs="Times New Roman"/>
          <w:sz w:val="24"/>
          <w:szCs w:val="24"/>
        </w:rPr>
        <w:t xml:space="preserve"> two-tailed t-test reveals that this difference is statistically significant at the 1% significance level (t-score of 2.701). </w:t>
      </w:r>
      <w:r w:rsidR="00796E5D">
        <w:rPr>
          <w:rFonts w:ascii="Times New Roman" w:hAnsi="Times New Roman" w:cs="Times New Roman"/>
          <w:sz w:val="24"/>
          <w:szCs w:val="24"/>
        </w:rPr>
        <w:t>While</w:t>
      </w:r>
      <w:r w:rsidR="00434A08">
        <w:rPr>
          <w:rFonts w:ascii="Times New Roman" w:hAnsi="Times New Roman" w:cs="Times New Roman"/>
          <w:sz w:val="24"/>
          <w:szCs w:val="24"/>
        </w:rPr>
        <w:t xml:space="preserve"> this </w:t>
      </w:r>
      <w:r w:rsidR="001C6C54">
        <w:rPr>
          <w:rFonts w:ascii="Times New Roman" w:hAnsi="Times New Roman" w:cs="Times New Roman"/>
          <w:sz w:val="24"/>
          <w:szCs w:val="24"/>
        </w:rPr>
        <w:t xml:space="preserve">preliminary </w:t>
      </w:r>
      <w:r w:rsidR="007460B6">
        <w:rPr>
          <w:rFonts w:ascii="Times New Roman" w:hAnsi="Times New Roman" w:cs="Times New Roman"/>
          <w:sz w:val="24"/>
          <w:szCs w:val="24"/>
        </w:rPr>
        <w:t xml:space="preserve">test </w:t>
      </w:r>
      <w:r w:rsidR="00F33A95">
        <w:rPr>
          <w:rFonts w:ascii="Times New Roman" w:hAnsi="Times New Roman" w:cs="Times New Roman"/>
          <w:sz w:val="24"/>
          <w:szCs w:val="24"/>
        </w:rPr>
        <w:t xml:space="preserve">provides </w:t>
      </w:r>
      <w:r w:rsidR="001C6C54">
        <w:rPr>
          <w:rFonts w:ascii="Times New Roman" w:hAnsi="Times New Roman" w:cs="Times New Roman"/>
          <w:sz w:val="24"/>
          <w:szCs w:val="24"/>
        </w:rPr>
        <w:t xml:space="preserve">some evidence in favor of </w:t>
      </w:r>
      <w:r w:rsidR="00AF24E4">
        <w:rPr>
          <w:rFonts w:ascii="Times New Roman" w:hAnsi="Times New Roman" w:cs="Times New Roman"/>
          <w:sz w:val="24"/>
          <w:szCs w:val="24"/>
        </w:rPr>
        <w:t>the</w:t>
      </w:r>
      <w:r w:rsidR="001C6C54">
        <w:rPr>
          <w:rFonts w:ascii="Times New Roman" w:hAnsi="Times New Roman" w:cs="Times New Roman"/>
          <w:sz w:val="24"/>
          <w:szCs w:val="24"/>
        </w:rPr>
        <w:t xml:space="preserve"> </w:t>
      </w:r>
      <w:r w:rsidR="007716B3">
        <w:rPr>
          <w:rFonts w:ascii="Times New Roman" w:hAnsi="Times New Roman" w:cs="Times New Roman"/>
          <w:sz w:val="24"/>
          <w:szCs w:val="24"/>
        </w:rPr>
        <w:t>hypothesis</w:t>
      </w:r>
      <w:r w:rsidR="00434A08">
        <w:rPr>
          <w:rFonts w:ascii="Times New Roman" w:hAnsi="Times New Roman" w:cs="Times New Roman"/>
          <w:sz w:val="24"/>
          <w:szCs w:val="24"/>
        </w:rPr>
        <w:t xml:space="preserve">, </w:t>
      </w:r>
      <w:r w:rsidR="007716B3">
        <w:rPr>
          <w:rFonts w:ascii="Times New Roman" w:hAnsi="Times New Roman" w:cs="Times New Roman"/>
          <w:sz w:val="24"/>
          <w:szCs w:val="24"/>
        </w:rPr>
        <w:t>it is likely to suffer from confounding bias</w:t>
      </w:r>
      <w:r w:rsidR="0005405A">
        <w:rPr>
          <w:rFonts w:ascii="Times New Roman" w:hAnsi="Times New Roman" w:cs="Times New Roman"/>
          <w:sz w:val="24"/>
          <w:szCs w:val="24"/>
        </w:rPr>
        <w:t xml:space="preserve">. </w:t>
      </w:r>
      <w:r w:rsidR="0092221C">
        <w:rPr>
          <w:rFonts w:ascii="Times New Roman" w:hAnsi="Times New Roman" w:cs="Times New Roman"/>
          <w:sz w:val="24"/>
          <w:szCs w:val="24"/>
        </w:rPr>
        <w:t>A</w:t>
      </w:r>
      <w:r w:rsidR="0005405A">
        <w:rPr>
          <w:rFonts w:ascii="Times New Roman" w:hAnsi="Times New Roman" w:cs="Times New Roman"/>
          <w:sz w:val="24"/>
          <w:szCs w:val="24"/>
        </w:rPr>
        <w:t xml:space="preserve"> more robust empirical strategy is </w:t>
      </w:r>
      <w:r w:rsidR="0092221C">
        <w:rPr>
          <w:rFonts w:ascii="Times New Roman" w:hAnsi="Times New Roman" w:cs="Times New Roman"/>
          <w:sz w:val="24"/>
          <w:szCs w:val="24"/>
        </w:rPr>
        <w:t xml:space="preserve">thus </w:t>
      </w:r>
      <w:r w:rsidR="0005405A">
        <w:rPr>
          <w:rFonts w:ascii="Times New Roman" w:hAnsi="Times New Roman" w:cs="Times New Roman"/>
          <w:sz w:val="24"/>
          <w:szCs w:val="24"/>
        </w:rPr>
        <w:t>necessary to gauge the causal effect.</w:t>
      </w:r>
    </w:p>
    <w:p w14:paraId="49B50AA7" w14:textId="77777777" w:rsidR="005402A8" w:rsidRDefault="005402A8" w:rsidP="00B60876">
      <w:pPr>
        <w:spacing w:after="0" w:line="480" w:lineRule="auto"/>
        <w:jc w:val="center"/>
        <w:rPr>
          <w:rFonts w:ascii="Times New Roman" w:hAnsi="Times New Roman" w:cs="Times New Roman"/>
          <w:sz w:val="20"/>
          <w:szCs w:val="20"/>
        </w:rPr>
      </w:pPr>
    </w:p>
    <w:p w14:paraId="125681AC" w14:textId="77777777" w:rsidR="005402A8" w:rsidRDefault="005402A8" w:rsidP="00B60876">
      <w:pPr>
        <w:spacing w:after="0" w:line="480" w:lineRule="auto"/>
        <w:jc w:val="center"/>
        <w:rPr>
          <w:rFonts w:ascii="Times New Roman" w:hAnsi="Times New Roman" w:cs="Times New Roman"/>
          <w:sz w:val="20"/>
          <w:szCs w:val="20"/>
        </w:rPr>
      </w:pPr>
    </w:p>
    <w:p w14:paraId="31947E2B" w14:textId="77777777" w:rsidR="005402A8" w:rsidRDefault="005402A8" w:rsidP="00B60876">
      <w:pPr>
        <w:spacing w:after="0" w:line="480" w:lineRule="auto"/>
        <w:jc w:val="center"/>
        <w:rPr>
          <w:rFonts w:ascii="Times New Roman" w:hAnsi="Times New Roman" w:cs="Times New Roman"/>
          <w:sz w:val="20"/>
          <w:szCs w:val="20"/>
        </w:rPr>
      </w:pPr>
    </w:p>
    <w:p w14:paraId="3E6034D2" w14:textId="1BB95F94" w:rsidR="00B60876" w:rsidRPr="00CB6F32" w:rsidRDefault="00B60876" w:rsidP="00B60876">
      <w:pPr>
        <w:spacing w:after="0" w:line="480" w:lineRule="auto"/>
        <w:jc w:val="center"/>
        <w:rPr>
          <w:rFonts w:ascii="Times New Roman" w:hAnsi="Times New Roman" w:cs="Times New Roman"/>
          <w:sz w:val="20"/>
          <w:szCs w:val="20"/>
        </w:rPr>
      </w:pPr>
      <w:r w:rsidRPr="00CB6F32">
        <w:rPr>
          <w:rFonts w:ascii="Times New Roman" w:hAnsi="Times New Roman" w:cs="Times New Roman"/>
          <w:sz w:val="20"/>
          <w:szCs w:val="20"/>
        </w:rPr>
        <w:lastRenderedPageBreak/>
        <w:t>Figure 3: Average Number of Counterweights by Treatment Status</w:t>
      </w:r>
    </w:p>
    <w:p w14:paraId="219DD0CE" w14:textId="2DB31B37" w:rsidR="00B60876" w:rsidRDefault="00B60876" w:rsidP="002C2AEB">
      <w:pPr>
        <w:spacing w:after="0" w:line="480" w:lineRule="auto"/>
        <w:jc w:val="center"/>
        <w:rPr>
          <w:rFonts w:ascii="Times New Roman" w:hAnsi="Times New Roman" w:cs="Times New Roman"/>
          <w:sz w:val="24"/>
          <w:szCs w:val="24"/>
        </w:rPr>
      </w:pPr>
      <w:r>
        <w:rPr>
          <w:rFonts w:eastAsia="Calibri" w:cs="Times New Roman"/>
          <w:noProof/>
        </w:rPr>
        <w:drawing>
          <wp:inline distT="0" distB="0" distL="0" distR="0" wp14:anchorId="5844B8AE" wp14:editId="638E63FF">
            <wp:extent cx="5494867" cy="3085578"/>
            <wp:effectExtent l="0" t="0" r="0" b="635"/>
            <wp:docPr id="292378555" name="Picture 5"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78555" name="Picture 5" descr="A graph with a line graph&#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4872" cy="3175427"/>
                    </a:xfrm>
                    <a:prstGeom prst="rect">
                      <a:avLst/>
                    </a:prstGeom>
                    <a:noFill/>
                    <a:ln>
                      <a:noFill/>
                    </a:ln>
                  </pic:spPr>
                </pic:pic>
              </a:graphicData>
            </a:graphic>
          </wp:inline>
        </w:drawing>
      </w:r>
    </w:p>
    <w:p w14:paraId="5A211F85" w14:textId="77777777" w:rsidR="00D04996" w:rsidRPr="008E44A1" w:rsidRDefault="00D04996" w:rsidP="00D04996">
      <w:pPr>
        <w:spacing w:after="0" w:line="480" w:lineRule="auto"/>
        <w:rPr>
          <w:rFonts w:ascii="Times New Roman" w:hAnsi="Times New Roman" w:cs="Times New Roman"/>
          <w:i/>
          <w:iCs/>
          <w:sz w:val="24"/>
          <w:szCs w:val="24"/>
        </w:rPr>
      </w:pPr>
      <w:r w:rsidRPr="008E44A1">
        <w:rPr>
          <w:rFonts w:ascii="Times New Roman" w:hAnsi="Times New Roman" w:cs="Times New Roman"/>
          <w:i/>
          <w:iCs/>
          <w:sz w:val="24"/>
          <w:szCs w:val="24"/>
        </w:rPr>
        <w:t>Empirical Strategy</w:t>
      </w:r>
    </w:p>
    <w:p w14:paraId="43C320CF" w14:textId="6E4DBF8E" w:rsidR="00D04996" w:rsidRDefault="00D04996" w:rsidP="00D04996">
      <w:pPr>
        <w:spacing w:after="0" w:line="480" w:lineRule="auto"/>
        <w:rPr>
          <w:rFonts w:ascii="Times New Roman" w:hAnsi="Times New Roman" w:cs="Times New Roman"/>
          <w:sz w:val="24"/>
          <w:szCs w:val="24"/>
        </w:rPr>
      </w:pPr>
      <w:r>
        <w:rPr>
          <w:rFonts w:ascii="Times New Roman" w:hAnsi="Times New Roman" w:cs="Times New Roman"/>
          <w:sz w:val="24"/>
          <w:szCs w:val="24"/>
        </w:rPr>
        <w:t>To test the hypothesis empirically, I rely on a difference-in-difference</w:t>
      </w:r>
      <w:r w:rsidR="0019220C">
        <w:rPr>
          <w:rFonts w:ascii="Times New Roman" w:hAnsi="Times New Roman" w:cs="Times New Roman"/>
          <w:sz w:val="24"/>
          <w:szCs w:val="24"/>
        </w:rPr>
        <w:t>s</w:t>
      </w:r>
      <w:r>
        <w:rPr>
          <w:rFonts w:ascii="Times New Roman" w:hAnsi="Times New Roman" w:cs="Times New Roman"/>
          <w:sz w:val="24"/>
          <w:szCs w:val="24"/>
        </w:rPr>
        <w:t xml:space="preserve"> (DID) estimator. Drawing on </w:t>
      </w:r>
      <w:r w:rsidRPr="00CC4005">
        <w:rPr>
          <w:rFonts w:ascii="Times New Roman" w:hAnsi="Times New Roman" w:cs="Times New Roman"/>
          <w:sz w:val="24"/>
          <w:szCs w:val="24"/>
        </w:rPr>
        <w:t>the potential outcomes framework</w:t>
      </w:r>
      <w:r>
        <w:rPr>
          <w:rFonts w:ascii="Times New Roman" w:hAnsi="Times New Roman" w:cs="Times New Roman"/>
          <w:sz w:val="24"/>
          <w:szCs w:val="24"/>
        </w:rPr>
        <w:t xml:space="preserve">, </w:t>
      </w:r>
      <w:r w:rsidRPr="00CC4005">
        <w:rPr>
          <w:rFonts w:ascii="Times New Roman" w:hAnsi="Times New Roman" w:cs="Times New Roman"/>
          <w:sz w:val="24"/>
          <w:szCs w:val="24"/>
        </w:rPr>
        <w:t xml:space="preserve">the estimand is the average treatment effect on the treated (ATET), or the difference in the potential outcomes under treatment post-treatment, minus the </w:t>
      </w:r>
    </w:p>
    <w:p w14:paraId="2FCE89D4" w14:textId="77777777" w:rsidR="00D04996" w:rsidRDefault="00D04996" w:rsidP="00D04996">
      <w:pPr>
        <w:spacing w:after="0" w:line="480" w:lineRule="auto"/>
        <w:rPr>
          <w:rFonts w:ascii="Times New Roman" w:hAnsi="Times New Roman" w:cs="Times New Roman"/>
          <w:sz w:val="24"/>
          <w:szCs w:val="24"/>
        </w:rPr>
      </w:pPr>
      <w:r w:rsidRPr="00CC4005">
        <w:rPr>
          <w:rFonts w:ascii="Times New Roman" w:hAnsi="Times New Roman" w:cs="Times New Roman"/>
          <w:sz w:val="24"/>
          <w:szCs w:val="24"/>
        </w:rPr>
        <w:t>potential outcome under control post-treatment. As one cannot observe the latter, the DID estimator imputes the missing potential outcome under control through parallel trends – the idea being that the never-treated group can act as a counterfactual to the unobserved control as long it behaves in a similar manner to the control in the pre-treatment period. For causal identification, the DID requires the following assumptions to be satisfied.</w:t>
      </w:r>
    </w:p>
    <w:p w14:paraId="218A61AF" w14:textId="4C0B0063" w:rsidR="00D04996" w:rsidRDefault="00D04996" w:rsidP="00D04996">
      <w:pPr>
        <w:spacing w:after="0" w:line="480" w:lineRule="auto"/>
        <w:rPr>
          <w:rFonts w:ascii="Times New Roman" w:hAnsi="Times New Roman" w:cs="Times New Roman"/>
          <w:sz w:val="24"/>
          <w:szCs w:val="24"/>
        </w:rPr>
      </w:pPr>
      <w:r>
        <w:rPr>
          <w:rFonts w:ascii="Times New Roman" w:hAnsi="Times New Roman" w:cs="Times New Roman"/>
          <w:sz w:val="24"/>
          <w:szCs w:val="24"/>
        </w:rPr>
        <w:tab/>
        <w:t>First, the treatment must be</w:t>
      </w:r>
      <w:r w:rsidR="0005405A" w:rsidRPr="005E23A3">
        <w:rPr>
          <w:rFonts w:ascii="Times New Roman" w:hAnsi="Times New Roman" w:cs="Times New Roman"/>
          <w:sz w:val="24"/>
          <w:szCs w:val="24"/>
        </w:rPr>
        <w:t xml:space="preserve"> conditionally</w:t>
      </w:r>
      <w:r>
        <w:rPr>
          <w:rFonts w:ascii="Times New Roman" w:hAnsi="Times New Roman" w:cs="Times New Roman"/>
          <w:sz w:val="24"/>
          <w:szCs w:val="24"/>
        </w:rPr>
        <w:t xml:space="preserve"> independent of the outcome. This means that previous counterbalancing efforts should not determine when a</w:t>
      </w:r>
      <w:r w:rsidR="00E80474">
        <w:rPr>
          <w:rFonts w:ascii="Times New Roman" w:hAnsi="Times New Roman" w:cs="Times New Roman"/>
          <w:sz w:val="24"/>
          <w:szCs w:val="24"/>
        </w:rPr>
        <w:t xml:space="preserve"> failed attempt occurs</w:t>
      </w:r>
      <w:r w:rsidR="00033EC6">
        <w:rPr>
          <w:rFonts w:ascii="Times New Roman" w:hAnsi="Times New Roman" w:cs="Times New Roman"/>
          <w:sz w:val="24"/>
          <w:szCs w:val="24"/>
        </w:rPr>
        <w:t xml:space="preserve"> (conditional on covariates)</w:t>
      </w:r>
      <w:r w:rsidR="0005405A">
        <w:rPr>
          <w:rFonts w:ascii="Times New Roman" w:hAnsi="Times New Roman" w:cs="Times New Roman"/>
          <w:sz w:val="24"/>
          <w:szCs w:val="24"/>
        </w:rPr>
        <w:t xml:space="preserve"> – </w:t>
      </w:r>
      <w:r>
        <w:rPr>
          <w:rFonts w:ascii="Times New Roman" w:hAnsi="Times New Roman" w:cs="Times New Roman"/>
          <w:sz w:val="24"/>
          <w:szCs w:val="24"/>
        </w:rPr>
        <w:t xml:space="preserve">a strong assumption, but not entirely implausible. </w:t>
      </w:r>
      <w:r w:rsidRPr="00435E2F">
        <w:rPr>
          <w:rFonts w:ascii="Times New Roman" w:hAnsi="Times New Roman" w:cs="Times New Roman"/>
          <w:sz w:val="24"/>
          <w:szCs w:val="24"/>
        </w:rPr>
        <w:t>Literature on counterbalancing finds mixed evidence for the existence of a deterr</w:t>
      </w:r>
      <w:r>
        <w:rPr>
          <w:rFonts w:ascii="Times New Roman" w:hAnsi="Times New Roman" w:cs="Times New Roman"/>
          <w:sz w:val="24"/>
          <w:szCs w:val="24"/>
        </w:rPr>
        <w:t>ent</w:t>
      </w:r>
      <w:r w:rsidRPr="00435E2F">
        <w:rPr>
          <w:rFonts w:ascii="Times New Roman" w:hAnsi="Times New Roman" w:cs="Times New Roman"/>
          <w:sz w:val="24"/>
          <w:szCs w:val="24"/>
        </w:rPr>
        <w:t xml:space="preserve"> effect</w:t>
      </w:r>
      <w:r>
        <w:rPr>
          <w:rFonts w:ascii="Times New Roman" w:hAnsi="Times New Roman" w:cs="Times New Roman"/>
          <w:sz w:val="24"/>
          <w:szCs w:val="24"/>
        </w:rPr>
        <w:t xml:space="preserve"> </w:t>
      </w:r>
      <w:r w:rsidRPr="00435E2F">
        <w:rPr>
          <w:rFonts w:ascii="Times New Roman" w:hAnsi="Times New Roman" w:cs="Times New Roman"/>
          <w:sz w:val="24"/>
          <w:szCs w:val="24"/>
        </w:rPr>
        <w:t xml:space="preserve">(Powell 2012), with more recent </w:t>
      </w:r>
      <w:r>
        <w:rPr>
          <w:rFonts w:ascii="Times New Roman" w:hAnsi="Times New Roman" w:cs="Times New Roman"/>
          <w:sz w:val="24"/>
          <w:szCs w:val="24"/>
        </w:rPr>
        <w:lastRenderedPageBreak/>
        <w:t xml:space="preserve">studies suggesting </w:t>
      </w:r>
      <w:r w:rsidRPr="00435E2F">
        <w:rPr>
          <w:rFonts w:ascii="Times New Roman" w:hAnsi="Times New Roman" w:cs="Times New Roman"/>
          <w:sz w:val="24"/>
          <w:szCs w:val="24"/>
        </w:rPr>
        <w:t>that the coup-proofing strategy has no effect on coup</w:t>
      </w:r>
      <w:r>
        <w:rPr>
          <w:rFonts w:ascii="Times New Roman" w:hAnsi="Times New Roman" w:cs="Times New Roman"/>
          <w:sz w:val="24"/>
          <w:szCs w:val="24"/>
        </w:rPr>
        <w:t xml:space="preserve"> attempts</w:t>
      </w:r>
      <w:r w:rsidRPr="00435E2F">
        <w:rPr>
          <w:rFonts w:ascii="Times New Roman" w:hAnsi="Times New Roman" w:cs="Times New Roman"/>
          <w:sz w:val="24"/>
          <w:szCs w:val="24"/>
        </w:rPr>
        <w:t xml:space="preserve"> whatsoever </w:t>
      </w:r>
      <w:r w:rsidR="002C2AEB" w:rsidRPr="00435E2F">
        <w:rPr>
          <w:rFonts w:ascii="Times New Roman" w:hAnsi="Times New Roman" w:cs="Times New Roman"/>
          <w:sz w:val="24"/>
          <w:szCs w:val="24"/>
        </w:rPr>
        <w:t>(Albrecht 2015; De Bruin 2020).</w:t>
      </w:r>
    </w:p>
    <w:p w14:paraId="487E073D" w14:textId="047BC9AD" w:rsidR="00466EB3" w:rsidRDefault="00D04996" w:rsidP="00466EB3">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The second assumption is parallel trends. </w:t>
      </w:r>
      <w:r w:rsidRPr="001F2763">
        <w:rPr>
          <w:rFonts w:ascii="Times New Roman" w:hAnsi="Times New Roman" w:cs="Times New Roman"/>
          <w:sz w:val="24"/>
          <w:szCs w:val="24"/>
        </w:rPr>
        <w:t xml:space="preserve">Figure </w:t>
      </w:r>
      <w:r w:rsidR="001F2763" w:rsidRPr="001F2763">
        <w:rPr>
          <w:rFonts w:ascii="Times New Roman" w:hAnsi="Times New Roman" w:cs="Times New Roman"/>
          <w:sz w:val="24"/>
          <w:szCs w:val="24"/>
        </w:rPr>
        <w:t>A2.1</w:t>
      </w:r>
      <w:r>
        <w:rPr>
          <w:rFonts w:ascii="Times New Roman" w:hAnsi="Times New Roman" w:cs="Times New Roman"/>
          <w:sz w:val="24"/>
          <w:szCs w:val="24"/>
        </w:rPr>
        <w:t xml:space="preserve"> </w:t>
      </w:r>
      <w:r w:rsidR="00FF4E90">
        <w:rPr>
          <w:rFonts w:ascii="Times New Roman" w:hAnsi="Times New Roman" w:cs="Times New Roman"/>
          <w:sz w:val="24"/>
          <w:szCs w:val="24"/>
        </w:rPr>
        <w:t xml:space="preserve">provides descriptive evidence for </w:t>
      </w:r>
      <w:r w:rsidR="00750709">
        <w:rPr>
          <w:rFonts w:ascii="Times New Roman" w:hAnsi="Times New Roman" w:cs="Times New Roman"/>
          <w:sz w:val="24"/>
          <w:szCs w:val="24"/>
        </w:rPr>
        <w:t>its</w:t>
      </w:r>
      <w:r w:rsidR="00FF4E90">
        <w:rPr>
          <w:rFonts w:ascii="Times New Roman" w:hAnsi="Times New Roman" w:cs="Times New Roman"/>
          <w:sz w:val="24"/>
          <w:szCs w:val="24"/>
        </w:rPr>
        <w:t xml:space="preserve"> existence by plotting </w:t>
      </w:r>
      <w:r w:rsidR="0011350D">
        <w:rPr>
          <w:rFonts w:ascii="Times New Roman" w:hAnsi="Times New Roman" w:cs="Times New Roman"/>
          <w:sz w:val="24"/>
          <w:szCs w:val="24"/>
        </w:rPr>
        <w:t xml:space="preserve">yearly averages </w:t>
      </w:r>
      <w:r w:rsidR="007B7A49">
        <w:rPr>
          <w:rFonts w:ascii="Times New Roman" w:hAnsi="Times New Roman" w:cs="Times New Roman"/>
          <w:sz w:val="24"/>
          <w:szCs w:val="24"/>
        </w:rPr>
        <w:t xml:space="preserve">of counterweights for </w:t>
      </w:r>
      <w:r w:rsidR="00B7342C">
        <w:rPr>
          <w:rFonts w:ascii="Times New Roman" w:hAnsi="Times New Roman" w:cs="Times New Roman"/>
          <w:sz w:val="24"/>
          <w:szCs w:val="24"/>
        </w:rPr>
        <w:t xml:space="preserve">the untreated and never-treated groups. The figure shows that units prior to treatment behave the same ways as units that </w:t>
      </w:r>
      <w:r w:rsidR="00BA45D3">
        <w:rPr>
          <w:rFonts w:ascii="Times New Roman" w:hAnsi="Times New Roman" w:cs="Times New Roman"/>
          <w:sz w:val="24"/>
          <w:szCs w:val="24"/>
        </w:rPr>
        <w:t>are never treated in the pre-treatment period.</w:t>
      </w:r>
      <w:r w:rsidR="00466EB3">
        <w:rPr>
          <w:rFonts w:ascii="Times New Roman" w:hAnsi="Times New Roman" w:cs="Times New Roman"/>
          <w:sz w:val="24"/>
          <w:szCs w:val="24"/>
        </w:rPr>
        <w:t xml:space="preserve"> More robust evidence is provided through the event study models in the following section, which show no systematic differences between the treatment and control groups in the pre-treatment period. That said, pre-treatment similarity is neither necessary nor sufficient to guarantee the existence of a parallel counterfactual – a definitive test does not exist.</w:t>
      </w:r>
    </w:p>
    <w:p w14:paraId="20A0A3FF" w14:textId="77777777" w:rsidR="00D04996" w:rsidRDefault="00D04996" w:rsidP="00D04996">
      <w:pPr>
        <w:spacing w:after="0" w:line="480" w:lineRule="auto"/>
        <w:rPr>
          <w:rFonts w:ascii="Times New Roman" w:hAnsi="Times New Roman" w:cs="Times New Roman"/>
          <w:sz w:val="24"/>
          <w:szCs w:val="24"/>
        </w:rPr>
      </w:pPr>
      <w:r>
        <w:rPr>
          <w:rFonts w:ascii="Times New Roman" w:hAnsi="Times New Roman" w:cs="Times New Roman"/>
          <w:sz w:val="24"/>
          <w:szCs w:val="24"/>
        </w:rPr>
        <w:tab/>
        <w:t>Instead, anticipation effects and heterogenous treatment introduction might skew the results, in which case, I employ various specifications of DID to attempt to control for both reverse causality and non-synchronous treatment. The models are as follows:</w:t>
      </w:r>
    </w:p>
    <w:p w14:paraId="4DC030FF" w14:textId="77777777" w:rsidR="00D04996" w:rsidRPr="00891B87" w:rsidRDefault="00D04996" w:rsidP="00D04996">
      <w:pPr>
        <w:pStyle w:val="ListParagraph"/>
        <w:numPr>
          <w:ilvl w:val="0"/>
          <w:numId w:val="1"/>
        </w:numPr>
        <w:spacing w:before="240" w:after="0" w:line="480" w:lineRule="auto"/>
        <w:rPr>
          <w:rFonts w:ascii="Times New Roman" w:hAnsi="Times New Roman" w:cs="Times New Roman"/>
          <w:sz w:val="24"/>
          <w:szCs w:val="24"/>
        </w:rPr>
      </w:pPr>
      <w:r w:rsidRPr="00CA7894">
        <w:rPr>
          <w:rFonts w:ascii="Times New Roman" w:hAnsi="Times New Roman" w:cs="Times New Roman"/>
          <w:i/>
          <w:iCs/>
          <w:sz w:val="24"/>
          <w:szCs w:val="24"/>
        </w:rPr>
        <w:t>Naïve OLS</w:t>
      </w:r>
      <w:r w:rsidRPr="00CA7894">
        <w:rPr>
          <w:rFonts w:ascii="Times New Roman" w:hAnsi="Times New Roman" w:cs="Times New Roman"/>
          <w:i/>
          <w:sz w:val="24"/>
          <w:szCs w:val="24"/>
        </w:rPr>
        <w:br/>
      </w:r>
      <m:oMathPara>
        <m:oMath>
          <m:sSub>
            <m:sSubPr>
              <m:ctrlPr>
                <w:rPr>
                  <w:rFonts w:ascii="Cambria Math" w:hAnsi="Cambria Math" w:cs="Times New Roman"/>
                  <w:i/>
                  <w:sz w:val="24"/>
                  <w:szCs w:val="24"/>
                </w:rPr>
              </m:ctrlPr>
            </m:sSubPr>
            <m:e>
              <m:r>
                <w:rPr>
                  <w:rFonts w:ascii="Cambria Math" w:hAnsi="Cambria Math" w:cs="Times New Roman"/>
                  <w:sz w:val="24"/>
                  <w:szCs w:val="24"/>
                </w:rPr>
                <m:t>CB</m:t>
              </m:r>
            </m:e>
            <m:sub>
              <w:bookmarkStart w:id="3" w:name="_Hlk160049267"/>
              <m:r>
                <w:rPr>
                  <w:rFonts w:ascii="Cambria Math" w:hAnsi="Cambria Math" w:cs="Times New Roman"/>
                  <w:sz w:val="24"/>
                  <w:szCs w:val="24"/>
                </w:rPr>
                <m:t>igt</m:t>
              </m:r>
              <w:bookmarkEnd w:id="3"/>
            </m:sub>
          </m:sSub>
          <m:r>
            <w:rPr>
              <w:rFonts w:ascii="Cambria Math" w:hAnsi="Cambria Math" w:cs="Times New Roman"/>
              <w:sz w:val="24"/>
              <w:szCs w:val="24"/>
            </w:rPr>
            <m:t>=β</m:t>
          </m:r>
          <m:sSub>
            <m:sSubPr>
              <m:ctrlPr>
                <w:rPr>
                  <w:rFonts w:ascii="Cambria Math" w:hAnsi="Cambria Math" w:cs="Times New Roman"/>
                  <w:i/>
                  <w:sz w:val="24"/>
                  <w:szCs w:val="24"/>
                </w:rPr>
              </m:ctrlPr>
            </m:sSubPr>
            <m:e>
              <m:r>
                <w:rPr>
                  <w:rFonts w:ascii="Cambria Math" w:hAnsi="Cambria Math" w:cs="Times New Roman"/>
                  <w:sz w:val="24"/>
                  <w:szCs w:val="24"/>
                </w:rPr>
                <m:t>PostFail</m:t>
              </m:r>
            </m:e>
            <m:sub>
              <m:r>
                <w:rPr>
                  <w:rFonts w:ascii="Cambria Math" w:hAnsi="Cambria Math" w:cs="Times New Roman"/>
                  <w:sz w:val="24"/>
                  <w:szCs w:val="24"/>
                </w:rPr>
                <m:t>igt-1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μ</m:t>
              </m:r>
            </m:e>
            <m:sub>
              <m:r>
                <w:rPr>
                  <w:rFonts w:ascii="Cambria Math" w:eastAsiaTheme="minorEastAsia" w:hAnsi="Cambria Math" w:cs="Times New Roman"/>
                  <w:sz w:val="24"/>
                  <w:szCs w:val="24"/>
                </w:rPr>
                <m:t>g</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ε</m:t>
              </m:r>
            </m:e>
            <m:sub>
              <m:r>
                <w:rPr>
                  <w:rFonts w:ascii="Cambria Math" w:eastAsiaTheme="minorEastAsia" w:hAnsi="Cambria Math" w:cs="Times New Roman"/>
                  <w:sz w:val="24"/>
                  <w:szCs w:val="24"/>
                </w:rPr>
                <m:t>igt</m:t>
              </m:r>
            </m:sub>
          </m:sSub>
        </m:oMath>
      </m:oMathPara>
    </w:p>
    <w:p w14:paraId="61248BCA" w14:textId="77777777" w:rsidR="00D04996" w:rsidRPr="00C369A3" w:rsidRDefault="00D04996" w:rsidP="002C2AEB">
      <w:pPr>
        <w:spacing w:after="0" w:line="480" w:lineRule="auto"/>
        <w:ind w:firstLine="360"/>
        <w:rPr>
          <w:rFonts w:ascii="Times New Roman" w:eastAsiaTheme="minorEastAsia" w:hAnsi="Times New Roman" w:cs="Times New Roman"/>
          <w:sz w:val="24"/>
          <w:szCs w:val="24"/>
        </w:rPr>
      </w:pPr>
      <w:r w:rsidRPr="00C369A3">
        <w:rPr>
          <w:rFonts w:ascii="Times New Roman" w:hAnsi="Times New Roman" w:cs="Times New Roman"/>
          <w:sz w:val="24"/>
          <w:szCs w:val="24"/>
        </w:rPr>
        <w:t xml:space="preserve">Where </w:t>
      </w:r>
      <m:oMath>
        <m:r>
          <w:rPr>
            <w:rFonts w:ascii="Cambria Math" w:hAnsi="Cambria Math" w:cs="Times New Roman"/>
            <w:sz w:val="24"/>
            <w:szCs w:val="24"/>
          </w:rPr>
          <m:t>i</m:t>
        </m:r>
      </m:oMath>
      <w:r w:rsidRPr="00C369A3">
        <w:rPr>
          <w:rFonts w:ascii="Times New Roman" w:hAnsi="Times New Roman" w:cs="Times New Roman"/>
          <w:sz w:val="24"/>
          <w:szCs w:val="24"/>
        </w:rPr>
        <w:t xml:space="preserve"> indexes each unit within group </w:t>
      </w:r>
      <m:oMath>
        <m:r>
          <w:rPr>
            <w:rFonts w:ascii="Cambria Math" w:hAnsi="Cambria Math" w:cs="Times New Roman"/>
            <w:sz w:val="24"/>
            <w:szCs w:val="24"/>
          </w:rPr>
          <m:t>g</m:t>
        </m:r>
      </m:oMath>
      <w:r w:rsidRPr="00C369A3">
        <w:rPr>
          <w:rFonts w:ascii="Times New Roman" w:hAnsi="Times New Roman" w:cs="Times New Roman"/>
          <w:i/>
          <w:iCs/>
          <w:sz w:val="24"/>
          <w:szCs w:val="24"/>
        </w:rPr>
        <w:t xml:space="preserve"> </w:t>
      </w:r>
      <w:r w:rsidRPr="00C369A3">
        <w:rPr>
          <w:rFonts w:ascii="Times New Roman" w:hAnsi="Times New Roman" w:cs="Times New Roman"/>
          <w:sz w:val="24"/>
          <w:szCs w:val="24"/>
        </w:rPr>
        <w:t>in period</w:t>
      </w:r>
      <w:r w:rsidRPr="00C369A3">
        <w:rPr>
          <w:rFonts w:ascii="Times New Roman" w:hAnsi="Times New Roman" w:cs="Times New Roman"/>
          <w:i/>
          <w:sz w:val="24"/>
          <w:szCs w:val="24"/>
        </w:rPr>
        <w:t xml:space="preserve"> </w:t>
      </w:r>
      <m:oMath>
        <m:r>
          <w:rPr>
            <w:rFonts w:ascii="Cambria Math" w:hAnsi="Cambria Math" w:cs="Times New Roman"/>
            <w:sz w:val="24"/>
            <w:szCs w:val="24"/>
          </w:rPr>
          <m:t>t</m:t>
        </m:r>
      </m:oMath>
      <w:r w:rsidRPr="00C369A3">
        <w:rPr>
          <w:rFonts w:ascii="Times New Roman" w:hAnsi="Times New Roman" w:cs="Times New Roman"/>
          <w:sz w:val="24"/>
          <w:szCs w:val="24"/>
        </w:rPr>
        <w:t xml:space="preserve">, while </w:t>
      </w:r>
      <m:oMath>
        <m:r>
          <w:rPr>
            <w:rFonts w:ascii="Cambria Math" w:eastAsiaTheme="minorEastAsia" w:hAnsi="Cambria Math" w:cs="Times New Roman"/>
            <w:sz w:val="24"/>
            <w:szCs w:val="24"/>
          </w:rPr>
          <m:t>μ</m:t>
        </m:r>
      </m:oMath>
      <w:r w:rsidRPr="00C369A3">
        <w:rPr>
          <w:rFonts w:ascii="Times New Roman" w:eastAsiaTheme="minorEastAsia" w:hAnsi="Times New Roman" w:cs="Times New Roman"/>
          <w:sz w:val="24"/>
          <w:szCs w:val="24"/>
        </w:rPr>
        <w:t xml:space="preserve"> captures group-level fixed effects and </w:t>
      </w:r>
      <m:oMath>
        <m:r>
          <w:rPr>
            <w:rFonts w:ascii="Cambria Math" w:eastAsiaTheme="minorEastAsia" w:hAnsi="Cambria Math" w:cs="Times New Roman"/>
            <w:sz w:val="24"/>
            <w:szCs w:val="24"/>
          </w:rPr>
          <m:t>ε</m:t>
        </m:r>
      </m:oMath>
      <w:r w:rsidRPr="00C369A3">
        <w:rPr>
          <w:rFonts w:ascii="Times New Roman" w:eastAsiaTheme="minorEastAsia" w:hAnsi="Times New Roman" w:cs="Times New Roman"/>
          <w:sz w:val="24"/>
          <w:szCs w:val="24"/>
        </w:rPr>
        <w:t xml:space="preserve"> is the error term. Given that the treatment is coded at the group level, all models include group-level fixed-effects. Likewise, the independent variable is lagged by a year across all specifications. The purpose of this Naïve estimator is to make sure that the effect is not spuriously generated through the addition of extra parameters</w:t>
      </w:r>
      <w:r>
        <w:rPr>
          <w:rFonts w:ascii="Times New Roman" w:eastAsiaTheme="minorEastAsia" w:hAnsi="Times New Roman" w:cs="Times New Roman"/>
          <w:sz w:val="24"/>
          <w:szCs w:val="24"/>
        </w:rPr>
        <w:t>.</w:t>
      </w:r>
    </w:p>
    <w:p w14:paraId="5213A677" w14:textId="77777777" w:rsidR="00D04996" w:rsidRPr="00761F48" w:rsidRDefault="00D04996" w:rsidP="002C2AEB">
      <w:pPr>
        <w:pStyle w:val="ListParagraph"/>
        <w:numPr>
          <w:ilvl w:val="0"/>
          <w:numId w:val="1"/>
        </w:numPr>
        <w:spacing w:before="240" w:after="0"/>
        <w:rPr>
          <w:rFonts w:ascii="Times New Roman" w:hAnsi="Times New Roman" w:cs="Times New Roman"/>
          <w:i/>
          <w:iCs/>
          <w:sz w:val="24"/>
          <w:szCs w:val="24"/>
        </w:rPr>
      </w:pPr>
      <w:r w:rsidRPr="00761F48">
        <w:rPr>
          <w:rFonts w:ascii="Times New Roman" w:hAnsi="Times New Roman" w:cs="Times New Roman"/>
          <w:i/>
          <w:iCs/>
          <w:sz w:val="24"/>
          <w:szCs w:val="24"/>
        </w:rPr>
        <w:t>Two-Way Fixed-Effects (TWFE)</w:t>
      </w:r>
    </w:p>
    <w:p w14:paraId="56E5F427" w14:textId="77777777" w:rsidR="00D04996" w:rsidRDefault="001379FD" w:rsidP="002C2AEB">
      <w:pPr>
        <w:spacing w:before="240" w:after="0" w:line="48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CB</m:t>
              </m:r>
            </m:e>
            <m:sub>
              <m:r>
                <w:rPr>
                  <w:rFonts w:ascii="Cambria Math" w:hAnsi="Cambria Math" w:cs="Times New Roman"/>
                  <w:sz w:val="24"/>
                  <w:szCs w:val="24"/>
                </w:rPr>
                <m:t>igt</m:t>
              </m:r>
            </m:sub>
          </m:sSub>
          <m:r>
            <w:rPr>
              <w:rFonts w:ascii="Cambria Math" w:hAnsi="Cambria Math" w:cs="Times New Roman"/>
              <w:sz w:val="24"/>
              <w:szCs w:val="24"/>
            </w:rPr>
            <m:t>=β</m:t>
          </m:r>
          <m:sSub>
            <m:sSubPr>
              <m:ctrlPr>
                <w:rPr>
                  <w:rFonts w:ascii="Cambria Math" w:hAnsi="Cambria Math" w:cs="Times New Roman"/>
                  <w:i/>
                  <w:sz w:val="24"/>
                  <w:szCs w:val="24"/>
                </w:rPr>
              </m:ctrlPr>
            </m:sSubPr>
            <m:e>
              <m:r>
                <w:rPr>
                  <w:rFonts w:ascii="Cambria Math" w:hAnsi="Cambria Math" w:cs="Times New Roman"/>
                  <w:sz w:val="24"/>
                  <w:szCs w:val="24"/>
                </w:rPr>
                <m:t>PostFail</m:t>
              </m:r>
            </m:e>
            <m:sub>
              <m:r>
                <w:rPr>
                  <w:rFonts w:ascii="Cambria Math" w:hAnsi="Cambria Math" w:cs="Times New Roman"/>
                  <w:sz w:val="24"/>
                  <w:szCs w:val="24"/>
                </w:rPr>
                <m:t>igt-1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αX</m:t>
              </m:r>
            </m:e>
            <m:sub>
              <m:r>
                <w:rPr>
                  <w:rFonts w:ascii="Cambria Math" w:eastAsiaTheme="minorEastAsia" w:hAnsi="Cambria Math" w:cs="Times New Roman"/>
                  <w:sz w:val="24"/>
                  <w:szCs w:val="24"/>
                </w:rPr>
                <m:t>igt-1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μ</m:t>
              </m:r>
            </m:e>
            <m:sub>
              <m:r>
                <w:rPr>
                  <w:rFonts w:ascii="Cambria Math" w:eastAsiaTheme="minorEastAsia" w:hAnsi="Cambria Math" w:cs="Times New Roman"/>
                  <w:sz w:val="24"/>
                  <w:szCs w:val="24"/>
                </w:rPr>
                <m:t>g</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t</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ε</m:t>
              </m:r>
            </m:e>
            <m:sub>
              <m:r>
                <w:rPr>
                  <w:rFonts w:ascii="Cambria Math" w:eastAsiaTheme="minorEastAsia" w:hAnsi="Cambria Math" w:cs="Times New Roman"/>
                  <w:sz w:val="24"/>
                  <w:szCs w:val="24"/>
                </w:rPr>
                <m:t>igt</m:t>
              </m:r>
            </m:sub>
          </m:sSub>
        </m:oMath>
      </m:oMathPara>
    </w:p>
    <w:p w14:paraId="4ED45C9A" w14:textId="3BC68E93" w:rsidR="00D04996" w:rsidRDefault="00D04996" w:rsidP="00D04996">
      <w:pPr>
        <w:spacing w:before="240" w:after="0" w:line="480" w:lineRule="auto"/>
        <w:ind w:firstLine="720"/>
        <w:rPr>
          <w:rFonts w:ascii="Times New Roman" w:eastAsiaTheme="minorEastAsia" w:hAnsi="Times New Roman" w:cs="Times New Roman"/>
          <w:sz w:val="24"/>
          <w:szCs w:val="24"/>
        </w:rPr>
      </w:pPr>
      <w:r w:rsidRPr="006D5938">
        <w:rPr>
          <w:rFonts w:ascii="Times New Roman" w:hAnsi="Times New Roman" w:cs="Times New Roman"/>
          <w:sz w:val="24"/>
          <w:szCs w:val="24"/>
        </w:rPr>
        <w:lastRenderedPageBreak/>
        <w:t xml:space="preserve">Where </w:t>
      </w:r>
      <m:oMath>
        <m:r>
          <w:rPr>
            <w:rFonts w:ascii="Cambria Math" w:hAnsi="Cambria Math" w:cs="Times New Roman"/>
            <w:sz w:val="24"/>
            <w:szCs w:val="24"/>
          </w:rPr>
          <m:t>i</m:t>
        </m:r>
      </m:oMath>
      <w:r w:rsidRPr="006D5938">
        <w:rPr>
          <w:rFonts w:ascii="Times New Roman" w:hAnsi="Times New Roman" w:cs="Times New Roman"/>
          <w:sz w:val="24"/>
          <w:szCs w:val="24"/>
        </w:rPr>
        <w:t xml:space="preserve"> indexes each unit within group </w:t>
      </w:r>
      <m:oMath>
        <m:r>
          <w:rPr>
            <w:rFonts w:ascii="Cambria Math" w:hAnsi="Cambria Math" w:cs="Times New Roman"/>
            <w:sz w:val="24"/>
            <w:szCs w:val="24"/>
          </w:rPr>
          <m:t>g</m:t>
        </m:r>
      </m:oMath>
      <w:r w:rsidRPr="006D5938">
        <w:rPr>
          <w:rFonts w:ascii="Times New Roman" w:hAnsi="Times New Roman" w:cs="Times New Roman"/>
          <w:i/>
          <w:iCs/>
          <w:sz w:val="24"/>
          <w:szCs w:val="24"/>
        </w:rPr>
        <w:t xml:space="preserve"> </w:t>
      </w:r>
      <w:r w:rsidRPr="006D5938">
        <w:rPr>
          <w:rFonts w:ascii="Times New Roman" w:hAnsi="Times New Roman" w:cs="Times New Roman"/>
          <w:sz w:val="24"/>
          <w:szCs w:val="24"/>
        </w:rPr>
        <w:t>in period</w:t>
      </w:r>
      <w:r w:rsidRPr="006D5938">
        <w:rPr>
          <w:rFonts w:ascii="Times New Roman" w:hAnsi="Times New Roman" w:cs="Times New Roman"/>
          <w:i/>
          <w:iCs/>
          <w:sz w:val="24"/>
          <w:szCs w:val="24"/>
        </w:rPr>
        <w:t xml:space="preserve"> </w:t>
      </w:r>
      <m:oMath>
        <m:r>
          <w:rPr>
            <w:rFonts w:ascii="Cambria Math" w:hAnsi="Cambria Math" w:cs="Times New Roman"/>
            <w:sz w:val="24"/>
            <w:szCs w:val="24"/>
          </w:rPr>
          <m:t>t</m:t>
        </m:r>
      </m:oMath>
      <w:r w:rsidRPr="006D5938">
        <w:rPr>
          <w:rFonts w:ascii="Times New Roman" w:hAnsi="Times New Roman" w:cs="Times New Roman"/>
          <w:sz w:val="24"/>
          <w:szCs w:val="24"/>
        </w:rPr>
        <w:t xml:space="preserve">. </w:t>
      </w:r>
      <m:oMath>
        <m:r>
          <w:rPr>
            <w:rFonts w:ascii="Cambria Math" w:eastAsiaTheme="minorEastAsia" w:hAnsi="Cambria Math" w:cs="Times New Roman"/>
            <w:sz w:val="24"/>
            <w:szCs w:val="24"/>
          </w:rPr>
          <m:t>X</m:t>
        </m:r>
      </m:oMath>
      <w:r w:rsidRPr="006D5938">
        <w:rPr>
          <w:rFonts w:ascii="Times New Roman" w:hAnsi="Times New Roman" w:cs="Times New Roman"/>
          <w:sz w:val="24"/>
          <w:szCs w:val="24"/>
        </w:rPr>
        <w:t xml:space="preserve"> is the vector of all time-varying covariates, </w:t>
      </w:r>
      <m:oMath>
        <m:r>
          <w:rPr>
            <w:rFonts w:ascii="Cambria Math" w:eastAsiaTheme="minorEastAsia" w:hAnsi="Cambria Math" w:cs="Times New Roman"/>
            <w:sz w:val="24"/>
            <w:szCs w:val="24"/>
          </w:rPr>
          <m:t>μ</m:t>
        </m:r>
      </m:oMath>
      <w:r w:rsidRPr="006D5938">
        <w:rPr>
          <w:rFonts w:ascii="Times New Roman" w:eastAsiaTheme="minorEastAsia" w:hAnsi="Times New Roman" w:cs="Times New Roman"/>
          <w:sz w:val="24"/>
          <w:szCs w:val="24"/>
        </w:rPr>
        <w:t xml:space="preserve"> captures group-level fixed-effects; </w:t>
      </w:r>
      <m:oMath>
        <m:r>
          <w:rPr>
            <w:rFonts w:ascii="Cambria Math" w:eastAsiaTheme="minorEastAsia" w:hAnsi="Cambria Math" w:cs="Times New Roman"/>
            <w:sz w:val="24"/>
            <w:szCs w:val="24"/>
          </w:rPr>
          <m:t>ρ</m:t>
        </m:r>
      </m:oMath>
      <w:r w:rsidRPr="006D5938">
        <w:rPr>
          <w:rFonts w:ascii="Times New Roman" w:eastAsiaTheme="minorEastAsia" w:hAnsi="Times New Roman" w:cs="Times New Roman"/>
          <w:sz w:val="24"/>
          <w:szCs w:val="24"/>
        </w:rPr>
        <w:t xml:space="preserve"> captures period or time fixed-effects and </w:t>
      </w:r>
      <m:oMath>
        <m:r>
          <w:rPr>
            <w:rFonts w:ascii="Cambria Math" w:eastAsiaTheme="minorEastAsia" w:hAnsi="Cambria Math" w:cs="Times New Roman"/>
            <w:sz w:val="24"/>
            <w:szCs w:val="24"/>
          </w:rPr>
          <m:t>ε</m:t>
        </m:r>
      </m:oMath>
      <w:r w:rsidRPr="006D5938">
        <w:rPr>
          <w:rFonts w:ascii="Times New Roman" w:eastAsiaTheme="minorEastAsia" w:hAnsi="Times New Roman" w:cs="Times New Roman"/>
          <w:sz w:val="24"/>
          <w:szCs w:val="24"/>
        </w:rPr>
        <w:t xml:space="preserve"> is the error term. The second model is a basic TWFE model with group and period fixed-effects controlling </w:t>
      </w:r>
      <w:r>
        <w:rPr>
          <w:rFonts w:ascii="Times New Roman" w:eastAsiaTheme="minorEastAsia" w:hAnsi="Times New Roman" w:cs="Times New Roman"/>
          <w:sz w:val="24"/>
          <w:szCs w:val="24"/>
        </w:rPr>
        <w:t xml:space="preserve">for </w:t>
      </w:r>
      <w:r w:rsidRPr="006D5938">
        <w:rPr>
          <w:rFonts w:ascii="Times New Roman" w:eastAsiaTheme="minorEastAsia" w:hAnsi="Times New Roman" w:cs="Times New Roman"/>
          <w:sz w:val="24"/>
          <w:szCs w:val="24"/>
        </w:rPr>
        <w:t xml:space="preserve">lagged covariates specified in the following paragraphs. The TWFE is the </w:t>
      </w:r>
      <w:r>
        <w:rPr>
          <w:rFonts w:ascii="Times New Roman" w:eastAsiaTheme="minorEastAsia" w:hAnsi="Times New Roman" w:cs="Times New Roman"/>
          <w:sz w:val="24"/>
          <w:szCs w:val="24"/>
        </w:rPr>
        <w:t xml:space="preserve">DID </w:t>
      </w:r>
      <w:r w:rsidRPr="006D5938">
        <w:rPr>
          <w:rFonts w:ascii="Times New Roman" w:eastAsiaTheme="minorEastAsia" w:hAnsi="Times New Roman" w:cs="Times New Roman"/>
          <w:sz w:val="24"/>
          <w:szCs w:val="24"/>
        </w:rPr>
        <w:t>workhorse model of this paper.</w:t>
      </w:r>
      <w:r>
        <w:rPr>
          <w:rFonts w:ascii="Times New Roman" w:eastAsiaTheme="minorEastAsia" w:hAnsi="Times New Roman" w:cs="Times New Roman"/>
          <w:sz w:val="24"/>
          <w:szCs w:val="24"/>
        </w:rPr>
        <w:t xml:space="preserve"> </w:t>
      </w:r>
    </w:p>
    <w:p w14:paraId="43F15105" w14:textId="7BB171DB" w:rsidR="00D04996" w:rsidRPr="00EB4A93" w:rsidRDefault="00D04996" w:rsidP="00D04996">
      <w:pPr>
        <w:pStyle w:val="ListParagraph"/>
        <w:numPr>
          <w:ilvl w:val="0"/>
          <w:numId w:val="1"/>
        </w:numPr>
        <w:spacing w:after="0" w:line="480" w:lineRule="auto"/>
        <w:rPr>
          <w:rFonts w:ascii="Times New Roman" w:eastAsiaTheme="minorEastAsia" w:hAnsi="Times New Roman" w:cs="Times New Roman"/>
          <w:sz w:val="24"/>
          <w:szCs w:val="24"/>
        </w:rPr>
      </w:pPr>
      <w:r w:rsidRPr="00AE045D">
        <w:rPr>
          <w:rFonts w:ascii="Times New Roman" w:hAnsi="Times New Roman" w:cs="Times New Roman"/>
          <w:i/>
          <w:iCs/>
          <w:sz w:val="24"/>
          <w:szCs w:val="24"/>
        </w:rPr>
        <w:t>Two-Stage Difference-in-Difference</w:t>
      </w:r>
      <w:r w:rsidR="0097503D">
        <w:rPr>
          <w:rFonts w:ascii="Times New Roman" w:hAnsi="Times New Roman" w:cs="Times New Roman"/>
          <w:i/>
          <w:iCs/>
          <w:sz w:val="24"/>
          <w:szCs w:val="24"/>
        </w:rPr>
        <w:t>s</w:t>
      </w:r>
      <w:r w:rsidRPr="00AE045D">
        <w:rPr>
          <w:rFonts w:ascii="Times New Roman" w:hAnsi="Times New Roman" w:cs="Times New Roman"/>
          <w:i/>
          <w:iCs/>
          <w:sz w:val="24"/>
          <w:szCs w:val="24"/>
        </w:rPr>
        <w:t xml:space="preserve"> (</w:t>
      </w:r>
      <w:r>
        <w:rPr>
          <w:rFonts w:ascii="Times New Roman" w:hAnsi="Times New Roman" w:cs="Times New Roman"/>
          <w:i/>
          <w:iCs/>
          <w:sz w:val="24"/>
          <w:szCs w:val="24"/>
        </w:rPr>
        <w:t>2S</w:t>
      </w:r>
      <w:r w:rsidRPr="00AE045D">
        <w:rPr>
          <w:rFonts w:ascii="Times New Roman" w:hAnsi="Times New Roman" w:cs="Times New Roman"/>
          <w:i/>
          <w:iCs/>
          <w:sz w:val="24"/>
          <w:szCs w:val="24"/>
        </w:rPr>
        <w:t>DID)</w:t>
      </w:r>
    </w:p>
    <w:p w14:paraId="1BBDF4D3" w14:textId="77777777" w:rsidR="00D04996" w:rsidRPr="00C156DA" w:rsidRDefault="00D04996" w:rsidP="00D04996">
      <w:pPr>
        <w:jc w:val="center"/>
        <w:rPr>
          <w:rFonts w:ascii="Times New Roman" w:eastAsiaTheme="minorEastAsia" w:hAnsi="Times New Roman" w:cs="Times New Roman"/>
          <w:sz w:val="24"/>
          <w:szCs w:val="24"/>
        </w:rPr>
      </w:pPr>
      <w:r w:rsidRPr="00EB4A93">
        <w:rPr>
          <w:rFonts w:ascii="Times New Roman" w:eastAsiaTheme="minorEastAsia" w:hAnsi="Times New Roman" w:cs="Times New Roman"/>
          <w:i/>
          <w:sz w:val="24"/>
          <w:szCs w:val="24"/>
        </w:rPr>
        <w:t xml:space="preserve">First Stage: </w:t>
      </w:r>
      <m:oMath>
        <m:sSub>
          <m:sSubPr>
            <m:ctrlPr>
              <w:rPr>
                <w:rFonts w:ascii="Cambria Math" w:hAnsi="Cambria Math" w:cs="Times New Roman"/>
                <w:i/>
                <w:sz w:val="24"/>
                <w:szCs w:val="24"/>
              </w:rPr>
            </m:ctrlPr>
          </m:sSubPr>
          <m:e>
            <m:r>
              <w:rPr>
                <w:rFonts w:ascii="Cambria Math" w:hAnsi="Cambria Math" w:cs="Times New Roman"/>
                <w:sz w:val="24"/>
                <w:szCs w:val="24"/>
              </w:rPr>
              <m:t>CB</m:t>
            </m:r>
          </m:e>
          <m:sub>
            <m:r>
              <w:rPr>
                <w:rFonts w:ascii="Cambria Math" w:hAnsi="Cambria Math" w:cs="Times New Roman"/>
                <w:sz w:val="24"/>
                <w:szCs w:val="24"/>
              </w:rPr>
              <m:t>igt</m:t>
            </m:r>
          </m:sub>
        </m:sSub>
        <m:r>
          <w:rPr>
            <w:rFonts w:ascii="Cambria Math"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αX</m:t>
            </m:r>
          </m:e>
          <m:sub>
            <m:r>
              <w:rPr>
                <w:rFonts w:ascii="Cambria Math" w:eastAsiaTheme="minorEastAsia" w:hAnsi="Cambria Math" w:cs="Times New Roman"/>
                <w:sz w:val="24"/>
                <w:szCs w:val="24"/>
              </w:rPr>
              <m:t>igt-1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μ</m:t>
            </m:r>
          </m:e>
          <m:sub>
            <m:r>
              <w:rPr>
                <w:rFonts w:ascii="Cambria Math" w:eastAsiaTheme="minorEastAsia" w:hAnsi="Cambria Math" w:cs="Times New Roman"/>
                <w:sz w:val="24"/>
                <w:szCs w:val="24"/>
              </w:rPr>
              <m:t>g</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t</m:t>
                </m:r>
              </m:sub>
            </m:sSub>
            <m:r>
              <w:rPr>
                <w:rFonts w:ascii="Cambria Math" w:eastAsiaTheme="minorEastAsia" w:hAnsi="Cambria Math" w:cs="Times New Roman"/>
                <w:sz w:val="24"/>
                <w:szCs w:val="24"/>
              </w:rPr>
              <m:t>+ ε</m:t>
            </m:r>
          </m:e>
          <m:sub>
            <m:r>
              <w:rPr>
                <w:rFonts w:ascii="Cambria Math" w:eastAsiaTheme="minorEastAsia" w:hAnsi="Cambria Math" w:cs="Times New Roman"/>
                <w:sz w:val="24"/>
                <w:szCs w:val="24"/>
              </w:rPr>
              <m:t>igt</m:t>
            </m:r>
          </m:sub>
        </m:sSub>
      </m:oMath>
    </w:p>
    <w:p w14:paraId="61660B7B" w14:textId="77777777" w:rsidR="00D04996" w:rsidRPr="00EB4A93" w:rsidRDefault="00D04996" w:rsidP="00D04996">
      <w:pPr>
        <w:jc w:val="center"/>
        <w:rPr>
          <w:rFonts w:ascii="Times New Roman" w:eastAsiaTheme="minorEastAsia" w:hAnsi="Times New Roman" w:cs="Times New Roman"/>
          <w:sz w:val="24"/>
          <w:szCs w:val="24"/>
        </w:rPr>
      </w:pPr>
      <w:r w:rsidRPr="00EB4A93">
        <w:rPr>
          <w:rFonts w:ascii="Times New Roman" w:eastAsiaTheme="minorEastAsia" w:hAnsi="Times New Roman" w:cs="Times New Roman"/>
          <w:sz w:val="24"/>
          <w:szCs w:val="24"/>
        </w:rPr>
        <w:t xml:space="preserve">Mid-Stage: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CB</m:t>
                </m:r>
              </m:e>
            </m:acc>
          </m:e>
          <m:sub>
            <m:r>
              <w:rPr>
                <w:rFonts w:ascii="Cambria Math" w:hAnsi="Cambria Math" w:cs="Times New Roman"/>
                <w:sz w:val="24"/>
                <w:szCs w:val="24"/>
              </w:rPr>
              <m:t>igt</m:t>
            </m:r>
          </m:sub>
        </m:sSub>
        <m:r>
          <w:rPr>
            <w:rFonts w:ascii="Cambria Math" w:hAnsi="Cambria Math" w:cs="Times New Roman"/>
            <w:sz w:val="24"/>
            <w:szCs w:val="24"/>
          </w:rPr>
          <m:t xml:space="preserve">= </m:t>
        </m:r>
        <m:sSub>
          <m:sSubPr>
            <m:ctrlPr>
              <w:rPr>
                <w:rFonts w:ascii="Cambria Math" w:eastAsiaTheme="minorEastAsia" w:hAnsi="Cambria Math" w:cs="Times New Roman"/>
                <w:i/>
                <w:sz w:val="24"/>
                <w:szCs w:val="24"/>
              </w:rPr>
            </m:ctrlPr>
          </m:sSubPr>
          <m:e>
            <m:sSub>
              <m:sSubPr>
                <m:ctrlPr>
                  <w:rPr>
                    <w:rFonts w:ascii="Cambria Math" w:hAnsi="Cambria Math" w:cs="Times New Roman"/>
                    <w:i/>
                    <w:sz w:val="24"/>
                    <w:szCs w:val="24"/>
                  </w:rPr>
                </m:ctrlPr>
              </m:sSubPr>
              <m:e>
                <m:r>
                  <w:rPr>
                    <w:rFonts w:ascii="Cambria Math" w:hAnsi="Cambria Math" w:cs="Times New Roman"/>
                    <w:sz w:val="24"/>
                    <w:szCs w:val="24"/>
                  </w:rPr>
                  <m:t>CB</m:t>
                </m:r>
              </m:e>
              <m:sub>
                <m:r>
                  <w:rPr>
                    <w:rFonts w:ascii="Cambria Math" w:hAnsi="Cambria Math" w:cs="Times New Roman"/>
                    <w:sz w:val="24"/>
                    <w:szCs w:val="24"/>
                  </w:rPr>
                  <m:t>igt</m:t>
                </m:r>
              </m:sub>
            </m:sSub>
            <m:r>
              <w:rPr>
                <w:rFonts w:ascii="Cambria Math" w:eastAsiaTheme="minorEastAsia" w:hAnsi="Cambria Math" w:cs="Times New Roman"/>
                <w:sz w:val="24"/>
                <w:szCs w:val="24"/>
              </w:rPr>
              <m:t>-</m:t>
            </m:r>
            <m:acc>
              <m:accPr>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μ</m:t>
                </m:r>
              </m:e>
            </m:acc>
          </m:e>
          <m:sub>
            <m:r>
              <w:rPr>
                <w:rFonts w:ascii="Cambria Math" w:eastAsiaTheme="minorEastAsia" w:hAnsi="Cambria Math" w:cs="Times New Roman"/>
                <w:sz w:val="24"/>
                <w:szCs w:val="24"/>
              </w:rPr>
              <m:t>g</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acc>
              <m:accPr>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ρ</m:t>
                </m:r>
              </m:e>
            </m:acc>
          </m:e>
          <m:sub>
            <m:r>
              <w:rPr>
                <w:rFonts w:ascii="Cambria Math" w:eastAsiaTheme="minorEastAsia" w:hAnsi="Cambria Math" w:cs="Times New Roman"/>
                <w:sz w:val="24"/>
                <w:szCs w:val="24"/>
              </w:rPr>
              <m:t>t</m:t>
            </m:r>
          </m:sub>
        </m:sSub>
        <m:r>
          <w:rPr>
            <w:rFonts w:ascii="Cambria Math" w:eastAsiaTheme="minorEastAsia" w:hAnsi="Cambria Math" w:cs="Times New Roman"/>
            <w:sz w:val="24"/>
            <w:szCs w:val="24"/>
          </w:rPr>
          <m:t xml:space="preserve"> </m:t>
        </m:r>
      </m:oMath>
    </w:p>
    <w:p w14:paraId="22D35CCE" w14:textId="77777777" w:rsidR="00D04996" w:rsidRPr="00EB4A93" w:rsidRDefault="00D04996" w:rsidP="00D04996">
      <w:pPr>
        <w:jc w:val="center"/>
        <w:rPr>
          <w:rFonts w:ascii="Times New Roman" w:eastAsiaTheme="minorEastAsia" w:hAnsi="Times New Roman" w:cs="Times New Roman"/>
          <w:sz w:val="24"/>
          <w:szCs w:val="24"/>
        </w:rPr>
      </w:pPr>
      <w:r w:rsidRPr="00EB4A93">
        <w:rPr>
          <w:rFonts w:ascii="Times New Roman" w:eastAsiaTheme="minorEastAsia" w:hAnsi="Times New Roman" w:cs="Times New Roman"/>
          <w:sz w:val="24"/>
          <w:szCs w:val="24"/>
        </w:rPr>
        <w:t>Seco</w:t>
      </w:r>
      <w:r w:rsidRPr="00C156DA">
        <w:rPr>
          <w:rFonts w:ascii="Times New Roman" w:eastAsiaTheme="minorEastAsia" w:hAnsi="Times New Roman" w:cs="Times New Roman"/>
          <w:sz w:val="24"/>
          <w:szCs w:val="24"/>
        </w:rPr>
        <w:t xml:space="preserve">nd Stage: </w:t>
      </w:r>
      <m:oMath>
        <m:sSub>
          <m:sSubPr>
            <m:ctrlPr>
              <w:rPr>
                <w:rFonts w:ascii="Cambria Math" w:hAnsi="Cambria Math" w:cs="Times New Roman"/>
                <w:i/>
                <w:sz w:val="24"/>
                <w:szCs w:val="24"/>
              </w:rPr>
            </m:ctrlPr>
          </m:sSubPr>
          <m:e>
            <m:acc>
              <m:accPr>
                <m:ctrlPr>
                  <w:rPr>
                    <w:rFonts w:ascii="Cambria Math" w:hAnsi="Cambria Math" w:cs="Times New Roman"/>
                    <w:i/>
                    <w:sz w:val="24"/>
                    <w:szCs w:val="24"/>
                  </w:rPr>
                </m:ctrlPr>
              </m:accPr>
              <m:e>
                <m:r>
                  <w:rPr>
                    <w:rFonts w:ascii="Cambria Math" w:hAnsi="Cambria Math" w:cs="Times New Roman"/>
                    <w:sz w:val="24"/>
                    <w:szCs w:val="24"/>
                  </w:rPr>
                  <m:t>CB</m:t>
                </m:r>
              </m:e>
            </m:acc>
          </m:e>
          <m:sub>
            <m:r>
              <w:rPr>
                <w:rFonts w:ascii="Cambria Math" w:hAnsi="Cambria Math" w:cs="Times New Roman"/>
                <w:sz w:val="24"/>
                <w:szCs w:val="24"/>
              </w:rPr>
              <m:t>igt</m:t>
            </m:r>
          </m:sub>
        </m:sSub>
        <m:r>
          <w:rPr>
            <w:rFonts w:ascii="Cambria Math" w:hAnsi="Cambria Math" w:cs="Times New Roman"/>
            <w:sz w:val="24"/>
            <w:szCs w:val="24"/>
          </w:rPr>
          <m:t>= β</m:t>
        </m:r>
        <m:sSub>
          <m:sSubPr>
            <m:ctrlPr>
              <w:rPr>
                <w:rFonts w:ascii="Cambria Math" w:hAnsi="Cambria Math" w:cs="Times New Roman"/>
                <w:i/>
                <w:sz w:val="24"/>
                <w:szCs w:val="24"/>
              </w:rPr>
            </m:ctrlPr>
          </m:sSubPr>
          <m:e>
            <m:r>
              <w:rPr>
                <w:rFonts w:ascii="Cambria Math" w:hAnsi="Cambria Math" w:cs="Times New Roman"/>
                <w:sz w:val="24"/>
                <w:szCs w:val="24"/>
              </w:rPr>
              <m:t>PostFail</m:t>
            </m:r>
          </m:e>
          <m:sub>
            <m:r>
              <w:rPr>
                <w:rFonts w:ascii="Cambria Math" w:hAnsi="Cambria Math" w:cs="Times New Roman"/>
                <w:sz w:val="24"/>
                <w:szCs w:val="24"/>
              </w:rPr>
              <m:t>igt</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αX</m:t>
            </m:r>
          </m:e>
          <m:sub>
            <m:r>
              <w:rPr>
                <w:rFonts w:ascii="Cambria Math" w:eastAsiaTheme="minorEastAsia" w:hAnsi="Cambria Math" w:cs="Times New Roman"/>
                <w:sz w:val="24"/>
                <w:szCs w:val="24"/>
              </w:rPr>
              <m:t>igt-1</m:t>
            </m:r>
          </m:sub>
        </m:sSub>
        <m:r>
          <w:rPr>
            <w:rFonts w:ascii="Cambria Math"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ε</m:t>
            </m:r>
          </m:e>
          <m:sub>
            <m:r>
              <w:rPr>
                <w:rFonts w:ascii="Cambria Math" w:eastAsiaTheme="minorEastAsia" w:hAnsi="Cambria Math" w:cs="Times New Roman"/>
                <w:sz w:val="24"/>
                <w:szCs w:val="24"/>
              </w:rPr>
              <m:t>igt</m:t>
            </m:r>
          </m:sub>
        </m:sSub>
      </m:oMath>
    </w:p>
    <w:p w14:paraId="76294EA3" w14:textId="1D6485DE" w:rsidR="00235DF2" w:rsidRPr="00513029" w:rsidRDefault="00235DF2" w:rsidP="00235DF2">
      <w:pPr>
        <w:spacing w:before="240" w:after="0" w:line="480" w:lineRule="auto"/>
        <w:ind w:firstLine="720"/>
        <w:rPr>
          <w:rFonts w:ascii="Times New Roman" w:eastAsiaTheme="minorEastAsia" w:hAnsi="Times New Roman" w:cs="Times New Roman"/>
          <w:sz w:val="24"/>
          <w:szCs w:val="24"/>
        </w:rPr>
      </w:pPr>
      <w:r w:rsidRPr="00653AF9">
        <w:rPr>
          <w:rFonts w:ascii="Times New Roman" w:hAnsi="Times New Roman" w:cs="Times New Roman"/>
          <w:sz w:val="24"/>
          <w:szCs w:val="24"/>
        </w:rPr>
        <w:t xml:space="preserve">Where </w:t>
      </w:r>
      <m:oMath>
        <m:r>
          <w:rPr>
            <w:rFonts w:ascii="Cambria Math" w:hAnsi="Cambria Math" w:cs="Times New Roman"/>
            <w:sz w:val="24"/>
            <w:szCs w:val="24"/>
          </w:rPr>
          <m:t>i</m:t>
        </m:r>
      </m:oMath>
      <w:r w:rsidRPr="00653AF9">
        <w:rPr>
          <w:rFonts w:ascii="Times New Roman" w:hAnsi="Times New Roman" w:cs="Times New Roman"/>
          <w:sz w:val="24"/>
          <w:szCs w:val="24"/>
        </w:rPr>
        <w:t xml:space="preserve"> indexes each unit within group </w:t>
      </w:r>
      <m:oMath>
        <m:r>
          <w:rPr>
            <w:rFonts w:ascii="Cambria Math" w:hAnsi="Cambria Math" w:cs="Times New Roman"/>
            <w:sz w:val="24"/>
            <w:szCs w:val="24"/>
          </w:rPr>
          <m:t>g</m:t>
        </m:r>
      </m:oMath>
      <w:r w:rsidRPr="00653AF9">
        <w:rPr>
          <w:rFonts w:ascii="Times New Roman" w:hAnsi="Times New Roman" w:cs="Times New Roman"/>
          <w:i/>
          <w:iCs/>
          <w:sz w:val="24"/>
          <w:szCs w:val="24"/>
        </w:rPr>
        <w:t xml:space="preserve"> </w:t>
      </w:r>
      <w:r>
        <w:rPr>
          <w:rFonts w:ascii="Times New Roman" w:hAnsi="Times New Roman" w:cs="Times New Roman"/>
          <w:sz w:val="24"/>
          <w:szCs w:val="24"/>
        </w:rPr>
        <w:t>in</w:t>
      </w:r>
      <w:r w:rsidRPr="00653AF9">
        <w:rPr>
          <w:rFonts w:ascii="Times New Roman" w:hAnsi="Times New Roman" w:cs="Times New Roman"/>
          <w:sz w:val="24"/>
          <w:szCs w:val="24"/>
        </w:rPr>
        <w:t xml:space="preserve"> year</w:t>
      </w:r>
      <w:r w:rsidRPr="00653AF9">
        <w:rPr>
          <w:rFonts w:ascii="Times New Roman" w:hAnsi="Times New Roman" w:cs="Times New Roman"/>
          <w:i/>
          <w:sz w:val="24"/>
          <w:szCs w:val="24"/>
        </w:rPr>
        <w:t xml:space="preserve"> </w:t>
      </w:r>
      <m:oMath>
        <m:r>
          <w:rPr>
            <w:rFonts w:ascii="Cambria Math" w:hAnsi="Cambria Math" w:cs="Times New Roman"/>
            <w:sz w:val="24"/>
            <w:szCs w:val="24"/>
          </w:rPr>
          <m:t>t</m:t>
        </m:r>
      </m:oMath>
      <w:r w:rsidRPr="00653AF9">
        <w:rPr>
          <w:rFonts w:ascii="Times New Roman" w:hAnsi="Times New Roman" w:cs="Times New Roman"/>
          <w:sz w:val="24"/>
          <w:szCs w:val="24"/>
        </w:rPr>
        <w:t xml:space="preserve">. </w:t>
      </w:r>
      <m:oMath>
        <m:r>
          <w:rPr>
            <w:rFonts w:ascii="Cambria Math" w:eastAsiaTheme="minorEastAsia" w:hAnsi="Cambria Math" w:cs="Times New Roman"/>
            <w:sz w:val="24"/>
            <w:szCs w:val="24"/>
          </w:rPr>
          <m:t>X</m:t>
        </m:r>
      </m:oMath>
      <w:r w:rsidRPr="00653AF9">
        <w:rPr>
          <w:rFonts w:ascii="Times New Roman" w:hAnsi="Times New Roman" w:cs="Times New Roman"/>
          <w:sz w:val="24"/>
          <w:szCs w:val="24"/>
        </w:rPr>
        <w:t xml:space="preserve"> is the vector of all time-varying covariates, </w:t>
      </w:r>
      <m:oMath>
        <m:r>
          <w:rPr>
            <w:rFonts w:ascii="Cambria Math" w:eastAsiaTheme="minorEastAsia" w:hAnsi="Cambria Math" w:cs="Times New Roman"/>
            <w:sz w:val="24"/>
            <w:szCs w:val="24"/>
          </w:rPr>
          <m:t>μ</m:t>
        </m:r>
      </m:oMath>
      <w:r w:rsidRPr="00653AF9">
        <w:rPr>
          <w:rFonts w:ascii="Times New Roman" w:eastAsiaTheme="minorEastAsia" w:hAnsi="Times New Roman" w:cs="Times New Roman"/>
          <w:sz w:val="24"/>
          <w:szCs w:val="24"/>
        </w:rPr>
        <w:t xml:space="preserve"> captures group-level fixed-effects; </w:t>
      </w:r>
      <m:oMath>
        <m:r>
          <w:rPr>
            <w:rFonts w:ascii="Cambria Math" w:eastAsiaTheme="minorEastAsia" w:hAnsi="Cambria Math" w:cs="Times New Roman"/>
            <w:sz w:val="24"/>
            <w:szCs w:val="24"/>
          </w:rPr>
          <m:t>ρ</m:t>
        </m:r>
      </m:oMath>
      <w:r w:rsidRPr="00653AF9">
        <w:rPr>
          <w:rFonts w:ascii="Times New Roman" w:eastAsiaTheme="minorEastAsia" w:hAnsi="Times New Roman" w:cs="Times New Roman"/>
          <w:sz w:val="24"/>
          <w:szCs w:val="24"/>
        </w:rPr>
        <w:t xml:space="preserve"> captures period fixed-effects and </w:t>
      </w:r>
      <m:oMath>
        <m:r>
          <w:rPr>
            <w:rFonts w:ascii="Cambria Math" w:eastAsiaTheme="minorEastAsia" w:hAnsi="Cambria Math" w:cs="Times New Roman"/>
            <w:sz w:val="24"/>
            <w:szCs w:val="24"/>
          </w:rPr>
          <m:t>ε</m:t>
        </m:r>
      </m:oMath>
      <w:r w:rsidRPr="00653AF9">
        <w:rPr>
          <w:rFonts w:ascii="Times New Roman" w:eastAsiaTheme="minorEastAsia" w:hAnsi="Times New Roman" w:cs="Times New Roman"/>
          <w:sz w:val="24"/>
          <w:szCs w:val="24"/>
        </w:rPr>
        <w:t xml:space="preserve"> is the error term. One of the assumptions of DID is that treatment </w:t>
      </w:r>
      <w:r>
        <w:rPr>
          <w:rFonts w:ascii="Times New Roman" w:eastAsiaTheme="minorEastAsia" w:hAnsi="Times New Roman" w:cs="Times New Roman"/>
          <w:sz w:val="24"/>
          <w:szCs w:val="24"/>
        </w:rPr>
        <w:t xml:space="preserve">introduction </w:t>
      </w:r>
      <w:r w:rsidRPr="00653AF9">
        <w:rPr>
          <w:rFonts w:ascii="Times New Roman" w:eastAsiaTheme="minorEastAsia" w:hAnsi="Times New Roman" w:cs="Times New Roman"/>
          <w:sz w:val="24"/>
          <w:szCs w:val="24"/>
        </w:rPr>
        <w:t>is homogenous across groups. If this is not the case, then some</w:t>
      </w:r>
      <w:r>
        <w:rPr>
          <w:rFonts w:ascii="Times New Roman" w:eastAsiaTheme="minorEastAsia" w:hAnsi="Times New Roman" w:cs="Times New Roman"/>
          <w:sz w:val="24"/>
          <w:szCs w:val="24"/>
        </w:rPr>
        <w:t xml:space="preserve"> </w:t>
      </w:r>
      <w:r w:rsidRPr="00653AF9">
        <w:rPr>
          <w:rFonts w:ascii="Times New Roman" w:eastAsiaTheme="minorEastAsia" w:hAnsi="Times New Roman" w:cs="Times New Roman"/>
          <w:sz w:val="24"/>
          <w:szCs w:val="24"/>
        </w:rPr>
        <w:t xml:space="preserve">variation in the outcome that is due to the treatment will be absorbed by group and period </w:t>
      </w:r>
      <w:r>
        <w:rPr>
          <w:rFonts w:ascii="Times New Roman" w:eastAsiaTheme="minorEastAsia" w:hAnsi="Times New Roman" w:cs="Times New Roman"/>
          <w:sz w:val="24"/>
          <w:szCs w:val="24"/>
        </w:rPr>
        <w:t>fixed-</w:t>
      </w:r>
      <w:r w:rsidRPr="00653AF9">
        <w:rPr>
          <w:rFonts w:ascii="Times New Roman" w:eastAsiaTheme="minorEastAsia" w:hAnsi="Times New Roman" w:cs="Times New Roman"/>
          <w:sz w:val="24"/>
          <w:szCs w:val="24"/>
        </w:rPr>
        <w:t>effects</w:t>
      </w:r>
      <w:r>
        <w:rPr>
          <w:rFonts w:ascii="Times New Roman" w:eastAsiaTheme="minorEastAsia" w:hAnsi="Times New Roman" w:cs="Times New Roman"/>
          <w:sz w:val="24"/>
          <w:szCs w:val="24"/>
        </w:rPr>
        <w:t xml:space="preserve"> in the TWFE model (Goodman-Bacon 2021)</w:t>
      </w:r>
      <w:r w:rsidRPr="00653AF9">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513029">
        <w:rPr>
          <w:rFonts w:ascii="Times New Roman" w:eastAsiaTheme="minorEastAsia" w:hAnsi="Times New Roman" w:cs="Times New Roman"/>
          <w:sz w:val="24"/>
          <w:szCs w:val="24"/>
        </w:rPr>
        <w:t>To adjust for this bias, Gardner (2021) proposes an intuitive two-stage DID design. It works by residualizing the outcome for group and period fixed-effects using the sub-sample of untreated and never-treated observations (</w:t>
      </w:r>
      <m:oMath>
        <m:sSub>
          <m:sSubPr>
            <m:ctrlPr>
              <w:rPr>
                <w:rFonts w:ascii="Cambria Math" w:hAnsi="Cambria Math" w:cs="Times New Roman"/>
                <w:i/>
                <w:sz w:val="24"/>
                <w:szCs w:val="24"/>
              </w:rPr>
            </m:ctrlPr>
          </m:sSubPr>
          <m:e>
            <m:r>
              <w:rPr>
                <w:rFonts w:ascii="Cambria Math" w:hAnsi="Cambria Math" w:cs="Times New Roman"/>
                <w:sz w:val="24"/>
                <w:szCs w:val="24"/>
              </w:rPr>
              <m:t>PostFail</m:t>
            </m:r>
          </m:e>
          <m:sub>
            <m:r>
              <w:rPr>
                <w:rFonts w:ascii="Cambria Math" w:hAnsi="Cambria Math" w:cs="Times New Roman"/>
                <w:sz w:val="24"/>
                <w:szCs w:val="24"/>
              </w:rPr>
              <m:t>igt-1</m:t>
            </m:r>
          </m:sub>
        </m:sSub>
        <m:r>
          <w:rPr>
            <w:rFonts w:ascii="Cambria Math" w:hAnsi="Cambria Math" w:cs="Times New Roman"/>
            <w:sz w:val="24"/>
            <w:szCs w:val="24"/>
          </w:rPr>
          <m:t>=0</m:t>
        </m:r>
      </m:oMath>
      <w:r w:rsidRPr="00513029">
        <w:rPr>
          <w:rFonts w:ascii="Times New Roman" w:eastAsiaTheme="minorEastAsia" w:hAnsi="Times New Roman" w:cs="Times New Roman"/>
          <w:sz w:val="24"/>
          <w:szCs w:val="24"/>
        </w:rPr>
        <w:t>) in the first stage and then regressing the residualized outcome on the treatment for the full sample in the second stage. As is best practice, I add time-varying covariates to both the first and second stage of the estimator (Gardner 2021).</w:t>
      </w:r>
      <w:r w:rsidR="00D5320C">
        <w:rPr>
          <w:rFonts w:ascii="Times New Roman" w:eastAsiaTheme="minorEastAsia" w:hAnsi="Times New Roman" w:cs="Times New Roman"/>
          <w:sz w:val="24"/>
          <w:szCs w:val="24"/>
        </w:rPr>
        <w:t xml:space="preserve"> Across all specifications,</w:t>
      </w:r>
      <w:r w:rsidR="00D5320C" w:rsidRPr="00C369A3">
        <w:rPr>
          <w:rFonts w:ascii="Times New Roman" w:eastAsiaTheme="minorEastAsia" w:hAnsi="Times New Roman" w:cs="Times New Roman"/>
          <w:sz w:val="24"/>
          <w:szCs w:val="24"/>
        </w:rPr>
        <w:t xml:space="preserve"> </w:t>
      </w:r>
      <m:oMath>
        <m:r>
          <w:rPr>
            <w:rFonts w:ascii="Cambria Math" w:hAnsi="Cambria Math" w:cs="Times New Roman"/>
            <w:sz w:val="24"/>
            <w:szCs w:val="24"/>
          </w:rPr>
          <m:t>β</m:t>
        </m:r>
      </m:oMath>
      <w:r w:rsidR="00D5320C" w:rsidRPr="00C369A3">
        <w:rPr>
          <w:rFonts w:ascii="Times New Roman" w:eastAsiaTheme="minorEastAsia" w:hAnsi="Times New Roman" w:cs="Times New Roman"/>
          <w:sz w:val="24"/>
          <w:szCs w:val="24"/>
        </w:rPr>
        <w:t xml:space="preserve"> is the parameter to be estimated.</w:t>
      </w:r>
    </w:p>
    <w:p w14:paraId="7A9D1C08" w14:textId="719D6EB2" w:rsidR="00D04996" w:rsidRDefault="00D04996" w:rsidP="00D04996">
      <w:pPr>
        <w:spacing w:after="0" w:line="480" w:lineRule="auto"/>
        <w:ind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For the binary outcome variables,</w:t>
      </w:r>
      <w:r w:rsidRPr="002940ED">
        <w:rPr>
          <w:rFonts w:ascii="Times New Roman" w:eastAsiaTheme="minorEastAsia" w:hAnsi="Times New Roman" w:cs="Times New Roman"/>
          <w:sz w:val="24"/>
          <w:szCs w:val="24"/>
        </w:rPr>
        <w:t xml:space="preserve"> I rely on Linear Probability Models (LPMs) to estimate the main effect</w:t>
      </w:r>
      <w:r>
        <w:rPr>
          <w:rFonts w:ascii="Times New Roman" w:eastAsiaTheme="minorEastAsia" w:hAnsi="Times New Roman" w:cs="Times New Roman"/>
          <w:sz w:val="24"/>
          <w:szCs w:val="24"/>
        </w:rPr>
        <w:t>. LPMs are selected over logistic models due to their ease of interpretation</w:t>
      </w:r>
      <w:r w:rsidR="008B638C">
        <w:rPr>
          <w:rFonts w:ascii="Times New Roman" w:eastAsiaTheme="minorEastAsia" w:hAnsi="Times New Roman" w:cs="Times New Roman"/>
          <w:sz w:val="24"/>
          <w:szCs w:val="24"/>
        </w:rPr>
        <w:t xml:space="preserve"> </w:t>
      </w:r>
      <w:r w:rsidR="004C7C28">
        <w:rPr>
          <w:rFonts w:ascii="Times New Roman" w:eastAsiaTheme="minorEastAsia" w:hAnsi="Times New Roman" w:cs="Times New Roman"/>
          <w:sz w:val="24"/>
          <w:szCs w:val="24"/>
        </w:rPr>
        <w:t xml:space="preserve">(their </w:t>
      </w:r>
      <w:r w:rsidR="005447D9">
        <w:rPr>
          <w:rFonts w:ascii="Times New Roman" w:eastAsiaTheme="minorEastAsia" w:hAnsi="Times New Roman" w:cs="Times New Roman"/>
          <w:sz w:val="24"/>
          <w:szCs w:val="24"/>
        </w:rPr>
        <w:t xml:space="preserve">coefficients </w:t>
      </w:r>
      <w:r w:rsidR="002D3CD7">
        <w:rPr>
          <w:rFonts w:ascii="Times New Roman" w:eastAsiaTheme="minorEastAsia" w:hAnsi="Times New Roman" w:cs="Times New Roman"/>
          <w:sz w:val="24"/>
          <w:szCs w:val="24"/>
        </w:rPr>
        <w:t>depict</w:t>
      </w:r>
      <w:r w:rsidR="00A4782C">
        <w:rPr>
          <w:rFonts w:ascii="Times New Roman" w:eastAsiaTheme="minorEastAsia" w:hAnsi="Times New Roman" w:cs="Times New Roman"/>
          <w:sz w:val="24"/>
          <w:szCs w:val="24"/>
        </w:rPr>
        <w:t xml:space="preserve"> </w:t>
      </w:r>
      <w:r w:rsidR="004C7C28">
        <w:rPr>
          <w:rFonts w:ascii="Times New Roman" w:eastAsiaTheme="minorEastAsia" w:hAnsi="Times New Roman" w:cs="Times New Roman"/>
          <w:sz w:val="24"/>
          <w:szCs w:val="24"/>
        </w:rPr>
        <w:t xml:space="preserve">average </w:t>
      </w:r>
      <w:r w:rsidR="005447D9">
        <w:rPr>
          <w:rFonts w:ascii="Times New Roman" w:eastAsiaTheme="minorEastAsia" w:hAnsi="Times New Roman" w:cs="Times New Roman"/>
          <w:sz w:val="24"/>
          <w:szCs w:val="24"/>
        </w:rPr>
        <w:t>marginal effect</w:t>
      </w:r>
      <w:r w:rsidR="00A4782C">
        <w:rPr>
          <w:rFonts w:ascii="Times New Roman" w:eastAsiaTheme="minorEastAsia" w:hAnsi="Times New Roman" w:cs="Times New Roman"/>
          <w:sz w:val="24"/>
          <w:szCs w:val="24"/>
        </w:rPr>
        <w:t>s</w:t>
      </w:r>
      <w:r w:rsidR="008B638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the fact that they outperform logistic regression in </w:t>
      </w:r>
      <w:r>
        <w:rPr>
          <w:rFonts w:ascii="Times New Roman" w:eastAsiaTheme="minorEastAsia" w:hAnsi="Times New Roman" w:cs="Times New Roman"/>
          <w:sz w:val="24"/>
          <w:szCs w:val="24"/>
        </w:rPr>
        <w:lastRenderedPageBreak/>
        <w:t>rare-events data (Timoneda 2021) and rarely yield out-of-bounds [0-1] predictions when the target quantity is the average causal effect of the treatment on a binary outcome (Gomila 2021).</w:t>
      </w:r>
    </w:p>
    <w:p w14:paraId="78494ACD" w14:textId="0453003D" w:rsidR="00D04996" w:rsidRDefault="00D04996" w:rsidP="00D04996">
      <w:pPr>
        <w:spacing w:after="0" w:line="480" w:lineRule="auto"/>
        <w:ind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To address concerns stemming from omitted variable bias, I add multiple time-varying covariates to all relevant models. This includes all potential confounders of coup attempts and counterbalancing found to be relevant in the literature, </w:t>
      </w:r>
      <w:r w:rsidRPr="00E76275">
        <w:rPr>
          <w:rFonts w:ascii="Times New Roman" w:eastAsiaTheme="minorEastAsia" w:hAnsi="Times New Roman" w:cs="Times New Roman"/>
          <w:sz w:val="24"/>
          <w:szCs w:val="24"/>
        </w:rPr>
        <w:t xml:space="preserve">such as ‘GDP per Capita’, ‘Economic Growth’, ‘Oil Rents’, </w:t>
      </w:r>
      <w:r w:rsidR="00E16286">
        <w:rPr>
          <w:rFonts w:ascii="Times New Roman" w:eastAsiaTheme="minorEastAsia" w:hAnsi="Times New Roman" w:cs="Times New Roman"/>
          <w:sz w:val="24"/>
          <w:szCs w:val="24"/>
        </w:rPr>
        <w:t>regime</w:t>
      </w:r>
      <w:r w:rsidRPr="00E76275">
        <w:rPr>
          <w:rFonts w:ascii="Times New Roman" w:eastAsiaTheme="minorEastAsia" w:hAnsi="Times New Roman" w:cs="Times New Roman"/>
          <w:sz w:val="24"/>
          <w:szCs w:val="24"/>
        </w:rPr>
        <w:t xml:space="preserve"> ‘Personalism’, ‘Military Spending per Soldier’, ‘Interstate’ and ‘Intrastate’ wars,</w:t>
      </w:r>
      <w:r>
        <w:rPr>
          <w:rFonts w:ascii="Times New Roman" w:eastAsiaTheme="minorEastAsia" w:hAnsi="Times New Roman" w:cs="Times New Roman"/>
          <w:sz w:val="24"/>
          <w:szCs w:val="24"/>
        </w:rPr>
        <w:t xml:space="preserve"> </w:t>
      </w:r>
      <w:r w:rsidRPr="00E76275">
        <w:rPr>
          <w:rFonts w:ascii="Times New Roman" w:eastAsiaTheme="minorEastAsia" w:hAnsi="Times New Roman" w:cs="Times New Roman"/>
          <w:sz w:val="24"/>
          <w:szCs w:val="24"/>
        </w:rPr>
        <w:t xml:space="preserve">the proportion of </w:t>
      </w:r>
      <w:r w:rsidR="004139C2">
        <w:rPr>
          <w:rFonts w:ascii="Times New Roman" w:eastAsiaTheme="minorEastAsia" w:hAnsi="Times New Roman" w:cs="Times New Roman"/>
          <w:sz w:val="24"/>
          <w:szCs w:val="24"/>
        </w:rPr>
        <w:t>ethnic</w:t>
      </w:r>
      <w:r w:rsidRPr="00E76275">
        <w:rPr>
          <w:rFonts w:ascii="Times New Roman" w:eastAsiaTheme="minorEastAsia" w:hAnsi="Times New Roman" w:cs="Times New Roman"/>
          <w:sz w:val="24"/>
          <w:szCs w:val="24"/>
        </w:rPr>
        <w:t xml:space="preserve"> population excluded from power (‘Excluded Pop</w:t>
      </w:r>
      <w:r w:rsidR="00BE49FD">
        <w:rPr>
          <w:rFonts w:ascii="Times New Roman" w:eastAsiaTheme="minorEastAsia" w:hAnsi="Times New Roman" w:cs="Times New Roman"/>
          <w:sz w:val="24"/>
          <w:szCs w:val="24"/>
        </w:rPr>
        <w:t>.</w:t>
      </w:r>
      <w:r w:rsidRPr="00E76275">
        <w:rPr>
          <w:rFonts w:ascii="Times New Roman" w:eastAsiaTheme="minorEastAsia" w:hAnsi="Times New Roman" w:cs="Times New Roman"/>
          <w:sz w:val="24"/>
          <w:szCs w:val="24"/>
        </w:rPr>
        <w:t>’)</w:t>
      </w:r>
      <w:r w:rsidR="00E16286">
        <w:rPr>
          <w:rFonts w:ascii="Times New Roman" w:eastAsiaTheme="minorEastAsia" w:hAnsi="Times New Roman" w:cs="Times New Roman"/>
          <w:sz w:val="24"/>
          <w:szCs w:val="24"/>
        </w:rPr>
        <w:t xml:space="preserve">, </w:t>
      </w:r>
      <w:r w:rsidRPr="00E76275">
        <w:rPr>
          <w:rFonts w:ascii="Times New Roman" w:eastAsiaTheme="minorEastAsia" w:hAnsi="Times New Roman" w:cs="Times New Roman"/>
          <w:sz w:val="24"/>
          <w:szCs w:val="24"/>
        </w:rPr>
        <w:t xml:space="preserve">ethnic heterogeneity in the military (‘Ethnic Military’), </w:t>
      </w:r>
      <w:r w:rsidR="004139C2">
        <w:rPr>
          <w:rFonts w:ascii="Times New Roman" w:eastAsiaTheme="minorEastAsia" w:hAnsi="Times New Roman" w:cs="Times New Roman"/>
          <w:sz w:val="24"/>
          <w:szCs w:val="24"/>
        </w:rPr>
        <w:t>and</w:t>
      </w:r>
      <w:r w:rsidRPr="00E76275">
        <w:rPr>
          <w:rFonts w:ascii="Times New Roman" w:eastAsiaTheme="minorEastAsia" w:hAnsi="Times New Roman" w:cs="Times New Roman"/>
          <w:sz w:val="24"/>
          <w:szCs w:val="24"/>
        </w:rPr>
        <w:t xml:space="preserve"> ‘Defense Pacts’ between states.</w:t>
      </w:r>
    </w:p>
    <w:p w14:paraId="79B0517E" w14:textId="77777777" w:rsidR="00325674" w:rsidRDefault="00D04996" w:rsidP="00325674">
      <w:pPr>
        <w:spacing w:after="0" w:line="480" w:lineRule="auto"/>
        <w:ind w:firstLine="720"/>
        <w:rPr>
          <w:rFonts w:ascii="Times New Roman" w:eastAsiaTheme="minorEastAsia" w:hAnsi="Times New Roman" w:cs="Times New Roman"/>
          <w:sz w:val="24"/>
          <w:szCs w:val="24"/>
        </w:rPr>
      </w:pPr>
      <w:r w:rsidRPr="001D19C0">
        <w:rPr>
          <w:rFonts w:ascii="Times New Roman" w:eastAsiaTheme="minorEastAsia" w:hAnsi="Times New Roman" w:cs="Times New Roman"/>
          <w:sz w:val="24"/>
          <w:szCs w:val="24"/>
        </w:rPr>
        <w:t>Finally, I include a measure of ’Leader Tenure’</w:t>
      </w:r>
      <w:r>
        <w:rPr>
          <w:rFonts w:ascii="Times New Roman" w:eastAsiaTheme="minorEastAsia" w:hAnsi="Times New Roman" w:cs="Times New Roman"/>
          <w:sz w:val="24"/>
          <w:szCs w:val="24"/>
        </w:rPr>
        <w:t>, or the number of sequential years a leader stays in power</w:t>
      </w:r>
      <w:r w:rsidRPr="001D19C0">
        <w:rPr>
          <w:rFonts w:ascii="Times New Roman" w:eastAsiaTheme="minorEastAsia" w:hAnsi="Times New Roman" w:cs="Times New Roman"/>
          <w:sz w:val="24"/>
          <w:szCs w:val="24"/>
        </w:rPr>
        <w:t xml:space="preserve">. Table A1 in the </w:t>
      </w:r>
      <w:r w:rsidR="007D5A10">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nnex</w:t>
      </w:r>
      <w:r w:rsidRPr="001D19C0">
        <w:rPr>
          <w:rFonts w:ascii="Times New Roman" w:eastAsiaTheme="minorEastAsia" w:hAnsi="Times New Roman" w:cs="Times New Roman"/>
          <w:sz w:val="24"/>
          <w:szCs w:val="24"/>
        </w:rPr>
        <w:t xml:space="preserve"> provides explanations and descriptive statistics for all </w:t>
      </w:r>
      <w:r>
        <w:rPr>
          <w:rFonts w:ascii="Times New Roman" w:eastAsiaTheme="minorEastAsia" w:hAnsi="Times New Roman" w:cs="Times New Roman"/>
          <w:sz w:val="24"/>
          <w:szCs w:val="24"/>
        </w:rPr>
        <w:t xml:space="preserve">the </w:t>
      </w:r>
      <w:r w:rsidRPr="001D19C0">
        <w:rPr>
          <w:rFonts w:ascii="Times New Roman" w:eastAsiaTheme="minorEastAsia" w:hAnsi="Times New Roman" w:cs="Times New Roman"/>
          <w:sz w:val="24"/>
          <w:szCs w:val="24"/>
        </w:rPr>
        <w:t xml:space="preserve">variables. To deal with missingness, I impute missing values for all covariates using a random forest imputation algorithm (the </w:t>
      </w:r>
      <w:r w:rsidRPr="001D19C0">
        <w:rPr>
          <w:rFonts w:ascii="Times New Roman" w:eastAsiaTheme="minorEastAsia" w:hAnsi="Times New Roman" w:cs="Times New Roman"/>
          <w:i/>
          <w:iCs/>
          <w:sz w:val="24"/>
          <w:szCs w:val="24"/>
        </w:rPr>
        <w:t xml:space="preserve">missForest </w:t>
      </w:r>
      <w:r w:rsidRPr="001D19C0">
        <w:rPr>
          <w:rFonts w:ascii="Times New Roman" w:eastAsiaTheme="minorEastAsia" w:hAnsi="Times New Roman" w:cs="Times New Roman"/>
          <w:sz w:val="24"/>
          <w:szCs w:val="24"/>
        </w:rPr>
        <w:t xml:space="preserve">package in R). I cluster all standard errors by leader-spell and lag all time-varying covariates (except leader tenure) by a year to prevent treatment at time </w:t>
      </w:r>
      <w:r w:rsidRPr="008E5538">
        <w:rPr>
          <w:rFonts w:ascii="Times New Roman" w:eastAsiaTheme="minorEastAsia" w:hAnsi="Times New Roman" w:cs="Times New Roman"/>
          <w:i/>
          <w:iCs/>
          <w:sz w:val="24"/>
          <w:szCs w:val="24"/>
        </w:rPr>
        <w:t>t – 1</w:t>
      </w:r>
      <w:r w:rsidRPr="001D19C0">
        <w:rPr>
          <w:rFonts w:ascii="Times New Roman" w:eastAsiaTheme="minorEastAsia" w:hAnsi="Times New Roman" w:cs="Times New Roman"/>
          <w:sz w:val="24"/>
          <w:szCs w:val="24"/>
        </w:rPr>
        <w:t xml:space="preserve"> from affecting them (to reduce the likelihood of serial correlation in the error term).</w:t>
      </w:r>
      <w:r>
        <w:rPr>
          <w:rFonts w:ascii="Times New Roman" w:eastAsiaTheme="minorEastAsia" w:hAnsi="Times New Roman" w:cs="Times New Roman"/>
          <w:sz w:val="24"/>
          <w:szCs w:val="24"/>
        </w:rPr>
        <w:t xml:space="preserve"> </w:t>
      </w:r>
      <w:r w:rsidRPr="001D19C0">
        <w:rPr>
          <w:rFonts w:ascii="Times New Roman" w:eastAsiaTheme="minorEastAsia" w:hAnsi="Times New Roman" w:cs="Times New Roman"/>
          <w:sz w:val="24"/>
          <w:szCs w:val="24"/>
        </w:rPr>
        <w:t>The following section introduces the results.</w:t>
      </w:r>
      <w:r w:rsidR="00325674">
        <w:rPr>
          <w:rFonts w:ascii="Times New Roman" w:eastAsiaTheme="minorEastAsia" w:hAnsi="Times New Roman" w:cs="Times New Roman"/>
          <w:sz w:val="24"/>
          <w:szCs w:val="24"/>
        </w:rPr>
        <w:t xml:space="preserve"> </w:t>
      </w:r>
    </w:p>
    <w:p w14:paraId="761D1A97" w14:textId="07483F48" w:rsidR="008E1A9B" w:rsidRPr="00325674" w:rsidRDefault="008E1A9B" w:rsidP="00325674">
      <w:pPr>
        <w:spacing w:after="0" w:line="480" w:lineRule="auto"/>
        <w:rPr>
          <w:rFonts w:ascii="Times New Roman" w:eastAsiaTheme="minorEastAsia" w:hAnsi="Times New Roman" w:cs="Times New Roman"/>
          <w:sz w:val="24"/>
          <w:szCs w:val="24"/>
        </w:rPr>
      </w:pPr>
      <w:r w:rsidRPr="008E1A9B">
        <w:rPr>
          <w:rFonts w:ascii="Times New Roman" w:eastAsiaTheme="minorEastAsia" w:hAnsi="Times New Roman" w:cs="Times New Roman"/>
          <w:b/>
          <w:bCs/>
          <w:sz w:val="24"/>
          <w:szCs w:val="24"/>
        </w:rPr>
        <w:t>Results</w:t>
      </w:r>
    </w:p>
    <w:p w14:paraId="391CD373" w14:textId="73A40EBB" w:rsidR="00D04996" w:rsidRPr="003875C0" w:rsidRDefault="00A733E3" w:rsidP="002C2AEB">
      <w:pPr>
        <w:spacing w:after="0" w:line="480" w:lineRule="auto"/>
        <w:rPr>
          <w:rFonts w:ascii="Times New Roman" w:hAnsi="Times New Roman" w:cs="Times New Roman"/>
          <w:sz w:val="24"/>
          <w:szCs w:val="24"/>
        </w:rPr>
        <w:sectPr w:rsidR="00D04996" w:rsidRPr="003875C0" w:rsidSect="005B4F67">
          <w:headerReference w:type="default" r:id="rId11"/>
          <w:headerReference w:type="first" r:id="rId12"/>
          <w:pgSz w:w="12240" w:h="15840"/>
          <w:pgMar w:top="1440" w:right="1440" w:bottom="1440" w:left="1440" w:header="720" w:footer="720" w:gutter="0"/>
          <w:cols w:space="720"/>
          <w:titlePg/>
          <w:docGrid w:linePitch="360"/>
        </w:sectPr>
      </w:pPr>
      <w:r>
        <w:rPr>
          <w:rFonts w:ascii="Times New Roman" w:hAnsi="Times New Roman" w:cs="Times New Roman"/>
          <w:sz w:val="24"/>
          <w:szCs w:val="24"/>
        </w:rPr>
        <w:t>Table 1</w:t>
      </w:r>
      <w:r w:rsidR="004C1F83">
        <w:rPr>
          <w:rFonts w:ascii="Times New Roman" w:hAnsi="Times New Roman" w:cs="Times New Roman"/>
          <w:sz w:val="24"/>
          <w:szCs w:val="24"/>
        </w:rPr>
        <w:t xml:space="preserve"> shows the results for the nine specifications </w:t>
      </w:r>
      <w:r w:rsidR="001A021F">
        <w:rPr>
          <w:rFonts w:ascii="Times New Roman" w:hAnsi="Times New Roman" w:cs="Times New Roman"/>
          <w:sz w:val="24"/>
          <w:szCs w:val="24"/>
        </w:rPr>
        <w:t xml:space="preserve">in which I </w:t>
      </w:r>
      <w:r w:rsidR="002B4968">
        <w:rPr>
          <w:rFonts w:ascii="Times New Roman" w:hAnsi="Times New Roman" w:cs="Times New Roman"/>
          <w:sz w:val="24"/>
          <w:szCs w:val="24"/>
        </w:rPr>
        <w:t xml:space="preserve">estimate the </w:t>
      </w:r>
      <w:r w:rsidR="00380E6D">
        <w:rPr>
          <w:rFonts w:ascii="Times New Roman" w:hAnsi="Times New Roman" w:cs="Times New Roman"/>
          <w:sz w:val="24"/>
          <w:szCs w:val="24"/>
        </w:rPr>
        <w:t xml:space="preserve">effect of failed coups on counterbalancing. The </w:t>
      </w:r>
      <w:r w:rsidR="001A021F">
        <w:rPr>
          <w:rFonts w:ascii="Times New Roman" w:hAnsi="Times New Roman" w:cs="Times New Roman"/>
          <w:sz w:val="24"/>
          <w:szCs w:val="24"/>
        </w:rPr>
        <w:t>table</w:t>
      </w:r>
      <w:r w:rsidR="00380E6D">
        <w:rPr>
          <w:rFonts w:ascii="Times New Roman" w:hAnsi="Times New Roman" w:cs="Times New Roman"/>
          <w:sz w:val="24"/>
          <w:szCs w:val="24"/>
        </w:rPr>
        <w:t xml:space="preserve"> suggest</w:t>
      </w:r>
      <w:r w:rsidR="00C254FC">
        <w:rPr>
          <w:rFonts w:ascii="Times New Roman" w:hAnsi="Times New Roman" w:cs="Times New Roman"/>
          <w:sz w:val="24"/>
          <w:szCs w:val="24"/>
        </w:rPr>
        <w:t>s</w:t>
      </w:r>
      <w:r w:rsidR="00380E6D">
        <w:rPr>
          <w:rFonts w:ascii="Times New Roman" w:hAnsi="Times New Roman" w:cs="Times New Roman"/>
          <w:sz w:val="24"/>
          <w:szCs w:val="24"/>
        </w:rPr>
        <w:t xml:space="preserve"> that the treatment has a</w:t>
      </w:r>
      <w:r w:rsidR="0054748D">
        <w:rPr>
          <w:rFonts w:ascii="Times New Roman" w:hAnsi="Times New Roman" w:cs="Times New Roman"/>
          <w:sz w:val="24"/>
          <w:szCs w:val="24"/>
        </w:rPr>
        <w:t xml:space="preserve"> </w:t>
      </w:r>
      <w:r w:rsidR="00380E6D">
        <w:rPr>
          <w:rFonts w:ascii="Times New Roman" w:hAnsi="Times New Roman" w:cs="Times New Roman"/>
          <w:sz w:val="24"/>
          <w:szCs w:val="24"/>
        </w:rPr>
        <w:t>positive effect on the coup</w:t>
      </w:r>
      <w:r w:rsidR="00DA5E16">
        <w:rPr>
          <w:rFonts w:ascii="Times New Roman" w:hAnsi="Times New Roman" w:cs="Times New Roman"/>
          <w:sz w:val="24"/>
          <w:szCs w:val="24"/>
        </w:rPr>
        <w:t xml:space="preserve">-proofing strategy across all specifications. </w:t>
      </w:r>
      <w:r w:rsidR="00D04996" w:rsidRPr="002D1DAA">
        <w:rPr>
          <w:rFonts w:ascii="Times New Roman" w:hAnsi="Times New Roman" w:cs="Times New Roman"/>
          <w:sz w:val="24"/>
          <w:szCs w:val="24"/>
        </w:rPr>
        <w:t>Looking at the main dependent variable (Models 1-</w:t>
      </w:r>
      <w:r w:rsidR="00D04996">
        <w:rPr>
          <w:rFonts w:ascii="Times New Roman" w:hAnsi="Times New Roman" w:cs="Times New Roman"/>
          <w:sz w:val="24"/>
          <w:szCs w:val="24"/>
        </w:rPr>
        <w:t>3</w:t>
      </w:r>
      <w:r w:rsidR="00D04996" w:rsidRPr="002D1DAA">
        <w:rPr>
          <w:rFonts w:ascii="Times New Roman" w:hAnsi="Times New Roman" w:cs="Times New Roman"/>
          <w:sz w:val="24"/>
          <w:szCs w:val="24"/>
        </w:rPr>
        <w:t xml:space="preserve">), failed coups are associated with </w:t>
      </w:r>
      <w:r w:rsidR="00D04996">
        <w:rPr>
          <w:rFonts w:ascii="Times New Roman" w:hAnsi="Times New Roman" w:cs="Times New Roman"/>
          <w:sz w:val="24"/>
          <w:szCs w:val="24"/>
        </w:rPr>
        <w:t>a 15</w:t>
      </w:r>
      <w:r w:rsidR="00D04996" w:rsidRPr="002D1DAA">
        <w:rPr>
          <w:rFonts w:ascii="Times New Roman" w:hAnsi="Times New Roman" w:cs="Times New Roman"/>
          <w:sz w:val="24"/>
          <w:szCs w:val="24"/>
        </w:rPr>
        <w:t>–19% increase in the likelihood that the dictator adopts an above-average number of counterweights.</w:t>
      </w:r>
      <w:r w:rsidR="00D04996">
        <w:rPr>
          <w:rFonts w:ascii="Times New Roman" w:hAnsi="Times New Roman" w:cs="Times New Roman"/>
          <w:sz w:val="24"/>
          <w:szCs w:val="24"/>
        </w:rPr>
        <w:t xml:space="preserve"> </w:t>
      </w:r>
      <w:r w:rsidR="00D04996" w:rsidRPr="002D1DAA">
        <w:rPr>
          <w:rFonts w:ascii="Times New Roman" w:hAnsi="Times New Roman" w:cs="Times New Roman"/>
          <w:sz w:val="24"/>
          <w:szCs w:val="24"/>
        </w:rPr>
        <w:t>Likewise,</w:t>
      </w:r>
      <w:r w:rsidR="00D04996">
        <w:rPr>
          <w:rFonts w:ascii="Times New Roman" w:hAnsi="Times New Roman" w:cs="Times New Roman"/>
          <w:sz w:val="24"/>
          <w:szCs w:val="24"/>
        </w:rPr>
        <w:t xml:space="preserve"> coup failure</w:t>
      </w:r>
      <w:r w:rsidR="00D04996" w:rsidRPr="002D1DAA">
        <w:rPr>
          <w:rFonts w:ascii="Times New Roman" w:hAnsi="Times New Roman" w:cs="Times New Roman"/>
          <w:sz w:val="24"/>
          <w:szCs w:val="24"/>
        </w:rPr>
        <w:t xml:space="preserve"> also lead</w:t>
      </w:r>
      <w:r w:rsidR="00D04996">
        <w:rPr>
          <w:rFonts w:ascii="Times New Roman" w:hAnsi="Times New Roman" w:cs="Times New Roman"/>
          <w:sz w:val="24"/>
          <w:szCs w:val="24"/>
        </w:rPr>
        <w:t>s</w:t>
      </w:r>
      <w:r w:rsidR="00D04996" w:rsidRPr="002D1DAA">
        <w:rPr>
          <w:rFonts w:ascii="Times New Roman" w:hAnsi="Times New Roman" w:cs="Times New Roman"/>
          <w:sz w:val="24"/>
          <w:szCs w:val="24"/>
        </w:rPr>
        <w:t xml:space="preserve"> to a 7–1</w:t>
      </w:r>
      <w:r w:rsidR="00D04996">
        <w:rPr>
          <w:rFonts w:ascii="Times New Roman" w:hAnsi="Times New Roman" w:cs="Times New Roman"/>
          <w:sz w:val="24"/>
          <w:szCs w:val="24"/>
        </w:rPr>
        <w:t>3</w:t>
      </w:r>
      <w:r w:rsidR="00D04996" w:rsidRPr="002D1DAA">
        <w:rPr>
          <w:rFonts w:ascii="Times New Roman" w:hAnsi="Times New Roman" w:cs="Times New Roman"/>
          <w:sz w:val="24"/>
          <w:szCs w:val="24"/>
        </w:rPr>
        <w:t>%</w:t>
      </w:r>
      <w:r w:rsidR="00D04996">
        <w:rPr>
          <w:rFonts w:ascii="Times New Roman" w:hAnsi="Times New Roman" w:cs="Times New Roman"/>
          <w:sz w:val="24"/>
          <w:szCs w:val="24"/>
        </w:rPr>
        <w:t xml:space="preserve"> </w:t>
      </w:r>
      <w:r w:rsidR="00D04996" w:rsidRPr="002D1DAA">
        <w:rPr>
          <w:rFonts w:ascii="Times New Roman" w:hAnsi="Times New Roman" w:cs="Times New Roman"/>
          <w:sz w:val="24"/>
          <w:szCs w:val="24"/>
        </w:rPr>
        <w:t>increase in the likelihood that a dictator establishes at least one counterweight</w:t>
      </w:r>
      <w:r w:rsidR="00DA5E16">
        <w:rPr>
          <w:rFonts w:ascii="Times New Roman" w:hAnsi="Times New Roman" w:cs="Times New Roman"/>
          <w:sz w:val="24"/>
          <w:szCs w:val="24"/>
        </w:rPr>
        <w:t xml:space="preserve"> (Models 4-6)</w:t>
      </w:r>
      <w:r w:rsidR="00D04996">
        <w:rPr>
          <w:rFonts w:ascii="Times New Roman" w:hAnsi="Times New Roman" w:cs="Times New Roman"/>
          <w:sz w:val="24"/>
          <w:szCs w:val="24"/>
        </w:rPr>
        <w:t xml:space="preserve"> and a 13-15% increase in the number of counterweights available to autocrats</w:t>
      </w:r>
      <w:r w:rsidR="0054748D">
        <w:rPr>
          <w:rFonts w:ascii="Times New Roman" w:hAnsi="Times New Roman" w:cs="Times New Roman"/>
          <w:sz w:val="24"/>
          <w:szCs w:val="24"/>
        </w:rPr>
        <w:t xml:space="preserve"> in each year</w:t>
      </w:r>
      <w:r w:rsidR="00DA5E16">
        <w:rPr>
          <w:rFonts w:ascii="Times New Roman" w:hAnsi="Times New Roman" w:cs="Times New Roman"/>
          <w:sz w:val="24"/>
          <w:szCs w:val="24"/>
        </w:rPr>
        <w:t xml:space="preserve"> (Models 7-9)</w:t>
      </w:r>
      <w:r w:rsidR="00D04996">
        <w:rPr>
          <w:rFonts w:ascii="Times New Roman" w:hAnsi="Times New Roman" w:cs="Times New Roman"/>
          <w:sz w:val="24"/>
          <w:szCs w:val="24"/>
        </w:rPr>
        <w:t>.</w:t>
      </w:r>
    </w:p>
    <w:p w14:paraId="21E8B221" w14:textId="77777777" w:rsidR="00D04996" w:rsidRDefault="00D04996" w:rsidP="00D04996">
      <w:pPr>
        <w:jc w:val="center"/>
        <w:rPr>
          <w:rFonts w:ascii="Aptos" w:hAnsi="Aptos"/>
        </w:rPr>
      </w:pPr>
    </w:p>
    <w:p w14:paraId="77065D2C" w14:textId="77777777" w:rsidR="00D04996" w:rsidRDefault="00D04996" w:rsidP="00D04996">
      <w:pPr>
        <w:jc w:val="center"/>
        <w:rPr>
          <w:rFonts w:ascii="Aptos" w:hAnsi="Aptos"/>
        </w:rPr>
      </w:pPr>
    </w:p>
    <w:p w14:paraId="4A31623C" w14:textId="77777777" w:rsidR="00D04996" w:rsidRDefault="00D04996" w:rsidP="00D04996">
      <w:pPr>
        <w:rPr>
          <w:rFonts w:ascii="Aptos" w:hAnsi="Aptos"/>
        </w:rPr>
      </w:pPr>
    </w:p>
    <w:p w14:paraId="63927E5F" w14:textId="77777777" w:rsidR="00D04996" w:rsidRDefault="00D04996" w:rsidP="00D04996">
      <w:pPr>
        <w:rPr>
          <w:rFonts w:ascii="Aptos" w:hAnsi="Aptos"/>
        </w:rPr>
      </w:pPr>
    </w:p>
    <w:p w14:paraId="0606F5E8" w14:textId="77777777" w:rsidR="00D04996" w:rsidRPr="00883449" w:rsidRDefault="00D04996" w:rsidP="00D04996">
      <w:pPr>
        <w:jc w:val="center"/>
        <w:rPr>
          <w:rFonts w:ascii="Times New Roman" w:hAnsi="Times New Roman" w:cs="Times New Roman"/>
          <w:sz w:val="20"/>
          <w:szCs w:val="20"/>
        </w:rPr>
      </w:pPr>
      <w:r w:rsidRPr="00883449">
        <w:rPr>
          <w:rFonts w:ascii="Times New Roman" w:hAnsi="Times New Roman" w:cs="Times New Roman"/>
          <w:sz w:val="20"/>
          <w:szCs w:val="20"/>
        </w:rPr>
        <w:t>Table 1: Results for the Effect of Failed Coups on Counterbalancing (COLPUS)</w:t>
      </w:r>
    </w:p>
    <w:tbl>
      <w:tblPr>
        <w:tblStyle w:val="TableGrid"/>
        <w:tblpPr w:leftFromText="180" w:rightFromText="180" w:vertAnchor="text" w:horzAnchor="margin" w:tblpXSpec="center" w:tblpY="237"/>
        <w:tblW w:w="12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6"/>
        <w:gridCol w:w="1316"/>
        <w:gridCol w:w="1081"/>
        <w:gridCol w:w="1261"/>
        <w:gridCol w:w="1080"/>
        <w:gridCol w:w="1260"/>
        <w:gridCol w:w="1260"/>
        <w:gridCol w:w="1170"/>
        <w:gridCol w:w="1530"/>
        <w:gridCol w:w="1254"/>
        <w:gridCol w:w="6"/>
        <w:gridCol w:w="230"/>
        <w:gridCol w:w="6"/>
      </w:tblGrid>
      <w:tr w:rsidR="00D04996" w:rsidRPr="00CC62A5" w14:paraId="4B154B00" w14:textId="77777777" w:rsidTr="008F2DDF">
        <w:trPr>
          <w:gridAfter w:val="1"/>
          <w:wAfter w:w="6" w:type="dxa"/>
          <w:trHeight w:val="275"/>
        </w:trPr>
        <w:tc>
          <w:tcPr>
            <w:tcW w:w="1475" w:type="dxa"/>
            <w:tcBorders>
              <w:top w:val="double" w:sz="4" w:space="0" w:color="auto"/>
              <w:left w:val="nil"/>
              <w:bottom w:val="single" w:sz="4" w:space="0" w:color="auto"/>
              <w:right w:val="nil"/>
            </w:tcBorders>
          </w:tcPr>
          <w:p w14:paraId="54146E44" w14:textId="77777777" w:rsidR="00D04996" w:rsidRPr="00CC62A5" w:rsidRDefault="00D04996" w:rsidP="008F2DDF">
            <w:pPr>
              <w:spacing w:after="160"/>
              <w:jc w:val="center"/>
              <w:rPr>
                <w:rFonts w:ascii="Times New Roman" w:hAnsi="Times New Roman" w:cs="Times New Roman"/>
                <w:sz w:val="20"/>
                <w:szCs w:val="20"/>
              </w:rPr>
            </w:pPr>
          </w:p>
        </w:tc>
        <w:tc>
          <w:tcPr>
            <w:tcW w:w="11209" w:type="dxa"/>
            <w:gridSpan w:val="9"/>
            <w:tcBorders>
              <w:top w:val="double" w:sz="4" w:space="0" w:color="auto"/>
              <w:left w:val="nil"/>
              <w:bottom w:val="nil"/>
              <w:right w:val="nil"/>
            </w:tcBorders>
            <w:hideMark/>
          </w:tcPr>
          <w:p w14:paraId="2ED70E41" w14:textId="77777777" w:rsidR="00D04996" w:rsidRPr="00CC62A5" w:rsidRDefault="00D04996" w:rsidP="008F2DDF">
            <w:pPr>
              <w:spacing w:after="160"/>
              <w:rPr>
                <w:rFonts w:ascii="Times New Roman" w:hAnsi="Times New Roman" w:cs="Times New Roman"/>
                <w:sz w:val="20"/>
                <w:szCs w:val="20"/>
              </w:rPr>
            </w:pPr>
            <w:r w:rsidRPr="00CC62A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C62A5">
              <w:rPr>
                <w:rFonts w:ascii="Times New Roman" w:hAnsi="Times New Roman" w:cs="Times New Roman"/>
                <w:sz w:val="20"/>
                <w:szCs w:val="20"/>
              </w:rPr>
              <w:t>Counterbalancing                                        One Counterweight                                            Log Counterweights</w:t>
            </w:r>
          </w:p>
        </w:tc>
        <w:tc>
          <w:tcPr>
            <w:tcW w:w="236" w:type="dxa"/>
            <w:gridSpan w:val="2"/>
            <w:tcBorders>
              <w:top w:val="double" w:sz="4" w:space="0" w:color="auto"/>
              <w:left w:val="nil"/>
              <w:bottom w:val="nil"/>
              <w:right w:val="nil"/>
            </w:tcBorders>
          </w:tcPr>
          <w:p w14:paraId="0B4AAE81" w14:textId="77777777" w:rsidR="00D04996" w:rsidRPr="00CC62A5" w:rsidRDefault="00D04996" w:rsidP="008F2DDF">
            <w:pPr>
              <w:spacing w:after="160"/>
              <w:jc w:val="center"/>
              <w:rPr>
                <w:rFonts w:ascii="Times New Roman" w:hAnsi="Times New Roman" w:cs="Times New Roman"/>
                <w:sz w:val="20"/>
                <w:szCs w:val="20"/>
              </w:rPr>
            </w:pPr>
          </w:p>
        </w:tc>
      </w:tr>
      <w:tr w:rsidR="00D04996" w:rsidRPr="00CC62A5" w14:paraId="1E1152E2" w14:textId="77777777" w:rsidTr="008F2DDF">
        <w:trPr>
          <w:trHeight w:val="555"/>
        </w:trPr>
        <w:tc>
          <w:tcPr>
            <w:tcW w:w="1475" w:type="dxa"/>
            <w:tcBorders>
              <w:top w:val="single" w:sz="4" w:space="0" w:color="auto"/>
              <w:left w:val="nil"/>
              <w:bottom w:val="nil"/>
              <w:right w:val="nil"/>
            </w:tcBorders>
          </w:tcPr>
          <w:p w14:paraId="0AEB2B6D" w14:textId="77777777" w:rsidR="00D04996" w:rsidRPr="00CC62A5" w:rsidRDefault="00D04996" w:rsidP="008F2DDF">
            <w:pPr>
              <w:spacing w:after="160"/>
              <w:jc w:val="center"/>
              <w:rPr>
                <w:rFonts w:ascii="Times New Roman" w:hAnsi="Times New Roman" w:cs="Times New Roman"/>
                <w:sz w:val="20"/>
                <w:szCs w:val="20"/>
              </w:rPr>
            </w:pPr>
          </w:p>
        </w:tc>
        <w:tc>
          <w:tcPr>
            <w:tcW w:w="1315" w:type="dxa"/>
            <w:tcBorders>
              <w:top w:val="single" w:sz="4" w:space="0" w:color="auto"/>
              <w:left w:val="nil"/>
              <w:bottom w:val="single" w:sz="4" w:space="0" w:color="auto"/>
              <w:right w:val="nil"/>
            </w:tcBorders>
            <w:hideMark/>
          </w:tcPr>
          <w:p w14:paraId="7AEDA1B4"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1</w:t>
            </w:r>
          </w:p>
          <w:p w14:paraId="09615D92"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Naïve</w:t>
            </w:r>
          </w:p>
        </w:tc>
        <w:tc>
          <w:tcPr>
            <w:tcW w:w="1080" w:type="dxa"/>
            <w:tcBorders>
              <w:top w:val="single" w:sz="4" w:space="0" w:color="auto"/>
              <w:left w:val="nil"/>
              <w:bottom w:val="single" w:sz="4" w:space="0" w:color="auto"/>
              <w:right w:val="nil"/>
            </w:tcBorders>
            <w:hideMark/>
          </w:tcPr>
          <w:p w14:paraId="774F622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2</w:t>
            </w:r>
          </w:p>
          <w:p w14:paraId="3B759A9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TWFE</w:t>
            </w:r>
          </w:p>
        </w:tc>
        <w:tc>
          <w:tcPr>
            <w:tcW w:w="1260" w:type="dxa"/>
            <w:tcBorders>
              <w:top w:val="single" w:sz="4" w:space="0" w:color="auto"/>
              <w:left w:val="nil"/>
              <w:bottom w:val="single" w:sz="4" w:space="0" w:color="auto"/>
              <w:right w:val="nil"/>
            </w:tcBorders>
            <w:hideMark/>
          </w:tcPr>
          <w:p w14:paraId="29B912BD"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3</w:t>
            </w:r>
          </w:p>
          <w:p w14:paraId="3C109BC0"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2SDID</w:t>
            </w:r>
          </w:p>
        </w:tc>
        <w:tc>
          <w:tcPr>
            <w:tcW w:w="1080" w:type="dxa"/>
            <w:tcBorders>
              <w:top w:val="single" w:sz="4" w:space="0" w:color="auto"/>
              <w:left w:val="nil"/>
              <w:bottom w:val="single" w:sz="4" w:space="0" w:color="auto"/>
              <w:right w:val="nil"/>
            </w:tcBorders>
            <w:hideMark/>
          </w:tcPr>
          <w:p w14:paraId="6433EC57"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4</w:t>
            </w:r>
          </w:p>
          <w:p w14:paraId="36FEAC6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Naïve</w:t>
            </w:r>
          </w:p>
        </w:tc>
        <w:tc>
          <w:tcPr>
            <w:tcW w:w="1260" w:type="dxa"/>
            <w:tcBorders>
              <w:top w:val="single" w:sz="4" w:space="0" w:color="auto"/>
              <w:left w:val="nil"/>
              <w:bottom w:val="single" w:sz="4" w:space="0" w:color="auto"/>
              <w:right w:val="nil"/>
            </w:tcBorders>
            <w:hideMark/>
          </w:tcPr>
          <w:p w14:paraId="6328F3B6"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5</w:t>
            </w:r>
          </w:p>
          <w:p w14:paraId="351A767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TWFE</w:t>
            </w:r>
          </w:p>
        </w:tc>
        <w:tc>
          <w:tcPr>
            <w:tcW w:w="1260" w:type="dxa"/>
            <w:tcBorders>
              <w:top w:val="single" w:sz="4" w:space="0" w:color="auto"/>
              <w:left w:val="nil"/>
              <w:bottom w:val="single" w:sz="4" w:space="0" w:color="auto"/>
              <w:right w:val="nil"/>
            </w:tcBorders>
            <w:hideMark/>
          </w:tcPr>
          <w:p w14:paraId="533F9BE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6</w:t>
            </w:r>
          </w:p>
          <w:p w14:paraId="4A4CE39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2SDID</w:t>
            </w:r>
          </w:p>
        </w:tc>
        <w:tc>
          <w:tcPr>
            <w:tcW w:w="1170" w:type="dxa"/>
            <w:tcBorders>
              <w:top w:val="single" w:sz="4" w:space="0" w:color="auto"/>
              <w:left w:val="nil"/>
              <w:bottom w:val="single" w:sz="4" w:space="0" w:color="auto"/>
              <w:right w:val="nil"/>
            </w:tcBorders>
            <w:hideMark/>
          </w:tcPr>
          <w:p w14:paraId="02C4805D"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7</w:t>
            </w:r>
          </w:p>
          <w:p w14:paraId="477D1519"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Naïve</w:t>
            </w:r>
          </w:p>
        </w:tc>
        <w:tc>
          <w:tcPr>
            <w:tcW w:w="1530" w:type="dxa"/>
            <w:tcBorders>
              <w:top w:val="single" w:sz="4" w:space="0" w:color="auto"/>
              <w:left w:val="nil"/>
              <w:bottom w:val="single" w:sz="4" w:space="0" w:color="auto"/>
              <w:right w:val="nil"/>
            </w:tcBorders>
            <w:hideMark/>
          </w:tcPr>
          <w:p w14:paraId="249F4B75"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8</w:t>
            </w:r>
          </w:p>
          <w:p w14:paraId="0E1E9D26"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TWFE</w:t>
            </w:r>
          </w:p>
        </w:tc>
        <w:tc>
          <w:tcPr>
            <w:tcW w:w="1260" w:type="dxa"/>
            <w:gridSpan w:val="2"/>
            <w:tcBorders>
              <w:top w:val="single" w:sz="4" w:space="0" w:color="auto"/>
              <w:left w:val="nil"/>
              <w:bottom w:val="single" w:sz="4" w:space="0" w:color="auto"/>
              <w:right w:val="nil"/>
            </w:tcBorders>
            <w:hideMark/>
          </w:tcPr>
          <w:p w14:paraId="477F85E2"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Model 9</w:t>
            </w:r>
          </w:p>
          <w:p w14:paraId="0240091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2SDID</w:t>
            </w:r>
          </w:p>
        </w:tc>
        <w:tc>
          <w:tcPr>
            <w:tcW w:w="236" w:type="dxa"/>
            <w:gridSpan w:val="2"/>
            <w:tcBorders>
              <w:top w:val="single" w:sz="4" w:space="0" w:color="auto"/>
              <w:left w:val="nil"/>
              <w:bottom w:val="single" w:sz="4" w:space="0" w:color="auto"/>
              <w:right w:val="nil"/>
            </w:tcBorders>
          </w:tcPr>
          <w:p w14:paraId="6DA996F6" w14:textId="77777777" w:rsidR="00D04996" w:rsidRPr="00CC62A5" w:rsidRDefault="00D04996" w:rsidP="008F2DDF">
            <w:pPr>
              <w:spacing w:after="160" w:line="259" w:lineRule="auto"/>
              <w:jc w:val="center"/>
              <w:rPr>
                <w:rFonts w:ascii="Times New Roman" w:hAnsi="Times New Roman" w:cs="Times New Roman"/>
                <w:sz w:val="20"/>
                <w:szCs w:val="20"/>
              </w:rPr>
            </w:pPr>
          </w:p>
        </w:tc>
      </w:tr>
      <w:tr w:rsidR="00D04996" w:rsidRPr="00CC62A5" w14:paraId="02F3F239" w14:textId="77777777" w:rsidTr="008F2DDF">
        <w:trPr>
          <w:trHeight w:val="555"/>
        </w:trPr>
        <w:tc>
          <w:tcPr>
            <w:tcW w:w="1475" w:type="dxa"/>
            <w:hideMark/>
          </w:tcPr>
          <w:p w14:paraId="19A567B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Post-Fail Coup</w:t>
            </w:r>
          </w:p>
        </w:tc>
        <w:tc>
          <w:tcPr>
            <w:tcW w:w="1315" w:type="dxa"/>
            <w:tcBorders>
              <w:top w:val="single" w:sz="4" w:space="0" w:color="auto"/>
              <w:left w:val="nil"/>
              <w:bottom w:val="nil"/>
              <w:right w:val="nil"/>
            </w:tcBorders>
            <w:hideMark/>
          </w:tcPr>
          <w:p w14:paraId="7988B97C" w14:textId="2DB94CAD"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0.192*</w:t>
            </w:r>
          </w:p>
          <w:p w14:paraId="0D40BA5E"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(0.078)</w:t>
            </w:r>
          </w:p>
        </w:tc>
        <w:tc>
          <w:tcPr>
            <w:tcW w:w="1080" w:type="dxa"/>
            <w:tcBorders>
              <w:top w:val="single" w:sz="4" w:space="0" w:color="auto"/>
              <w:left w:val="nil"/>
              <w:bottom w:val="nil"/>
              <w:right w:val="nil"/>
            </w:tcBorders>
            <w:hideMark/>
          </w:tcPr>
          <w:p w14:paraId="073A666B" w14:textId="526CE9AC"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0.151*</w:t>
            </w:r>
          </w:p>
          <w:p w14:paraId="6677C82C"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(0.071)</w:t>
            </w:r>
          </w:p>
        </w:tc>
        <w:tc>
          <w:tcPr>
            <w:tcW w:w="1260" w:type="dxa"/>
            <w:tcBorders>
              <w:top w:val="single" w:sz="4" w:space="0" w:color="auto"/>
              <w:left w:val="nil"/>
              <w:bottom w:val="nil"/>
              <w:right w:val="nil"/>
            </w:tcBorders>
            <w:hideMark/>
          </w:tcPr>
          <w:p w14:paraId="1C472DC2" w14:textId="72F2B463"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w:t>
            </w:r>
            <w:r w:rsidR="001613C2">
              <w:rPr>
                <w:rFonts w:ascii="Times New Roman" w:hAnsi="Times New Roman" w:cs="Times New Roman"/>
                <w:sz w:val="20"/>
                <w:szCs w:val="20"/>
              </w:rPr>
              <w:t>.</w:t>
            </w:r>
            <w:r w:rsidRPr="00CC62A5">
              <w:rPr>
                <w:rFonts w:ascii="Times New Roman" w:hAnsi="Times New Roman" w:cs="Times New Roman"/>
                <w:sz w:val="20"/>
                <w:szCs w:val="20"/>
              </w:rPr>
              <w:t>188*</w:t>
            </w:r>
          </w:p>
          <w:p w14:paraId="71B322EC"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(0.086)</w:t>
            </w:r>
          </w:p>
        </w:tc>
        <w:tc>
          <w:tcPr>
            <w:tcW w:w="1080" w:type="dxa"/>
            <w:tcBorders>
              <w:top w:val="single" w:sz="4" w:space="0" w:color="auto"/>
              <w:left w:val="nil"/>
              <w:bottom w:val="nil"/>
              <w:right w:val="nil"/>
            </w:tcBorders>
            <w:hideMark/>
          </w:tcPr>
          <w:p w14:paraId="004FA176" w14:textId="4B1D41A5"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0.071*</w:t>
            </w:r>
          </w:p>
          <w:p w14:paraId="09F1EABC"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(0.030)</w:t>
            </w:r>
          </w:p>
        </w:tc>
        <w:tc>
          <w:tcPr>
            <w:tcW w:w="1260" w:type="dxa"/>
            <w:tcBorders>
              <w:top w:val="single" w:sz="4" w:space="0" w:color="auto"/>
              <w:left w:val="nil"/>
              <w:bottom w:val="nil"/>
              <w:right w:val="nil"/>
            </w:tcBorders>
            <w:hideMark/>
          </w:tcPr>
          <w:p w14:paraId="20C6F0FD" w14:textId="0B4FA42A"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0.088*</w:t>
            </w:r>
          </w:p>
          <w:p w14:paraId="0B17CEB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(0.040)</w:t>
            </w:r>
          </w:p>
        </w:tc>
        <w:tc>
          <w:tcPr>
            <w:tcW w:w="1260" w:type="dxa"/>
            <w:tcBorders>
              <w:top w:val="single" w:sz="4" w:space="0" w:color="auto"/>
              <w:left w:val="nil"/>
              <w:bottom w:val="nil"/>
              <w:right w:val="nil"/>
            </w:tcBorders>
            <w:hideMark/>
          </w:tcPr>
          <w:p w14:paraId="2B628256" w14:textId="09599E4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0.138*</w:t>
            </w:r>
          </w:p>
          <w:p w14:paraId="7D2EE761"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(0.065)</w:t>
            </w:r>
          </w:p>
        </w:tc>
        <w:tc>
          <w:tcPr>
            <w:tcW w:w="1170" w:type="dxa"/>
            <w:tcBorders>
              <w:top w:val="single" w:sz="4" w:space="0" w:color="auto"/>
              <w:left w:val="nil"/>
              <w:bottom w:val="nil"/>
              <w:right w:val="nil"/>
            </w:tcBorders>
            <w:hideMark/>
          </w:tcPr>
          <w:p w14:paraId="0B6F7D66" w14:textId="572CF09A"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0.13</w:t>
            </w:r>
            <w:r w:rsidR="00E4762E">
              <w:rPr>
                <w:rFonts w:ascii="Times New Roman" w:hAnsi="Times New Roman" w:cs="Times New Roman"/>
                <w:sz w:val="20"/>
                <w:szCs w:val="20"/>
              </w:rPr>
              <w:t>7</w:t>
            </w:r>
            <w:r w:rsidRPr="00CC62A5">
              <w:rPr>
                <w:rFonts w:ascii="Times New Roman" w:hAnsi="Times New Roman" w:cs="Times New Roman"/>
                <w:sz w:val="20"/>
                <w:szCs w:val="20"/>
              </w:rPr>
              <w:t>*</w:t>
            </w:r>
          </w:p>
          <w:p w14:paraId="4F2A6561"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(0.058)</w:t>
            </w:r>
          </w:p>
        </w:tc>
        <w:tc>
          <w:tcPr>
            <w:tcW w:w="1530" w:type="dxa"/>
            <w:tcBorders>
              <w:top w:val="single" w:sz="4" w:space="0" w:color="auto"/>
              <w:left w:val="nil"/>
              <w:bottom w:val="nil"/>
              <w:right w:val="nil"/>
            </w:tcBorders>
            <w:hideMark/>
          </w:tcPr>
          <w:p w14:paraId="28802457" w14:textId="3832E22F"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0.124*</w:t>
            </w:r>
          </w:p>
          <w:p w14:paraId="56FED8DF"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(0.061)</w:t>
            </w:r>
          </w:p>
        </w:tc>
        <w:tc>
          <w:tcPr>
            <w:tcW w:w="1260" w:type="dxa"/>
            <w:gridSpan w:val="2"/>
            <w:tcBorders>
              <w:top w:val="single" w:sz="4" w:space="0" w:color="auto"/>
              <w:left w:val="nil"/>
              <w:bottom w:val="nil"/>
              <w:right w:val="nil"/>
            </w:tcBorders>
            <w:hideMark/>
          </w:tcPr>
          <w:p w14:paraId="09D2D6DB" w14:textId="0B1B7A63"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 xml:space="preserve">  0.153*</w:t>
            </w:r>
          </w:p>
          <w:p w14:paraId="78893BFD"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(0.071)</w:t>
            </w:r>
          </w:p>
        </w:tc>
        <w:tc>
          <w:tcPr>
            <w:tcW w:w="236" w:type="dxa"/>
            <w:gridSpan w:val="2"/>
            <w:tcBorders>
              <w:top w:val="single" w:sz="4" w:space="0" w:color="auto"/>
              <w:left w:val="nil"/>
              <w:bottom w:val="nil"/>
              <w:right w:val="nil"/>
            </w:tcBorders>
          </w:tcPr>
          <w:p w14:paraId="43CF4E19" w14:textId="77777777" w:rsidR="00D04996" w:rsidRPr="00CC62A5" w:rsidRDefault="00D04996" w:rsidP="008F2DDF">
            <w:pPr>
              <w:spacing w:after="160" w:line="259" w:lineRule="auto"/>
              <w:jc w:val="center"/>
              <w:rPr>
                <w:rFonts w:ascii="Times New Roman" w:hAnsi="Times New Roman" w:cs="Times New Roman"/>
                <w:sz w:val="20"/>
                <w:szCs w:val="20"/>
              </w:rPr>
            </w:pPr>
          </w:p>
        </w:tc>
      </w:tr>
      <w:tr w:rsidR="00D04996" w:rsidRPr="00CC62A5" w14:paraId="7D7D67D0" w14:textId="77777777" w:rsidTr="008F2DDF">
        <w:trPr>
          <w:trHeight w:val="304"/>
        </w:trPr>
        <w:tc>
          <w:tcPr>
            <w:tcW w:w="1475" w:type="dxa"/>
            <w:hideMark/>
          </w:tcPr>
          <w:p w14:paraId="63A01FB7"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Covariates</w:t>
            </w:r>
          </w:p>
        </w:tc>
        <w:tc>
          <w:tcPr>
            <w:tcW w:w="1315" w:type="dxa"/>
            <w:hideMark/>
          </w:tcPr>
          <w:p w14:paraId="10ED935E"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B"/>
            </w:r>
          </w:p>
        </w:tc>
        <w:tc>
          <w:tcPr>
            <w:tcW w:w="1080" w:type="dxa"/>
            <w:hideMark/>
          </w:tcPr>
          <w:p w14:paraId="053B2623"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hideMark/>
          </w:tcPr>
          <w:p w14:paraId="4932CDE7"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080" w:type="dxa"/>
            <w:hideMark/>
          </w:tcPr>
          <w:p w14:paraId="3D11F1CE"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B"/>
            </w:r>
          </w:p>
        </w:tc>
        <w:tc>
          <w:tcPr>
            <w:tcW w:w="1260" w:type="dxa"/>
            <w:hideMark/>
          </w:tcPr>
          <w:p w14:paraId="74765256"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hideMark/>
          </w:tcPr>
          <w:p w14:paraId="7A4199A9"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170" w:type="dxa"/>
            <w:hideMark/>
          </w:tcPr>
          <w:p w14:paraId="41B0E24E"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B"/>
            </w:r>
          </w:p>
        </w:tc>
        <w:tc>
          <w:tcPr>
            <w:tcW w:w="1530" w:type="dxa"/>
            <w:hideMark/>
          </w:tcPr>
          <w:p w14:paraId="39E69231"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gridSpan w:val="2"/>
            <w:hideMark/>
          </w:tcPr>
          <w:p w14:paraId="5D83430E"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236" w:type="dxa"/>
            <w:gridSpan w:val="2"/>
          </w:tcPr>
          <w:p w14:paraId="0FB06773" w14:textId="77777777" w:rsidR="00D04996" w:rsidRPr="00CC62A5" w:rsidRDefault="00D04996" w:rsidP="008F2DDF">
            <w:pPr>
              <w:spacing w:after="160" w:line="259" w:lineRule="auto"/>
              <w:jc w:val="center"/>
              <w:rPr>
                <w:rFonts w:ascii="Times New Roman" w:hAnsi="Times New Roman" w:cs="Times New Roman"/>
                <w:sz w:val="20"/>
                <w:szCs w:val="20"/>
              </w:rPr>
            </w:pPr>
          </w:p>
        </w:tc>
      </w:tr>
      <w:tr w:rsidR="00D04996" w:rsidRPr="00CC62A5" w14:paraId="235018B6" w14:textId="77777777" w:rsidTr="008F2DDF">
        <w:trPr>
          <w:trHeight w:val="304"/>
        </w:trPr>
        <w:tc>
          <w:tcPr>
            <w:tcW w:w="1475" w:type="dxa"/>
            <w:hideMark/>
          </w:tcPr>
          <w:p w14:paraId="4F0489E0"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Group FE</w:t>
            </w:r>
          </w:p>
        </w:tc>
        <w:tc>
          <w:tcPr>
            <w:tcW w:w="1315" w:type="dxa"/>
            <w:hideMark/>
          </w:tcPr>
          <w:p w14:paraId="7C2A4531"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080" w:type="dxa"/>
            <w:hideMark/>
          </w:tcPr>
          <w:p w14:paraId="7CAD5B70"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hideMark/>
          </w:tcPr>
          <w:p w14:paraId="2199D49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080" w:type="dxa"/>
            <w:hideMark/>
          </w:tcPr>
          <w:p w14:paraId="257D9D44"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hideMark/>
          </w:tcPr>
          <w:p w14:paraId="5F070F92"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hideMark/>
          </w:tcPr>
          <w:p w14:paraId="2CED3406"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170" w:type="dxa"/>
            <w:hideMark/>
          </w:tcPr>
          <w:p w14:paraId="22F197CF"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530" w:type="dxa"/>
            <w:hideMark/>
          </w:tcPr>
          <w:p w14:paraId="29599A92"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gridSpan w:val="2"/>
            <w:hideMark/>
          </w:tcPr>
          <w:p w14:paraId="6D8B999E"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236" w:type="dxa"/>
            <w:gridSpan w:val="2"/>
          </w:tcPr>
          <w:p w14:paraId="1F9146A6" w14:textId="77777777" w:rsidR="00D04996" w:rsidRPr="00CC62A5" w:rsidRDefault="00D04996" w:rsidP="008F2DDF">
            <w:pPr>
              <w:spacing w:after="160" w:line="259" w:lineRule="auto"/>
              <w:jc w:val="center"/>
              <w:rPr>
                <w:rFonts w:ascii="Times New Roman" w:hAnsi="Times New Roman" w:cs="Times New Roman"/>
                <w:sz w:val="20"/>
                <w:szCs w:val="20"/>
              </w:rPr>
            </w:pPr>
          </w:p>
        </w:tc>
      </w:tr>
      <w:tr w:rsidR="00D04996" w:rsidRPr="00CC62A5" w14:paraId="04FD8F49" w14:textId="77777777" w:rsidTr="008F2DDF">
        <w:trPr>
          <w:trHeight w:val="304"/>
        </w:trPr>
        <w:tc>
          <w:tcPr>
            <w:tcW w:w="1475" w:type="dxa"/>
            <w:tcBorders>
              <w:top w:val="nil"/>
              <w:left w:val="nil"/>
              <w:bottom w:val="single" w:sz="4" w:space="0" w:color="auto"/>
              <w:right w:val="nil"/>
            </w:tcBorders>
            <w:hideMark/>
          </w:tcPr>
          <w:p w14:paraId="52D0BFC1"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Year FE</w:t>
            </w:r>
          </w:p>
        </w:tc>
        <w:tc>
          <w:tcPr>
            <w:tcW w:w="1315" w:type="dxa"/>
            <w:tcBorders>
              <w:top w:val="nil"/>
              <w:left w:val="nil"/>
              <w:bottom w:val="single" w:sz="4" w:space="0" w:color="auto"/>
              <w:right w:val="nil"/>
            </w:tcBorders>
            <w:hideMark/>
          </w:tcPr>
          <w:p w14:paraId="2D592D73"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B"/>
            </w:r>
          </w:p>
        </w:tc>
        <w:tc>
          <w:tcPr>
            <w:tcW w:w="1080" w:type="dxa"/>
            <w:tcBorders>
              <w:top w:val="nil"/>
              <w:left w:val="nil"/>
              <w:bottom w:val="single" w:sz="4" w:space="0" w:color="auto"/>
              <w:right w:val="nil"/>
            </w:tcBorders>
            <w:hideMark/>
          </w:tcPr>
          <w:p w14:paraId="5131628D"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tcBorders>
              <w:top w:val="nil"/>
              <w:left w:val="nil"/>
              <w:bottom w:val="single" w:sz="4" w:space="0" w:color="auto"/>
              <w:right w:val="nil"/>
            </w:tcBorders>
            <w:hideMark/>
          </w:tcPr>
          <w:p w14:paraId="6E9EA9E4"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080" w:type="dxa"/>
            <w:tcBorders>
              <w:top w:val="nil"/>
              <w:left w:val="nil"/>
              <w:bottom w:val="single" w:sz="4" w:space="0" w:color="auto"/>
              <w:right w:val="nil"/>
            </w:tcBorders>
            <w:hideMark/>
          </w:tcPr>
          <w:p w14:paraId="57E8748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B"/>
            </w:r>
          </w:p>
        </w:tc>
        <w:tc>
          <w:tcPr>
            <w:tcW w:w="1260" w:type="dxa"/>
            <w:tcBorders>
              <w:top w:val="nil"/>
              <w:left w:val="nil"/>
              <w:bottom w:val="single" w:sz="4" w:space="0" w:color="auto"/>
              <w:right w:val="nil"/>
            </w:tcBorders>
            <w:hideMark/>
          </w:tcPr>
          <w:p w14:paraId="0BCB640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tcBorders>
              <w:top w:val="nil"/>
              <w:left w:val="nil"/>
              <w:bottom w:val="single" w:sz="4" w:space="0" w:color="auto"/>
              <w:right w:val="nil"/>
            </w:tcBorders>
            <w:hideMark/>
          </w:tcPr>
          <w:p w14:paraId="14C9BD49"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170" w:type="dxa"/>
            <w:tcBorders>
              <w:top w:val="nil"/>
              <w:left w:val="nil"/>
              <w:bottom w:val="single" w:sz="4" w:space="0" w:color="auto"/>
              <w:right w:val="nil"/>
            </w:tcBorders>
            <w:hideMark/>
          </w:tcPr>
          <w:p w14:paraId="1A6F5158"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B"/>
            </w:r>
          </w:p>
        </w:tc>
        <w:tc>
          <w:tcPr>
            <w:tcW w:w="1530" w:type="dxa"/>
            <w:tcBorders>
              <w:top w:val="nil"/>
              <w:left w:val="nil"/>
              <w:bottom w:val="single" w:sz="4" w:space="0" w:color="auto"/>
              <w:right w:val="nil"/>
            </w:tcBorders>
            <w:hideMark/>
          </w:tcPr>
          <w:p w14:paraId="3B905CCF"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1260" w:type="dxa"/>
            <w:gridSpan w:val="2"/>
            <w:tcBorders>
              <w:top w:val="nil"/>
              <w:left w:val="nil"/>
              <w:bottom w:val="single" w:sz="4" w:space="0" w:color="auto"/>
              <w:right w:val="nil"/>
            </w:tcBorders>
            <w:hideMark/>
          </w:tcPr>
          <w:p w14:paraId="2C4541C0"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sym w:font="Wingdings" w:char="F0FC"/>
            </w:r>
          </w:p>
        </w:tc>
        <w:tc>
          <w:tcPr>
            <w:tcW w:w="236" w:type="dxa"/>
            <w:gridSpan w:val="2"/>
            <w:tcBorders>
              <w:top w:val="nil"/>
              <w:left w:val="nil"/>
              <w:bottom w:val="single" w:sz="4" w:space="0" w:color="auto"/>
              <w:right w:val="nil"/>
            </w:tcBorders>
          </w:tcPr>
          <w:p w14:paraId="77F82057" w14:textId="77777777" w:rsidR="00D04996" w:rsidRPr="00CC62A5" w:rsidRDefault="00D04996" w:rsidP="008F2DDF">
            <w:pPr>
              <w:spacing w:after="160" w:line="259" w:lineRule="auto"/>
              <w:jc w:val="center"/>
              <w:rPr>
                <w:rFonts w:ascii="Times New Roman" w:hAnsi="Times New Roman" w:cs="Times New Roman"/>
                <w:sz w:val="20"/>
                <w:szCs w:val="20"/>
              </w:rPr>
            </w:pPr>
          </w:p>
        </w:tc>
      </w:tr>
      <w:tr w:rsidR="00D04996" w:rsidRPr="00CC62A5" w14:paraId="28E98C9A" w14:textId="77777777" w:rsidTr="008F2DDF">
        <w:trPr>
          <w:trHeight w:val="275"/>
        </w:trPr>
        <w:tc>
          <w:tcPr>
            <w:tcW w:w="1475" w:type="dxa"/>
            <w:tcBorders>
              <w:top w:val="single" w:sz="4" w:space="0" w:color="auto"/>
              <w:left w:val="nil"/>
              <w:bottom w:val="nil"/>
              <w:right w:val="nil"/>
            </w:tcBorders>
            <w:hideMark/>
          </w:tcPr>
          <w:p w14:paraId="0E6EA9B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N</w:t>
            </w:r>
          </w:p>
        </w:tc>
        <w:tc>
          <w:tcPr>
            <w:tcW w:w="1315" w:type="dxa"/>
            <w:tcBorders>
              <w:top w:val="single" w:sz="4" w:space="0" w:color="auto"/>
              <w:left w:val="nil"/>
              <w:bottom w:val="nil"/>
              <w:right w:val="nil"/>
            </w:tcBorders>
            <w:hideMark/>
          </w:tcPr>
          <w:p w14:paraId="467225FA"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2402</w:t>
            </w:r>
          </w:p>
        </w:tc>
        <w:tc>
          <w:tcPr>
            <w:tcW w:w="1080" w:type="dxa"/>
            <w:tcBorders>
              <w:top w:val="single" w:sz="4" w:space="0" w:color="auto"/>
              <w:left w:val="nil"/>
              <w:bottom w:val="nil"/>
              <w:right w:val="nil"/>
            </w:tcBorders>
            <w:hideMark/>
          </w:tcPr>
          <w:p w14:paraId="2427C6C2"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2402</w:t>
            </w:r>
          </w:p>
        </w:tc>
        <w:tc>
          <w:tcPr>
            <w:tcW w:w="1260" w:type="dxa"/>
            <w:tcBorders>
              <w:top w:val="single" w:sz="4" w:space="0" w:color="auto"/>
              <w:left w:val="nil"/>
              <w:bottom w:val="nil"/>
              <w:right w:val="nil"/>
            </w:tcBorders>
            <w:hideMark/>
          </w:tcPr>
          <w:p w14:paraId="2500B946" w14:textId="221CF533"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22</w:t>
            </w:r>
            <w:r w:rsidR="00B24CA2">
              <w:rPr>
                <w:rFonts w:ascii="Times New Roman" w:hAnsi="Times New Roman" w:cs="Times New Roman"/>
                <w:sz w:val="20"/>
                <w:szCs w:val="20"/>
              </w:rPr>
              <w:t>6</w:t>
            </w:r>
            <w:r w:rsidRPr="00CC62A5">
              <w:rPr>
                <w:rFonts w:ascii="Times New Roman" w:hAnsi="Times New Roman" w:cs="Times New Roman"/>
                <w:sz w:val="20"/>
                <w:szCs w:val="20"/>
              </w:rPr>
              <w:t>9</w:t>
            </w:r>
          </w:p>
        </w:tc>
        <w:tc>
          <w:tcPr>
            <w:tcW w:w="1080" w:type="dxa"/>
            <w:tcBorders>
              <w:top w:val="single" w:sz="4" w:space="0" w:color="auto"/>
              <w:left w:val="nil"/>
              <w:bottom w:val="nil"/>
              <w:right w:val="nil"/>
            </w:tcBorders>
            <w:hideMark/>
          </w:tcPr>
          <w:p w14:paraId="27D08022"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2402</w:t>
            </w:r>
          </w:p>
        </w:tc>
        <w:tc>
          <w:tcPr>
            <w:tcW w:w="1260" w:type="dxa"/>
            <w:tcBorders>
              <w:top w:val="single" w:sz="4" w:space="0" w:color="auto"/>
              <w:left w:val="nil"/>
              <w:bottom w:val="nil"/>
              <w:right w:val="nil"/>
            </w:tcBorders>
            <w:hideMark/>
          </w:tcPr>
          <w:p w14:paraId="04D059B1"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2402</w:t>
            </w:r>
          </w:p>
        </w:tc>
        <w:tc>
          <w:tcPr>
            <w:tcW w:w="1260" w:type="dxa"/>
            <w:tcBorders>
              <w:top w:val="single" w:sz="4" w:space="0" w:color="auto"/>
              <w:left w:val="nil"/>
              <w:bottom w:val="nil"/>
              <w:right w:val="nil"/>
            </w:tcBorders>
            <w:hideMark/>
          </w:tcPr>
          <w:p w14:paraId="480D9DC3"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2269</w:t>
            </w:r>
          </w:p>
        </w:tc>
        <w:tc>
          <w:tcPr>
            <w:tcW w:w="1170" w:type="dxa"/>
            <w:tcBorders>
              <w:top w:val="single" w:sz="4" w:space="0" w:color="auto"/>
              <w:left w:val="nil"/>
              <w:bottom w:val="nil"/>
              <w:right w:val="nil"/>
            </w:tcBorders>
            <w:hideMark/>
          </w:tcPr>
          <w:p w14:paraId="4D6A2019"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2402</w:t>
            </w:r>
          </w:p>
        </w:tc>
        <w:tc>
          <w:tcPr>
            <w:tcW w:w="1530" w:type="dxa"/>
            <w:tcBorders>
              <w:top w:val="single" w:sz="4" w:space="0" w:color="auto"/>
              <w:left w:val="nil"/>
              <w:bottom w:val="nil"/>
              <w:right w:val="nil"/>
            </w:tcBorders>
            <w:hideMark/>
          </w:tcPr>
          <w:p w14:paraId="7B5E4C40"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2402</w:t>
            </w:r>
          </w:p>
        </w:tc>
        <w:tc>
          <w:tcPr>
            <w:tcW w:w="1260" w:type="dxa"/>
            <w:gridSpan w:val="2"/>
            <w:tcBorders>
              <w:top w:val="single" w:sz="4" w:space="0" w:color="auto"/>
              <w:left w:val="nil"/>
              <w:bottom w:val="nil"/>
              <w:right w:val="nil"/>
            </w:tcBorders>
            <w:hideMark/>
          </w:tcPr>
          <w:p w14:paraId="6BA0260A" w14:textId="5AE5023C"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2</w:t>
            </w:r>
            <w:r w:rsidR="000A0DC1">
              <w:rPr>
                <w:rFonts w:ascii="Times New Roman" w:hAnsi="Times New Roman" w:cs="Times New Roman"/>
                <w:sz w:val="20"/>
                <w:szCs w:val="20"/>
              </w:rPr>
              <w:t>2</w:t>
            </w:r>
            <w:r w:rsidR="00B24CA2">
              <w:rPr>
                <w:rFonts w:ascii="Times New Roman" w:hAnsi="Times New Roman" w:cs="Times New Roman"/>
                <w:sz w:val="20"/>
                <w:szCs w:val="20"/>
              </w:rPr>
              <w:t>6</w:t>
            </w:r>
            <w:r w:rsidRPr="00CC62A5">
              <w:rPr>
                <w:rFonts w:ascii="Times New Roman" w:hAnsi="Times New Roman" w:cs="Times New Roman"/>
                <w:sz w:val="20"/>
                <w:szCs w:val="20"/>
              </w:rPr>
              <w:t>9</w:t>
            </w:r>
          </w:p>
        </w:tc>
        <w:tc>
          <w:tcPr>
            <w:tcW w:w="236" w:type="dxa"/>
            <w:gridSpan w:val="2"/>
            <w:tcBorders>
              <w:top w:val="single" w:sz="4" w:space="0" w:color="auto"/>
              <w:left w:val="nil"/>
              <w:bottom w:val="nil"/>
              <w:right w:val="nil"/>
            </w:tcBorders>
          </w:tcPr>
          <w:p w14:paraId="79E031F5" w14:textId="77777777" w:rsidR="00D04996" w:rsidRPr="00CC62A5" w:rsidRDefault="00D04996" w:rsidP="008F2DDF">
            <w:pPr>
              <w:spacing w:after="160" w:line="259" w:lineRule="auto"/>
              <w:jc w:val="center"/>
              <w:rPr>
                <w:rFonts w:ascii="Times New Roman" w:hAnsi="Times New Roman" w:cs="Times New Roman"/>
                <w:sz w:val="20"/>
                <w:szCs w:val="20"/>
              </w:rPr>
            </w:pPr>
          </w:p>
        </w:tc>
      </w:tr>
      <w:tr w:rsidR="00D04996" w:rsidRPr="00CC62A5" w14:paraId="09819236" w14:textId="77777777" w:rsidTr="008F2DDF">
        <w:trPr>
          <w:trHeight w:val="275"/>
        </w:trPr>
        <w:tc>
          <w:tcPr>
            <w:tcW w:w="1475" w:type="dxa"/>
            <w:tcBorders>
              <w:top w:val="nil"/>
              <w:left w:val="nil"/>
              <w:bottom w:val="double" w:sz="4" w:space="0" w:color="auto"/>
              <w:right w:val="nil"/>
            </w:tcBorders>
            <w:hideMark/>
          </w:tcPr>
          <w:p w14:paraId="22C3A885"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Adjusted R</w:t>
            </w:r>
            <w:r w:rsidRPr="00CC62A5">
              <w:rPr>
                <w:rFonts w:ascii="Times New Roman" w:hAnsi="Times New Roman" w:cs="Times New Roman"/>
                <w:sz w:val="20"/>
                <w:szCs w:val="20"/>
                <w:vertAlign w:val="superscript"/>
              </w:rPr>
              <w:t>2</w:t>
            </w:r>
          </w:p>
        </w:tc>
        <w:tc>
          <w:tcPr>
            <w:tcW w:w="1315" w:type="dxa"/>
            <w:tcBorders>
              <w:top w:val="nil"/>
              <w:left w:val="nil"/>
              <w:bottom w:val="double" w:sz="4" w:space="0" w:color="auto"/>
              <w:right w:val="nil"/>
            </w:tcBorders>
            <w:hideMark/>
          </w:tcPr>
          <w:p w14:paraId="4724AF1D"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0.861</w:t>
            </w:r>
          </w:p>
        </w:tc>
        <w:tc>
          <w:tcPr>
            <w:tcW w:w="1080" w:type="dxa"/>
            <w:tcBorders>
              <w:top w:val="nil"/>
              <w:left w:val="nil"/>
              <w:bottom w:val="double" w:sz="4" w:space="0" w:color="auto"/>
              <w:right w:val="nil"/>
            </w:tcBorders>
            <w:hideMark/>
          </w:tcPr>
          <w:p w14:paraId="655EB93C"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0.871</w:t>
            </w:r>
          </w:p>
        </w:tc>
        <w:tc>
          <w:tcPr>
            <w:tcW w:w="1260" w:type="dxa"/>
            <w:tcBorders>
              <w:top w:val="nil"/>
              <w:left w:val="nil"/>
              <w:bottom w:val="double" w:sz="4" w:space="0" w:color="auto"/>
              <w:right w:val="nil"/>
            </w:tcBorders>
            <w:hideMark/>
          </w:tcPr>
          <w:p w14:paraId="7DF51A7F"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0.138</w:t>
            </w:r>
          </w:p>
        </w:tc>
        <w:tc>
          <w:tcPr>
            <w:tcW w:w="1080" w:type="dxa"/>
            <w:tcBorders>
              <w:top w:val="nil"/>
              <w:left w:val="nil"/>
              <w:bottom w:val="double" w:sz="4" w:space="0" w:color="auto"/>
              <w:right w:val="nil"/>
            </w:tcBorders>
            <w:hideMark/>
          </w:tcPr>
          <w:p w14:paraId="3F0662F6"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0.884</w:t>
            </w:r>
          </w:p>
        </w:tc>
        <w:tc>
          <w:tcPr>
            <w:tcW w:w="1260" w:type="dxa"/>
            <w:tcBorders>
              <w:top w:val="nil"/>
              <w:left w:val="nil"/>
              <w:bottom w:val="double" w:sz="4" w:space="0" w:color="auto"/>
              <w:right w:val="nil"/>
            </w:tcBorders>
            <w:hideMark/>
          </w:tcPr>
          <w:p w14:paraId="730F55B3"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0.893</w:t>
            </w:r>
          </w:p>
        </w:tc>
        <w:tc>
          <w:tcPr>
            <w:tcW w:w="1260" w:type="dxa"/>
            <w:tcBorders>
              <w:top w:val="nil"/>
              <w:left w:val="nil"/>
              <w:bottom w:val="double" w:sz="4" w:space="0" w:color="auto"/>
              <w:right w:val="nil"/>
            </w:tcBorders>
            <w:hideMark/>
          </w:tcPr>
          <w:p w14:paraId="2E57A82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0.080</w:t>
            </w:r>
          </w:p>
        </w:tc>
        <w:tc>
          <w:tcPr>
            <w:tcW w:w="1170" w:type="dxa"/>
            <w:tcBorders>
              <w:top w:val="nil"/>
              <w:left w:val="nil"/>
              <w:bottom w:val="double" w:sz="4" w:space="0" w:color="auto"/>
              <w:right w:val="nil"/>
            </w:tcBorders>
            <w:hideMark/>
          </w:tcPr>
          <w:p w14:paraId="73DB4213"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0.911</w:t>
            </w:r>
          </w:p>
        </w:tc>
        <w:tc>
          <w:tcPr>
            <w:tcW w:w="1530" w:type="dxa"/>
            <w:tcBorders>
              <w:top w:val="nil"/>
              <w:left w:val="nil"/>
              <w:bottom w:val="double" w:sz="4" w:space="0" w:color="auto"/>
              <w:right w:val="nil"/>
            </w:tcBorders>
            <w:hideMark/>
          </w:tcPr>
          <w:p w14:paraId="3D82C58B"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0.919</w:t>
            </w:r>
          </w:p>
        </w:tc>
        <w:tc>
          <w:tcPr>
            <w:tcW w:w="1260" w:type="dxa"/>
            <w:gridSpan w:val="2"/>
            <w:tcBorders>
              <w:top w:val="nil"/>
              <w:left w:val="nil"/>
              <w:bottom w:val="double" w:sz="4" w:space="0" w:color="auto"/>
              <w:right w:val="nil"/>
            </w:tcBorders>
            <w:hideMark/>
          </w:tcPr>
          <w:p w14:paraId="5CE13C09" w14:textId="77777777" w:rsidR="00D04996" w:rsidRPr="00CC62A5" w:rsidRDefault="00D04996" w:rsidP="008F2DDF">
            <w:pPr>
              <w:spacing w:after="160"/>
              <w:jc w:val="center"/>
              <w:rPr>
                <w:rFonts w:ascii="Times New Roman" w:hAnsi="Times New Roman" w:cs="Times New Roman"/>
                <w:sz w:val="20"/>
                <w:szCs w:val="20"/>
              </w:rPr>
            </w:pPr>
            <w:r w:rsidRPr="00CC62A5">
              <w:rPr>
                <w:rFonts w:ascii="Times New Roman" w:hAnsi="Times New Roman" w:cs="Times New Roman"/>
                <w:sz w:val="20"/>
                <w:szCs w:val="20"/>
              </w:rPr>
              <w:t>0.108</w:t>
            </w:r>
          </w:p>
        </w:tc>
        <w:tc>
          <w:tcPr>
            <w:tcW w:w="236" w:type="dxa"/>
            <w:gridSpan w:val="2"/>
            <w:tcBorders>
              <w:top w:val="nil"/>
              <w:left w:val="nil"/>
              <w:bottom w:val="double" w:sz="4" w:space="0" w:color="auto"/>
              <w:right w:val="nil"/>
            </w:tcBorders>
          </w:tcPr>
          <w:p w14:paraId="47C91D9B" w14:textId="77777777" w:rsidR="00D04996" w:rsidRPr="00CC62A5" w:rsidRDefault="00D04996" w:rsidP="008F2DDF">
            <w:pPr>
              <w:spacing w:after="160" w:line="259" w:lineRule="auto"/>
              <w:jc w:val="center"/>
              <w:rPr>
                <w:rFonts w:ascii="Times New Roman" w:hAnsi="Times New Roman" w:cs="Times New Roman"/>
                <w:sz w:val="20"/>
                <w:szCs w:val="20"/>
              </w:rPr>
            </w:pPr>
          </w:p>
        </w:tc>
      </w:tr>
    </w:tbl>
    <w:p w14:paraId="4AD2DF5C" w14:textId="77777777" w:rsidR="00D04996" w:rsidRPr="00862988" w:rsidRDefault="00D04996" w:rsidP="00D04996">
      <w:pPr>
        <w:rPr>
          <w:rFonts w:ascii="Times New Roman" w:hAnsi="Times New Roman" w:cs="Times New Roman"/>
          <w:sz w:val="20"/>
          <w:szCs w:val="20"/>
        </w:rPr>
      </w:pPr>
    </w:p>
    <w:p w14:paraId="16CF99AD" w14:textId="22070C0A" w:rsidR="00D04996" w:rsidRDefault="00D04996" w:rsidP="00D04996">
      <w:r w:rsidRPr="00363713">
        <w:rPr>
          <w:rFonts w:ascii="Times New Roman" w:hAnsi="Times New Roman" w:cs="Times New Roman"/>
          <w:i/>
          <w:iCs/>
          <w:sz w:val="19"/>
          <w:szCs w:val="19"/>
        </w:rPr>
        <w:t>Note: * p &lt; 0.05. All models show OLS estimates</w:t>
      </w:r>
      <w:r>
        <w:rPr>
          <w:rFonts w:ascii="Times New Roman" w:hAnsi="Times New Roman" w:cs="Times New Roman"/>
          <w:i/>
          <w:iCs/>
          <w:sz w:val="19"/>
          <w:szCs w:val="19"/>
        </w:rPr>
        <w:t xml:space="preserve">. </w:t>
      </w:r>
      <w:r w:rsidRPr="00363713">
        <w:rPr>
          <w:rFonts w:ascii="Times New Roman" w:hAnsi="Times New Roman" w:cs="Times New Roman"/>
          <w:i/>
          <w:iCs/>
          <w:sz w:val="19"/>
          <w:szCs w:val="19"/>
        </w:rPr>
        <w:t>Standard errors, clustered by leader-spell, are in parentheses. All covariates apart from leader tenure are lagged by one year (t-1).</w:t>
      </w:r>
      <w:r>
        <w:rPr>
          <w:rFonts w:ascii="Times New Roman" w:hAnsi="Times New Roman" w:cs="Times New Roman"/>
          <w:i/>
          <w:iCs/>
          <w:sz w:val="19"/>
          <w:szCs w:val="19"/>
        </w:rPr>
        <w:t xml:space="preserve"> For full results see Table B2 in the Annex.</w:t>
      </w:r>
    </w:p>
    <w:p w14:paraId="38E6FBBA" w14:textId="77777777" w:rsidR="00D04996" w:rsidRDefault="00D04996" w:rsidP="00D04996">
      <w:pPr>
        <w:spacing w:after="0" w:line="480" w:lineRule="auto"/>
        <w:rPr>
          <w:rFonts w:ascii="Times New Roman" w:hAnsi="Times New Roman" w:cs="Times New Roman"/>
          <w:sz w:val="24"/>
          <w:szCs w:val="24"/>
        </w:rPr>
      </w:pPr>
    </w:p>
    <w:p w14:paraId="7F9D2394" w14:textId="77777777" w:rsidR="002F30D0" w:rsidRDefault="002F30D0" w:rsidP="00D04996">
      <w:pPr>
        <w:spacing w:after="0" w:line="480" w:lineRule="auto"/>
        <w:rPr>
          <w:rFonts w:ascii="Times New Roman" w:hAnsi="Times New Roman" w:cs="Times New Roman"/>
          <w:sz w:val="24"/>
          <w:szCs w:val="24"/>
        </w:rPr>
      </w:pPr>
    </w:p>
    <w:p w14:paraId="00F5FA65" w14:textId="77777777" w:rsidR="002F30D0" w:rsidRDefault="002F30D0" w:rsidP="00D04996">
      <w:pPr>
        <w:spacing w:after="0" w:line="480" w:lineRule="auto"/>
        <w:rPr>
          <w:rFonts w:ascii="Times New Roman" w:hAnsi="Times New Roman" w:cs="Times New Roman"/>
          <w:sz w:val="24"/>
          <w:szCs w:val="24"/>
        </w:rPr>
      </w:pPr>
    </w:p>
    <w:p w14:paraId="096510DA" w14:textId="77777777" w:rsidR="002F30D0" w:rsidRDefault="002F30D0" w:rsidP="00D04996">
      <w:pPr>
        <w:spacing w:after="0" w:line="480" w:lineRule="auto"/>
        <w:rPr>
          <w:rFonts w:ascii="Times New Roman" w:hAnsi="Times New Roman" w:cs="Times New Roman"/>
          <w:sz w:val="24"/>
          <w:szCs w:val="24"/>
        </w:rPr>
        <w:sectPr w:rsidR="002F30D0" w:rsidSect="00D04996">
          <w:pgSz w:w="15840" w:h="12240" w:orient="landscape"/>
          <w:pgMar w:top="1440" w:right="1440" w:bottom="1440" w:left="1440" w:header="720" w:footer="720" w:gutter="0"/>
          <w:cols w:space="720"/>
          <w:titlePg/>
          <w:docGrid w:linePitch="360"/>
        </w:sectPr>
      </w:pPr>
    </w:p>
    <w:p w14:paraId="387355D7" w14:textId="77777777" w:rsidR="002F30D0" w:rsidRDefault="002F30D0" w:rsidP="002F30D0">
      <w:pPr>
        <w:tabs>
          <w:tab w:val="left" w:pos="5304"/>
        </w:tabs>
        <w:rPr>
          <w:rFonts w:ascii="Times New Roman" w:hAnsi="Times New Roman" w:cs="Times New Roman"/>
          <w:sz w:val="20"/>
          <w:szCs w:val="20"/>
        </w:rPr>
      </w:pPr>
    </w:p>
    <w:p w14:paraId="74020731" w14:textId="68A42AA4" w:rsidR="002F30D0" w:rsidRPr="002F30D0" w:rsidRDefault="002F30D0" w:rsidP="002F30D0">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Figure 4 visualizes each model specification. The Naïve estimator suggests a 19.2% increase </w:t>
      </w:r>
      <w:r w:rsidR="007E7F26">
        <w:rPr>
          <w:rFonts w:ascii="Times New Roman" w:hAnsi="Times New Roman" w:cs="Times New Roman"/>
          <w:sz w:val="24"/>
          <w:szCs w:val="24"/>
        </w:rPr>
        <w:t xml:space="preserve">in </w:t>
      </w:r>
      <w:r>
        <w:rPr>
          <w:rFonts w:ascii="Times New Roman" w:hAnsi="Times New Roman" w:cs="Times New Roman"/>
          <w:sz w:val="24"/>
          <w:szCs w:val="24"/>
        </w:rPr>
        <w:t xml:space="preserve">the likelihood of having an above-average number of counterweights, the TWFE a 15.1% and the 2SDID, an 18.8%. The likelihood of having at least one counterweight increases by 7.1% (Naïve), 8.8% (TWFE) and 13.8% (2SDID) in the aftermath of a failed coup. After exponentiating the log coefficient, the Naïve estimator suggests that failed coups are associated with a 14.4% increase in the number of counterweights employed by the dictator in a given year. This drops to 13.2% for the TWFE and increases to 16.6% for the 2SDID. All estimates reach conventional statistical significance at the 5% level. </w:t>
      </w:r>
    </w:p>
    <w:p w14:paraId="405F8ADB" w14:textId="4C035F7F" w:rsidR="002F30D0" w:rsidRPr="002A2FBB" w:rsidRDefault="002F30D0" w:rsidP="002F30D0">
      <w:pPr>
        <w:tabs>
          <w:tab w:val="left" w:pos="5304"/>
        </w:tabs>
        <w:jc w:val="center"/>
        <w:rPr>
          <w:rFonts w:ascii="Times New Roman" w:hAnsi="Times New Roman" w:cs="Times New Roman"/>
          <w:sz w:val="20"/>
          <w:szCs w:val="20"/>
        </w:rPr>
      </w:pPr>
      <w:r w:rsidRPr="00392468">
        <w:rPr>
          <w:rFonts w:ascii="Times New Roman" w:hAnsi="Times New Roman" w:cs="Times New Roman"/>
          <w:sz w:val="20"/>
          <w:szCs w:val="20"/>
        </w:rPr>
        <w:t xml:space="preserve">Figure </w:t>
      </w:r>
      <w:r>
        <w:rPr>
          <w:rFonts w:ascii="Times New Roman" w:hAnsi="Times New Roman" w:cs="Times New Roman"/>
          <w:sz w:val="20"/>
          <w:szCs w:val="20"/>
        </w:rPr>
        <w:t>4</w:t>
      </w:r>
      <w:r w:rsidRPr="00392468">
        <w:rPr>
          <w:rFonts w:ascii="Times New Roman" w:hAnsi="Times New Roman" w:cs="Times New Roman"/>
          <w:sz w:val="20"/>
          <w:szCs w:val="20"/>
        </w:rPr>
        <w:t>: Coefficient Plots</w:t>
      </w:r>
    </w:p>
    <w:p w14:paraId="22E182B1" w14:textId="47EFF0A1" w:rsidR="002F30D0" w:rsidRDefault="002F30D0" w:rsidP="002F30D0">
      <w:pPr>
        <w:spacing w:after="0" w:line="480" w:lineRule="auto"/>
        <w:jc w:val="center"/>
        <w:rPr>
          <w:rFonts w:ascii="Times New Roman" w:hAnsi="Times New Roman" w:cs="Times New Roman"/>
          <w:sz w:val="24"/>
          <w:szCs w:val="24"/>
        </w:rPr>
      </w:pPr>
      <w:r>
        <w:rPr>
          <w:noProof/>
        </w:rPr>
        <w:drawing>
          <wp:inline distT="0" distB="0" distL="0" distR="0" wp14:anchorId="635374F0" wp14:editId="2771C097">
            <wp:extent cx="5943600" cy="3337560"/>
            <wp:effectExtent l="0" t="0" r="0" b="0"/>
            <wp:docPr id="1375847969" name="Picture 4"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47969" name="Picture 4" descr="A graph with lines and numbe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337560"/>
                    </a:xfrm>
                    <a:prstGeom prst="rect">
                      <a:avLst/>
                    </a:prstGeom>
                    <a:noFill/>
                    <a:ln>
                      <a:noFill/>
                    </a:ln>
                  </pic:spPr>
                </pic:pic>
              </a:graphicData>
            </a:graphic>
          </wp:inline>
        </w:drawing>
      </w:r>
    </w:p>
    <w:p w14:paraId="054430D9" w14:textId="7A297103" w:rsidR="00D04996" w:rsidRDefault="00D04996" w:rsidP="002F30D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In addition to the baseline results, I run a series of event-study models to assess the treatment effect at differential timings of treatment introduction (using leads and lags of up to</w:t>
      </w:r>
    </w:p>
    <w:p w14:paraId="21C6790E" w14:textId="54E99487" w:rsidR="00B8792C" w:rsidRDefault="00D04996" w:rsidP="00D04996">
      <w:pPr>
        <w:spacing w:after="0" w:line="480" w:lineRule="auto"/>
        <w:rPr>
          <w:rFonts w:ascii="Times New Roman" w:hAnsi="Times New Roman" w:cs="Times New Roman"/>
          <w:sz w:val="24"/>
          <w:szCs w:val="24"/>
        </w:rPr>
      </w:pPr>
      <w:r>
        <w:rPr>
          <w:rFonts w:ascii="Times New Roman" w:hAnsi="Times New Roman" w:cs="Times New Roman"/>
          <w:sz w:val="24"/>
          <w:szCs w:val="24"/>
        </w:rPr>
        <w:t>nine years for</w:t>
      </w:r>
      <w:r w:rsidR="0018050B">
        <w:rPr>
          <w:rFonts w:ascii="Times New Roman" w:hAnsi="Times New Roman" w:cs="Times New Roman"/>
          <w:sz w:val="24"/>
          <w:szCs w:val="24"/>
        </w:rPr>
        <w:t xml:space="preserve"> the full</w:t>
      </w:r>
      <w:r>
        <w:rPr>
          <w:rFonts w:ascii="Times New Roman" w:hAnsi="Times New Roman" w:cs="Times New Roman"/>
          <w:sz w:val="24"/>
          <w:szCs w:val="24"/>
        </w:rPr>
        <w:t xml:space="preserve"> TWFE </w:t>
      </w:r>
      <w:r w:rsidR="0018050B">
        <w:rPr>
          <w:rFonts w:ascii="Times New Roman" w:hAnsi="Times New Roman" w:cs="Times New Roman"/>
          <w:sz w:val="24"/>
          <w:szCs w:val="24"/>
        </w:rPr>
        <w:t>model</w:t>
      </w:r>
      <w:r>
        <w:rPr>
          <w:rFonts w:ascii="Times New Roman" w:hAnsi="Times New Roman" w:cs="Times New Roman"/>
          <w:sz w:val="24"/>
          <w:szCs w:val="24"/>
        </w:rPr>
        <w:t xml:space="preserve">). Figures 5, 6 and 7 serve as further evidence for the existence of parallel trends as the coefficients in the pre-treatment period fail to reach </w:t>
      </w:r>
      <w:r>
        <w:rPr>
          <w:rFonts w:ascii="Times New Roman" w:hAnsi="Times New Roman" w:cs="Times New Roman"/>
          <w:sz w:val="24"/>
          <w:szCs w:val="24"/>
        </w:rPr>
        <w:lastRenderedPageBreak/>
        <w:t>conventional significance level. This means that the difference-in-differences between the treatment and control groups followed a similar trend prior to treatment and that divergence in the post-treatment period is very likely</w:t>
      </w:r>
      <w:r w:rsidR="00A93D42">
        <w:rPr>
          <w:rFonts w:ascii="Times New Roman" w:hAnsi="Times New Roman" w:cs="Times New Roman"/>
          <w:sz w:val="24"/>
          <w:szCs w:val="24"/>
        </w:rPr>
        <w:t xml:space="preserve"> </w:t>
      </w:r>
      <w:r>
        <w:rPr>
          <w:rFonts w:ascii="Times New Roman" w:hAnsi="Times New Roman" w:cs="Times New Roman"/>
          <w:sz w:val="24"/>
          <w:szCs w:val="24"/>
        </w:rPr>
        <w:t xml:space="preserve">attributed to treatment introduction (Cunningham 2021). </w:t>
      </w:r>
    </w:p>
    <w:p w14:paraId="7B202CBF" w14:textId="042F2414" w:rsidR="00D04996" w:rsidRPr="00E42A05" w:rsidRDefault="00D04996" w:rsidP="00D04996">
      <w:pPr>
        <w:spacing w:after="0" w:line="480" w:lineRule="auto"/>
        <w:jc w:val="center"/>
        <w:rPr>
          <w:rFonts w:ascii="Times New Roman" w:hAnsi="Times New Roman" w:cs="Times New Roman"/>
          <w:sz w:val="20"/>
          <w:szCs w:val="20"/>
        </w:rPr>
      </w:pPr>
      <w:r w:rsidRPr="00E42A05">
        <w:rPr>
          <w:rFonts w:ascii="Times New Roman" w:hAnsi="Times New Roman" w:cs="Times New Roman"/>
          <w:sz w:val="20"/>
          <w:szCs w:val="20"/>
        </w:rPr>
        <w:t xml:space="preserve">Figure 5: Event Study: Staggered Treatment </w:t>
      </w:r>
      <w:r>
        <w:rPr>
          <w:rFonts w:ascii="Times New Roman" w:hAnsi="Times New Roman" w:cs="Times New Roman"/>
          <w:sz w:val="20"/>
          <w:szCs w:val="20"/>
        </w:rPr>
        <w:t xml:space="preserve">– </w:t>
      </w:r>
      <w:r w:rsidRPr="00E42A05">
        <w:rPr>
          <w:rFonts w:ascii="Times New Roman" w:hAnsi="Times New Roman" w:cs="Times New Roman"/>
          <w:sz w:val="20"/>
          <w:szCs w:val="20"/>
        </w:rPr>
        <w:t>Counterbalancin</w:t>
      </w:r>
      <w:r w:rsidR="00803446">
        <w:rPr>
          <w:rFonts w:ascii="Times New Roman" w:hAnsi="Times New Roman" w:cs="Times New Roman"/>
          <w:sz w:val="20"/>
          <w:szCs w:val="20"/>
        </w:rPr>
        <w:t>g</w:t>
      </w:r>
    </w:p>
    <w:p w14:paraId="1C401E1B" w14:textId="0DF0DF96" w:rsidR="00D04996" w:rsidRDefault="00D04996" w:rsidP="00EB13C6">
      <w:pPr>
        <w:spacing w:after="0" w:line="480" w:lineRule="auto"/>
        <w:jc w:val="center"/>
        <w:rPr>
          <w:rFonts w:ascii="Times New Roman" w:hAnsi="Times New Roman" w:cs="Times New Roman"/>
          <w:sz w:val="24"/>
          <w:szCs w:val="24"/>
        </w:rPr>
      </w:pPr>
      <w:r>
        <w:rPr>
          <w:noProof/>
        </w:rPr>
        <w:drawing>
          <wp:inline distT="0" distB="0" distL="0" distR="0" wp14:anchorId="7FCFD8A8" wp14:editId="6037B3DF">
            <wp:extent cx="5290004" cy="2998988"/>
            <wp:effectExtent l="0" t="0" r="6350" b="0"/>
            <wp:docPr id="1999635890" name="Picture 1" descr="A graph of a patient's condi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635890" name="Picture 1" descr="A graph of a patient's condition&#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t="9340"/>
                    <a:stretch/>
                  </pic:blipFill>
                  <pic:spPr bwMode="auto">
                    <a:xfrm>
                      <a:off x="0" y="0"/>
                      <a:ext cx="5325721" cy="3019236"/>
                    </a:xfrm>
                    <a:prstGeom prst="rect">
                      <a:avLst/>
                    </a:prstGeom>
                    <a:noFill/>
                    <a:ln>
                      <a:noFill/>
                    </a:ln>
                    <a:extLst>
                      <a:ext uri="{53640926-AAD7-44D8-BBD7-CCE9431645EC}">
                        <a14:shadowObscured xmlns:a14="http://schemas.microsoft.com/office/drawing/2010/main"/>
                      </a:ext>
                    </a:extLst>
                  </pic:spPr>
                </pic:pic>
              </a:graphicData>
            </a:graphic>
          </wp:inline>
        </w:drawing>
      </w:r>
    </w:p>
    <w:p w14:paraId="62CFAB5A" w14:textId="4D03CCC7" w:rsidR="00D04996" w:rsidRPr="0096583D" w:rsidRDefault="00D04996" w:rsidP="00D04996">
      <w:pPr>
        <w:spacing w:after="0" w:line="480" w:lineRule="auto"/>
        <w:jc w:val="center"/>
        <w:rPr>
          <w:rFonts w:ascii="Times New Roman" w:hAnsi="Times New Roman" w:cs="Times New Roman"/>
          <w:sz w:val="20"/>
          <w:szCs w:val="20"/>
        </w:rPr>
      </w:pPr>
      <w:r w:rsidRPr="00BF7716">
        <w:rPr>
          <w:rFonts w:ascii="Times New Roman" w:hAnsi="Times New Roman" w:cs="Times New Roman"/>
          <w:sz w:val="20"/>
          <w:szCs w:val="20"/>
        </w:rPr>
        <w:t>Figure 6: Event Study: Staggered Treatment – One Counterweight</w:t>
      </w:r>
    </w:p>
    <w:p w14:paraId="53ED88B7" w14:textId="77777777" w:rsidR="00D04996" w:rsidRDefault="00D04996" w:rsidP="00EB13C6">
      <w:pPr>
        <w:spacing w:after="0" w:line="480" w:lineRule="auto"/>
        <w:jc w:val="center"/>
        <w:rPr>
          <w:rFonts w:ascii="Times New Roman" w:hAnsi="Times New Roman" w:cs="Times New Roman"/>
          <w:sz w:val="24"/>
          <w:szCs w:val="24"/>
        </w:rPr>
      </w:pPr>
      <w:r>
        <w:rPr>
          <w:noProof/>
        </w:rPr>
        <w:drawing>
          <wp:inline distT="0" distB="0" distL="0" distR="0" wp14:anchorId="15033ABA" wp14:editId="57E19A71">
            <wp:extent cx="5235703" cy="2906485"/>
            <wp:effectExtent l="0" t="0" r="3175" b="8255"/>
            <wp:docPr id="1234451192" name="Picture 2" descr="A graph with blue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451192" name="Picture 2" descr="A graph with blue lines and numbers&#10;&#10;Description automatically generated"/>
                    <pic:cNvPicPr>
                      <a:picLocks noChangeAspect="1" noChangeArrowheads="1"/>
                    </pic:cNvPicPr>
                  </pic:nvPicPr>
                  <pic:blipFill rotWithShape="1">
                    <a:blip r:embed="rId15">
                      <a:extLst>
                        <a:ext uri="{28A0092B-C50C-407E-A947-70E740481C1C}">
                          <a14:useLocalDpi xmlns:a14="http://schemas.microsoft.com/office/drawing/2010/main" val="0"/>
                        </a:ext>
                      </a:extLst>
                    </a:blip>
                    <a:srcRect t="11270"/>
                    <a:stretch/>
                  </pic:blipFill>
                  <pic:spPr bwMode="auto">
                    <a:xfrm>
                      <a:off x="0" y="0"/>
                      <a:ext cx="5255317" cy="2917373"/>
                    </a:xfrm>
                    <a:prstGeom prst="rect">
                      <a:avLst/>
                    </a:prstGeom>
                    <a:noFill/>
                    <a:ln>
                      <a:noFill/>
                    </a:ln>
                    <a:extLst>
                      <a:ext uri="{53640926-AAD7-44D8-BBD7-CCE9431645EC}">
                        <a14:shadowObscured xmlns:a14="http://schemas.microsoft.com/office/drawing/2010/main"/>
                      </a:ext>
                    </a:extLst>
                  </pic:spPr>
                </pic:pic>
              </a:graphicData>
            </a:graphic>
          </wp:inline>
        </w:drawing>
      </w:r>
    </w:p>
    <w:p w14:paraId="4B54F05E" w14:textId="77777777" w:rsidR="00B8792C" w:rsidRDefault="00B8792C" w:rsidP="00EB13C6">
      <w:pPr>
        <w:spacing w:after="0" w:line="480" w:lineRule="auto"/>
        <w:jc w:val="center"/>
        <w:rPr>
          <w:rFonts w:ascii="Times New Roman" w:hAnsi="Times New Roman" w:cs="Times New Roman"/>
          <w:sz w:val="24"/>
          <w:szCs w:val="24"/>
        </w:rPr>
      </w:pPr>
    </w:p>
    <w:p w14:paraId="6069C6A8" w14:textId="77777777" w:rsidR="00B8792C" w:rsidRDefault="00B8792C" w:rsidP="00EB13C6">
      <w:pPr>
        <w:spacing w:after="0" w:line="480" w:lineRule="auto"/>
        <w:jc w:val="center"/>
        <w:rPr>
          <w:rFonts w:ascii="Times New Roman" w:hAnsi="Times New Roman" w:cs="Times New Roman"/>
          <w:sz w:val="24"/>
          <w:szCs w:val="24"/>
        </w:rPr>
      </w:pPr>
    </w:p>
    <w:p w14:paraId="5AA2B955" w14:textId="771974DA" w:rsidR="00D04996" w:rsidRPr="00834DD6" w:rsidRDefault="00D04996" w:rsidP="00D04996">
      <w:pPr>
        <w:spacing w:after="0" w:line="480" w:lineRule="auto"/>
        <w:jc w:val="center"/>
        <w:rPr>
          <w:rFonts w:ascii="Times New Roman" w:hAnsi="Times New Roman" w:cs="Times New Roman"/>
          <w:sz w:val="20"/>
          <w:szCs w:val="20"/>
        </w:rPr>
      </w:pPr>
      <w:r w:rsidRPr="00BF7716">
        <w:rPr>
          <w:rFonts w:ascii="Times New Roman" w:hAnsi="Times New Roman" w:cs="Times New Roman"/>
          <w:sz w:val="20"/>
          <w:szCs w:val="20"/>
        </w:rPr>
        <w:t xml:space="preserve">Figure </w:t>
      </w:r>
      <w:r>
        <w:rPr>
          <w:rFonts w:ascii="Times New Roman" w:hAnsi="Times New Roman" w:cs="Times New Roman"/>
          <w:sz w:val="20"/>
          <w:szCs w:val="20"/>
        </w:rPr>
        <w:t>7</w:t>
      </w:r>
      <w:r w:rsidRPr="00BF7716">
        <w:rPr>
          <w:rFonts w:ascii="Times New Roman" w:hAnsi="Times New Roman" w:cs="Times New Roman"/>
          <w:sz w:val="20"/>
          <w:szCs w:val="20"/>
        </w:rPr>
        <w:t xml:space="preserve">: Event Study: Staggered Treatment – </w:t>
      </w:r>
      <w:r>
        <w:rPr>
          <w:rFonts w:ascii="Times New Roman" w:hAnsi="Times New Roman" w:cs="Times New Roman"/>
          <w:sz w:val="20"/>
          <w:szCs w:val="20"/>
        </w:rPr>
        <w:t>Log Counterweights</w:t>
      </w:r>
    </w:p>
    <w:p w14:paraId="410953B1" w14:textId="4A6E8C20" w:rsidR="0018050B" w:rsidRDefault="00D04996" w:rsidP="0018050B">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4CABC9D" wp14:editId="5988F9D8">
            <wp:extent cx="5498656" cy="3080657"/>
            <wp:effectExtent l="0" t="0" r="6985" b="5715"/>
            <wp:docPr id="308564935" name="Picture 1" descr="A graph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564935" name="Picture 1" descr="A graph with blue lines&#10;&#10;Description automatically generated"/>
                    <pic:cNvPicPr>
                      <a:picLocks noChangeAspect="1" noChangeArrowheads="1"/>
                    </pic:cNvPicPr>
                  </pic:nvPicPr>
                  <pic:blipFill rotWithShape="1">
                    <a:blip r:embed="rId16">
                      <a:extLst>
                        <a:ext uri="{28A0092B-C50C-407E-A947-70E740481C1C}">
                          <a14:useLocalDpi xmlns:a14="http://schemas.microsoft.com/office/drawing/2010/main" val="0"/>
                        </a:ext>
                      </a:extLst>
                    </a:blip>
                    <a:srcRect t="10450"/>
                    <a:stretch/>
                  </pic:blipFill>
                  <pic:spPr bwMode="auto">
                    <a:xfrm>
                      <a:off x="0" y="0"/>
                      <a:ext cx="5517183" cy="3091037"/>
                    </a:xfrm>
                    <a:prstGeom prst="rect">
                      <a:avLst/>
                    </a:prstGeom>
                    <a:noFill/>
                    <a:ln>
                      <a:noFill/>
                    </a:ln>
                    <a:extLst>
                      <a:ext uri="{53640926-AAD7-44D8-BBD7-CCE9431645EC}">
                        <a14:shadowObscured xmlns:a14="http://schemas.microsoft.com/office/drawing/2010/main"/>
                      </a:ext>
                    </a:extLst>
                  </pic:spPr>
                </pic:pic>
              </a:graphicData>
            </a:graphic>
          </wp:inline>
        </w:drawing>
      </w:r>
    </w:p>
    <w:p w14:paraId="2DBB1E76" w14:textId="5E0E66AF" w:rsidR="0018050B" w:rsidRDefault="0009084B" w:rsidP="0009084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One caveat</w:t>
      </w:r>
      <w:r w:rsidR="0018050B">
        <w:rPr>
          <w:rFonts w:ascii="Times New Roman" w:hAnsi="Times New Roman" w:cs="Times New Roman"/>
          <w:sz w:val="24"/>
          <w:szCs w:val="24"/>
        </w:rPr>
        <w:t xml:space="preserve"> is that the estimated effects are not persistent in the post-treatment period and dip in and out of significance for different leads of treatment introduction.</w:t>
      </w:r>
      <w:r>
        <w:rPr>
          <w:rFonts w:ascii="Times New Roman" w:hAnsi="Times New Roman" w:cs="Times New Roman"/>
          <w:sz w:val="24"/>
          <w:szCs w:val="24"/>
        </w:rPr>
        <w:t xml:space="preserve"> </w:t>
      </w:r>
      <w:r w:rsidR="00811912">
        <w:rPr>
          <w:rFonts w:ascii="Times New Roman" w:hAnsi="Times New Roman" w:cs="Times New Roman"/>
          <w:sz w:val="24"/>
          <w:szCs w:val="24"/>
        </w:rPr>
        <w:t>That said,</w:t>
      </w:r>
      <w:r w:rsidR="00B8792C">
        <w:rPr>
          <w:rFonts w:ascii="Times New Roman" w:hAnsi="Times New Roman" w:cs="Times New Roman"/>
          <w:sz w:val="24"/>
          <w:szCs w:val="24"/>
        </w:rPr>
        <w:t xml:space="preserve"> departing from the average of all models, I fail to reject my main hypothesis. Instead, I find a moderate effect of failed coups on counterbalancing in autocratic regimes. </w:t>
      </w:r>
    </w:p>
    <w:p w14:paraId="48DD04F5" w14:textId="77777777" w:rsidR="00D04996" w:rsidRDefault="00D04996" w:rsidP="00D04996">
      <w:pPr>
        <w:spacing w:after="0" w:line="480" w:lineRule="auto"/>
        <w:rPr>
          <w:rFonts w:ascii="Times New Roman" w:hAnsi="Times New Roman" w:cs="Times New Roman"/>
          <w:i/>
          <w:iCs/>
          <w:sz w:val="24"/>
          <w:szCs w:val="24"/>
        </w:rPr>
      </w:pPr>
      <w:r w:rsidRPr="00EF72B3">
        <w:rPr>
          <w:rFonts w:ascii="Times New Roman" w:hAnsi="Times New Roman" w:cs="Times New Roman"/>
          <w:i/>
          <w:iCs/>
          <w:sz w:val="24"/>
          <w:szCs w:val="24"/>
        </w:rPr>
        <w:t>Robustness Checks and Limitations</w:t>
      </w:r>
    </w:p>
    <w:p w14:paraId="5C54EDCF" w14:textId="11C296F0" w:rsidR="00E4469A" w:rsidRPr="001917C0" w:rsidRDefault="00D04996" w:rsidP="00E4469A">
      <w:pPr>
        <w:spacing w:after="0" w:line="480" w:lineRule="auto"/>
        <w:rPr>
          <w:rFonts w:ascii="Times New Roman" w:hAnsi="Times New Roman" w:cs="Times New Roman"/>
          <w:sz w:val="24"/>
          <w:szCs w:val="24"/>
        </w:rPr>
      </w:pPr>
      <w:r w:rsidRPr="001917C0">
        <w:rPr>
          <w:rFonts w:ascii="Times New Roman" w:hAnsi="Times New Roman" w:cs="Times New Roman"/>
          <w:sz w:val="24"/>
          <w:szCs w:val="24"/>
        </w:rPr>
        <w:t xml:space="preserve">Table </w:t>
      </w:r>
      <w:r w:rsidR="001D5CFA">
        <w:rPr>
          <w:rFonts w:ascii="Times New Roman" w:hAnsi="Times New Roman" w:cs="Times New Roman"/>
          <w:sz w:val="24"/>
          <w:szCs w:val="24"/>
        </w:rPr>
        <w:t>A3.2</w:t>
      </w:r>
      <w:r w:rsidRPr="001917C0">
        <w:rPr>
          <w:rFonts w:ascii="Times New Roman" w:hAnsi="Times New Roman" w:cs="Times New Roman"/>
          <w:sz w:val="24"/>
          <w:szCs w:val="24"/>
        </w:rPr>
        <w:t xml:space="preserve"> in the annex </w:t>
      </w:r>
      <w:r w:rsidR="00FA77B0" w:rsidRPr="001917C0">
        <w:rPr>
          <w:rFonts w:ascii="Times New Roman" w:hAnsi="Times New Roman" w:cs="Times New Roman"/>
          <w:sz w:val="24"/>
          <w:szCs w:val="24"/>
        </w:rPr>
        <w:t xml:space="preserve">presents </w:t>
      </w:r>
      <w:r w:rsidRPr="001917C0">
        <w:rPr>
          <w:rFonts w:ascii="Times New Roman" w:hAnsi="Times New Roman" w:cs="Times New Roman"/>
          <w:sz w:val="24"/>
          <w:szCs w:val="24"/>
        </w:rPr>
        <w:t xml:space="preserve">the results of my analysis using the PT codings of coups. </w:t>
      </w:r>
      <w:r w:rsidR="00E4469A" w:rsidRPr="001917C0">
        <w:rPr>
          <w:rFonts w:ascii="Times New Roman" w:hAnsi="Times New Roman" w:cs="Times New Roman"/>
          <w:sz w:val="24"/>
          <w:szCs w:val="24"/>
        </w:rPr>
        <w:t>While the PT data largely replicates my findings, it does not achieve conventional significance in certain specifications, likely due to differences in how coups are operationalized in the dataset.</w:t>
      </w:r>
    </w:p>
    <w:p w14:paraId="0A972252" w14:textId="70E12F09" w:rsidR="004D3A71" w:rsidRPr="001917C0" w:rsidRDefault="00A22F88" w:rsidP="00AD2C2E">
      <w:pPr>
        <w:spacing w:after="0" w:line="480" w:lineRule="auto"/>
        <w:rPr>
          <w:rFonts w:ascii="Times New Roman" w:hAnsi="Times New Roman" w:cs="Times New Roman"/>
          <w:sz w:val="24"/>
          <w:szCs w:val="24"/>
        </w:rPr>
      </w:pPr>
      <w:r w:rsidRPr="001917C0">
        <w:rPr>
          <w:rFonts w:ascii="Times New Roman" w:hAnsi="Times New Roman" w:cs="Times New Roman"/>
          <w:sz w:val="24"/>
          <w:szCs w:val="24"/>
        </w:rPr>
        <w:t>Additionally, my findings are robust to logistic regression (Table A</w:t>
      </w:r>
      <w:r w:rsidR="001D5CFA">
        <w:rPr>
          <w:rFonts w:ascii="Times New Roman" w:hAnsi="Times New Roman" w:cs="Times New Roman"/>
          <w:sz w:val="24"/>
          <w:szCs w:val="24"/>
        </w:rPr>
        <w:t>4.1</w:t>
      </w:r>
      <w:r w:rsidRPr="001917C0">
        <w:rPr>
          <w:rFonts w:ascii="Times New Roman" w:hAnsi="Times New Roman" w:cs="Times New Roman"/>
          <w:sz w:val="24"/>
          <w:szCs w:val="24"/>
        </w:rPr>
        <w:t>), alternative dependent variables (Table</w:t>
      </w:r>
      <w:r w:rsidR="00905DAA">
        <w:rPr>
          <w:rFonts w:ascii="Times New Roman" w:hAnsi="Times New Roman" w:cs="Times New Roman"/>
          <w:sz w:val="24"/>
          <w:szCs w:val="24"/>
        </w:rPr>
        <w:t>s</w:t>
      </w:r>
      <w:r w:rsidRPr="001917C0">
        <w:rPr>
          <w:rFonts w:ascii="Times New Roman" w:hAnsi="Times New Roman" w:cs="Times New Roman"/>
          <w:sz w:val="24"/>
          <w:szCs w:val="24"/>
        </w:rPr>
        <w:t xml:space="preserve"> A4</w:t>
      </w:r>
      <w:r w:rsidR="001D5CFA">
        <w:rPr>
          <w:rFonts w:ascii="Times New Roman" w:hAnsi="Times New Roman" w:cs="Times New Roman"/>
          <w:sz w:val="24"/>
          <w:szCs w:val="24"/>
        </w:rPr>
        <w:t>.</w:t>
      </w:r>
      <w:r w:rsidR="00905DAA">
        <w:rPr>
          <w:rFonts w:ascii="Times New Roman" w:hAnsi="Times New Roman" w:cs="Times New Roman"/>
          <w:sz w:val="24"/>
          <w:szCs w:val="24"/>
        </w:rPr>
        <w:t>3-4</w:t>
      </w:r>
      <w:r w:rsidRPr="001917C0">
        <w:rPr>
          <w:rFonts w:ascii="Times New Roman" w:hAnsi="Times New Roman" w:cs="Times New Roman"/>
          <w:sz w:val="24"/>
          <w:szCs w:val="24"/>
        </w:rPr>
        <w:t>)</w:t>
      </w:r>
      <w:r w:rsidR="000F274A">
        <w:rPr>
          <w:rFonts w:ascii="Times New Roman" w:hAnsi="Times New Roman" w:cs="Times New Roman"/>
          <w:sz w:val="24"/>
          <w:szCs w:val="24"/>
        </w:rPr>
        <w:t xml:space="preserve"> and </w:t>
      </w:r>
      <w:r w:rsidR="007C7F7A" w:rsidRPr="001917C0">
        <w:rPr>
          <w:rFonts w:ascii="Times New Roman" w:hAnsi="Times New Roman" w:cs="Times New Roman"/>
          <w:sz w:val="24"/>
          <w:szCs w:val="24"/>
        </w:rPr>
        <w:t xml:space="preserve">Geddes at al.’s (2018) categorical distinction of regime types (Party, Military, Monarchy and Personalist) instead of their index of latent personalism (Table </w:t>
      </w:r>
      <w:r w:rsidR="007C7F7A" w:rsidRPr="001917C0">
        <w:rPr>
          <w:rFonts w:ascii="Times New Roman" w:hAnsi="Times New Roman" w:cs="Times New Roman"/>
          <w:sz w:val="24"/>
          <w:szCs w:val="24"/>
        </w:rPr>
        <w:lastRenderedPageBreak/>
        <w:t>A</w:t>
      </w:r>
      <w:r w:rsidR="001D5CFA">
        <w:rPr>
          <w:rFonts w:ascii="Times New Roman" w:hAnsi="Times New Roman" w:cs="Times New Roman"/>
          <w:sz w:val="24"/>
          <w:szCs w:val="24"/>
        </w:rPr>
        <w:t>4.2</w:t>
      </w:r>
      <w:r w:rsidR="007C7F7A" w:rsidRPr="001917C0">
        <w:rPr>
          <w:rFonts w:ascii="Times New Roman" w:hAnsi="Times New Roman" w:cs="Times New Roman"/>
          <w:sz w:val="24"/>
          <w:szCs w:val="24"/>
        </w:rPr>
        <w:t xml:space="preserve">). </w:t>
      </w:r>
      <w:r w:rsidR="006350A5" w:rsidRPr="001917C0">
        <w:rPr>
          <w:rFonts w:ascii="Times New Roman" w:hAnsi="Times New Roman" w:cs="Times New Roman"/>
          <w:sz w:val="24"/>
          <w:szCs w:val="24"/>
        </w:rPr>
        <w:t xml:space="preserve">Finally, </w:t>
      </w:r>
      <w:r w:rsidR="004D3A71" w:rsidRPr="001917C0">
        <w:rPr>
          <w:rFonts w:ascii="Times New Roman" w:hAnsi="Times New Roman" w:cs="Times New Roman"/>
          <w:sz w:val="24"/>
          <w:szCs w:val="24"/>
        </w:rPr>
        <w:t>my results are robust to</w:t>
      </w:r>
      <w:r w:rsidR="00285C97" w:rsidRPr="001917C0">
        <w:rPr>
          <w:rFonts w:ascii="Times New Roman" w:hAnsi="Times New Roman" w:cs="Times New Roman"/>
          <w:sz w:val="24"/>
          <w:szCs w:val="24"/>
        </w:rPr>
        <w:t xml:space="preserve"> </w:t>
      </w:r>
      <w:r w:rsidR="004D3A71" w:rsidRPr="001917C0">
        <w:rPr>
          <w:rFonts w:ascii="Times New Roman" w:hAnsi="Times New Roman" w:cs="Times New Roman"/>
          <w:sz w:val="24"/>
          <w:szCs w:val="24"/>
        </w:rPr>
        <w:t xml:space="preserve">clustering of standard errors at both the regime and country-levels, </w:t>
      </w:r>
      <w:r w:rsidR="001917C0" w:rsidRPr="001917C0">
        <w:rPr>
          <w:rFonts w:ascii="Times New Roman" w:hAnsi="Times New Roman" w:cs="Times New Roman"/>
          <w:sz w:val="24"/>
          <w:szCs w:val="24"/>
        </w:rPr>
        <w:t xml:space="preserve">accounting for the </w:t>
      </w:r>
      <w:r w:rsidR="00905DAA">
        <w:rPr>
          <w:rFonts w:ascii="Times New Roman" w:hAnsi="Times New Roman" w:cs="Times New Roman"/>
          <w:sz w:val="24"/>
          <w:szCs w:val="24"/>
        </w:rPr>
        <w:t xml:space="preserve">implicitly </w:t>
      </w:r>
      <w:r w:rsidR="004D3A71" w:rsidRPr="001917C0">
        <w:rPr>
          <w:rFonts w:ascii="Times New Roman" w:hAnsi="Times New Roman" w:cs="Times New Roman"/>
          <w:sz w:val="24"/>
          <w:szCs w:val="24"/>
        </w:rPr>
        <w:t>neste</w:t>
      </w:r>
      <w:r w:rsidR="008239B0" w:rsidRPr="001917C0">
        <w:rPr>
          <w:rFonts w:ascii="Times New Roman" w:hAnsi="Times New Roman" w:cs="Times New Roman"/>
          <w:sz w:val="24"/>
          <w:szCs w:val="24"/>
        </w:rPr>
        <w:t>d</w:t>
      </w:r>
      <w:r w:rsidR="004D3A71" w:rsidRPr="001917C0">
        <w:rPr>
          <w:rFonts w:ascii="Times New Roman" w:hAnsi="Times New Roman" w:cs="Times New Roman"/>
          <w:sz w:val="24"/>
          <w:szCs w:val="24"/>
        </w:rPr>
        <w:t xml:space="preserve"> structure of the data (Table</w:t>
      </w:r>
      <w:r w:rsidR="00905DAA">
        <w:rPr>
          <w:rFonts w:ascii="Times New Roman" w:hAnsi="Times New Roman" w:cs="Times New Roman"/>
          <w:sz w:val="24"/>
          <w:szCs w:val="24"/>
        </w:rPr>
        <w:t>s</w:t>
      </w:r>
      <w:r w:rsidR="004D3A71" w:rsidRPr="001917C0">
        <w:rPr>
          <w:rFonts w:ascii="Times New Roman" w:hAnsi="Times New Roman" w:cs="Times New Roman"/>
          <w:sz w:val="24"/>
          <w:szCs w:val="24"/>
        </w:rPr>
        <w:t xml:space="preserve"> </w:t>
      </w:r>
      <w:r w:rsidR="008239B0" w:rsidRPr="001917C0">
        <w:rPr>
          <w:rFonts w:ascii="Times New Roman" w:hAnsi="Times New Roman" w:cs="Times New Roman"/>
          <w:sz w:val="24"/>
          <w:szCs w:val="24"/>
        </w:rPr>
        <w:t>A</w:t>
      </w:r>
      <w:r w:rsidR="00905DAA">
        <w:rPr>
          <w:rFonts w:ascii="Times New Roman" w:hAnsi="Times New Roman" w:cs="Times New Roman"/>
          <w:sz w:val="24"/>
          <w:szCs w:val="24"/>
        </w:rPr>
        <w:t>4.5-6</w:t>
      </w:r>
      <w:r w:rsidR="004D3A71" w:rsidRPr="001917C0">
        <w:rPr>
          <w:rFonts w:ascii="Times New Roman" w:hAnsi="Times New Roman" w:cs="Times New Roman"/>
          <w:sz w:val="24"/>
          <w:szCs w:val="24"/>
        </w:rPr>
        <w:t>)</w:t>
      </w:r>
      <w:r w:rsidR="008239B0" w:rsidRPr="001917C0">
        <w:rPr>
          <w:rFonts w:ascii="Times New Roman" w:hAnsi="Times New Roman" w:cs="Times New Roman"/>
          <w:sz w:val="24"/>
          <w:szCs w:val="24"/>
        </w:rPr>
        <w:t>.</w:t>
      </w:r>
    </w:p>
    <w:p w14:paraId="37498A47" w14:textId="73D1DD4A" w:rsidR="00D04996" w:rsidRPr="00AD2C2E" w:rsidRDefault="00D04996" w:rsidP="00AD2C2E">
      <w:pPr>
        <w:spacing w:after="0" w:line="480" w:lineRule="auto"/>
        <w:ind w:firstLine="720"/>
        <w:rPr>
          <w:rFonts w:ascii="Times New Roman" w:hAnsi="Times New Roman" w:cs="Times New Roman"/>
          <w:i/>
          <w:iCs/>
          <w:sz w:val="24"/>
          <w:szCs w:val="24"/>
        </w:rPr>
      </w:pPr>
      <w:r w:rsidRPr="008F5005">
        <w:rPr>
          <w:rFonts w:ascii="Times New Roman" w:hAnsi="Times New Roman" w:cs="Times New Roman"/>
          <w:sz w:val="24"/>
          <w:szCs w:val="24"/>
        </w:rPr>
        <w:t>That said, limitations to my empirical strategy are apparent. First, the timing and location of failed coups is not randomly assigned, which means that I assume selection on observables for causal identification. This opens up the potential for the presence of time-varying unobserved heterogeneity, where the treatment is endogenous</w:t>
      </w:r>
      <w:r>
        <w:rPr>
          <w:rFonts w:ascii="Times New Roman" w:hAnsi="Times New Roman" w:cs="Times New Roman"/>
          <w:sz w:val="24"/>
          <w:szCs w:val="24"/>
        </w:rPr>
        <w:t xml:space="preserve"> to unobserved confounders. </w:t>
      </w:r>
    </w:p>
    <w:p w14:paraId="26EC5FEA" w14:textId="44E5340B" w:rsidR="00C10346" w:rsidRPr="00C8172E" w:rsidRDefault="00D04996" w:rsidP="00C8172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Second, the identifying assumption necessitates that the treatment is independent of the outcome in the pre-treatment period conditional on the inclusion of potential confounders (Cunningham 2021). Although I previously defended this assumption, arguing that there is little evidence that counterbalancing causes coups, anticipation effects do exist. Fears that the dictator might fragment the military in the future may cause the armed forces to step in and intervene (Sudduth 2017a). Recent evidence also seems to suggest that creating a new counterweight might increase the risk of a coup in the following year (De Bruin 2020). Although I try to address reverse causality through lags, lagging the treatment variable remains a crude solution.</w:t>
      </w:r>
      <w:r w:rsidR="002C688C">
        <w:rPr>
          <w:rFonts w:ascii="Times New Roman" w:hAnsi="Times New Roman" w:cs="Times New Roman"/>
          <w:sz w:val="24"/>
          <w:szCs w:val="24"/>
        </w:rPr>
        <w:t xml:space="preserve"> Mis-specified</w:t>
      </w:r>
      <w:r>
        <w:rPr>
          <w:rFonts w:ascii="Times New Roman" w:hAnsi="Times New Roman" w:cs="Times New Roman"/>
          <w:sz w:val="24"/>
          <w:szCs w:val="24"/>
        </w:rPr>
        <w:t xml:space="preserve"> lags can still violate the independence </w:t>
      </w:r>
      <w:r w:rsidRPr="00E92733">
        <w:rPr>
          <w:rFonts w:ascii="Times New Roman" w:hAnsi="Times New Roman" w:cs="Times New Roman"/>
          <w:sz w:val="24"/>
          <w:szCs w:val="24"/>
        </w:rPr>
        <w:t>assumption. Given</w:t>
      </w:r>
      <w:r>
        <w:rPr>
          <w:rFonts w:ascii="Times New Roman" w:hAnsi="Times New Roman" w:cs="Times New Roman"/>
          <w:sz w:val="24"/>
          <w:szCs w:val="24"/>
        </w:rPr>
        <w:t xml:space="preserve"> these limitations, I probe the plausibility of the theorized mechanism through two illustrative examples of failed coups.</w:t>
      </w:r>
    </w:p>
    <w:p w14:paraId="5B239BC7" w14:textId="44450562" w:rsidR="003875C0" w:rsidRPr="007D3701" w:rsidRDefault="003875C0" w:rsidP="003875C0">
      <w:pPr>
        <w:spacing w:after="0" w:line="480" w:lineRule="auto"/>
        <w:rPr>
          <w:rFonts w:ascii="Times New Roman" w:hAnsi="Times New Roman" w:cs="Times New Roman"/>
          <w:b/>
          <w:bCs/>
          <w:sz w:val="24"/>
          <w:szCs w:val="24"/>
        </w:rPr>
      </w:pPr>
      <w:r w:rsidRPr="007D3701">
        <w:rPr>
          <w:rFonts w:ascii="Times New Roman" w:hAnsi="Times New Roman" w:cs="Times New Roman"/>
          <w:b/>
          <w:bCs/>
          <w:sz w:val="24"/>
          <w:szCs w:val="24"/>
        </w:rPr>
        <w:t>Case Studies</w:t>
      </w:r>
    </w:p>
    <w:p w14:paraId="001C0E51" w14:textId="50B45289" w:rsidR="003875C0" w:rsidRDefault="003875C0" w:rsidP="003875C0">
      <w:pPr>
        <w:spacing w:after="0" w:line="480" w:lineRule="auto"/>
        <w:rPr>
          <w:rFonts w:ascii="Times New Roman" w:hAnsi="Times New Roman" w:cs="Times New Roman"/>
          <w:sz w:val="24"/>
          <w:szCs w:val="24"/>
        </w:rPr>
      </w:pPr>
      <w:r>
        <w:rPr>
          <w:rFonts w:ascii="Times New Roman" w:hAnsi="Times New Roman" w:cs="Times New Roman"/>
          <w:sz w:val="24"/>
          <w:szCs w:val="24"/>
        </w:rPr>
        <w:t>The two examples I</w:t>
      </w:r>
      <w:r w:rsidR="00F03ABC">
        <w:rPr>
          <w:rFonts w:ascii="Times New Roman" w:hAnsi="Times New Roman" w:cs="Times New Roman"/>
          <w:sz w:val="24"/>
          <w:szCs w:val="24"/>
        </w:rPr>
        <w:t xml:space="preserve"> leverage </w:t>
      </w:r>
      <w:r>
        <w:rPr>
          <w:rFonts w:ascii="Times New Roman" w:hAnsi="Times New Roman" w:cs="Times New Roman"/>
          <w:sz w:val="24"/>
          <w:szCs w:val="24"/>
        </w:rPr>
        <w:t>are (1) the 1971 failed coup in Sierra Leone and (2) the 2016 failed coup in Turkey. Whereas the former is a within-sample historical illustration of how failed coups can lead to the creation of particular counterweights, the latter is an out-of-sample, timelier, case meant to highlight the broader implications of failed coups for the ruler’s coercive apparatus.</w:t>
      </w:r>
    </w:p>
    <w:p w14:paraId="31687D22" w14:textId="77777777" w:rsidR="00C8172E" w:rsidRDefault="00C8172E" w:rsidP="003875C0">
      <w:pPr>
        <w:spacing w:after="0" w:line="480" w:lineRule="auto"/>
        <w:rPr>
          <w:rFonts w:ascii="Times New Roman" w:hAnsi="Times New Roman" w:cs="Times New Roman"/>
          <w:sz w:val="24"/>
          <w:szCs w:val="24"/>
        </w:rPr>
      </w:pPr>
    </w:p>
    <w:p w14:paraId="487FCA86" w14:textId="77777777" w:rsidR="00C8172E" w:rsidRPr="00040B8B" w:rsidRDefault="00C8172E" w:rsidP="003875C0">
      <w:pPr>
        <w:spacing w:after="0" w:line="480" w:lineRule="auto"/>
        <w:rPr>
          <w:rFonts w:ascii="Times New Roman" w:hAnsi="Times New Roman" w:cs="Times New Roman"/>
          <w:sz w:val="24"/>
          <w:szCs w:val="24"/>
        </w:rPr>
      </w:pPr>
    </w:p>
    <w:p w14:paraId="4F5DF7EA" w14:textId="77777777" w:rsidR="003875C0" w:rsidRPr="007D3701" w:rsidRDefault="003875C0" w:rsidP="003875C0">
      <w:pPr>
        <w:spacing w:after="0" w:line="480" w:lineRule="auto"/>
        <w:rPr>
          <w:rFonts w:ascii="Times New Roman" w:hAnsi="Times New Roman" w:cs="Times New Roman"/>
          <w:i/>
          <w:iCs/>
          <w:sz w:val="24"/>
          <w:szCs w:val="24"/>
        </w:rPr>
      </w:pPr>
      <w:r w:rsidRPr="007D3701">
        <w:rPr>
          <w:rFonts w:ascii="Times New Roman" w:hAnsi="Times New Roman" w:cs="Times New Roman"/>
          <w:i/>
          <w:iCs/>
          <w:sz w:val="24"/>
          <w:szCs w:val="24"/>
        </w:rPr>
        <w:lastRenderedPageBreak/>
        <w:t>March 1971 Coup in Sierra Leone</w:t>
      </w:r>
    </w:p>
    <w:p w14:paraId="201092D0" w14:textId="3B0850F2" w:rsidR="00B01317" w:rsidRDefault="00B01317" w:rsidP="00B01317">
      <w:pPr>
        <w:spacing w:after="0" w:line="480" w:lineRule="auto"/>
        <w:rPr>
          <w:rFonts w:ascii="Times New Roman" w:hAnsi="Times New Roman" w:cs="Times New Roman"/>
          <w:sz w:val="24"/>
          <w:szCs w:val="24"/>
        </w:rPr>
      </w:pPr>
      <w:r w:rsidRPr="00C26655">
        <w:rPr>
          <w:rFonts w:ascii="Times New Roman" w:hAnsi="Times New Roman" w:cs="Times New Roman"/>
          <w:sz w:val="24"/>
          <w:szCs w:val="24"/>
        </w:rPr>
        <w:t xml:space="preserve">Siaka Stevens and </w:t>
      </w:r>
      <w:r w:rsidR="00663066">
        <w:rPr>
          <w:rFonts w:ascii="Times New Roman" w:hAnsi="Times New Roman" w:cs="Times New Roman"/>
          <w:sz w:val="24"/>
          <w:szCs w:val="24"/>
        </w:rPr>
        <w:t>his</w:t>
      </w:r>
      <w:r w:rsidRPr="00C26655">
        <w:rPr>
          <w:rFonts w:ascii="Times New Roman" w:hAnsi="Times New Roman" w:cs="Times New Roman"/>
          <w:sz w:val="24"/>
          <w:szCs w:val="24"/>
        </w:rPr>
        <w:t xml:space="preserve"> All People’s Congress (APC)</w:t>
      </w:r>
      <w:r>
        <w:rPr>
          <w:rFonts w:ascii="Times New Roman" w:hAnsi="Times New Roman" w:cs="Times New Roman"/>
          <w:sz w:val="24"/>
          <w:szCs w:val="24"/>
        </w:rPr>
        <w:t xml:space="preserve"> </w:t>
      </w:r>
      <w:r w:rsidRPr="00C26655">
        <w:rPr>
          <w:rFonts w:ascii="Times New Roman" w:hAnsi="Times New Roman" w:cs="Times New Roman"/>
          <w:sz w:val="24"/>
          <w:szCs w:val="24"/>
        </w:rPr>
        <w:t>came to power in April 1968 following a mutiny of the lower ranks against the Southern</w:t>
      </w:r>
      <w:r>
        <w:rPr>
          <w:rFonts w:ascii="Times New Roman" w:hAnsi="Times New Roman" w:cs="Times New Roman"/>
          <w:sz w:val="24"/>
          <w:szCs w:val="24"/>
        </w:rPr>
        <w:t xml:space="preserve"> ethnic </w:t>
      </w:r>
      <w:r w:rsidRPr="00C26655">
        <w:rPr>
          <w:rFonts w:ascii="Times New Roman" w:hAnsi="Times New Roman" w:cs="Times New Roman"/>
          <w:sz w:val="24"/>
          <w:szCs w:val="24"/>
        </w:rPr>
        <w:t xml:space="preserve">Mende-dominated military government. Shortly after taking power, Stevens, a Northern Limba, began </w:t>
      </w:r>
      <w:r>
        <w:rPr>
          <w:rFonts w:ascii="Times New Roman" w:hAnsi="Times New Roman" w:cs="Times New Roman"/>
          <w:sz w:val="24"/>
          <w:szCs w:val="24"/>
        </w:rPr>
        <w:t>ethnically reshaping the military by pensioning off Mende officers and stacking the armed forces with officers of Northern ethnic decent. This included the promotion of Brigadier John Bangura to Force Commander in May 1969, who hailed from the largest Northern ethnic contingent – the Temne (Horowitz 1985, 475-476). Within 18 months of Stevens’ rule, the Mende share of officers was halved (Harris 2014, 64). More than a third of the officer corps came to consist of Temne and another 30% of Limba and Koranko Northerners, who had earlier formed an insignificant part of the total officer body (Horowitz 1985, 477).</w:t>
      </w:r>
    </w:p>
    <w:p w14:paraId="36DCFDDF" w14:textId="44FDCE81" w:rsidR="00B01317" w:rsidRDefault="00B01317" w:rsidP="00B0131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Stevens’ policy of ethnic stacking, however, led to fears among the Temne that they were being slighted in favor of Creoles (putative descendants of slaves) and other ethnic minorities (Harkness 2018, 120). These fears manifested when Stevens began to </w:t>
      </w:r>
      <w:r w:rsidR="006716A6">
        <w:rPr>
          <w:rFonts w:ascii="Times New Roman" w:hAnsi="Times New Roman" w:cs="Times New Roman"/>
          <w:sz w:val="24"/>
          <w:szCs w:val="24"/>
        </w:rPr>
        <w:t>bypass</w:t>
      </w:r>
      <w:r>
        <w:rPr>
          <w:rFonts w:ascii="Times New Roman" w:hAnsi="Times New Roman" w:cs="Times New Roman"/>
          <w:sz w:val="24"/>
          <w:szCs w:val="24"/>
        </w:rPr>
        <w:t xml:space="preserve"> Bangura for key consultations, </w:t>
      </w:r>
      <w:r w:rsidR="006716A6">
        <w:rPr>
          <w:rFonts w:ascii="Times New Roman" w:hAnsi="Times New Roman" w:cs="Times New Roman"/>
          <w:sz w:val="24"/>
          <w:szCs w:val="24"/>
        </w:rPr>
        <w:t>favoring instead</w:t>
      </w:r>
      <w:r>
        <w:rPr>
          <w:rFonts w:ascii="Times New Roman" w:hAnsi="Times New Roman" w:cs="Times New Roman"/>
          <w:sz w:val="24"/>
          <w:szCs w:val="24"/>
        </w:rPr>
        <w:t xml:space="preserve"> his immediate subordinates, including Colonel Joseph Momoh (a Limba) and Lieutenant Colonel Samuel King (a Creole) (Vidler 1998, 209). </w:t>
      </w:r>
    </w:p>
    <w:p w14:paraId="5704125A" w14:textId="77777777" w:rsidR="00B01317" w:rsidRDefault="00B01317" w:rsidP="00B0131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In response, Temne officers launched a coup on 23 March 1971. However, the coup plot, led by Bangura and Major Falawa Jawara, did not find support among the loyalist factions of the military and was put down in a successful counteroffensive within 24 hours of its onset. On 26 March, purges of those involved ensued. Bangura and Jawara were detained two days later, tried in May and executed on 29 June 1971 (Harkness 2018, 121).</w:t>
      </w:r>
    </w:p>
    <w:p w14:paraId="71DEBE89" w14:textId="77777777" w:rsidR="003875C0" w:rsidRDefault="003875C0" w:rsidP="003875C0">
      <w:pPr>
        <w:spacing w:after="0" w:line="480" w:lineRule="auto"/>
        <w:rPr>
          <w:rFonts w:ascii="Times New Roman" w:hAnsi="Times New Roman" w:cs="Times New Roman"/>
          <w:sz w:val="24"/>
          <w:szCs w:val="24"/>
        </w:rPr>
      </w:pPr>
      <w:r>
        <w:rPr>
          <w:rFonts w:ascii="Times New Roman" w:hAnsi="Times New Roman" w:cs="Times New Roman"/>
          <w:sz w:val="24"/>
          <w:szCs w:val="24"/>
        </w:rPr>
        <w:tab/>
        <w:t>In the immediate aftermath of the coup attempt, Stevens took decisive steps to consolidate his power</w:t>
      </w:r>
      <w:r w:rsidRPr="001448D8">
        <w:rPr>
          <w:rFonts w:ascii="Times New Roman" w:hAnsi="Times New Roman" w:cs="Times New Roman"/>
          <w:sz w:val="24"/>
          <w:szCs w:val="24"/>
        </w:rPr>
        <w:t xml:space="preserve">. Having lost confidence in his army, he signed a defense pact with </w:t>
      </w:r>
      <w:r w:rsidRPr="001448D8">
        <w:rPr>
          <w:rFonts w:ascii="Times New Roman" w:hAnsi="Times New Roman" w:cs="Times New Roman"/>
          <w:sz w:val="24"/>
          <w:szCs w:val="24"/>
        </w:rPr>
        <w:lastRenderedPageBreak/>
        <w:t>Guinean President Sékou Touré on 28 March, requesting for an additional 200 Guinean soldiers to be stationed in Sierra Leone</w:t>
      </w:r>
      <w:r>
        <w:rPr>
          <w:rFonts w:ascii="Times New Roman" w:hAnsi="Times New Roman" w:cs="Times New Roman"/>
          <w:sz w:val="24"/>
          <w:szCs w:val="24"/>
        </w:rPr>
        <w:t>.</w:t>
      </w:r>
      <w:r w:rsidRPr="00896193">
        <w:rPr>
          <w:rFonts w:ascii="Times New Roman" w:hAnsi="Times New Roman" w:cs="Times New Roman"/>
          <w:sz w:val="24"/>
          <w:szCs w:val="24"/>
        </w:rPr>
        <w:t xml:space="preserve"> Meanwhile, Stevens sought out new, internal, ways of controlling the military and neutralizing army opposition</w:t>
      </w:r>
      <w:r>
        <w:rPr>
          <w:rFonts w:ascii="Times New Roman" w:hAnsi="Times New Roman" w:cs="Times New Roman"/>
          <w:sz w:val="24"/>
          <w:szCs w:val="24"/>
        </w:rPr>
        <w:t>. This</w:t>
      </w:r>
      <w:r w:rsidRPr="00896193">
        <w:rPr>
          <w:rFonts w:ascii="Times New Roman" w:hAnsi="Times New Roman" w:cs="Times New Roman"/>
          <w:sz w:val="24"/>
          <w:szCs w:val="24"/>
        </w:rPr>
        <w:t xml:space="preserve"> culminated in the</w:t>
      </w:r>
      <w:r>
        <w:rPr>
          <w:rFonts w:ascii="Times New Roman" w:hAnsi="Times New Roman" w:cs="Times New Roman"/>
          <w:sz w:val="24"/>
          <w:szCs w:val="24"/>
        </w:rPr>
        <w:t xml:space="preserve"> creation of the Internal Security Unit (ISU) by the end of 1972 (Turay and Abraham 1987, 150).</w:t>
      </w:r>
    </w:p>
    <w:p w14:paraId="09407D0B" w14:textId="77777777" w:rsidR="003875C0" w:rsidRDefault="003875C0" w:rsidP="003875C0">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837C28">
        <w:rPr>
          <w:rFonts w:ascii="Times New Roman" w:hAnsi="Times New Roman" w:cs="Times New Roman"/>
          <w:sz w:val="24"/>
          <w:szCs w:val="24"/>
        </w:rPr>
        <w:t>The proposal to create a new security unit came only eleven days after the abortive coup, on 4 April 1971 (Vidler 1998, 203). Trained by Cuban, British and Israeli special forces the ISU was meant to replace the Guinean military presence in the country following its departure in 1973 as the sole unit responsible for Stevens’ personal protection (Krogstad 2012). The loyalty of the forces was largely guaranteed as it was comprised of young APC supporters from the North, many of whom were Limba and had kinship ties to the party leadership. According to Horowitz (1985), Stevens “recruited heavily from Kambia, [his] home district” (552). The</w:t>
      </w:r>
      <w:r>
        <w:rPr>
          <w:rFonts w:ascii="Times New Roman" w:hAnsi="Times New Roman" w:cs="Times New Roman"/>
          <w:sz w:val="24"/>
          <w:szCs w:val="24"/>
        </w:rPr>
        <w:t xml:space="preserve"> ISU</w:t>
      </w:r>
      <w:r w:rsidRPr="00837C28">
        <w:rPr>
          <w:rFonts w:ascii="Times New Roman" w:hAnsi="Times New Roman" w:cs="Times New Roman"/>
          <w:sz w:val="24"/>
          <w:szCs w:val="24"/>
        </w:rPr>
        <w:t xml:space="preserve"> operated</w:t>
      </w:r>
      <w:r>
        <w:rPr>
          <w:rFonts w:ascii="Times New Roman" w:hAnsi="Times New Roman" w:cs="Times New Roman"/>
          <w:sz w:val="24"/>
          <w:szCs w:val="24"/>
        </w:rPr>
        <w:t xml:space="preserve"> </w:t>
      </w:r>
      <w:r w:rsidRPr="00837C28">
        <w:rPr>
          <w:rFonts w:ascii="Times New Roman" w:hAnsi="Times New Roman" w:cs="Times New Roman"/>
          <w:sz w:val="24"/>
          <w:szCs w:val="24"/>
        </w:rPr>
        <w:t>under Stevens’ direct command and in addition to countering the military, it was used as a repressive</w:t>
      </w:r>
      <w:r>
        <w:rPr>
          <w:rFonts w:ascii="Times New Roman" w:hAnsi="Times New Roman" w:cs="Times New Roman"/>
          <w:sz w:val="24"/>
          <w:szCs w:val="24"/>
        </w:rPr>
        <w:t xml:space="preserve"> agent to intimidate his opponents (Harris 2014).</w:t>
      </w:r>
    </w:p>
    <w:p w14:paraId="0A09B86F" w14:textId="77777777" w:rsidR="003875C0" w:rsidRDefault="003875C0" w:rsidP="003875C0">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5E49F8">
        <w:rPr>
          <w:rFonts w:ascii="Times New Roman" w:hAnsi="Times New Roman" w:cs="Times New Roman"/>
          <w:sz w:val="24"/>
          <w:szCs w:val="24"/>
        </w:rPr>
        <w:t xml:space="preserve">The main incentive for creating the new security force was the failed coup. As discussed by Vidler (1988), “it was designed as a deterrent to future coup plots or, if failing that, as a means of defeating attempts at intervention [by] breaking the military’s monopoly on the instruments of coercion [and] putting the army ‘in its place’” (203). As noted by Stevens himself, he intended to “put an end to this nonsense [of attempted coups] by rapidly reducing the importance of the army (cited in Vidler 1998, 261). Almost immediately, the military resented its new rival, which culminated in </w:t>
      </w:r>
      <w:r>
        <w:rPr>
          <w:rFonts w:ascii="Times New Roman" w:hAnsi="Times New Roman" w:cs="Times New Roman"/>
          <w:sz w:val="24"/>
          <w:szCs w:val="24"/>
        </w:rPr>
        <w:t xml:space="preserve">low-level </w:t>
      </w:r>
      <w:r w:rsidRPr="005E49F8">
        <w:rPr>
          <w:rFonts w:ascii="Times New Roman" w:hAnsi="Times New Roman" w:cs="Times New Roman"/>
          <w:sz w:val="24"/>
          <w:szCs w:val="24"/>
        </w:rPr>
        <w:t>skirmishes between the two forces (Turay and Abraham 1987, 155). However, this did not result in another coup attempt, which can be</w:t>
      </w:r>
      <w:r>
        <w:rPr>
          <w:rFonts w:ascii="Times New Roman" w:hAnsi="Times New Roman" w:cs="Times New Roman"/>
          <w:sz w:val="24"/>
          <w:szCs w:val="24"/>
        </w:rPr>
        <w:t xml:space="preserve"> explained by the strategic timing of the ISU’s creation.</w:t>
      </w:r>
    </w:p>
    <w:p w14:paraId="31F53EF6" w14:textId="77777777" w:rsidR="003875C0" w:rsidRDefault="003875C0" w:rsidP="003875C0">
      <w:pPr>
        <w:spacing w:after="0" w:line="480" w:lineRule="auto"/>
        <w:ind w:firstLine="720"/>
        <w:rPr>
          <w:rFonts w:ascii="Times New Roman" w:hAnsi="Times New Roman" w:cs="Times New Roman"/>
          <w:sz w:val="24"/>
          <w:szCs w:val="24"/>
        </w:rPr>
      </w:pPr>
      <w:r w:rsidRPr="00D12F4A">
        <w:rPr>
          <w:rFonts w:ascii="Times New Roman" w:hAnsi="Times New Roman" w:cs="Times New Roman"/>
          <w:sz w:val="24"/>
          <w:szCs w:val="24"/>
        </w:rPr>
        <w:lastRenderedPageBreak/>
        <w:t>The abortive coup provided Stevens with a pretext to purge a large part of the Temne component from the army at minimal risk, which depleted the organizational capacity of any remaining rivals in the military establishment. It also allowed him to restructure the army so that all commanders were either Creole, Limba or Koranko (Horowitz 1985). Momoh was appointed Force Commander in September 1971 given his role in providing intelligence to Stevens during the coup attempt, while</w:t>
      </w:r>
      <w:r>
        <w:rPr>
          <w:rFonts w:ascii="Times New Roman" w:hAnsi="Times New Roman" w:cs="Times New Roman"/>
          <w:sz w:val="24"/>
          <w:szCs w:val="24"/>
        </w:rPr>
        <w:t xml:space="preserve"> </w:t>
      </w:r>
      <w:r w:rsidRPr="00D12F4A">
        <w:rPr>
          <w:rFonts w:ascii="Times New Roman" w:hAnsi="Times New Roman" w:cs="Times New Roman"/>
          <w:sz w:val="24"/>
          <w:szCs w:val="24"/>
        </w:rPr>
        <w:t xml:space="preserve">King became his deputy for his role in </w:t>
      </w:r>
      <w:r>
        <w:rPr>
          <w:rFonts w:ascii="Times New Roman" w:hAnsi="Times New Roman" w:cs="Times New Roman"/>
          <w:sz w:val="24"/>
          <w:szCs w:val="24"/>
        </w:rPr>
        <w:t xml:space="preserve">the </w:t>
      </w:r>
      <w:r w:rsidRPr="00D12F4A">
        <w:rPr>
          <w:rFonts w:ascii="Times New Roman" w:hAnsi="Times New Roman" w:cs="Times New Roman"/>
          <w:sz w:val="24"/>
          <w:szCs w:val="24"/>
        </w:rPr>
        <w:t>successful counteroperation (Turay and Abraham 1987, 153).</w:t>
      </w:r>
      <w:r>
        <w:rPr>
          <w:rFonts w:ascii="Times New Roman" w:hAnsi="Times New Roman" w:cs="Times New Roman"/>
          <w:sz w:val="24"/>
          <w:szCs w:val="24"/>
        </w:rPr>
        <w:t xml:space="preserve"> Consequently, none of the top brass challenged the creation of the ISU due to their personal loyalty to Stevens and their knowledge that other senior officers, as well as a large part of the rank-and-file supported him. The coup had revealed their allegiances.</w:t>
      </w:r>
    </w:p>
    <w:p w14:paraId="287D2588" w14:textId="77777777" w:rsidR="003875C0" w:rsidRDefault="003875C0" w:rsidP="003875C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Additionally, the presence of Guinean forces played a key role in dissuading the army from challenging Stevens’ decisions. The dictator also </w:t>
      </w:r>
      <w:r w:rsidRPr="0009600A">
        <w:rPr>
          <w:rFonts w:ascii="Times New Roman" w:hAnsi="Times New Roman" w:cs="Times New Roman"/>
          <w:sz w:val="24"/>
          <w:szCs w:val="24"/>
        </w:rPr>
        <w:t>undertook several reconciliatory gestures towards the armed forces, which included making a public statement lauding its role in the abortive coup and ensuring its supremacy over the ISU. This was followed by huge increases in military expenditure, which convinced officers to turn a blind eye to the creation of its rival (Turay and Abraham 1987, 155).</w:t>
      </w:r>
    </w:p>
    <w:p w14:paraId="641594CA" w14:textId="77777777" w:rsidR="003875C0" w:rsidRPr="00125D80" w:rsidRDefault="003875C0" w:rsidP="003875C0">
      <w:pPr>
        <w:spacing w:after="0" w:line="480" w:lineRule="auto"/>
        <w:rPr>
          <w:rFonts w:ascii="Times New Roman" w:hAnsi="Times New Roman" w:cs="Times New Roman"/>
          <w:sz w:val="24"/>
          <w:szCs w:val="24"/>
        </w:rPr>
      </w:pPr>
      <w:r>
        <w:rPr>
          <w:rFonts w:ascii="Times New Roman" w:hAnsi="Times New Roman" w:cs="Times New Roman"/>
          <w:sz w:val="24"/>
          <w:szCs w:val="24"/>
        </w:rPr>
        <w:tab/>
        <w:t>Although Stevens had previously flirted with the idea of creating a youth militia as a counterweight to the army (Vidler 1998, 203), such efforts never materialized.</w:t>
      </w:r>
      <w:r w:rsidRPr="001E350E">
        <w:rPr>
          <w:rFonts w:ascii="Times New Roman" w:hAnsi="Times New Roman" w:cs="Times New Roman"/>
          <w:sz w:val="24"/>
          <w:szCs w:val="24"/>
        </w:rPr>
        <w:t xml:space="preserve"> It was only after the failed coup that efforts to fragment the security apparatus were undertaken.</w:t>
      </w:r>
      <w:r>
        <w:rPr>
          <w:rFonts w:ascii="Times New Roman" w:hAnsi="Times New Roman" w:cs="Times New Roman"/>
          <w:sz w:val="24"/>
          <w:szCs w:val="24"/>
        </w:rPr>
        <w:t xml:space="preserve"> Intense purges of the Temne as well as the execution of Bangura and Jawara depleted the military’s mobilizational capacity on grounds of ethnic grievances, while the co-optation of loyalist officers combined with other appeasement strategies decreased the willingness of a repeat coup.</w:t>
      </w:r>
      <w:r w:rsidRPr="006171D4">
        <w:t xml:space="preserve"> </w:t>
      </w:r>
      <w:r w:rsidRPr="006171D4">
        <w:rPr>
          <w:rFonts w:ascii="Times New Roman" w:hAnsi="Times New Roman" w:cs="Times New Roman"/>
          <w:sz w:val="24"/>
          <w:szCs w:val="24"/>
        </w:rPr>
        <w:t>The post-coup environment thus enabled the creation of the ISU with little resistance from the weakened and unwilling military</w:t>
      </w:r>
      <w:r>
        <w:rPr>
          <w:rFonts w:ascii="Times New Roman" w:hAnsi="Times New Roman" w:cs="Times New Roman"/>
          <w:sz w:val="24"/>
          <w:szCs w:val="24"/>
        </w:rPr>
        <w:t>.</w:t>
      </w:r>
    </w:p>
    <w:p w14:paraId="2AFA070A" w14:textId="77777777" w:rsidR="003875C0" w:rsidRDefault="003875C0" w:rsidP="003875C0">
      <w:pPr>
        <w:tabs>
          <w:tab w:val="left" w:pos="5147"/>
        </w:tabs>
        <w:spacing w:after="0" w:line="480" w:lineRule="auto"/>
        <w:rPr>
          <w:rFonts w:ascii="Times New Roman" w:hAnsi="Times New Roman" w:cs="Times New Roman"/>
          <w:i/>
          <w:iCs/>
          <w:sz w:val="24"/>
          <w:szCs w:val="24"/>
        </w:rPr>
      </w:pPr>
      <w:r w:rsidRPr="00330E2C">
        <w:rPr>
          <w:rFonts w:ascii="Times New Roman" w:hAnsi="Times New Roman" w:cs="Times New Roman"/>
          <w:i/>
          <w:iCs/>
          <w:sz w:val="24"/>
          <w:szCs w:val="24"/>
        </w:rPr>
        <w:lastRenderedPageBreak/>
        <w:t>July 2016 Coup in Turkey</w:t>
      </w:r>
    </w:p>
    <w:p w14:paraId="54ECD58F" w14:textId="39B5A23E" w:rsidR="003875C0" w:rsidRDefault="003875C0" w:rsidP="003875C0">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Having secured victory in the November 2002 elections, leader of the Islamist Justice and Development Party (AKP), Recep Tayyip </w:t>
      </w:r>
      <w:r w:rsidR="00571E8C" w:rsidRPr="00571E8C">
        <w:rPr>
          <w:rFonts w:ascii="Times New Roman" w:hAnsi="Times New Roman" w:cs="Times New Roman"/>
          <w:sz w:val="24"/>
          <w:szCs w:val="24"/>
        </w:rPr>
        <w:t>Erdoğan</w:t>
      </w:r>
      <w:r>
        <w:rPr>
          <w:rFonts w:ascii="Times New Roman" w:hAnsi="Times New Roman" w:cs="Times New Roman"/>
          <w:sz w:val="24"/>
          <w:szCs w:val="24"/>
        </w:rPr>
        <w:t xml:space="preserve"> became Prime Minister of Turkey in March 2003. The AKP’s first order of priority was to reduce the military’s traditional influence over politics in order to consolidate its rule (Kaynar 2022b). Indeed, the Turkish Armed Forces (TSK), under the mandate of its dual guardianship role</w:t>
      </w:r>
      <w:r>
        <w:rPr>
          <w:rStyle w:val="FootnoteReference"/>
          <w:rFonts w:ascii="Times New Roman" w:hAnsi="Times New Roman" w:cs="Times New Roman"/>
          <w:sz w:val="24"/>
          <w:szCs w:val="24"/>
        </w:rPr>
        <w:footnoteReference w:id="6"/>
      </w:r>
      <w:r>
        <w:rPr>
          <w:rFonts w:ascii="Times New Roman" w:hAnsi="Times New Roman" w:cs="Times New Roman"/>
          <w:sz w:val="24"/>
          <w:szCs w:val="24"/>
        </w:rPr>
        <w:t xml:space="preserve">, had previously intervened via coup in 1980 and 1997 against openly Islamist parties with the intention of restoring secular government </w:t>
      </w:r>
      <w:r w:rsidRPr="00BF73D9">
        <w:rPr>
          <w:rFonts w:ascii="Times New Roman" w:hAnsi="Times New Roman" w:cs="Times New Roman"/>
          <w:sz w:val="24"/>
          <w:szCs w:val="24"/>
          <w:u w:val="single"/>
        </w:rPr>
        <w:t>(</w:t>
      </w:r>
      <w:r w:rsidRPr="00A62E0A">
        <w:rPr>
          <w:rFonts w:ascii="Times New Roman" w:hAnsi="Times New Roman" w:cs="Times New Roman"/>
          <w:sz w:val="24"/>
          <w:szCs w:val="24"/>
        </w:rPr>
        <w:t>Kutay 2016</w:t>
      </w:r>
      <w:r>
        <w:rPr>
          <w:rFonts w:ascii="Times New Roman" w:hAnsi="Times New Roman" w:cs="Times New Roman"/>
          <w:sz w:val="24"/>
          <w:szCs w:val="24"/>
        </w:rPr>
        <w:t>). Fortunately for the AKP, two developments coincided with its rise that allowed for a radical transformation of Turkish civil-military relations.</w:t>
      </w:r>
    </w:p>
    <w:p w14:paraId="1CC9C15E" w14:textId="061876B7" w:rsidR="003875C0" w:rsidRDefault="003875C0" w:rsidP="003875C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First was Turkey’s negotiations over accession to the European Union, which mandated the normalization of civil-military relations under the ‘democratic control of the armed forces’ initiative. Following the 2004, 2006 and 2010 EU reform packages, constitutional changes were introduced to the structure of the military, which drastically curbed its role as a veto player in politics (Erdag 2019). Second, </w:t>
      </w:r>
      <w:r w:rsidR="00571E8C" w:rsidRPr="00571E8C">
        <w:rPr>
          <w:rFonts w:ascii="Times New Roman" w:hAnsi="Times New Roman" w:cs="Times New Roman"/>
          <w:sz w:val="24"/>
          <w:szCs w:val="24"/>
        </w:rPr>
        <w:t>Erdoğan</w:t>
      </w:r>
      <w:r>
        <w:rPr>
          <w:rFonts w:ascii="Times New Roman" w:hAnsi="Times New Roman" w:cs="Times New Roman"/>
          <w:sz w:val="24"/>
          <w:szCs w:val="24"/>
        </w:rPr>
        <w:t xml:space="preserve"> found common cause with Fethullah Gulen, founder of the ‘Hizmet’ (Service), a transnational religious and social movement (</w:t>
      </w:r>
      <w:r w:rsidRPr="000B4576">
        <w:rPr>
          <w:rFonts w:ascii="Times New Roman" w:hAnsi="Times New Roman" w:cs="Times New Roman"/>
          <w:sz w:val="24"/>
          <w:szCs w:val="24"/>
        </w:rPr>
        <w:t>Phillips 2017</w:t>
      </w:r>
      <w:r>
        <w:rPr>
          <w:rFonts w:ascii="Times New Roman" w:hAnsi="Times New Roman" w:cs="Times New Roman"/>
          <w:sz w:val="24"/>
          <w:szCs w:val="24"/>
        </w:rPr>
        <w:t xml:space="preserve">). </w:t>
      </w:r>
      <w:r w:rsidRPr="00E41FC1">
        <w:rPr>
          <w:rFonts w:ascii="Times New Roman" w:hAnsi="Times New Roman" w:cs="Times New Roman"/>
          <w:sz w:val="24"/>
          <w:szCs w:val="24"/>
        </w:rPr>
        <w:t xml:space="preserve">During the early years of </w:t>
      </w:r>
      <w:r w:rsidR="00571E8C" w:rsidRPr="00571E8C">
        <w:rPr>
          <w:rFonts w:ascii="Times New Roman" w:hAnsi="Times New Roman" w:cs="Times New Roman"/>
          <w:sz w:val="24"/>
          <w:szCs w:val="24"/>
        </w:rPr>
        <w:t>Erdoğan</w:t>
      </w:r>
      <w:r w:rsidRPr="00E41FC1">
        <w:rPr>
          <w:rFonts w:ascii="Times New Roman" w:hAnsi="Times New Roman" w:cs="Times New Roman"/>
          <w:sz w:val="24"/>
          <w:szCs w:val="24"/>
        </w:rPr>
        <w:t>’s rule, both actors collaborated to erode</w:t>
      </w:r>
      <w:r>
        <w:rPr>
          <w:rFonts w:ascii="Times New Roman" w:hAnsi="Times New Roman" w:cs="Times New Roman"/>
          <w:sz w:val="24"/>
          <w:szCs w:val="24"/>
        </w:rPr>
        <w:t xml:space="preserve"> </w:t>
      </w:r>
      <w:r w:rsidRPr="00E41FC1">
        <w:rPr>
          <w:rFonts w:ascii="Times New Roman" w:hAnsi="Times New Roman" w:cs="Times New Roman"/>
          <w:sz w:val="24"/>
          <w:szCs w:val="24"/>
        </w:rPr>
        <w:t>the military’s popularity among the public. Gulen instructed his followers to infiltrate the security apparatus and falsify evidence against to the army, which led to a series of sham trials that irreversibly damaged the army’s reputation (Yavuz and Koç 2016, 40). The most famous of these trials were the Ergenekon and the Sledgehammer trials, which discredited army commanders as terrorists, sentencing 325 officers to imprisonment for 13 to 20 years (Kaynar 2022a, 386).</w:t>
      </w:r>
    </w:p>
    <w:p w14:paraId="030BF4A4" w14:textId="00AAFF91" w:rsidR="003875C0" w:rsidRDefault="003875C0" w:rsidP="003875C0">
      <w:pPr>
        <w:spacing w:after="0" w:line="480" w:lineRule="auto"/>
        <w:ind w:firstLine="720"/>
        <w:rPr>
          <w:rFonts w:ascii="Times New Roman" w:hAnsi="Times New Roman" w:cs="Times New Roman"/>
          <w:sz w:val="24"/>
          <w:szCs w:val="24"/>
        </w:rPr>
      </w:pPr>
      <w:r w:rsidRPr="00231AB3">
        <w:rPr>
          <w:rFonts w:ascii="Times New Roman" w:hAnsi="Times New Roman" w:cs="Times New Roman"/>
          <w:sz w:val="24"/>
          <w:szCs w:val="24"/>
        </w:rPr>
        <w:lastRenderedPageBreak/>
        <w:t xml:space="preserve">By the end of 2010, </w:t>
      </w:r>
      <w:r>
        <w:rPr>
          <w:rFonts w:ascii="Times New Roman" w:hAnsi="Times New Roman" w:cs="Times New Roman"/>
          <w:sz w:val="24"/>
          <w:szCs w:val="24"/>
        </w:rPr>
        <w:t xml:space="preserve">however, </w:t>
      </w:r>
      <w:r w:rsidRPr="00231AB3">
        <w:rPr>
          <w:rFonts w:ascii="Times New Roman" w:hAnsi="Times New Roman" w:cs="Times New Roman"/>
          <w:sz w:val="24"/>
          <w:szCs w:val="24"/>
        </w:rPr>
        <w:t xml:space="preserve">deep ideological divisions began fermenting between </w:t>
      </w:r>
      <w:r w:rsidR="00571E8C" w:rsidRPr="00571E8C">
        <w:rPr>
          <w:rFonts w:ascii="Times New Roman" w:hAnsi="Times New Roman" w:cs="Times New Roman"/>
          <w:sz w:val="24"/>
          <w:szCs w:val="24"/>
        </w:rPr>
        <w:t xml:space="preserve">Erdoğan </w:t>
      </w:r>
      <w:r w:rsidRPr="00231AB3">
        <w:rPr>
          <w:rFonts w:ascii="Times New Roman" w:hAnsi="Times New Roman" w:cs="Times New Roman"/>
          <w:sz w:val="24"/>
          <w:szCs w:val="24"/>
        </w:rPr>
        <w:t xml:space="preserve">and Gulen, leading both to be at odds with each other over the control of key government positions and </w:t>
      </w:r>
      <w:r>
        <w:rPr>
          <w:rFonts w:ascii="Times New Roman" w:hAnsi="Times New Roman" w:cs="Times New Roman"/>
          <w:sz w:val="24"/>
          <w:szCs w:val="24"/>
        </w:rPr>
        <w:t>state resources</w:t>
      </w:r>
      <w:r w:rsidRPr="00231AB3">
        <w:rPr>
          <w:rFonts w:ascii="Times New Roman" w:hAnsi="Times New Roman" w:cs="Times New Roman"/>
          <w:sz w:val="24"/>
          <w:szCs w:val="24"/>
        </w:rPr>
        <w:t xml:space="preserve"> (Yavuz and Koç 2016). In December 2013, Gulenist prosecutors launched a graft probe against </w:t>
      </w:r>
      <w:r w:rsidR="00571E8C" w:rsidRPr="00571E8C">
        <w:rPr>
          <w:rFonts w:ascii="Times New Roman" w:hAnsi="Times New Roman" w:cs="Times New Roman"/>
          <w:sz w:val="24"/>
          <w:szCs w:val="24"/>
        </w:rPr>
        <w:t>Erdoğan</w:t>
      </w:r>
      <w:r w:rsidRPr="00231AB3">
        <w:rPr>
          <w:rFonts w:ascii="Times New Roman" w:hAnsi="Times New Roman" w:cs="Times New Roman"/>
          <w:sz w:val="24"/>
          <w:szCs w:val="24"/>
        </w:rPr>
        <w:t xml:space="preserve">’s close ministers and family members. </w:t>
      </w:r>
      <w:r w:rsidR="00571E8C" w:rsidRPr="00571E8C">
        <w:rPr>
          <w:rFonts w:ascii="Times New Roman" w:hAnsi="Times New Roman" w:cs="Times New Roman"/>
          <w:sz w:val="24"/>
          <w:szCs w:val="24"/>
        </w:rPr>
        <w:t>Erdoğan</w:t>
      </w:r>
      <w:r w:rsidRPr="00231AB3">
        <w:rPr>
          <w:rFonts w:ascii="Times New Roman" w:hAnsi="Times New Roman" w:cs="Times New Roman"/>
          <w:sz w:val="24"/>
          <w:szCs w:val="24"/>
        </w:rPr>
        <w:t xml:space="preserve"> retaliated with cabinet purges (</w:t>
      </w:r>
      <w:r w:rsidR="002A6838">
        <w:rPr>
          <w:rFonts w:ascii="Times New Roman" w:hAnsi="Times New Roman" w:cs="Times New Roman"/>
          <w:sz w:val="24"/>
          <w:szCs w:val="24"/>
        </w:rPr>
        <w:t>Satana 2022</w:t>
      </w:r>
      <w:r w:rsidRPr="00231AB3">
        <w:rPr>
          <w:rFonts w:ascii="Times New Roman" w:hAnsi="Times New Roman" w:cs="Times New Roman"/>
          <w:sz w:val="24"/>
          <w:szCs w:val="24"/>
        </w:rPr>
        <w:t xml:space="preserve">). Believing it was their last chance to stop </w:t>
      </w:r>
      <w:r w:rsidR="00571E8C" w:rsidRPr="00571E8C">
        <w:rPr>
          <w:rFonts w:ascii="Times New Roman" w:hAnsi="Times New Roman" w:cs="Times New Roman"/>
          <w:sz w:val="24"/>
          <w:szCs w:val="24"/>
        </w:rPr>
        <w:t>Erdoğan</w:t>
      </w:r>
      <w:r w:rsidRPr="00231AB3">
        <w:rPr>
          <w:rFonts w:ascii="Times New Roman" w:hAnsi="Times New Roman" w:cs="Times New Roman"/>
          <w:sz w:val="24"/>
          <w:szCs w:val="24"/>
        </w:rPr>
        <w:t>’s attempt to purge the military as well, the Gulenists wooed many dissatisfied TSK officers to join them in a bloody coup attempt that took the lives of over 250 and injured more than 2700 (Yavuz and Koç 201</w:t>
      </w:r>
      <w:r w:rsidR="00803446">
        <w:rPr>
          <w:rFonts w:ascii="Times New Roman" w:hAnsi="Times New Roman" w:cs="Times New Roman"/>
          <w:sz w:val="24"/>
          <w:szCs w:val="24"/>
        </w:rPr>
        <w:t>8</w:t>
      </w:r>
      <w:r w:rsidRPr="00231AB3">
        <w:rPr>
          <w:rFonts w:ascii="Times New Roman" w:hAnsi="Times New Roman" w:cs="Times New Roman"/>
          <w:sz w:val="24"/>
          <w:szCs w:val="24"/>
        </w:rPr>
        <w:t>, 87).</w:t>
      </w:r>
    </w:p>
    <w:p w14:paraId="7CB4E19C" w14:textId="7B2E02F4" w:rsidR="003875C0" w:rsidRDefault="003875C0" w:rsidP="003875C0">
      <w:pPr>
        <w:spacing w:after="0" w:line="480" w:lineRule="auto"/>
        <w:ind w:firstLine="720"/>
        <w:rPr>
          <w:rFonts w:ascii="Times New Roman" w:hAnsi="Times New Roman" w:cs="Times New Roman"/>
          <w:sz w:val="24"/>
          <w:szCs w:val="24"/>
        </w:rPr>
      </w:pPr>
      <w:r w:rsidRPr="008001E8">
        <w:rPr>
          <w:rFonts w:ascii="Times New Roman" w:hAnsi="Times New Roman" w:cs="Times New Roman"/>
          <w:sz w:val="24"/>
          <w:szCs w:val="24"/>
        </w:rPr>
        <w:t xml:space="preserve">What followed the failed coup was the largest purge of military officers and public employees in Turkish history. In the immediate aftermath, a state of emergency was declared in Turkey, which was supposed to last for three months, but was retained for two years (Kaynar 2022a). Under the state of emergency, the government </w:t>
      </w:r>
      <w:r>
        <w:rPr>
          <w:rFonts w:ascii="Times New Roman" w:hAnsi="Times New Roman" w:cs="Times New Roman"/>
          <w:sz w:val="24"/>
          <w:szCs w:val="24"/>
        </w:rPr>
        <w:t xml:space="preserve">detained 40,000 individuals and arrested 163 generals, which accounted for 45% of the military’s </w:t>
      </w:r>
      <w:r w:rsidRPr="00704252">
        <w:rPr>
          <w:rFonts w:ascii="Times New Roman" w:hAnsi="Times New Roman" w:cs="Times New Roman"/>
          <w:sz w:val="24"/>
          <w:szCs w:val="24"/>
        </w:rPr>
        <w:t>total (</w:t>
      </w:r>
      <w:r w:rsidR="009A7B16">
        <w:rPr>
          <w:rFonts w:ascii="Times New Roman" w:hAnsi="Times New Roman" w:cs="Times New Roman"/>
          <w:sz w:val="24"/>
          <w:szCs w:val="24"/>
        </w:rPr>
        <w:t>Kaynar 2022b</w:t>
      </w:r>
      <w:r w:rsidRPr="00704252">
        <w:rPr>
          <w:rFonts w:ascii="Times New Roman" w:hAnsi="Times New Roman" w:cs="Times New Roman"/>
          <w:sz w:val="24"/>
          <w:szCs w:val="24"/>
        </w:rPr>
        <w:t>).</w:t>
      </w:r>
      <w:r>
        <w:rPr>
          <w:rFonts w:ascii="Times New Roman" w:hAnsi="Times New Roman" w:cs="Times New Roman"/>
          <w:sz w:val="24"/>
          <w:szCs w:val="24"/>
        </w:rPr>
        <w:t xml:space="preserve"> On 16 April 2017, </w:t>
      </w:r>
      <w:r w:rsidR="00571E8C" w:rsidRPr="00571E8C">
        <w:rPr>
          <w:rFonts w:ascii="Times New Roman" w:hAnsi="Times New Roman" w:cs="Times New Roman"/>
          <w:sz w:val="24"/>
          <w:szCs w:val="24"/>
        </w:rPr>
        <w:t>Erdoğan</w:t>
      </w:r>
      <w:r>
        <w:rPr>
          <w:rFonts w:ascii="Times New Roman" w:hAnsi="Times New Roman" w:cs="Times New Roman"/>
          <w:sz w:val="24"/>
          <w:szCs w:val="24"/>
        </w:rPr>
        <w:t xml:space="preserve"> held a referendum to change the political system from a parliamentary to a presidential republic and was sworn in as executive president in 2018.</w:t>
      </w:r>
    </w:p>
    <w:p w14:paraId="42401A0E" w14:textId="4285845C" w:rsidR="003875C0" w:rsidRDefault="003875C0" w:rsidP="003875C0">
      <w:pPr>
        <w:spacing w:after="0" w:line="480" w:lineRule="auto"/>
        <w:ind w:firstLine="720"/>
        <w:rPr>
          <w:rFonts w:ascii="Times New Roman" w:hAnsi="Times New Roman" w:cs="Times New Roman"/>
          <w:sz w:val="24"/>
          <w:szCs w:val="24"/>
        </w:rPr>
      </w:pPr>
      <w:r w:rsidRPr="00A25157">
        <w:rPr>
          <w:rFonts w:ascii="Times New Roman" w:hAnsi="Times New Roman" w:cs="Times New Roman"/>
          <w:sz w:val="24"/>
          <w:szCs w:val="24"/>
        </w:rPr>
        <w:t xml:space="preserve">Aside from purges, both the state of emergency and </w:t>
      </w:r>
      <w:r w:rsidR="00571E8C" w:rsidRPr="00571E8C">
        <w:rPr>
          <w:rFonts w:ascii="Times New Roman" w:hAnsi="Times New Roman" w:cs="Times New Roman"/>
          <w:sz w:val="24"/>
          <w:szCs w:val="24"/>
        </w:rPr>
        <w:t>Erdoğan</w:t>
      </w:r>
      <w:r w:rsidRPr="00A25157">
        <w:rPr>
          <w:rFonts w:ascii="Times New Roman" w:hAnsi="Times New Roman" w:cs="Times New Roman"/>
          <w:sz w:val="24"/>
          <w:szCs w:val="24"/>
        </w:rPr>
        <w:t>’s first years as president saw changes to the institutional design of the armed forces. Counterbalancing formed the core of this re-design. First, the general commands of the Gendarmerie and the Coastal Guard were removed from the armed forces and brought under the control of the Minister of the Interior (Erdag 2019, 61). Both forces were subsequently redefined as general law enforcement bodies, establishing them as counterweights to the TSK – given their distinct command structures (Kaynar 2022a).</w:t>
      </w:r>
    </w:p>
    <w:p w14:paraId="303469B9" w14:textId="77777777" w:rsidR="003875C0" w:rsidRPr="00E70C5E" w:rsidRDefault="003875C0" w:rsidP="003875C0">
      <w:pPr>
        <w:spacing w:after="0" w:line="480" w:lineRule="auto"/>
        <w:ind w:firstLine="720"/>
        <w:rPr>
          <w:rFonts w:ascii="Times New Roman" w:hAnsi="Times New Roman" w:cs="Times New Roman"/>
          <w:sz w:val="24"/>
          <w:szCs w:val="24"/>
        </w:rPr>
      </w:pPr>
      <w:r w:rsidRPr="00E70C5E">
        <w:rPr>
          <w:rFonts w:ascii="Times New Roman" w:hAnsi="Times New Roman" w:cs="Times New Roman"/>
          <w:sz w:val="24"/>
          <w:szCs w:val="24"/>
        </w:rPr>
        <w:t xml:space="preserve">Second, paramilitary forces, like the Village Guards and the Border Guards were re-established and granted extensive powers. In addition, a new police unit called the Auxiliary </w:t>
      </w:r>
      <w:r w:rsidRPr="00E70C5E">
        <w:rPr>
          <w:rFonts w:ascii="Times New Roman" w:hAnsi="Times New Roman" w:cs="Times New Roman"/>
          <w:sz w:val="24"/>
          <w:szCs w:val="24"/>
        </w:rPr>
        <w:lastRenderedPageBreak/>
        <w:t>Task Force Police Unit was created and first deployed in the capital in July 2018 and later in Istanbul in 2020. Composed of 500 Rapid Force personnel, the purpose of the mobile unit was to respond to emergencies, ranging from natural disasters to military coups. Legislation passed in January 2021 solidified the police force, including Auxiliary Task Force, as a paramilitary organization (Kaynar 2022a, 394).</w:t>
      </w:r>
    </w:p>
    <w:p w14:paraId="65C8A17E" w14:textId="4FD15CE7" w:rsidR="003875C0" w:rsidRDefault="003875C0" w:rsidP="003875C0">
      <w:pPr>
        <w:spacing w:after="0" w:line="480" w:lineRule="auto"/>
        <w:ind w:firstLine="720"/>
        <w:rPr>
          <w:rFonts w:ascii="Times New Roman" w:hAnsi="Times New Roman" w:cs="Times New Roman"/>
          <w:sz w:val="24"/>
          <w:szCs w:val="24"/>
        </w:rPr>
      </w:pPr>
      <w:r w:rsidRPr="00DC3045">
        <w:rPr>
          <w:rFonts w:ascii="Times New Roman" w:hAnsi="Times New Roman" w:cs="Times New Roman"/>
          <w:sz w:val="24"/>
          <w:szCs w:val="24"/>
        </w:rPr>
        <w:t xml:space="preserve">Third, new security forces with ties to the President were created. The Presidential Guard Regiment, which was previously in charge of directly protecting the president and his family was abolished following its participation in the July 2016 coup attempt. In its place, on 10 July 2018 Presidential Decree No. 1 founded the Department of Administrative Affairs of the Presidency and on 19 January 2019, the General Directorate of Security Services was established (Kaynar 2022a, 395). Both were tasked with </w:t>
      </w:r>
      <w:r w:rsidR="008D4BF2">
        <w:rPr>
          <w:rFonts w:ascii="Times New Roman" w:hAnsi="Times New Roman" w:cs="Times New Roman"/>
          <w:sz w:val="24"/>
          <w:szCs w:val="24"/>
        </w:rPr>
        <w:t xml:space="preserve">directly </w:t>
      </w:r>
      <w:r w:rsidRPr="00DC3045">
        <w:rPr>
          <w:rFonts w:ascii="Times New Roman" w:hAnsi="Times New Roman" w:cs="Times New Roman"/>
          <w:sz w:val="24"/>
          <w:szCs w:val="24"/>
        </w:rPr>
        <w:t>protecting</w:t>
      </w:r>
      <w:r>
        <w:rPr>
          <w:rFonts w:ascii="Times New Roman" w:hAnsi="Times New Roman" w:cs="Times New Roman"/>
          <w:sz w:val="24"/>
          <w:szCs w:val="24"/>
        </w:rPr>
        <w:t xml:space="preserve"> </w:t>
      </w:r>
      <w:r w:rsidRPr="00DC3045">
        <w:rPr>
          <w:rFonts w:ascii="Times New Roman" w:hAnsi="Times New Roman" w:cs="Times New Roman"/>
          <w:sz w:val="24"/>
          <w:szCs w:val="24"/>
        </w:rPr>
        <w:t>the president</w:t>
      </w:r>
      <w:r>
        <w:rPr>
          <w:rFonts w:ascii="Times New Roman" w:hAnsi="Times New Roman" w:cs="Times New Roman"/>
          <w:sz w:val="24"/>
          <w:szCs w:val="24"/>
        </w:rPr>
        <w:t xml:space="preserve">. </w:t>
      </w:r>
      <w:r w:rsidRPr="00DC3045">
        <w:rPr>
          <w:rFonts w:ascii="Times New Roman" w:hAnsi="Times New Roman" w:cs="Times New Roman"/>
          <w:sz w:val="24"/>
          <w:szCs w:val="24"/>
        </w:rPr>
        <w:t xml:space="preserve">Subsequently, </w:t>
      </w:r>
      <w:r w:rsidR="00571E8C" w:rsidRPr="00571E8C">
        <w:rPr>
          <w:rFonts w:ascii="Times New Roman" w:hAnsi="Times New Roman" w:cs="Times New Roman"/>
          <w:sz w:val="24"/>
          <w:szCs w:val="24"/>
        </w:rPr>
        <w:t>Erdoğan</w:t>
      </w:r>
      <w:r w:rsidRPr="00DC3045">
        <w:rPr>
          <w:rFonts w:ascii="Times New Roman" w:hAnsi="Times New Roman" w:cs="Times New Roman"/>
          <w:sz w:val="24"/>
          <w:szCs w:val="24"/>
        </w:rPr>
        <w:t xml:space="preserve"> had both an incentive and an opportunity to reshape the</w:t>
      </w:r>
      <w:r>
        <w:rPr>
          <w:rFonts w:ascii="Times New Roman" w:hAnsi="Times New Roman" w:cs="Times New Roman"/>
          <w:sz w:val="24"/>
          <w:szCs w:val="24"/>
        </w:rPr>
        <w:t xml:space="preserve"> armed forces. </w:t>
      </w:r>
    </w:p>
    <w:p w14:paraId="5CE83CF5" w14:textId="048C3A1A" w:rsidR="003875C0" w:rsidRDefault="003875C0" w:rsidP="003875C0">
      <w:pPr>
        <w:spacing w:after="0" w:line="480" w:lineRule="auto"/>
        <w:ind w:firstLine="720"/>
        <w:rPr>
          <w:rFonts w:ascii="Times New Roman" w:hAnsi="Times New Roman" w:cs="Times New Roman"/>
          <w:sz w:val="24"/>
          <w:szCs w:val="24"/>
        </w:rPr>
      </w:pPr>
      <w:r w:rsidRPr="00CC427C">
        <w:rPr>
          <w:rFonts w:ascii="Times New Roman" w:hAnsi="Times New Roman" w:cs="Times New Roman"/>
          <w:sz w:val="24"/>
          <w:szCs w:val="24"/>
        </w:rPr>
        <w:t xml:space="preserve">In the aftermath of the coup,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 xml:space="preserve"> publicly remarked that “this uprising is a gift from God to us because this will be a reason to cleanse our army” (cited in Dettmer 2016). Given that the coup was organized by a rogue faction within the military, extending power-sharing and democratizing civil-military relations made little sense for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 xml:space="preserve">’s personal protection. Instead, fragmenting the military apparatus and deterring a repetition of such attempts proved to be the favored strategy. In doing so,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 xml:space="preserve"> met little opposition from other political parties and the military establishment at large. Given that the Gulenists had previously hurt many other factions within society, opposition parties acquiesced to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 xml:space="preserve">’s extensive purges. By the time of his executive presidency in 2018,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 xml:space="preserve"> managed to consolidate enough power that even if such resistance was present, it would not have mattered (Satana 2022, 5). Likewise,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 xml:space="preserve"> portrayed the coup-plotters not as military officers, nor even proper members of the armed </w:t>
      </w:r>
      <w:r w:rsidRPr="00CC427C">
        <w:rPr>
          <w:rFonts w:ascii="Times New Roman" w:hAnsi="Times New Roman" w:cs="Times New Roman"/>
          <w:sz w:val="24"/>
          <w:szCs w:val="24"/>
        </w:rPr>
        <w:lastRenderedPageBreak/>
        <w:t xml:space="preserve">forces, but rather as members of </w:t>
      </w:r>
      <w:r>
        <w:rPr>
          <w:rFonts w:ascii="Times New Roman" w:hAnsi="Times New Roman" w:cs="Times New Roman"/>
          <w:sz w:val="24"/>
          <w:szCs w:val="24"/>
        </w:rPr>
        <w:t>the ‘Fethullahist Terrorist Organization’</w:t>
      </w:r>
      <w:r w:rsidRPr="00CC427C">
        <w:rPr>
          <w:rFonts w:ascii="Times New Roman" w:hAnsi="Times New Roman" w:cs="Times New Roman"/>
          <w:sz w:val="24"/>
          <w:szCs w:val="24"/>
        </w:rPr>
        <w:t xml:space="preserve">. This allowed many high-ranking officers to save face, making them more than likely to acquiesce to </w:t>
      </w:r>
      <w:r w:rsidR="00571E8C" w:rsidRPr="00571E8C">
        <w:rPr>
          <w:rFonts w:ascii="Times New Roman" w:hAnsi="Times New Roman" w:cs="Times New Roman"/>
          <w:sz w:val="24"/>
          <w:szCs w:val="24"/>
        </w:rPr>
        <w:t>Erdoğan</w:t>
      </w:r>
      <w:r w:rsidRPr="00CC427C">
        <w:rPr>
          <w:rFonts w:ascii="Times New Roman" w:hAnsi="Times New Roman" w:cs="Times New Roman"/>
          <w:sz w:val="24"/>
          <w:szCs w:val="24"/>
        </w:rPr>
        <w:t>’s restructuring of the military in order to remain part of the ruling elite (Kaynar 2022b, 9).</w:t>
      </w:r>
    </w:p>
    <w:p w14:paraId="1450AB8F" w14:textId="3ABBF0C5" w:rsidR="00C10346" w:rsidRDefault="003875C0" w:rsidP="00C8172E">
      <w:pPr>
        <w:spacing w:after="0" w:line="480" w:lineRule="auto"/>
        <w:ind w:firstLine="720"/>
        <w:rPr>
          <w:rFonts w:ascii="Times New Roman" w:hAnsi="Times New Roman" w:cs="Times New Roman"/>
          <w:sz w:val="24"/>
          <w:szCs w:val="24"/>
        </w:rPr>
      </w:pPr>
      <w:r w:rsidRPr="008F758D">
        <w:rPr>
          <w:rFonts w:ascii="Times New Roman" w:hAnsi="Times New Roman" w:cs="Times New Roman"/>
          <w:sz w:val="24"/>
          <w:szCs w:val="24"/>
        </w:rPr>
        <w:t xml:space="preserve">Consequently, by reshaping the security apparatus in his image, </w:t>
      </w:r>
      <w:r w:rsidR="00571E8C" w:rsidRPr="00571E8C">
        <w:rPr>
          <w:rFonts w:ascii="Times New Roman" w:hAnsi="Times New Roman" w:cs="Times New Roman"/>
          <w:sz w:val="24"/>
          <w:szCs w:val="24"/>
        </w:rPr>
        <w:t>Erdoğan</w:t>
      </w:r>
      <w:r w:rsidRPr="008F758D">
        <w:rPr>
          <w:rFonts w:ascii="Times New Roman" w:hAnsi="Times New Roman" w:cs="Times New Roman"/>
          <w:sz w:val="24"/>
          <w:szCs w:val="24"/>
        </w:rPr>
        <w:t xml:space="preserve"> removed the military’s historic role as a check and balance to executive power aggrandizement</w:t>
      </w:r>
      <w:r>
        <w:rPr>
          <w:rFonts w:ascii="Times New Roman" w:hAnsi="Times New Roman" w:cs="Times New Roman"/>
          <w:sz w:val="24"/>
          <w:szCs w:val="24"/>
        </w:rPr>
        <w:t xml:space="preserve">, </w:t>
      </w:r>
      <w:r w:rsidRPr="008F758D">
        <w:rPr>
          <w:rFonts w:ascii="Times New Roman" w:hAnsi="Times New Roman" w:cs="Times New Roman"/>
          <w:sz w:val="24"/>
          <w:szCs w:val="24"/>
        </w:rPr>
        <w:t>allowing the president to consolidate immense power and transform the military tutelage of the previous century into that of a personalist strongman</w:t>
      </w:r>
      <w:r>
        <w:rPr>
          <w:rFonts w:ascii="Times New Roman" w:hAnsi="Times New Roman" w:cs="Times New Roman"/>
          <w:sz w:val="24"/>
          <w:szCs w:val="24"/>
        </w:rPr>
        <w:t xml:space="preserve"> regime.</w:t>
      </w:r>
    </w:p>
    <w:p w14:paraId="7DE8DB55" w14:textId="26322C4F" w:rsidR="00F9386B" w:rsidRPr="0014157E" w:rsidRDefault="003875C0" w:rsidP="00F9386B">
      <w:pPr>
        <w:spacing w:after="0" w:line="480" w:lineRule="auto"/>
        <w:rPr>
          <w:rFonts w:ascii="Times New Roman" w:hAnsi="Times New Roman" w:cs="Times New Roman"/>
          <w:b/>
          <w:bCs/>
          <w:sz w:val="24"/>
          <w:szCs w:val="24"/>
        </w:rPr>
      </w:pPr>
      <w:r w:rsidRPr="0014157E">
        <w:rPr>
          <w:rFonts w:ascii="Times New Roman" w:hAnsi="Times New Roman" w:cs="Times New Roman"/>
          <w:b/>
          <w:bCs/>
          <w:sz w:val="24"/>
          <w:szCs w:val="24"/>
        </w:rPr>
        <w:t>Conclusion</w:t>
      </w:r>
    </w:p>
    <w:p w14:paraId="4ADFB48E" w14:textId="77777777" w:rsidR="006F14FF" w:rsidRDefault="006F14FF" w:rsidP="006F14FF">
      <w:pPr>
        <w:spacing w:after="0" w:line="480" w:lineRule="auto"/>
        <w:rPr>
          <w:rFonts w:ascii="Times New Roman" w:hAnsi="Times New Roman" w:cs="Times New Roman"/>
          <w:sz w:val="24"/>
          <w:szCs w:val="24"/>
        </w:rPr>
      </w:pPr>
      <w:r>
        <w:rPr>
          <w:rFonts w:ascii="Times New Roman" w:eastAsiaTheme="minorEastAsia" w:hAnsi="Times New Roman" w:cs="Times New Roman"/>
          <w:sz w:val="24"/>
          <w:szCs w:val="24"/>
        </w:rPr>
        <w:t>How</w:t>
      </w:r>
      <w:r w:rsidRPr="00B537A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do</w:t>
      </w:r>
      <w:r w:rsidRPr="00B537A7">
        <w:rPr>
          <w:rFonts w:ascii="Times New Roman" w:eastAsiaTheme="minorEastAsia" w:hAnsi="Times New Roman" w:cs="Times New Roman"/>
          <w:sz w:val="24"/>
          <w:szCs w:val="24"/>
        </w:rPr>
        <w:t xml:space="preserve"> dictators successfully counterbalance </w:t>
      </w:r>
      <w:r>
        <w:rPr>
          <w:rFonts w:ascii="Times New Roman" w:eastAsiaTheme="minorEastAsia" w:hAnsi="Times New Roman" w:cs="Times New Roman"/>
          <w:sz w:val="24"/>
          <w:szCs w:val="24"/>
        </w:rPr>
        <w:t xml:space="preserve">their militaries </w:t>
      </w:r>
      <w:r w:rsidRPr="00B537A7">
        <w:rPr>
          <w:rFonts w:ascii="Times New Roman" w:eastAsiaTheme="minorEastAsia" w:hAnsi="Times New Roman" w:cs="Times New Roman"/>
          <w:sz w:val="24"/>
          <w:szCs w:val="24"/>
        </w:rPr>
        <w:t>despite the significant risk of military retaliation?</w:t>
      </w:r>
      <w:r>
        <w:rPr>
          <w:rFonts w:ascii="Times New Roman" w:eastAsiaTheme="minorEastAsia" w:hAnsi="Times New Roman" w:cs="Times New Roman"/>
          <w:sz w:val="24"/>
          <w:szCs w:val="24"/>
        </w:rPr>
        <w:t xml:space="preserve"> I argue that dictators are more likely to counterbalance in the aftermath of failed coups, when the military is weakened and unwilling to challenge the dictator in a repeat attempt. This provides the autocrat with an increased incentive and opportunity to fragment his coercive apparatus without risking retaliation. Empirical findings support this proposition: failed coups have a moderate but significant effect on counterbalancing, illustrating that coup failure not only prompts short-term purges and regime personalization, but also facilitates longer-term fragmentation of autocratic coercive institutions.</w:t>
      </w:r>
      <w:r w:rsidRPr="00117FD7">
        <w:rPr>
          <w:rFonts w:ascii="Times New Roman" w:hAnsi="Times New Roman" w:cs="Times New Roman"/>
          <w:sz w:val="24"/>
          <w:szCs w:val="24"/>
        </w:rPr>
        <w:t xml:space="preserve"> </w:t>
      </w:r>
      <w:r>
        <w:rPr>
          <w:rFonts w:ascii="Times New Roman" w:hAnsi="Times New Roman" w:cs="Times New Roman"/>
          <w:sz w:val="24"/>
          <w:szCs w:val="24"/>
        </w:rPr>
        <w:t>Consequently, by expanding on the relationship between coup failure and counterbalancing, this study advances scholarly understanding of the determinants of autocratic survival strategies and their far-reaching implications.</w:t>
      </w:r>
    </w:p>
    <w:p w14:paraId="0FEAECAA" w14:textId="0415EAC2" w:rsidR="00A5602C" w:rsidRDefault="00D95DDE" w:rsidP="009B1F51">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2C1FD4">
        <w:rPr>
          <w:rFonts w:ascii="Times New Roman" w:hAnsi="Times New Roman" w:cs="Times New Roman"/>
          <w:sz w:val="24"/>
          <w:szCs w:val="24"/>
        </w:rPr>
        <w:t>While</w:t>
      </w:r>
      <w:r w:rsidR="00FD5353">
        <w:rPr>
          <w:rFonts w:ascii="Times New Roman" w:hAnsi="Times New Roman" w:cs="Times New Roman"/>
          <w:sz w:val="24"/>
          <w:szCs w:val="24"/>
        </w:rPr>
        <w:t xml:space="preserve"> case-based scholarship has shown that failed coups have dire </w:t>
      </w:r>
      <w:r w:rsidR="006526AA">
        <w:rPr>
          <w:rFonts w:ascii="Times New Roman" w:hAnsi="Times New Roman" w:cs="Times New Roman"/>
          <w:sz w:val="24"/>
          <w:szCs w:val="24"/>
        </w:rPr>
        <w:t xml:space="preserve">implications </w:t>
      </w:r>
      <w:r w:rsidR="00FD5353">
        <w:rPr>
          <w:rFonts w:ascii="Times New Roman" w:hAnsi="Times New Roman" w:cs="Times New Roman"/>
          <w:sz w:val="24"/>
          <w:szCs w:val="24"/>
        </w:rPr>
        <w:t xml:space="preserve">for </w:t>
      </w:r>
      <w:r w:rsidR="005B616C">
        <w:rPr>
          <w:rFonts w:ascii="Times New Roman" w:hAnsi="Times New Roman" w:cs="Times New Roman"/>
          <w:sz w:val="24"/>
          <w:szCs w:val="24"/>
        </w:rPr>
        <w:t xml:space="preserve">the dictator’s coercive apparatus, the generality of these </w:t>
      </w:r>
      <w:r w:rsidR="006526AA">
        <w:rPr>
          <w:rFonts w:ascii="Times New Roman" w:hAnsi="Times New Roman" w:cs="Times New Roman"/>
          <w:sz w:val="24"/>
          <w:szCs w:val="24"/>
        </w:rPr>
        <w:t>implications</w:t>
      </w:r>
      <w:r w:rsidR="005B616C">
        <w:rPr>
          <w:rFonts w:ascii="Times New Roman" w:hAnsi="Times New Roman" w:cs="Times New Roman"/>
          <w:sz w:val="24"/>
          <w:szCs w:val="24"/>
        </w:rPr>
        <w:t xml:space="preserve"> have not been</w:t>
      </w:r>
      <w:r w:rsidR="00490ED7">
        <w:rPr>
          <w:rFonts w:ascii="Times New Roman" w:hAnsi="Times New Roman" w:cs="Times New Roman"/>
          <w:sz w:val="24"/>
          <w:szCs w:val="24"/>
        </w:rPr>
        <w:t xml:space="preserve"> </w:t>
      </w:r>
      <w:r w:rsidR="003F5E40">
        <w:rPr>
          <w:rFonts w:ascii="Times New Roman" w:hAnsi="Times New Roman" w:cs="Times New Roman"/>
          <w:sz w:val="24"/>
          <w:szCs w:val="24"/>
        </w:rPr>
        <w:t xml:space="preserve">systematically </w:t>
      </w:r>
      <w:r w:rsidR="00C60D71">
        <w:rPr>
          <w:rFonts w:ascii="Times New Roman" w:hAnsi="Times New Roman" w:cs="Times New Roman"/>
          <w:sz w:val="24"/>
          <w:szCs w:val="24"/>
        </w:rPr>
        <w:t xml:space="preserve">tested. Short of abolishing parts of the </w:t>
      </w:r>
      <w:r w:rsidR="00490ED7">
        <w:rPr>
          <w:rFonts w:ascii="Times New Roman" w:hAnsi="Times New Roman" w:cs="Times New Roman"/>
          <w:sz w:val="24"/>
          <w:szCs w:val="24"/>
        </w:rPr>
        <w:t>military, as was the case in Kenya following the failed coup of 1982</w:t>
      </w:r>
      <w:r w:rsidR="00CE5CCA">
        <w:rPr>
          <w:rFonts w:ascii="Times New Roman" w:hAnsi="Times New Roman" w:cs="Times New Roman"/>
          <w:sz w:val="24"/>
          <w:szCs w:val="24"/>
        </w:rPr>
        <w:t xml:space="preserve">, </w:t>
      </w:r>
      <w:r w:rsidR="007032BA">
        <w:rPr>
          <w:rFonts w:ascii="Times New Roman" w:hAnsi="Times New Roman" w:cs="Times New Roman"/>
          <w:sz w:val="24"/>
          <w:szCs w:val="24"/>
        </w:rPr>
        <w:t xml:space="preserve">I </w:t>
      </w:r>
      <w:r w:rsidR="00CE5CCA">
        <w:rPr>
          <w:rFonts w:ascii="Times New Roman" w:hAnsi="Times New Roman" w:cs="Times New Roman"/>
          <w:sz w:val="24"/>
          <w:szCs w:val="24"/>
        </w:rPr>
        <w:t>show</w:t>
      </w:r>
      <w:r w:rsidR="007032BA">
        <w:rPr>
          <w:rFonts w:ascii="Times New Roman" w:hAnsi="Times New Roman" w:cs="Times New Roman"/>
          <w:sz w:val="24"/>
          <w:szCs w:val="24"/>
        </w:rPr>
        <w:t xml:space="preserve"> that </w:t>
      </w:r>
      <w:r w:rsidR="00E90635">
        <w:rPr>
          <w:rFonts w:ascii="Times New Roman" w:hAnsi="Times New Roman" w:cs="Times New Roman"/>
          <w:sz w:val="24"/>
          <w:szCs w:val="24"/>
        </w:rPr>
        <w:t xml:space="preserve">failed coups are </w:t>
      </w:r>
      <w:r w:rsidR="000B6906">
        <w:rPr>
          <w:rFonts w:ascii="Times New Roman" w:hAnsi="Times New Roman" w:cs="Times New Roman"/>
          <w:sz w:val="24"/>
          <w:szCs w:val="24"/>
        </w:rPr>
        <w:t xml:space="preserve">also </w:t>
      </w:r>
      <w:r w:rsidR="00E90635">
        <w:rPr>
          <w:rFonts w:ascii="Times New Roman" w:hAnsi="Times New Roman" w:cs="Times New Roman"/>
          <w:sz w:val="24"/>
          <w:szCs w:val="24"/>
        </w:rPr>
        <w:t xml:space="preserve">consistent with the fragmentation of autocratic </w:t>
      </w:r>
      <w:r w:rsidR="00F041A7">
        <w:rPr>
          <w:rFonts w:ascii="Times New Roman" w:hAnsi="Times New Roman" w:cs="Times New Roman"/>
          <w:sz w:val="24"/>
          <w:szCs w:val="24"/>
        </w:rPr>
        <w:t xml:space="preserve">coercive institutions. These findings align with a pessimistic view of the democratic coup </w:t>
      </w:r>
      <w:r w:rsidR="00F041A7">
        <w:rPr>
          <w:rFonts w:ascii="Times New Roman" w:hAnsi="Times New Roman" w:cs="Times New Roman"/>
          <w:sz w:val="24"/>
          <w:szCs w:val="24"/>
        </w:rPr>
        <w:lastRenderedPageBreak/>
        <w:t xml:space="preserve">hypothesis. </w:t>
      </w:r>
      <w:r w:rsidR="00C41917">
        <w:rPr>
          <w:rFonts w:ascii="Times New Roman" w:hAnsi="Times New Roman" w:cs="Times New Roman"/>
          <w:sz w:val="24"/>
          <w:szCs w:val="24"/>
        </w:rPr>
        <w:t xml:space="preserve">Rather than democratizing, dictators are </w:t>
      </w:r>
      <w:r w:rsidR="004A19BB">
        <w:rPr>
          <w:rFonts w:ascii="Times New Roman" w:hAnsi="Times New Roman" w:cs="Times New Roman"/>
          <w:sz w:val="24"/>
          <w:szCs w:val="24"/>
        </w:rPr>
        <w:t xml:space="preserve">more likely to coup-proof their regimes, which, in addition to short-term purges and personalization, includes long-term </w:t>
      </w:r>
      <w:r w:rsidR="008D0410">
        <w:rPr>
          <w:rFonts w:ascii="Times New Roman" w:hAnsi="Times New Roman" w:cs="Times New Roman"/>
          <w:sz w:val="24"/>
          <w:szCs w:val="24"/>
        </w:rPr>
        <w:t xml:space="preserve">structural implications for </w:t>
      </w:r>
      <w:r w:rsidR="00AE56C4">
        <w:rPr>
          <w:rFonts w:ascii="Times New Roman" w:hAnsi="Times New Roman" w:cs="Times New Roman"/>
          <w:sz w:val="24"/>
          <w:szCs w:val="24"/>
        </w:rPr>
        <w:t>the design of</w:t>
      </w:r>
      <w:r w:rsidR="00DD5C3A">
        <w:rPr>
          <w:rFonts w:ascii="Times New Roman" w:hAnsi="Times New Roman" w:cs="Times New Roman"/>
          <w:sz w:val="24"/>
          <w:szCs w:val="24"/>
        </w:rPr>
        <w:t xml:space="preserve"> autocratic </w:t>
      </w:r>
      <w:r w:rsidR="00A5602C">
        <w:rPr>
          <w:rFonts w:ascii="Times New Roman" w:hAnsi="Times New Roman" w:cs="Times New Roman"/>
          <w:sz w:val="24"/>
          <w:szCs w:val="24"/>
        </w:rPr>
        <w:t>armies</w:t>
      </w:r>
      <w:r w:rsidR="00DD5C3A">
        <w:rPr>
          <w:rFonts w:ascii="Times New Roman" w:hAnsi="Times New Roman" w:cs="Times New Roman"/>
          <w:sz w:val="24"/>
          <w:szCs w:val="24"/>
        </w:rPr>
        <w:t>.</w:t>
      </w:r>
      <w:r w:rsidR="00D3580D">
        <w:rPr>
          <w:rFonts w:ascii="Times New Roman" w:hAnsi="Times New Roman" w:cs="Times New Roman"/>
          <w:sz w:val="24"/>
          <w:szCs w:val="24"/>
        </w:rPr>
        <w:t xml:space="preserve"> </w:t>
      </w:r>
      <w:r w:rsidR="001F5B61">
        <w:rPr>
          <w:rFonts w:ascii="Times New Roman" w:hAnsi="Times New Roman" w:cs="Times New Roman"/>
          <w:sz w:val="24"/>
          <w:szCs w:val="24"/>
        </w:rPr>
        <w:t>T</w:t>
      </w:r>
      <w:r w:rsidR="00D3580D">
        <w:rPr>
          <w:rFonts w:ascii="Times New Roman" w:hAnsi="Times New Roman" w:cs="Times New Roman"/>
          <w:sz w:val="24"/>
          <w:szCs w:val="24"/>
        </w:rPr>
        <w:t>his has broader domestic and international policy implications. Counterbalancing weakens military capacity, heightening the risk of civil conflict, nuclear proliferation and indiscriminate repression during periods of mass mobilization.</w:t>
      </w:r>
      <w:r w:rsidR="00121D76">
        <w:rPr>
          <w:rFonts w:ascii="Times New Roman" w:hAnsi="Times New Roman" w:cs="Times New Roman"/>
          <w:sz w:val="24"/>
          <w:szCs w:val="24"/>
        </w:rPr>
        <w:t xml:space="preserve"> </w:t>
      </w:r>
    </w:p>
    <w:p w14:paraId="416E0227" w14:textId="3E8859D4" w:rsidR="009B1F51" w:rsidRDefault="00121D76" w:rsidP="00A5602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Additionally, my findings contribute to the literature on the determinants of counterbalancing. While previous work has theorized the relationship between coups and counterbalanc</w:t>
      </w:r>
      <w:r w:rsidR="009B1F51">
        <w:rPr>
          <w:rFonts w:ascii="Times New Roman" w:hAnsi="Times New Roman" w:cs="Times New Roman"/>
          <w:sz w:val="24"/>
          <w:szCs w:val="24"/>
        </w:rPr>
        <w:t>ing</w:t>
      </w:r>
      <w:r>
        <w:rPr>
          <w:rFonts w:ascii="Times New Roman" w:hAnsi="Times New Roman" w:cs="Times New Roman"/>
          <w:sz w:val="24"/>
          <w:szCs w:val="24"/>
        </w:rPr>
        <w:t xml:space="preserve"> through a measure of coup risk,</w:t>
      </w:r>
      <w:r w:rsidR="004C2D5D">
        <w:rPr>
          <w:rFonts w:ascii="Times New Roman" w:hAnsi="Times New Roman" w:cs="Times New Roman"/>
          <w:sz w:val="24"/>
          <w:szCs w:val="24"/>
        </w:rPr>
        <w:t xml:space="preserve"> I move away from such latent measures and offer a</w:t>
      </w:r>
      <w:r w:rsidR="00BE60FA">
        <w:rPr>
          <w:rFonts w:ascii="Times New Roman" w:hAnsi="Times New Roman" w:cs="Times New Roman"/>
          <w:sz w:val="24"/>
          <w:szCs w:val="24"/>
        </w:rPr>
        <w:t xml:space="preserve"> more direct test of the causal argument</w:t>
      </w:r>
      <w:r w:rsidR="009B1F51">
        <w:rPr>
          <w:rFonts w:ascii="Times New Roman" w:hAnsi="Times New Roman" w:cs="Times New Roman"/>
          <w:sz w:val="24"/>
          <w:szCs w:val="24"/>
        </w:rPr>
        <w:t xml:space="preserve">. </w:t>
      </w:r>
      <w:r w:rsidR="006D6F24">
        <w:rPr>
          <w:rFonts w:ascii="Times New Roman" w:hAnsi="Times New Roman" w:cs="Times New Roman"/>
          <w:sz w:val="24"/>
          <w:szCs w:val="24"/>
        </w:rPr>
        <w:t>In light of this</w:t>
      </w:r>
      <w:r w:rsidR="009B1F51" w:rsidRPr="00005B50">
        <w:rPr>
          <w:rFonts w:ascii="Times New Roman" w:hAnsi="Times New Roman" w:cs="Times New Roman"/>
          <w:sz w:val="24"/>
          <w:szCs w:val="24"/>
        </w:rPr>
        <w:t>, I find support for Sudduth’s (2017a) general mechanism on the timing of coup-proofing applied to</w:t>
      </w:r>
      <w:r w:rsidR="009B1F51">
        <w:rPr>
          <w:rFonts w:ascii="Times New Roman" w:hAnsi="Times New Roman" w:cs="Times New Roman"/>
          <w:sz w:val="24"/>
          <w:szCs w:val="24"/>
        </w:rPr>
        <w:t xml:space="preserve"> </w:t>
      </w:r>
      <w:r w:rsidR="009B1F51" w:rsidRPr="00005B50">
        <w:rPr>
          <w:rFonts w:ascii="Times New Roman" w:hAnsi="Times New Roman" w:cs="Times New Roman"/>
          <w:sz w:val="24"/>
          <w:szCs w:val="24"/>
        </w:rPr>
        <w:t>counterbalancing.</w:t>
      </w:r>
    </w:p>
    <w:p w14:paraId="7B7E29E9" w14:textId="669F2653" w:rsidR="006D6F24" w:rsidRPr="00AD085B" w:rsidRDefault="006D6F24" w:rsidP="006D6F2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That said, future work should consider the scope conditions underlying these findings and the ways in which </w:t>
      </w:r>
      <w:r w:rsidR="00BE5415">
        <w:rPr>
          <w:rFonts w:ascii="Times New Roman" w:hAnsi="Times New Roman" w:cs="Times New Roman"/>
          <w:sz w:val="24"/>
          <w:szCs w:val="24"/>
        </w:rPr>
        <w:t>counterbalancing</w:t>
      </w:r>
      <w:r>
        <w:rPr>
          <w:rFonts w:ascii="Times New Roman" w:hAnsi="Times New Roman" w:cs="Times New Roman"/>
          <w:sz w:val="24"/>
          <w:szCs w:val="24"/>
        </w:rPr>
        <w:t xml:space="preserve"> is combined with extensive purges and other appeasement strategies that ‘soften’ the risk of potential repercussions. </w:t>
      </w:r>
      <w:r w:rsidRPr="00757CB3">
        <w:rPr>
          <w:rFonts w:ascii="Times New Roman" w:hAnsi="Times New Roman" w:cs="Times New Roman"/>
          <w:sz w:val="24"/>
          <w:szCs w:val="24"/>
        </w:rPr>
        <w:t>Additionally, future research should consider looking at the effects of successful coups on counterbalancing, but also examine the conditions under which counterweights are disbanded, not only created.</w:t>
      </w:r>
    </w:p>
    <w:p w14:paraId="2F3D5606" w14:textId="34555E4C" w:rsidR="00F041A7" w:rsidRDefault="00F041A7" w:rsidP="006F14FF">
      <w:pPr>
        <w:spacing w:after="0" w:line="480" w:lineRule="auto"/>
        <w:rPr>
          <w:rFonts w:ascii="Times New Roman" w:hAnsi="Times New Roman" w:cs="Times New Roman"/>
          <w:sz w:val="24"/>
          <w:szCs w:val="24"/>
        </w:rPr>
      </w:pPr>
    </w:p>
    <w:p w14:paraId="2DE76642" w14:textId="77777777" w:rsidR="00F775DB" w:rsidRDefault="00F775DB" w:rsidP="00F9386B">
      <w:pPr>
        <w:spacing w:after="0" w:line="480" w:lineRule="auto"/>
        <w:rPr>
          <w:rFonts w:ascii="Times New Roman" w:hAnsi="Times New Roman" w:cs="Times New Roman"/>
          <w:b/>
          <w:bCs/>
          <w:sz w:val="24"/>
          <w:szCs w:val="24"/>
        </w:rPr>
      </w:pPr>
    </w:p>
    <w:p w14:paraId="31BB7C99" w14:textId="77777777" w:rsidR="00544C2E" w:rsidRDefault="00544C2E" w:rsidP="00F9386B">
      <w:pPr>
        <w:spacing w:after="0" w:line="480" w:lineRule="auto"/>
        <w:rPr>
          <w:rFonts w:ascii="Times New Roman" w:hAnsi="Times New Roman" w:cs="Times New Roman"/>
          <w:b/>
          <w:bCs/>
          <w:sz w:val="24"/>
          <w:szCs w:val="24"/>
        </w:rPr>
      </w:pPr>
    </w:p>
    <w:p w14:paraId="6D41EE3D" w14:textId="77777777" w:rsidR="00F775DB" w:rsidRDefault="00F775DB" w:rsidP="00F9386B">
      <w:pPr>
        <w:spacing w:after="0" w:line="480" w:lineRule="auto"/>
        <w:rPr>
          <w:rFonts w:ascii="Times New Roman" w:hAnsi="Times New Roman" w:cs="Times New Roman"/>
          <w:b/>
          <w:bCs/>
          <w:sz w:val="24"/>
          <w:szCs w:val="24"/>
        </w:rPr>
      </w:pPr>
    </w:p>
    <w:p w14:paraId="438064D5" w14:textId="77777777" w:rsidR="00F775DB" w:rsidRDefault="00F775DB" w:rsidP="00F9386B">
      <w:pPr>
        <w:spacing w:after="0" w:line="480" w:lineRule="auto"/>
        <w:rPr>
          <w:rFonts w:ascii="Times New Roman" w:hAnsi="Times New Roman" w:cs="Times New Roman"/>
          <w:b/>
          <w:bCs/>
          <w:sz w:val="24"/>
          <w:szCs w:val="24"/>
        </w:rPr>
      </w:pPr>
    </w:p>
    <w:p w14:paraId="034AE143" w14:textId="77777777" w:rsidR="00F775DB" w:rsidRDefault="00F775DB" w:rsidP="00F9386B">
      <w:pPr>
        <w:spacing w:after="0" w:line="480" w:lineRule="auto"/>
        <w:rPr>
          <w:rFonts w:ascii="Times New Roman" w:hAnsi="Times New Roman" w:cs="Times New Roman"/>
          <w:b/>
          <w:bCs/>
          <w:sz w:val="24"/>
          <w:szCs w:val="24"/>
        </w:rPr>
      </w:pPr>
    </w:p>
    <w:p w14:paraId="121096D3" w14:textId="77777777" w:rsidR="00F775DB" w:rsidRDefault="00F775DB" w:rsidP="00F9386B">
      <w:pPr>
        <w:spacing w:after="0" w:line="480" w:lineRule="auto"/>
        <w:rPr>
          <w:rFonts w:ascii="Times New Roman" w:hAnsi="Times New Roman" w:cs="Times New Roman"/>
          <w:b/>
          <w:bCs/>
          <w:sz w:val="24"/>
          <w:szCs w:val="24"/>
        </w:rPr>
      </w:pPr>
    </w:p>
    <w:p w14:paraId="5A1AC8C4" w14:textId="77777777" w:rsidR="00C10346" w:rsidRDefault="00C10346" w:rsidP="00F9386B">
      <w:pPr>
        <w:spacing w:after="0" w:line="480" w:lineRule="auto"/>
        <w:rPr>
          <w:rFonts w:ascii="Times New Roman" w:hAnsi="Times New Roman" w:cs="Times New Roman"/>
          <w:b/>
          <w:bCs/>
          <w:sz w:val="24"/>
          <w:szCs w:val="24"/>
        </w:rPr>
      </w:pPr>
    </w:p>
    <w:p w14:paraId="04E34D83" w14:textId="54819D89" w:rsidR="00D50CCE" w:rsidRDefault="00D50CCE" w:rsidP="00F9386B">
      <w:pPr>
        <w:spacing w:after="0" w:line="480" w:lineRule="auto"/>
        <w:rPr>
          <w:rFonts w:ascii="Times New Roman" w:hAnsi="Times New Roman" w:cs="Times New Roman"/>
          <w:b/>
          <w:bCs/>
          <w:sz w:val="24"/>
          <w:szCs w:val="24"/>
        </w:rPr>
      </w:pPr>
      <w:r w:rsidRPr="00C90AB2">
        <w:rPr>
          <w:rFonts w:ascii="Times New Roman" w:hAnsi="Times New Roman" w:cs="Times New Roman"/>
          <w:b/>
          <w:bCs/>
          <w:sz w:val="24"/>
          <w:szCs w:val="24"/>
        </w:rPr>
        <w:lastRenderedPageBreak/>
        <w:t>References</w:t>
      </w:r>
    </w:p>
    <w:p w14:paraId="5CBF2995"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Albrecht, Holger. 2015. "The Myth of Coup-Proofing: Risk and Instances of Military Coups d’État in the Middle East and North Africa." </w:t>
      </w:r>
      <w:r w:rsidRPr="00CF2660">
        <w:rPr>
          <w:rFonts w:ascii="Times New Roman" w:hAnsi="Times New Roman" w:cs="Times New Roman"/>
          <w:i/>
          <w:iCs/>
          <w:sz w:val="24"/>
          <w:szCs w:val="24"/>
        </w:rPr>
        <w:t>Armed Forces &amp; Society</w:t>
      </w:r>
      <w:r w:rsidRPr="00CF2660">
        <w:rPr>
          <w:rFonts w:ascii="Times New Roman" w:hAnsi="Times New Roman" w:cs="Times New Roman"/>
          <w:sz w:val="24"/>
          <w:szCs w:val="24"/>
        </w:rPr>
        <w:t xml:space="preserve"> 41(4): 659–687.</w:t>
      </w:r>
    </w:p>
    <w:p w14:paraId="2CAB3224"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Albrecht, Holger, and Ferdinand Eibl. 2018. "How to Keep Officers in the Barracks: Causes, Agents, and Types of Military Coups." </w:t>
      </w:r>
      <w:r w:rsidRPr="00CF2660">
        <w:rPr>
          <w:rFonts w:ascii="Times New Roman" w:hAnsi="Times New Roman" w:cs="Times New Roman"/>
          <w:i/>
          <w:iCs/>
          <w:sz w:val="24"/>
          <w:szCs w:val="24"/>
        </w:rPr>
        <w:t>International Studies Quarterly</w:t>
      </w:r>
      <w:r w:rsidRPr="00CF2660">
        <w:rPr>
          <w:rFonts w:ascii="Times New Roman" w:hAnsi="Times New Roman" w:cs="Times New Roman"/>
          <w:sz w:val="24"/>
          <w:szCs w:val="24"/>
        </w:rPr>
        <w:t xml:space="preserve"> 62(2): 315–328.</w:t>
      </w:r>
    </w:p>
    <w:p w14:paraId="3EAF4FF7"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Baynham, Simon. 1985. "Quis Custodiet Ipsos Custodes? The Case of Nkrumah's National Security Service." </w:t>
      </w:r>
      <w:r w:rsidRPr="00CF2660">
        <w:rPr>
          <w:rFonts w:ascii="Times New Roman" w:hAnsi="Times New Roman" w:cs="Times New Roman"/>
          <w:i/>
          <w:iCs/>
          <w:sz w:val="24"/>
          <w:szCs w:val="24"/>
        </w:rPr>
        <w:t>The Journal of Modern African Studies</w:t>
      </w:r>
      <w:r w:rsidRPr="00CF2660">
        <w:rPr>
          <w:rFonts w:ascii="Times New Roman" w:hAnsi="Times New Roman" w:cs="Times New Roman"/>
          <w:sz w:val="24"/>
          <w:szCs w:val="24"/>
        </w:rPr>
        <w:t xml:space="preserve"> 23(1): 87–103.</w:t>
      </w:r>
    </w:p>
    <w:p w14:paraId="669B9C1B"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Beaumont, Peter. 2023. "Gabon Military Officers Declare Coup After Ali Bongo Wins Disputed Election." </w:t>
      </w:r>
      <w:r w:rsidRPr="00CF2660">
        <w:rPr>
          <w:rFonts w:ascii="Times New Roman" w:hAnsi="Times New Roman" w:cs="Times New Roman"/>
          <w:i/>
          <w:iCs/>
          <w:sz w:val="24"/>
          <w:szCs w:val="24"/>
        </w:rPr>
        <w:t>The Guardian</w:t>
      </w:r>
      <w:r w:rsidRPr="00CF2660">
        <w:rPr>
          <w:rFonts w:ascii="Times New Roman" w:hAnsi="Times New Roman" w:cs="Times New Roman"/>
          <w:sz w:val="24"/>
          <w:szCs w:val="24"/>
        </w:rPr>
        <w:t xml:space="preserve">, August 30, 2023. </w:t>
      </w:r>
      <w:hyperlink r:id="rId17" w:tgtFrame="_new" w:history="1">
        <w:r w:rsidRPr="00CF2660">
          <w:rPr>
            <w:rStyle w:val="Hyperlink"/>
            <w:rFonts w:ascii="Times New Roman" w:hAnsi="Times New Roman" w:cs="Times New Roman"/>
            <w:sz w:val="24"/>
            <w:szCs w:val="24"/>
          </w:rPr>
          <w:t>https://www.theguardian.com/world/2023/aug/30/gabon-coup-military-takeover-gabonese-election-disputed</w:t>
        </w:r>
      </w:hyperlink>
      <w:r w:rsidRPr="00CF2660">
        <w:rPr>
          <w:rFonts w:ascii="Times New Roman" w:hAnsi="Times New Roman" w:cs="Times New Roman"/>
          <w:sz w:val="24"/>
          <w:szCs w:val="24"/>
        </w:rPr>
        <w:t>.</w:t>
      </w:r>
    </w:p>
    <w:p w14:paraId="7AC0AECB"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Belkin, Aaron, and Evan Schofer. 2003. "Toward a Structural Understanding of Coup Risk." </w:t>
      </w:r>
      <w:r w:rsidRPr="00CF2660">
        <w:rPr>
          <w:rFonts w:ascii="Times New Roman" w:hAnsi="Times New Roman" w:cs="Times New Roman"/>
          <w:i/>
          <w:iCs/>
          <w:sz w:val="24"/>
          <w:szCs w:val="24"/>
        </w:rPr>
        <w:t>Journal of Conflict Resolution</w:t>
      </w:r>
      <w:r w:rsidRPr="00CF2660">
        <w:rPr>
          <w:rFonts w:ascii="Times New Roman" w:hAnsi="Times New Roman" w:cs="Times New Roman"/>
          <w:sz w:val="24"/>
          <w:szCs w:val="24"/>
        </w:rPr>
        <w:t xml:space="preserve"> 47(5): 594–620.</w:t>
      </w:r>
    </w:p>
    <w:p w14:paraId="4CFE8CAB"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Belkin, Aaron, and Evan Schofer. 2005. "Coup Risk, Counterbalancing, and International Conflict." </w:t>
      </w:r>
      <w:r w:rsidRPr="00CF2660">
        <w:rPr>
          <w:rFonts w:ascii="Times New Roman" w:hAnsi="Times New Roman" w:cs="Times New Roman"/>
          <w:i/>
          <w:iCs/>
          <w:sz w:val="24"/>
          <w:szCs w:val="24"/>
        </w:rPr>
        <w:t>Security Studies</w:t>
      </w:r>
      <w:r w:rsidRPr="00CF2660">
        <w:rPr>
          <w:rFonts w:ascii="Times New Roman" w:hAnsi="Times New Roman" w:cs="Times New Roman"/>
          <w:sz w:val="24"/>
          <w:szCs w:val="24"/>
        </w:rPr>
        <w:t xml:space="preserve"> 14(1): 140–177.</w:t>
      </w:r>
    </w:p>
    <w:p w14:paraId="5C675DC0"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Bell, Curtis, and Jun K. Sudduth. 2017. "The Causes and Outcomes of Coups during Civil War." </w:t>
      </w:r>
      <w:r w:rsidRPr="00CF2660">
        <w:rPr>
          <w:rFonts w:ascii="Times New Roman" w:hAnsi="Times New Roman" w:cs="Times New Roman"/>
          <w:i/>
          <w:iCs/>
          <w:sz w:val="24"/>
          <w:szCs w:val="24"/>
        </w:rPr>
        <w:t>Journal of Conflict Resolution</w:t>
      </w:r>
      <w:r w:rsidRPr="00CF2660">
        <w:rPr>
          <w:rFonts w:ascii="Times New Roman" w:hAnsi="Times New Roman" w:cs="Times New Roman"/>
          <w:sz w:val="24"/>
          <w:szCs w:val="24"/>
        </w:rPr>
        <w:t xml:space="preserve"> 61(7): 1432–1455.</w:t>
      </w:r>
    </w:p>
    <w:p w14:paraId="04848298"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Bennett, Daniel L., Christian Bjørnskov, and Stephan F. Gohmann. 2021. "Coups, Regime Transitions, and Institutional Consequences." </w:t>
      </w:r>
      <w:r w:rsidRPr="00CF2660">
        <w:rPr>
          <w:rFonts w:ascii="Times New Roman" w:hAnsi="Times New Roman" w:cs="Times New Roman"/>
          <w:i/>
          <w:iCs/>
          <w:sz w:val="24"/>
          <w:szCs w:val="24"/>
        </w:rPr>
        <w:t>Journal of Comparative Economics</w:t>
      </w:r>
      <w:r w:rsidRPr="00CF2660">
        <w:rPr>
          <w:rFonts w:ascii="Times New Roman" w:hAnsi="Times New Roman" w:cs="Times New Roman"/>
          <w:sz w:val="24"/>
          <w:szCs w:val="24"/>
        </w:rPr>
        <w:t xml:space="preserve"> 49(2): 627–643.</w:t>
      </w:r>
    </w:p>
    <w:p w14:paraId="6A92ADA6" w14:textId="7D71793E"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Bokobza, L</w:t>
      </w:r>
      <w:r w:rsidR="00652195">
        <w:rPr>
          <w:rFonts w:ascii="Times New Roman" w:hAnsi="Times New Roman" w:cs="Times New Roman"/>
          <w:sz w:val="24"/>
          <w:szCs w:val="24"/>
        </w:rPr>
        <w:t>aure</w:t>
      </w:r>
      <w:r w:rsidRPr="00CF2660">
        <w:rPr>
          <w:rFonts w:ascii="Times New Roman" w:hAnsi="Times New Roman" w:cs="Times New Roman"/>
          <w:sz w:val="24"/>
          <w:szCs w:val="24"/>
        </w:rPr>
        <w:t xml:space="preserve">, </w:t>
      </w:r>
      <w:r w:rsidR="00652195">
        <w:rPr>
          <w:rFonts w:ascii="Times New Roman" w:hAnsi="Times New Roman" w:cs="Times New Roman"/>
          <w:sz w:val="24"/>
          <w:szCs w:val="24"/>
        </w:rPr>
        <w:t>Suthan</w:t>
      </w:r>
      <w:r w:rsidRPr="00CF2660">
        <w:rPr>
          <w:rFonts w:ascii="Times New Roman" w:hAnsi="Times New Roman" w:cs="Times New Roman"/>
          <w:sz w:val="24"/>
          <w:szCs w:val="24"/>
        </w:rPr>
        <w:t xml:space="preserve"> </w:t>
      </w:r>
      <w:proofErr w:type="spellStart"/>
      <w:r w:rsidRPr="00CF2660">
        <w:rPr>
          <w:rFonts w:ascii="Times New Roman" w:hAnsi="Times New Roman" w:cs="Times New Roman"/>
          <w:sz w:val="24"/>
          <w:szCs w:val="24"/>
        </w:rPr>
        <w:t>Krishnarajan</w:t>
      </w:r>
      <w:proofErr w:type="spellEnd"/>
      <w:r w:rsidRPr="00CF2660">
        <w:rPr>
          <w:rFonts w:ascii="Times New Roman" w:hAnsi="Times New Roman" w:cs="Times New Roman"/>
          <w:sz w:val="24"/>
          <w:szCs w:val="24"/>
        </w:rPr>
        <w:t xml:space="preserve">, Jacob Nyrup, Casper Sakstrup, and Lasse Aaskoven. 2022. "The Morning After: Cabinet Instability and the Purging of Ministers After Failed Coup Attempts in Autocracies." </w:t>
      </w:r>
      <w:r w:rsidRPr="00CF2660">
        <w:rPr>
          <w:rFonts w:ascii="Times New Roman" w:hAnsi="Times New Roman" w:cs="Times New Roman"/>
          <w:i/>
          <w:iCs/>
          <w:sz w:val="24"/>
          <w:szCs w:val="24"/>
        </w:rPr>
        <w:t>The Journal of Politics</w:t>
      </w:r>
      <w:r w:rsidRPr="00CF2660">
        <w:rPr>
          <w:rFonts w:ascii="Times New Roman" w:hAnsi="Times New Roman" w:cs="Times New Roman"/>
          <w:sz w:val="24"/>
          <w:szCs w:val="24"/>
        </w:rPr>
        <w:t xml:space="preserve"> 84(3): 1437–1452.</w:t>
      </w:r>
    </w:p>
    <w:p w14:paraId="181CAE7F"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Boutton, Andrew. 2019. "Coup-Proofing in the Shadow of Intervention: Alliances, Moral Hazard, and Violence in Authoritarian Regimes." </w:t>
      </w:r>
      <w:r w:rsidRPr="00CF2660">
        <w:rPr>
          <w:rFonts w:ascii="Times New Roman" w:hAnsi="Times New Roman" w:cs="Times New Roman"/>
          <w:i/>
          <w:iCs/>
          <w:sz w:val="24"/>
          <w:szCs w:val="24"/>
        </w:rPr>
        <w:t>International Studies Quarterly</w:t>
      </w:r>
      <w:r w:rsidRPr="00CF2660">
        <w:rPr>
          <w:rFonts w:ascii="Times New Roman" w:hAnsi="Times New Roman" w:cs="Times New Roman"/>
          <w:sz w:val="24"/>
          <w:szCs w:val="24"/>
        </w:rPr>
        <w:t xml:space="preserve"> 63(1): 43–57.</w:t>
      </w:r>
    </w:p>
    <w:p w14:paraId="1F5EF4E9"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Böhmelt, Tobias, and Ulrich Pilster. 2015. "The Impact of Institutional Coup-Proofing on Coup Attempts and Coup Outcomes." </w:t>
      </w:r>
      <w:r w:rsidRPr="00CF2660">
        <w:rPr>
          <w:rFonts w:ascii="Times New Roman" w:hAnsi="Times New Roman" w:cs="Times New Roman"/>
          <w:i/>
          <w:iCs/>
          <w:sz w:val="24"/>
          <w:szCs w:val="24"/>
        </w:rPr>
        <w:t>International Interactions</w:t>
      </w:r>
      <w:r w:rsidRPr="00CF2660">
        <w:rPr>
          <w:rFonts w:ascii="Times New Roman" w:hAnsi="Times New Roman" w:cs="Times New Roman"/>
          <w:sz w:val="24"/>
          <w:szCs w:val="24"/>
        </w:rPr>
        <w:t xml:space="preserve"> 41(1): 158–182.</w:t>
      </w:r>
    </w:p>
    <w:p w14:paraId="18E66005" w14:textId="2FF47A32"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Buddy, P</w:t>
      </w:r>
      <w:r w:rsidR="002D56B3">
        <w:rPr>
          <w:rFonts w:ascii="Times New Roman" w:hAnsi="Times New Roman" w:cs="Times New Roman"/>
          <w:sz w:val="24"/>
          <w:szCs w:val="24"/>
        </w:rPr>
        <w:t>eyton</w:t>
      </w:r>
      <w:r w:rsidRPr="00CF2660">
        <w:rPr>
          <w:rFonts w:ascii="Times New Roman" w:hAnsi="Times New Roman" w:cs="Times New Roman"/>
          <w:sz w:val="24"/>
          <w:szCs w:val="24"/>
        </w:rPr>
        <w:t>, J</w:t>
      </w:r>
      <w:r w:rsidR="00BC3E35">
        <w:rPr>
          <w:rFonts w:ascii="Times New Roman" w:hAnsi="Times New Roman" w:cs="Times New Roman"/>
          <w:sz w:val="24"/>
          <w:szCs w:val="24"/>
        </w:rPr>
        <w:t xml:space="preserve">oseph </w:t>
      </w:r>
      <w:r w:rsidRPr="00CF2660">
        <w:rPr>
          <w:rFonts w:ascii="Times New Roman" w:hAnsi="Times New Roman" w:cs="Times New Roman"/>
          <w:sz w:val="24"/>
          <w:szCs w:val="24"/>
        </w:rPr>
        <w:t>Bajjali</w:t>
      </w:r>
      <w:r w:rsidR="00BC3E35">
        <w:rPr>
          <w:rFonts w:ascii="Times New Roman" w:hAnsi="Times New Roman" w:cs="Times New Roman"/>
          <w:sz w:val="24"/>
          <w:szCs w:val="24"/>
        </w:rPr>
        <w:t>eh</w:t>
      </w:r>
      <w:r w:rsidRPr="00CF2660">
        <w:rPr>
          <w:rFonts w:ascii="Times New Roman" w:hAnsi="Times New Roman" w:cs="Times New Roman"/>
          <w:sz w:val="24"/>
          <w:szCs w:val="24"/>
        </w:rPr>
        <w:t xml:space="preserve">, Dan Shalmon, Michael Martin, </w:t>
      </w:r>
      <w:r w:rsidR="00532B0F">
        <w:rPr>
          <w:rFonts w:ascii="Times New Roman" w:hAnsi="Times New Roman" w:cs="Times New Roman"/>
          <w:sz w:val="24"/>
          <w:szCs w:val="24"/>
        </w:rPr>
        <w:t>Emilio Soto</w:t>
      </w:r>
      <w:r w:rsidRPr="00CF2660">
        <w:rPr>
          <w:rFonts w:ascii="Times New Roman" w:hAnsi="Times New Roman" w:cs="Times New Roman"/>
          <w:sz w:val="24"/>
          <w:szCs w:val="24"/>
        </w:rPr>
        <w:t>. 2024. "Cline Center Coup d’État Project Dataset Codebook.</w:t>
      </w:r>
      <w:r w:rsidR="00371724">
        <w:rPr>
          <w:rFonts w:ascii="Times New Roman" w:hAnsi="Times New Roman" w:cs="Times New Roman"/>
          <w:sz w:val="24"/>
          <w:szCs w:val="24"/>
        </w:rPr>
        <w:t>”</w:t>
      </w:r>
      <w:r w:rsidRPr="00CF2660">
        <w:rPr>
          <w:rFonts w:ascii="Times New Roman" w:hAnsi="Times New Roman" w:cs="Times New Roman"/>
          <w:sz w:val="24"/>
          <w:szCs w:val="24"/>
        </w:rPr>
        <w:t>.</w:t>
      </w:r>
      <w:r w:rsidR="00371724">
        <w:rPr>
          <w:rFonts w:ascii="Times New Roman" w:hAnsi="Times New Roman" w:cs="Times New Roman"/>
          <w:sz w:val="24"/>
          <w:szCs w:val="24"/>
        </w:rPr>
        <w:t xml:space="preserve"> </w:t>
      </w:r>
      <w:r w:rsidRPr="00371724">
        <w:rPr>
          <w:rFonts w:ascii="Times New Roman" w:hAnsi="Times New Roman" w:cs="Times New Roman"/>
          <w:i/>
          <w:iCs/>
          <w:sz w:val="24"/>
          <w:szCs w:val="24"/>
        </w:rPr>
        <w:t>Codebook Version 2.1.3</w:t>
      </w:r>
      <w:r w:rsidRPr="00CF2660">
        <w:rPr>
          <w:rFonts w:ascii="Times New Roman" w:hAnsi="Times New Roman" w:cs="Times New Roman"/>
          <w:sz w:val="24"/>
          <w:szCs w:val="24"/>
        </w:rPr>
        <w:t>. University of Illinois Urbana-Champaign.</w:t>
      </w:r>
    </w:p>
    <w:p w14:paraId="58FE5D55"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Brooks, Risa, and Peter B. White. 2022. "Oust the Leader, Keep the Regime? Autocratic Civil-Military Relations and Coup Behavior in the Tunisian and Egyptian Militaries during the 2011 Arab Spring." </w:t>
      </w:r>
      <w:r w:rsidRPr="00CF2660">
        <w:rPr>
          <w:rFonts w:ascii="Times New Roman" w:hAnsi="Times New Roman" w:cs="Times New Roman"/>
          <w:i/>
          <w:iCs/>
          <w:sz w:val="24"/>
          <w:szCs w:val="24"/>
        </w:rPr>
        <w:t>Security Studies</w:t>
      </w:r>
      <w:r w:rsidRPr="00CF2660">
        <w:rPr>
          <w:rFonts w:ascii="Times New Roman" w:hAnsi="Times New Roman" w:cs="Times New Roman"/>
          <w:sz w:val="24"/>
          <w:szCs w:val="24"/>
        </w:rPr>
        <w:t xml:space="preserve"> 31(1): 118–151.</w:t>
      </w:r>
    </w:p>
    <w:p w14:paraId="314F6497" w14:textId="4978BC85"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lastRenderedPageBreak/>
        <w:t>Brown, C</w:t>
      </w:r>
      <w:r w:rsidR="002D42F7">
        <w:rPr>
          <w:rFonts w:ascii="Times New Roman" w:hAnsi="Times New Roman" w:cs="Times New Roman"/>
          <w:sz w:val="24"/>
          <w:szCs w:val="24"/>
        </w:rPr>
        <w:t>ameron</w:t>
      </w:r>
      <w:r w:rsidRPr="00CF2660">
        <w:rPr>
          <w:rFonts w:ascii="Times New Roman" w:hAnsi="Times New Roman" w:cs="Times New Roman"/>
          <w:sz w:val="24"/>
          <w:szCs w:val="24"/>
        </w:rPr>
        <w:t xml:space="preserve"> S., Christopher J. Fariss, and R. Blake McMahon. 2016. "Recouping after Coup-Proofing: Compromised Military Effectiveness and Strategic Substitution." </w:t>
      </w:r>
      <w:r w:rsidRPr="00CF2660">
        <w:rPr>
          <w:rFonts w:ascii="Times New Roman" w:hAnsi="Times New Roman" w:cs="Times New Roman"/>
          <w:i/>
          <w:iCs/>
          <w:sz w:val="24"/>
          <w:szCs w:val="24"/>
        </w:rPr>
        <w:t>International Interactions</w:t>
      </w:r>
      <w:r w:rsidRPr="00CF2660">
        <w:rPr>
          <w:rFonts w:ascii="Times New Roman" w:hAnsi="Times New Roman" w:cs="Times New Roman"/>
          <w:sz w:val="24"/>
          <w:szCs w:val="24"/>
        </w:rPr>
        <w:t xml:space="preserve"> 42(1): 1–30.</w:t>
      </w:r>
    </w:p>
    <w:p w14:paraId="4DD2BF1C"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Bueno de Mesquita, Bruce, Alastair Smith, Randolph M. Siverson, and James D. Morrow. 2003. </w:t>
      </w:r>
      <w:r w:rsidRPr="00CF2660">
        <w:rPr>
          <w:rFonts w:ascii="Times New Roman" w:hAnsi="Times New Roman" w:cs="Times New Roman"/>
          <w:i/>
          <w:iCs/>
          <w:sz w:val="24"/>
          <w:szCs w:val="24"/>
        </w:rPr>
        <w:t>The Logic of Political Survival.</w:t>
      </w:r>
      <w:r w:rsidRPr="00CF2660">
        <w:rPr>
          <w:rFonts w:ascii="Times New Roman" w:hAnsi="Times New Roman" w:cs="Times New Roman"/>
          <w:sz w:val="24"/>
          <w:szCs w:val="24"/>
        </w:rPr>
        <w:t xml:space="preserve"> Cambridge, MA: MIT Press.</w:t>
      </w:r>
    </w:p>
    <w:p w14:paraId="28FA6F3D"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Chacha, Mwita, and Jonathan Powell. 2018. "Economic Interdependence and Post-Coup Democratization." </w:t>
      </w:r>
      <w:r w:rsidRPr="00CF2660">
        <w:rPr>
          <w:rFonts w:ascii="Times New Roman" w:hAnsi="Times New Roman" w:cs="Times New Roman"/>
          <w:i/>
          <w:iCs/>
          <w:sz w:val="24"/>
          <w:szCs w:val="24"/>
        </w:rPr>
        <w:t>Democratization</w:t>
      </w:r>
      <w:r w:rsidRPr="00CF2660">
        <w:rPr>
          <w:rFonts w:ascii="Times New Roman" w:hAnsi="Times New Roman" w:cs="Times New Roman"/>
          <w:sz w:val="24"/>
          <w:szCs w:val="24"/>
        </w:rPr>
        <w:t xml:space="preserve"> 24(5): 819–838.</w:t>
      </w:r>
    </w:p>
    <w:p w14:paraId="2A8A3760" w14:textId="5F5E3324"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Chin, J</w:t>
      </w:r>
      <w:r w:rsidR="00AD4CF2">
        <w:rPr>
          <w:rFonts w:ascii="Times New Roman" w:hAnsi="Times New Roman" w:cs="Times New Roman"/>
          <w:sz w:val="24"/>
          <w:szCs w:val="24"/>
        </w:rPr>
        <w:t xml:space="preserve">ohn </w:t>
      </w:r>
      <w:r w:rsidRPr="00CF2660">
        <w:rPr>
          <w:rFonts w:ascii="Times New Roman" w:hAnsi="Times New Roman" w:cs="Times New Roman"/>
          <w:sz w:val="24"/>
          <w:szCs w:val="24"/>
        </w:rPr>
        <w:t xml:space="preserve">J., David B. Carter, and Joseph G. Wright. 2021a. "The Varieties of Coups d’État: Introducing the Colpus Dataset." </w:t>
      </w:r>
      <w:r w:rsidRPr="00CF2660">
        <w:rPr>
          <w:rFonts w:ascii="Times New Roman" w:hAnsi="Times New Roman" w:cs="Times New Roman"/>
          <w:i/>
          <w:iCs/>
          <w:sz w:val="24"/>
          <w:szCs w:val="24"/>
        </w:rPr>
        <w:t>International Studies Quarterly</w:t>
      </w:r>
      <w:r w:rsidRPr="00CF2660">
        <w:rPr>
          <w:rFonts w:ascii="Times New Roman" w:hAnsi="Times New Roman" w:cs="Times New Roman"/>
          <w:sz w:val="24"/>
          <w:szCs w:val="24"/>
        </w:rPr>
        <w:t xml:space="preserve"> 65(4): 1040–51.</w:t>
      </w:r>
    </w:p>
    <w:p w14:paraId="137B2AE8"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Cunningham, Scott. 2021. </w:t>
      </w:r>
      <w:r w:rsidRPr="00CF2660">
        <w:rPr>
          <w:rFonts w:ascii="Times New Roman" w:hAnsi="Times New Roman" w:cs="Times New Roman"/>
          <w:i/>
          <w:iCs/>
          <w:sz w:val="24"/>
          <w:szCs w:val="24"/>
        </w:rPr>
        <w:t>Causal Inference: The Mixtape.</w:t>
      </w:r>
      <w:r w:rsidRPr="00CF2660">
        <w:rPr>
          <w:rFonts w:ascii="Times New Roman" w:hAnsi="Times New Roman" w:cs="Times New Roman"/>
          <w:sz w:val="24"/>
          <w:szCs w:val="24"/>
        </w:rPr>
        <w:t xml:space="preserve"> New Haven, CT: Yale University Press.</w:t>
      </w:r>
    </w:p>
    <w:p w14:paraId="7729AF44"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Dettmer, Jamie. 2016. "Erdogan Launches Crackdown after Failed Coup in Turkey." </w:t>
      </w:r>
      <w:r w:rsidRPr="00CF2660">
        <w:rPr>
          <w:rFonts w:ascii="Times New Roman" w:hAnsi="Times New Roman" w:cs="Times New Roman"/>
          <w:i/>
          <w:iCs/>
          <w:sz w:val="24"/>
          <w:szCs w:val="24"/>
        </w:rPr>
        <w:t>Voice of America</w:t>
      </w:r>
      <w:r w:rsidRPr="00CF2660">
        <w:rPr>
          <w:rFonts w:ascii="Times New Roman" w:hAnsi="Times New Roman" w:cs="Times New Roman"/>
          <w:sz w:val="24"/>
          <w:szCs w:val="24"/>
        </w:rPr>
        <w:t xml:space="preserve">, July 16, 2016. </w:t>
      </w:r>
      <w:hyperlink r:id="rId18" w:tgtFrame="_new" w:history="1">
        <w:r w:rsidRPr="00CF2660">
          <w:rPr>
            <w:rStyle w:val="Hyperlink"/>
            <w:rFonts w:ascii="Times New Roman" w:hAnsi="Times New Roman" w:cs="Times New Roman"/>
            <w:sz w:val="24"/>
            <w:szCs w:val="24"/>
          </w:rPr>
          <w:t>https://www.voanews.com/a/erdogan-launches-crackdown-after-failed-coup-in-turkey/3421297.html</w:t>
        </w:r>
      </w:hyperlink>
      <w:r w:rsidRPr="00CF2660">
        <w:rPr>
          <w:rFonts w:ascii="Times New Roman" w:hAnsi="Times New Roman" w:cs="Times New Roman"/>
          <w:sz w:val="24"/>
          <w:szCs w:val="24"/>
        </w:rPr>
        <w:t>.</w:t>
      </w:r>
    </w:p>
    <w:p w14:paraId="1535AB42"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De Bruin, Erica. 2018. "Preventing Coups d’État: How Counterbalancing Works." </w:t>
      </w:r>
      <w:r w:rsidRPr="00CF2660">
        <w:rPr>
          <w:rFonts w:ascii="Times New Roman" w:hAnsi="Times New Roman" w:cs="Times New Roman"/>
          <w:i/>
          <w:iCs/>
          <w:sz w:val="24"/>
          <w:szCs w:val="24"/>
        </w:rPr>
        <w:t>Journal of Conflict Resolution</w:t>
      </w:r>
      <w:r w:rsidRPr="00CF2660">
        <w:rPr>
          <w:rFonts w:ascii="Times New Roman" w:hAnsi="Times New Roman" w:cs="Times New Roman"/>
          <w:sz w:val="24"/>
          <w:szCs w:val="24"/>
        </w:rPr>
        <w:t xml:space="preserve"> 62(7): 1433–1458.</w:t>
      </w:r>
    </w:p>
    <w:p w14:paraId="46F7B7A7"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De Bruin, Erica. 2020. </w:t>
      </w:r>
      <w:r w:rsidRPr="00CF2660">
        <w:rPr>
          <w:rFonts w:ascii="Times New Roman" w:hAnsi="Times New Roman" w:cs="Times New Roman"/>
          <w:i/>
          <w:iCs/>
          <w:sz w:val="24"/>
          <w:szCs w:val="24"/>
        </w:rPr>
        <w:t>Preventing Coups d’État: How Counterbalancing Works.</w:t>
      </w:r>
      <w:r w:rsidRPr="00CF2660">
        <w:rPr>
          <w:rFonts w:ascii="Times New Roman" w:hAnsi="Times New Roman" w:cs="Times New Roman"/>
          <w:sz w:val="24"/>
          <w:szCs w:val="24"/>
        </w:rPr>
        <w:t xml:space="preserve"> Ithaca, NY: Cornell University Press.</w:t>
      </w:r>
    </w:p>
    <w:p w14:paraId="284D4FBF" w14:textId="77777777" w:rsid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De Bruin, Erica. 2021. "Mapping Coercive Institutions: The State Security Forces Dataset, 1960–2010." </w:t>
      </w:r>
      <w:r w:rsidRPr="00CF2660">
        <w:rPr>
          <w:rFonts w:ascii="Times New Roman" w:hAnsi="Times New Roman" w:cs="Times New Roman"/>
          <w:i/>
          <w:iCs/>
          <w:sz w:val="24"/>
          <w:szCs w:val="24"/>
        </w:rPr>
        <w:t>Journal of Peace Research</w:t>
      </w:r>
      <w:r w:rsidRPr="00CF2660">
        <w:rPr>
          <w:rFonts w:ascii="Times New Roman" w:hAnsi="Times New Roman" w:cs="Times New Roman"/>
          <w:sz w:val="24"/>
          <w:szCs w:val="24"/>
        </w:rPr>
        <w:t xml:space="preserve"> 58(2): 315–325.</w:t>
      </w:r>
    </w:p>
    <w:p w14:paraId="27240F21" w14:textId="6CC14F72" w:rsidR="002C2E33" w:rsidRPr="00C90AB2" w:rsidRDefault="002C2E33" w:rsidP="002C2E33">
      <w:pPr>
        <w:ind w:left="720" w:hanging="720"/>
        <w:rPr>
          <w:rFonts w:ascii="Times New Roman" w:hAnsi="Times New Roman" w:cs="Times New Roman"/>
          <w:sz w:val="24"/>
          <w:szCs w:val="24"/>
        </w:rPr>
      </w:pPr>
      <w:r w:rsidRPr="002C2E33">
        <w:rPr>
          <w:rFonts w:ascii="Times New Roman" w:hAnsi="Times New Roman" w:cs="Times New Roman"/>
          <w:sz w:val="24"/>
          <w:szCs w:val="24"/>
        </w:rPr>
        <w:t xml:space="preserve">Duzor Megan, and Brian Williamson. 2023. “Coups in Africa.” </w:t>
      </w:r>
      <w:r w:rsidRPr="002C2E33">
        <w:rPr>
          <w:rFonts w:ascii="Times New Roman" w:hAnsi="Times New Roman" w:cs="Times New Roman"/>
          <w:i/>
          <w:iCs/>
          <w:sz w:val="24"/>
          <w:szCs w:val="24"/>
        </w:rPr>
        <w:t>Voice of America</w:t>
      </w:r>
      <w:r w:rsidRPr="002C2E33">
        <w:rPr>
          <w:rFonts w:ascii="Times New Roman" w:hAnsi="Times New Roman" w:cs="Times New Roman"/>
          <w:sz w:val="24"/>
          <w:szCs w:val="24"/>
        </w:rPr>
        <w:t>.</w:t>
      </w:r>
      <w:r w:rsidR="00803446">
        <w:rPr>
          <w:rFonts w:ascii="Times New Roman" w:hAnsi="Times New Roman" w:cs="Times New Roman"/>
          <w:sz w:val="24"/>
          <w:szCs w:val="24"/>
        </w:rPr>
        <w:t xml:space="preserve"> </w:t>
      </w:r>
      <w:r w:rsidR="00AC1DC5">
        <w:rPr>
          <w:rFonts w:ascii="Times New Roman" w:hAnsi="Times New Roman" w:cs="Times New Roman"/>
          <w:sz w:val="24"/>
          <w:szCs w:val="24"/>
        </w:rPr>
        <w:t>October</w:t>
      </w:r>
      <w:r w:rsidRPr="002C2E33">
        <w:rPr>
          <w:rFonts w:ascii="Times New Roman" w:hAnsi="Times New Roman" w:cs="Times New Roman"/>
          <w:sz w:val="24"/>
          <w:szCs w:val="24"/>
        </w:rPr>
        <w:t xml:space="preserve"> </w:t>
      </w:r>
      <w:r w:rsidR="001D1269">
        <w:rPr>
          <w:rFonts w:ascii="Times New Roman" w:hAnsi="Times New Roman" w:cs="Times New Roman"/>
          <w:sz w:val="24"/>
          <w:szCs w:val="24"/>
        </w:rPr>
        <w:t>3</w:t>
      </w:r>
      <w:r w:rsidRPr="002C2E33">
        <w:rPr>
          <w:rFonts w:ascii="Times New Roman" w:hAnsi="Times New Roman" w:cs="Times New Roman"/>
          <w:sz w:val="24"/>
          <w:szCs w:val="24"/>
        </w:rPr>
        <w:t>, 202</w:t>
      </w:r>
      <w:r w:rsidR="001D1269">
        <w:rPr>
          <w:rFonts w:ascii="Times New Roman" w:hAnsi="Times New Roman" w:cs="Times New Roman"/>
          <w:sz w:val="24"/>
          <w:szCs w:val="24"/>
        </w:rPr>
        <w:t>3</w:t>
      </w:r>
      <w:r w:rsidRPr="002C2E33">
        <w:rPr>
          <w:rFonts w:ascii="Times New Roman" w:hAnsi="Times New Roman" w:cs="Times New Roman"/>
          <w:sz w:val="24"/>
          <w:szCs w:val="24"/>
        </w:rPr>
        <w:t xml:space="preserve">. </w:t>
      </w:r>
      <w:hyperlink r:id="rId19" w:tgtFrame="_new" w:history="1">
        <w:r w:rsidRPr="002C2E33">
          <w:rPr>
            <w:rStyle w:val="Hyperlink"/>
            <w:rFonts w:ascii="Times New Roman" w:hAnsi="Times New Roman" w:cs="Times New Roman"/>
            <w:sz w:val="24"/>
            <w:szCs w:val="24"/>
          </w:rPr>
          <w:t>https://projects.voanews.com/african-coups/</w:t>
        </w:r>
      </w:hyperlink>
      <w:r w:rsidRPr="002C2E33">
        <w:rPr>
          <w:rFonts w:ascii="Times New Roman" w:hAnsi="Times New Roman" w:cs="Times New Roman"/>
          <w:sz w:val="24"/>
          <w:szCs w:val="24"/>
        </w:rPr>
        <w:t>.</w:t>
      </w:r>
    </w:p>
    <w:p w14:paraId="38F91034" w14:textId="5992FD74"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Easton, M</w:t>
      </w:r>
      <w:r w:rsidR="001D1269">
        <w:rPr>
          <w:rFonts w:ascii="Times New Roman" w:hAnsi="Times New Roman" w:cs="Times New Roman"/>
          <w:sz w:val="24"/>
          <w:szCs w:val="24"/>
        </w:rPr>
        <w:t xml:space="preserve">alcom </w:t>
      </w:r>
      <w:r w:rsidRPr="00CF2660">
        <w:rPr>
          <w:rFonts w:ascii="Times New Roman" w:hAnsi="Times New Roman" w:cs="Times New Roman"/>
          <w:sz w:val="24"/>
          <w:szCs w:val="24"/>
        </w:rPr>
        <w:t xml:space="preserve">R., and Randolph M. Siverson. 2018. "Leader Survival and Purges after a Failed Coup d’État." </w:t>
      </w:r>
      <w:r w:rsidRPr="00CF2660">
        <w:rPr>
          <w:rFonts w:ascii="Times New Roman" w:hAnsi="Times New Roman" w:cs="Times New Roman"/>
          <w:i/>
          <w:iCs/>
          <w:sz w:val="24"/>
          <w:szCs w:val="24"/>
        </w:rPr>
        <w:t>Journal of Peace Research</w:t>
      </w:r>
      <w:r w:rsidRPr="00CF2660">
        <w:rPr>
          <w:rFonts w:ascii="Times New Roman" w:hAnsi="Times New Roman" w:cs="Times New Roman"/>
          <w:sz w:val="24"/>
          <w:szCs w:val="24"/>
        </w:rPr>
        <w:t xml:space="preserve"> 55(5): 596–608.</w:t>
      </w:r>
    </w:p>
    <w:p w14:paraId="45EF6F1C"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Erdağ, Ramazan. 2019. "After the Failed Military Coup: The Need for Organizational Reform in the Turkish Military." </w:t>
      </w:r>
      <w:r w:rsidRPr="00CF2660">
        <w:rPr>
          <w:rFonts w:ascii="Times New Roman" w:hAnsi="Times New Roman" w:cs="Times New Roman"/>
          <w:i/>
          <w:iCs/>
          <w:sz w:val="24"/>
          <w:szCs w:val="24"/>
        </w:rPr>
        <w:t>Ali Azimuth</w:t>
      </w:r>
      <w:r w:rsidRPr="00CF2660">
        <w:rPr>
          <w:rFonts w:ascii="Times New Roman" w:hAnsi="Times New Roman" w:cs="Times New Roman"/>
          <w:sz w:val="24"/>
          <w:szCs w:val="24"/>
        </w:rPr>
        <w:t xml:space="preserve"> 8(1): 55–68.</w:t>
      </w:r>
    </w:p>
    <w:p w14:paraId="0D86654F"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Escribà-Folch, Abel, Tobias Böhmelt, and Ulrich Pilster. 2020. "Authoritarian Regimes and Civil–Military Relations: Explaining Counterbalancing in Autocracies." </w:t>
      </w:r>
      <w:r w:rsidRPr="00CF2660">
        <w:rPr>
          <w:rFonts w:ascii="Times New Roman" w:hAnsi="Times New Roman" w:cs="Times New Roman"/>
          <w:i/>
          <w:iCs/>
          <w:sz w:val="24"/>
          <w:szCs w:val="24"/>
        </w:rPr>
        <w:t>Conflict Management and Peace Science</w:t>
      </w:r>
      <w:r w:rsidRPr="00CF2660">
        <w:rPr>
          <w:rFonts w:ascii="Times New Roman" w:hAnsi="Times New Roman" w:cs="Times New Roman"/>
          <w:sz w:val="24"/>
          <w:szCs w:val="24"/>
        </w:rPr>
        <w:t xml:space="preserve"> 37(5): 559–579.</w:t>
      </w:r>
    </w:p>
    <w:p w14:paraId="77E93CE5" w14:textId="263C2C60"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Frazer, </w:t>
      </w:r>
      <w:r w:rsidR="002F5A51">
        <w:rPr>
          <w:rFonts w:ascii="Times New Roman" w:hAnsi="Times New Roman" w:cs="Times New Roman"/>
          <w:sz w:val="24"/>
          <w:szCs w:val="24"/>
        </w:rPr>
        <w:t>Jendayi</w:t>
      </w:r>
      <w:r w:rsidR="00066652">
        <w:rPr>
          <w:rFonts w:ascii="Times New Roman" w:hAnsi="Times New Roman" w:cs="Times New Roman"/>
          <w:sz w:val="24"/>
          <w:szCs w:val="24"/>
        </w:rPr>
        <w:t xml:space="preserve"> E</w:t>
      </w:r>
      <w:r w:rsidRPr="00CF2660">
        <w:rPr>
          <w:rFonts w:ascii="Times New Roman" w:hAnsi="Times New Roman" w:cs="Times New Roman"/>
          <w:sz w:val="24"/>
          <w:szCs w:val="24"/>
        </w:rPr>
        <w:t xml:space="preserve">. 1994. </w:t>
      </w:r>
      <w:r w:rsidRPr="00CF2660">
        <w:rPr>
          <w:rFonts w:ascii="Times New Roman" w:hAnsi="Times New Roman" w:cs="Times New Roman"/>
          <w:i/>
          <w:iCs/>
          <w:sz w:val="24"/>
          <w:szCs w:val="24"/>
        </w:rPr>
        <w:t>Sustaining Civilian Control: Armed Counterweights in Regime Stability in Africa.</w:t>
      </w:r>
      <w:r w:rsidRPr="00CF2660">
        <w:rPr>
          <w:rFonts w:ascii="Times New Roman" w:hAnsi="Times New Roman" w:cs="Times New Roman"/>
          <w:sz w:val="24"/>
          <w:szCs w:val="24"/>
        </w:rPr>
        <w:t xml:space="preserve"> Doctoral Dissertation, Stanford University. </w:t>
      </w:r>
      <w:hyperlink r:id="rId20" w:tgtFrame="_new" w:history="1">
        <w:r w:rsidRPr="00CF2660">
          <w:rPr>
            <w:rStyle w:val="Hyperlink"/>
            <w:rFonts w:ascii="Times New Roman" w:hAnsi="Times New Roman" w:cs="Times New Roman"/>
            <w:sz w:val="24"/>
            <w:szCs w:val="24"/>
          </w:rPr>
          <w:t>https://searchworks.stanford.edu/view/2861834</w:t>
        </w:r>
      </w:hyperlink>
      <w:r w:rsidRPr="00CF2660">
        <w:rPr>
          <w:rFonts w:ascii="Times New Roman" w:hAnsi="Times New Roman" w:cs="Times New Roman"/>
          <w:sz w:val="24"/>
          <w:szCs w:val="24"/>
        </w:rPr>
        <w:t>.</w:t>
      </w:r>
    </w:p>
    <w:p w14:paraId="49D21C0B" w14:textId="1C42F2B9"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Gardner, Jo</w:t>
      </w:r>
      <w:r w:rsidR="00066652">
        <w:rPr>
          <w:rFonts w:ascii="Times New Roman" w:hAnsi="Times New Roman" w:cs="Times New Roman"/>
          <w:sz w:val="24"/>
          <w:szCs w:val="24"/>
        </w:rPr>
        <w:t>hn</w:t>
      </w:r>
      <w:r w:rsidRPr="00CF2660">
        <w:rPr>
          <w:rFonts w:ascii="Times New Roman" w:hAnsi="Times New Roman" w:cs="Times New Roman"/>
          <w:sz w:val="24"/>
          <w:szCs w:val="24"/>
        </w:rPr>
        <w:t xml:space="preserve">. 2021. "Two-Stage Differences in Differences." Working Papers 2203.05943. </w:t>
      </w:r>
      <w:hyperlink r:id="rId21" w:tgtFrame="_new" w:history="1">
        <w:r w:rsidRPr="00CF2660">
          <w:rPr>
            <w:rStyle w:val="Hyperlink"/>
            <w:rFonts w:ascii="Times New Roman" w:hAnsi="Times New Roman" w:cs="Times New Roman"/>
            <w:sz w:val="24"/>
            <w:szCs w:val="24"/>
          </w:rPr>
          <w:t>https://jrgcmu.github.io/2sdd_current.pdf</w:t>
        </w:r>
      </w:hyperlink>
      <w:r w:rsidRPr="00CF2660">
        <w:rPr>
          <w:rFonts w:ascii="Times New Roman" w:hAnsi="Times New Roman" w:cs="Times New Roman"/>
          <w:sz w:val="24"/>
          <w:szCs w:val="24"/>
        </w:rPr>
        <w:t>.</w:t>
      </w:r>
    </w:p>
    <w:p w14:paraId="1C8ABFC5"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lastRenderedPageBreak/>
        <w:t xml:space="preserve">Gassebner, Martin, Jerg Gutmann, and Stefan Voigt. 2016. "When to Expect a Coup d’État? An Extreme Bounds Analysis of Coup Determinants." </w:t>
      </w:r>
      <w:r w:rsidRPr="00CF2660">
        <w:rPr>
          <w:rFonts w:ascii="Times New Roman" w:hAnsi="Times New Roman" w:cs="Times New Roman"/>
          <w:i/>
          <w:iCs/>
          <w:sz w:val="24"/>
          <w:szCs w:val="24"/>
        </w:rPr>
        <w:t>Public Choice</w:t>
      </w:r>
      <w:r w:rsidRPr="00CF2660">
        <w:rPr>
          <w:rFonts w:ascii="Times New Roman" w:hAnsi="Times New Roman" w:cs="Times New Roman"/>
          <w:sz w:val="24"/>
          <w:szCs w:val="24"/>
        </w:rPr>
        <w:t xml:space="preserve"> 169(1): 293–313.</w:t>
      </w:r>
    </w:p>
    <w:p w14:paraId="25F4F3AA" w14:textId="77777777" w:rsidR="006C3A17" w:rsidRDefault="00C90AB2" w:rsidP="006C3A17">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Geddes, Barbara, Joseph Wright, and Erica Frantz. 2018. </w:t>
      </w:r>
      <w:r w:rsidRPr="00CF2660">
        <w:rPr>
          <w:rFonts w:ascii="Times New Roman" w:hAnsi="Times New Roman" w:cs="Times New Roman"/>
          <w:i/>
          <w:iCs/>
          <w:sz w:val="24"/>
          <w:szCs w:val="24"/>
        </w:rPr>
        <w:t>How Dictatorships Work: Power, Personalization, and Collapse.</w:t>
      </w:r>
      <w:r w:rsidRPr="00CF2660">
        <w:rPr>
          <w:rFonts w:ascii="Times New Roman" w:hAnsi="Times New Roman" w:cs="Times New Roman"/>
          <w:sz w:val="24"/>
          <w:szCs w:val="24"/>
        </w:rPr>
        <w:t xml:space="preserve"> New York: Cambridge University Press.</w:t>
      </w:r>
    </w:p>
    <w:p w14:paraId="51CF1CB7"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Gomila, Robin. 2021. "Logistic or Linear? Estimating Causal Effects of Experimental Treatments on Binary Outcomes Using Regression Analysis." </w:t>
      </w:r>
      <w:r w:rsidRPr="00CF2660">
        <w:rPr>
          <w:rFonts w:ascii="Times New Roman" w:hAnsi="Times New Roman" w:cs="Times New Roman"/>
          <w:i/>
          <w:iCs/>
          <w:sz w:val="24"/>
          <w:szCs w:val="24"/>
        </w:rPr>
        <w:t>Journal of Experimental Psychology: General</w:t>
      </w:r>
      <w:r w:rsidRPr="00CF2660">
        <w:rPr>
          <w:rFonts w:ascii="Times New Roman" w:hAnsi="Times New Roman" w:cs="Times New Roman"/>
          <w:sz w:val="24"/>
          <w:szCs w:val="24"/>
        </w:rPr>
        <w:t xml:space="preserve"> 150(4): 700–709.</w:t>
      </w:r>
    </w:p>
    <w:p w14:paraId="118D7A91"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Goodman-Bacon, Andrew. 2021. "Difference-in-Differences with Variation in Treatment Timing." </w:t>
      </w:r>
      <w:r w:rsidRPr="00CF2660">
        <w:rPr>
          <w:rFonts w:ascii="Times New Roman" w:hAnsi="Times New Roman" w:cs="Times New Roman"/>
          <w:i/>
          <w:iCs/>
          <w:sz w:val="24"/>
          <w:szCs w:val="24"/>
        </w:rPr>
        <w:t>Journal of Econometrics</w:t>
      </w:r>
      <w:r w:rsidRPr="00CF2660">
        <w:rPr>
          <w:rFonts w:ascii="Times New Roman" w:hAnsi="Times New Roman" w:cs="Times New Roman"/>
          <w:sz w:val="24"/>
          <w:szCs w:val="24"/>
        </w:rPr>
        <w:t xml:space="preserve"> 225(2): 254–277.</w:t>
      </w:r>
    </w:p>
    <w:p w14:paraId="7BA3B73B"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Greitens, Sheena Chestnut. 2016. </w:t>
      </w:r>
      <w:r w:rsidRPr="00CF2660">
        <w:rPr>
          <w:rFonts w:ascii="Times New Roman" w:hAnsi="Times New Roman" w:cs="Times New Roman"/>
          <w:i/>
          <w:iCs/>
          <w:sz w:val="24"/>
          <w:szCs w:val="24"/>
        </w:rPr>
        <w:t>Dictators and Their Secret Police: Coercive Institutions and State Violence.</w:t>
      </w:r>
      <w:r w:rsidRPr="00CF2660">
        <w:rPr>
          <w:rFonts w:ascii="Times New Roman" w:hAnsi="Times New Roman" w:cs="Times New Roman"/>
          <w:sz w:val="24"/>
          <w:szCs w:val="24"/>
        </w:rPr>
        <w:t xml:space="preserve"> Cambridge: Cambridge University Press.</w:t>
      </w:r>
    </w:p>
    <w:p w14:paraId="52B9593B"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Harkness, Kristen A. 2018. </w:t>
      </w:r>
      <w:r w:rsidRPr="00CF2660">
        <w:rPr>
          <w:rFonts w:ascii="Times New Roman" w:hAnsi="Times New Roman" w:cs="Times New Roman"/>
          <w:i/>
          <w:iCs/>
          <w:sz w:val="24"/>
          <w:szCs w:val="24"/>
        </w:rPr>
        <w:t>When Soldiers Rebel: Ethnic Armies and Political Instability in Africa.</w:t>
      </w:r>
      <w:r w:rsidRPr="00CF2660">
        <w:rPr>
          <w:rFonts w:ascii="Times New Roman" w:hAnsi="Times New Roman" w:cs="Times New Roman"/>
          <w:sz w:val="24"/>
          <w:szCs w:val="24"/>
        </w:rPr>
        <w:t xml:space="preserve"> New York: Cambridge University Press.</w:t>
      </w:r>
    </w:p>
    <w:p w14:paraId="2BA0FD95"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Harris, David J. 2014. </w:t>
      </w:r>
      <w:r w:rsidRPr="00CF2660">
        <w:rPr>
          <w:rFonts w:ascii="Times New Roman" w:hAnsi="Times New Roman" w:cs="Times New Roman"/>
          <w:i/>
          <w:iCs/>
          <w:sz w:val="24"/>
          <w:szCs w:val="24"/>
        </w:rPr>
        <w:t>Sierra Leone: A Political History.</w:t>
      </w:r>
      <w:r w:rsidRPr="00CF2660">
        <w:rPr>
          <w:rFonts w:ascii="Times New Roman" w:hAnsi="Times New Roman" w:cs="Times New Roman"/>
          <w:sz w:val="24"/>
          <w:szCs w:val="24"/>
        </w:rPr>
        <w:t xml:space="preserve"> New York: Oxford University Press.</w:t>
      </w:r>
    </w:p>
    <w:p w14:paraId="5A2D0C1A"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Higgot, Richard, and Finn Fuglestad. 1975. "The 1974 Coup d'État in Niger: Towards an Explanation." </w:t>
      </w:r>
      <w:r w:rsidRPr="00CF2660">
        <w:rPr>
          <w:rFonts w:ascii="Times New Roman" w:hAnsi="Times New Roman" w:cs="Times New Roman"/>
          <w:i/>
          <w:iCs/>
          <w:sz w:val="24"/>
          <w:szCs w:val="24"/>
        </w:rPr>
        <w:t>The Journal of Modern African Studies</w:t>
      </w:r>
      <w:r w:rsidRPr="00CF2660">
        <w:rPr>
          <w:rFonts w:ascii="Times New Roman" w:hAnsi="Times New Roman" w:cs="Times New Roman"/>
          <w:sz w:val="24"/>
          <w:szCs w:val="24"/>
        </w:rPr>
        <w:t xml:space="preserve"> 13(3): 383–398.</w:t>
      </w:r>
    </w:p>
    <w:p w14:paraId="0D362C85"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Horowitz, Donald L. 1985. </w:t>
      </w:r>
      <w:r w:rsidRPr="00CF2660">
        <w:rPr>
          <w:rFonts w:ascii="Times New Roman" w:hAnsi="Times New Roman" w:cs="Times New Roman"/>
          <w:i/>
          <w:iCs/>
          <w:sz w:val="24"/>
          <w:szCs w:val="24"/>
        </w:rPr>
        <w:t>Ethnic Groups in Conflict.</w:t>
      </w:r>
      <w:r w:rsidRPr="00CF2660">
        <w:rPr>
          <w:rFonts w:ascii="Times New Roman" w:hAnsi="Times New Roman" w:cs="Times New Roman"/>
          <w:sz w:val="24"/>
          <w:szCs w:val="24"/>
        </w:rPr>
        <w:t xml:space="preserve"> Berkeley: University of California Press.</w:t>
      </w:r>
    </w:p>
    <w:p w14:paraId="7256B372" w14:textId="2F58FB1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Kaynar, </w:t>
      </w:r>
      <w:r w:rsidR="00C12A21" w:rsidRPr="00C12A21">
        <w:rPr>
          <w:rFonts w:ascii="Times New Roman" w:hAnsi="Times New Roman" w:cs="Times New Roman"/>
          <w:sz w:val="24"/>
          <w:szCs w:val="24"/>
        </w:rPr>
        <w:t>Ayşegül K</w:t>
      </w:r>
      <w:r w:rsidRPr="00CF2660">
        <w:rPr>
          <w:rFonts w:ascii="Times New Roman" w:hAnsi="Times New Roman" w:cs="Times New Roman"/>
          <w:sz w:val="24"/>
          <w:szCs w:val="24"/>
        </w:rPr>
        <w:t xml:space="preserve">. 2022a. "Post-2016 Military Restructuring in Turkey from the Perspective of Coup-Proofing." </w:t>
      </w:r>
      <w:r w:rsidRPr="00CF2660">
        <w:rPr>
          <w:rFonts w:ascii="Times New Roman" w:hAnsi="Times New Roman" w:cs="Times New Roman"/>
          <w:i/>
          <w:iCs/>
          <w:sz w:val="24"/>
          <w:szCs w:val="24"/>
        </w:rPr>
        <w:t>Turkish Studies</w:t>
      </w:r>
      <w:r w:rsidRPr="00CF2660">
        <w:rPr>
          <w:rFonts w:ascii="Times New Roman" w:hAnsi="Times New Roman" w:cs="Times New Roman"/>
          <w:sz w:val="24"/>
          <w:szCs w:val="24"/>
        </w:rPr>
        <w:t xml:space="preserve"> 23(3): 383–406.</w:t>
      </w:r>
    </w:p>
    <w:p w14:paraId="032F010C" w14:textId="65A7FA1F"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Kaynar, </w:t>
      </w:r>
      <w:r w:rsidR="00C12A21" w:rsidRPr="00C12A21">
        <w:rPr>
          <w:rFonts w:ascii="Times New Roman" w:hAnsi="Times New Roman" w:cs="Times New Roman"/>
          <w:sz w:val="24"/>
          <w:szCs w:val="24"/>
        </w:rPr>
        <w:t>Ayşegül K</w:t>
      </w:r>
      <w:r w:rsidRPr="00CF2660">
        <w:rPr>
          <w:rFonts w:ascii="Times New Roman" w:hAnsi="Times New Roman" w:cs="Times New Roman"/>
          <w:sz w:val="24"/>
          <w:szCs w:val="24"/>
        </w:rPr>
        <w:t xml:space="preserve">. 2022b. "The Last Two Decades of Civil-Military Relations in Turkey Under the Shadow of Courts." </w:t>
      </w:r>
      <w:r w:rsidRPr="00CF2660">
        <w:rPr>
          <w:rFonts w:ascii="Times New Roman" w:hAnsi="Times New Roman" w:cs="Times New Roman"/>
          <w:i/>
          <w:iCs/>
          <w:sz w:val="24"/>
          <w:szCs w:val="24"/>
        </w:rPr>
        <w:t>European Journal of Turkish Studies</w:t>
      </w:r>
      <w:r w:rsidRPr="00CF2660">
        <w:rPr>
          <w:rFonts w:ascii="Times New Roman" w:hAnsi="Times New Roman" w:cs="Times New Roman"/>
          <w:sz w:val="24"/>
          <w:szCs w:val="24"/>
        </w:rPr>
        <w:t xml:space="preserve"> 34(1).</w:t>
      </w:r>
    </w:p>
    <w:p w14:paraId="3D47DABD"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Krogstad, Erlend G. 2012. "Security, Development, and Force: Revisiting Police Reform in Sierra Leone." </w:t>
      </w:r>
      <w:r w:rsidRPr="00CF2660">
        <w:rPr>
          <w:rFonts w:ascii="Times New Roman" w:hAnsi="Times New Roman" w:cs="Times New Roman"/>
          <w:i/>
          <w:iCs/>
          <w:sz w:val="24"/>
          <w:szCs w:val="24"/>
        </w:rPr>
        <w:t>African Affairs</w:t>
      </w:r>
      <w:r w:rsidRPr="00CF2660">
        <w:rPr>
          <w:rFonts w:ascii="Times New Roman" w:hAnsi="Times New Roman" w:cs="Times New Roman"/>
          <w:sz w:val="24"/>
          <w:szCs w:val="24"/>
        </w:rPr>
        <w:t xml:space="preserve"> 111(443): 261–280.</w:t>
      </w:r>
    </w:p>
    <w:p w14:paraId="089F530B"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Kuehn, David. 2017. "Midwives or Gravediggers of Democracy? The Military’s Impact on Democratic Development." </w:t>
      </w:r>
      <w:r w:rsidRPr="00CF2660">
        <w:rPr>
          <w:rFonts w:ascii="Times New Roman" w:hAnsi="Times New Roman" w:cs="Times New Roman"/>
          <w:i/>
          <w:iCs/>
          <w:sz w:val="24"/>
          <w:szCs w:val="24"/>
        </w:rPr>
        <w:t>Democratization</w:t>
      </w:r>
      <w:r w:rsidRPr="00CF2660">
        <w:rPr>
          <w:rFonts w:ascii="Times New Roman" w:hAnsi="Times New Roman" w:cs="Times New Roman"/>
          <w:sz w:val="24"/>
          <w:szCs w:val="24"/>
        </w:rPr>
        <w:t xml:space="preserve"> 24(5): 783–800.</w:t>
      </w:r>
    </w:p>
    <w:p w14:paraId="634170F6" w14:textId="076C6C5C" w:rsidR="00C90AB2" w:rsidRPr="00C90AB2" w:rsidRDefault="00C90AB2" w:rsidP="00C90AB2">
      <w:pPr>
        <w:ind w:left="720" w:hanging="720"/>
        <w:rPr>
          <w:rFonts w:ascii="Times New Roman" w:hAnsi="Times New Roman" w:cs="Times New Roman"/>
          <w:sz w:val="24"/>
          <w:szCs w:val="24"/>
          <w:u w:val="single"/>
        </w:rPr>
      </w:pPr>
      <w:r w:rsidRPr="00CF2660">
        <w:rPr>
          <w:rFonts w:ascii="Times New Roman" w:hAnsi="Times New Roman" w:cs="Times New Roman"/>
          <w:sz w:val="24"/>
          <w:szCs w:val="24"/>
        </w:rPr>
        <w:t>Kutay, A</w:t>
      </w:r>
      <w:r w:rsidR="0079375C">
        <w:rPr>
          <w:rFonts w:ascii="Times New Roman" w:hAnsi="Times New Roman" w:cs="Times New Roman"/>
          <w:sz w:val="24"/>
          <w:szCs w:val="24"/>
        </w:rPr>
        <w:t>car</w:t>
      </w:r>
      <w:r w:rsidRPr="00CF2660">
        <w:rPr>
          <w:rFonts w:ascii="Times New Roman" w:hAnsi="Times New Roman" w:cs="Times New Roman"/>
          <w:sz w:val="24"/>
          <w:szCs w:val="24"/>
        </w:rPr>
        <w:t xml:space="preserve">. 2016. </w:t>
      </w:r>
      <w:r w:rsidRPr="00CF2660">
        <w:rPr>
          <w:rFonts w:ascii="Times New Roman" w:hAnsi="Times New Roman" w:cs="Times New Roman"/>
          <w:i/>
          <w:iCs/>
          <w:sz w:val="24"/>
          <w:szCs w:val="24"/>
        </w:rPr>
        <w:t>Civilian and Military Relations in Turkey: A Historical Survey.</w:t>
      </w:r>
      <w:r w:rsidRPr="00CF2660">
        <w:rPr>
          <w:rFonts w:ascii="Times New Roman" w:hAnsi="Times New Roman" w:cs="Times New Roman"/>
          <w:sz w:val="24"/>
          <w:szCs w:val="24"/>
        </w:rPr>
        <w:t xml:space="preserve"> Chr. Michelsen Institute (CMI Working Paper WP 2016:11). </w:t>
      </w:r>
      <w:hyperlink r:id="rId22" w:tgtFrame="_new" w:history="1">
        <w:r w:rsidRPr="00CF2660">
          <w:rPr>
            <w:rStyle w:val="Hyperlink"/>
            <w:rFonts w:ascii="Times New Roman" w:hAnsi="Times New Roman" w:cs="Times New Roman"/>
            <w:sz w:val="24"/>
            <w:szCs w:val="24"/>
          </w:rPr>
          <w:t>https://www.cmi.no/publications/6028-civilian-and-military-relations-in-turkey</w:t>
        </w:r>
      </w:hyperlink>
      <w:r w:rsidRPr="00CF2660">
        <w:rPr>
          <w:rFonts w:ascii="Times New Roman" w:hAnsi="Times New Roman" w:cs="Times New Roman"/>
          <w:sz w:val="24"/>
          <w:szCs w:val="24"/>
          <w:u w:val="single"/>
        </w:rPr>
        <w:t>.</w:t>
      </w:r>
    </w:p>
    <w:p w14:paraId="60976E66"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Lachapelle, Jean. 2020. "No Easy Way Out: The Effect of Military Coup on State Repression." </w:t>
      </w:r>
      <w:r w:rsidRPr="00CF2660">
        <w:rPr>
          <w:rFonts w:ascii="Times New Roman" w:hAnsi="Times New Roman" w:cs="Times New Roman"/>
          <w:i/>
          <w:iCs/>
          <w:sz w:val="24"/>
          <w:szCs w:val="24"/>
        </w:rPr>
        <w:t>Journal of Politics</w:t>
      </w:r>
      <w:r w:rsidRPr="00CF2660">
        <w:rPr>
          <w:rFonts w:ascii="Times New Roman" w:hAnsi="Times New Roman" w:cs="Times New Roman"/>
          <w:sz w:val="24"/>
          <w:szCs w:val="24"/>
        </w:rPr>
        <w:t xml:space="preserve"> 82(4): 1354–1371.</w:t>
      </w:r>
    </w:p>
    <w:p w14:paraId="2C732183"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Londregan, John B., and Keith T. Poole. 1990. "Poverty, the Coup Trap, and the Seizure of Executive Power." </w:t>
      </w:r>
      <w:r w:rsidRPr="00CF2660">
        <w:rPr>
          <w:rFonts w:ascii="Times New Roman" w:hAnsi="Times New Roman" w:cs="Times New Roman"/>
          <w:i/>
          <w:iCs/>
          <w:sz w:val="24"/>
          <w:szCs w:val="24"/>
        </w:rPr>
        <w:t>World Politics</w:t>
      </w:r>
      <w:r w:rsidRPr="00CF2660">
        <w:rPr>
          <w:rFonts w:ascii="Times New Roman" w:hAnsi="Times New Roman" w:cs="Times New Roman"/>
          <w:sz w:val="24"/>
          <w:szCs w:val="24"/>
        </w:rPr>
        <w:t xml:space="preserve"> 42(2): 151–183.</w:t>
      </w:r>
    </w:p>
    <w:p w14:paraId="57D96BFD"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t xml:space="preserve">Luttwak, Edward N. 1979. </w:t>
      </w:r>
      <w:r w:rsidRPr="00CF2660">
        <w:rPr>
          <w:rFonts w:ascii="Times New Roman" w:hAnsi="Times New Roman" w:cs="Times New Roman"/>
          <w:i/>
          <w:iCs/>
          <w:sz w:val="24"/>
          <w:szCs w:val="24"/>
        </w:rPr>
        <w:t>Coup d'État: A Practical Handbook, Revised Edition.</w:t>
      </w:r>
      <w:r w:rsidRPr="00CF2660">
        <w:rPr>
          <w:rFonts w:ascii="Times New Roman" w:hAnsi="Times New Roman" w:cs="Times New Roman"/>
          <w:sz w:val="24"/>
          <w:szCs w:val="24"/>
        </w:rPr>
        <w:t xml:space="preserve"> Massachusetts: Harvard University Press.</w:t>
      </w:r>
    </w:p>
    <w:p w14:paraId="4B10BB1A" w14:textId="77777777" w:rsidR="00C90AB2" w:rsidRPr="00C90AB2" w:rsidRDefault="00C90AB2" w:rsidP="00C90AB2">
      <w:pPr>
        <w:ind w:left="720" w:hanging="720"/>
        <w:rPr>
          <w:rFonts w:ascii="Times New Roman" w:hAnsi="Times New Roman" w:cs="Times New Roman"/>
          <w:sz w:val="24"/>
          <w:szCs w:val="24"/>
        </w:rPr>
      </w:pPr>
      <w:r w:rsidRPr="00CF2660">
        <w:rPr>
          <w:rFonts w:ascii="Times New Roman" w:hAnsi="Times New Roman" w:cs="Times New Roman"/>
          <w:sz w:val="24"/>
          <w:szCs w:val="24"/>
        </w:rPr>
        <w:lastRenderedPageBreak/>
        <w:t xml:space="preserve">Mehrl, Mario, and Ioannis Choulis. 2021. "The Colonial Roots of Structural Coup-Proofing." </w:t>
      </w:r>
      <w:r w:rsidRPr="00CF2660">
        <w:rPr>
          <w:rFonts w:ascii="Times New Roman" w:hAnsi="Times New Roman" w:cs="Times New Roman"/>
          <w:i/>
          <w:iCs/>
          <w:sz w:val="24"/>
          <w:szCs w:val="24"/>
        </w:rPr>
        <w:t>International Interactions</w:t>
      </w:r>
      <w:r w:rsidRPr="00CF2660">
        <w:rPr>
          <w:rFonts w:ascii="Times New Roman" w:hAnsi="Times New Roman" w:cs="Times New Roman"/>
          <w:sz w:val="24"/>
          <w:szCs w:val="24"/>
        </w:rPr>
        <w:t xml:space="preserve"> 47(4): 750–776.</w:t>
      </w:r>
    </w:p>
    <w:p w14:paraId="5BE6A764"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Meng, Anne, and Jack Paine. 2022. "Power Sharing and Authoritarian Stability: How Rebel Regimes Solve the Guardianship Dilemma." </w:t>
      </w:r>
      <w:r w:rsidRPr="00B3339B">
        <w:rPr>
          <w:rFonts w:ascii="Times New Roman" w:hAnsi="Times New Roman" w:cs="Times New Roman"/>
          <w:i/>
          <w:iCs/>
          <w:sz w:val="24"/>
          <w:szCs w:val="24"/>
        </w:rPr>
        <w:t>American Political Science Review</w:t>
      </w:r>
      <w:r w:rsidRPr="00B3339B">
        <w:rPr>
          <w:rFonts w:ascii="Times New Roman" w:hAnsi="Times New Roman" w:cs="Times New Roman"/>
          <w:sz w:val="24"/>
          <w:szCs w:val="24"/>
        </w:rPr>
        <w:t xml:space="preserve"> 116(4): 1208–1225.</w:t>
      </w:r>
    </w:p>
    <w:p w14:paraId="20C83B40"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Phillips, David L. 2017. </w:t>
      </w:r>
      <w:r w:rsidRPr="00B3339B">
        <w:rPr>
          <w:rFonts w:ascii="Times New Roman" w:hAnsi="Times New Roman" w:cs="Times New Roman"/>
          <w:i/>
          <w:iCs/>
          <w:sz w:val="24"/>
          <w:szCs w:val="24"/>
        </w:rPr>
        <w:t>An Uncertain Ally: Turkey under Erdogan's Dictatorship.</w:t>
      </w:r>
      <w:r w:rsidRPr="00B3339B">
        <w:rPr>
          <w:rFonts w:ascii="Times New Roman" w:hAnsi="Times New Roman" w:cs="Times New Roman"/>
          <w:sz w:val="24"/>
          <w:szCs w:val="24"/>
        </w:rPr>
        <w:t xml:space="preserve"> New York: Routledge.</w:t>
      </w:r>
    </w:p>
    <w:p w14:paraId="3C95D85F"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Pilster, Ulrich, and Tobias Böhmelt. 2011. "Coup-Proofing and Military Effectiveness in Interstate Wars, 1967–99." </w:t>
      </w:r>
      <w:r w:rsidRPr="00B3339B">
        <w:rPr>
          <w:rFonts w:ascii="Times New Roman" w:hAnsi="Times New Roman" w:cs="Times New Roman"/>
          <w:i/>
          <w:iCs/>
          <w:sz w:val="24"/>
          <w:szCs w:val="24"/>
        </w:rPr>
        <w:t>Conflict Management and Peace Science</w:t>
      </w:r>
      <w:r w:rsidRPr="00B3339B">
        <w:rPr>
          <w:rFonts w:ascii="Times New Roman" w:hAnsi="Times New Roman" w:cs="Times New Roman"/>
          <w:sz w:val="24"/>
          <w:szCs w:val="24"/>
        </w:rPr>
        <w:t xml:space="preserve"> 28(4): 331–350.</w:t>
      </w:r>
    </w:p>
    <w:p w14:paraId="5B9A9159"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Pilster, Ulrich, and Tobias Böhmelt. 2012. "Do Democracies Engage Less in Coup-Proofing? On the Relationship between Regime Type and Civil—Military Relations." </w:t>
      </w:r>
      <w:r w:rsidRPr="00B3339B">
        <w:rPr>
          <w:rFonts w:ascii="Times New Roman" w:hAnsi="Times New Roman" w:cs="Times New Roman"/>
          <w:i/>
          <w:iCs/>
          <w:sz w:val="24"/>
          <w:szCs w:val="24"/>
        </w:rPr>
        <w:t>Foreign Policy Analysis</w:t>
      </w:r>
      <w:r w:rsidRPr="00B3339B">
        <w:rPr>
          <w:rFonts w:ascii="Times New Roman" w:hAnsi="Times New Roman" w:cs="Times New Roman"/>
          <w:sz w:val="24"/>
          <w:szCs w:val="24"/>
        </w:rPr>
        <w:t xml:space="preserve"> 8(4): 355–371.</w:t>
      </w:r>
    </w:p>
    <w:p w14:paraId="53C6DF31"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Powell, Jonathan M. 2012. "Determinants of the Attempting and Outcome of Coups d’État." </w:t>
      </w:r>
      <w:r w:rsidRPr="00B3339B">
        <w:rPr>
          <w:rFonts w:ascii="Times New Roman" w:hAnsi="Times New Roman" w:cs="Times New Roman"/>
          <w:i/>
          <w:iCs/>
          <w:sz w:val="24"/>
          <w:szCs w:val="24"/>
        </w:rPr>
        <w:t>Journal of Conflict Resolution</w:t>
      </w:r>
      <w:r w:rsidRPr="00B3339B">
        <w:rPr>
          <w:rFonts w:ascii="Times New Roman" w:hAnsi="Times New Roman" w:cs="Times New Roman"/>
          <w:sz w:val="24"/>
          <w:szCs w:val="24"/>
        </w:rPr>
        <w:t xml:space="preserve"> 56(6): 1017–1040.</w:t>
      </w:r>
    </w:p>
    <w:p w14:paraId="0F6D4F2B"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Powell, Jonathan M. 2019. "Leader Survival Strategies and the Onset of Civil Conflict: A Coup-Proofing Paradox." </w:t>
      </w:r>
      <w:r w:rsidRPr="00B3339B">
        <w:rPr>
          <w:rFonts w:ascii="Times New Roman" w:hAnsi="Times New Roman" w:cs="Times New Roman"/>
          <w:i/>
          <w:iCs/>
          <w:sz w:val="24"/>
          <w:szCs w:val="24"/>
        </w:rPr>
        <w:t>Armed Forces and Society</w:t>
      </w:r>
      <w:r w:rsidRPr="00B3339B">
        <w:rPr>
          <w:rFonts w:ascii="Times New Roman" w:hAnsi="Times New Roman" w:cs="Times New Roman"/>
          <w:sz w:val="24"/>
          <w:szCs w:val="24"/>
        </w:rPr>
        <w:t xml:space="preserve"> 45(1): 27–44.</w:t>
      </w:r>
    </w:p>
    <w:p w14:paraId="6F82DB77"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Powell, Jonathan M., and Clayton L. Thyne. 2011. "Global Instances of Coups from 1950 to 2010: A New Dataset." </w:t>
      </w:r>
      <w:r w:rsidRPr="00B3339B">
        <w:rPr>
          <w:rFonts w:ascii="Times New Roman" w:hAnsi="Times New Roman" w:cs="Times New Roman"/>
          <w:i/>
          <w:iCs/>
          <w:sz w:val="24"/>
          <w:szCs w:val="24"/>
        </w:rPr>
        <w:t>Journal of Peace Research</w:t>
      </w:r>
      <w:r w:rsidRPr="00B3339B">
        <w:rPr>
          <w:rFonts w:ascii="Times New Roman" w:hAnsi="Times New Roman" w:cs="Times New Roman"/>
          <w:sz w:val="24"/>
          <w:szCs w:val="24"/>
        </w:rPr>
        <w:t xml:space="preserve"> 48(2): 249–259.</w:t>
      </w:r>
    </w:p>
    <w:p w14:paraId="17224AA9"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Quinlivan, James T. 1999. "Coup-Proofing: Its Practice and Consequences in the Middle East." </w:t>
      </w:r>
      <w:r w:rsidRPr="00B3339B">
        <w:rPr>
          <w:rFonts w:ascii="Times New Roman" w:hAnsi="Times New Roman" w:cs="Times New Roman"/>
          <w:i/>
          <w:iCs/>
          <w:sz w:val="24"/>
          <w:szCs w:val="24"/>
        </w:rPr>
        <w:t>International Security</w:t>
      </w:r>
      <w:r w:rsidRPr="00B3339B">
        <w:rPr>
          <w:rFonts w:ascii="Times New Roman" w:hAnsi="Times New Roman" w:cs="Times New Roman"/>
          <w:sz w:val="24"/>
          <w:szCs w:val="24"/>
        </w:rPr>
        <w:t xml:space="preserve"> 24(2): 131–165.</w:t>
      </w:r>
    </w:p>
    <w:p w14:paraId="4F450F9A"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Singh, Naunihal. 2014. </w:t>
      </w:r>
      <w:r w:rsidRPr="00B3339B">
        <w:rPr>
          <w:rFonts w:ascii="Times New Roman" w:hAnsi="Times New Roman" w:cs="Times New Roman"/>
          <w:i/>
          <w:iCs/>
          <w:sz w:val="24"/>
          <w:szCs w:val="24"/>
        </w:rPr>
        <w:t>Seizing Power: The Strategic Logic of Military Coups.</w:t>
      </w:r>
      <w:r w:rsidRPr="00B3339B">
        <w:rPr>
          <w:rFonts w:ascii="Times New Roman" w:hAnsi="Times New Roman" w:cs="Times New Roman"/>
          <w:sz w:val="24"/>
          <w:szCs w:val="24"/>
        </w:rPr>
        <w:t xml:space="preserve"> Baltimore: John Hopkins University Press.</w:t>
      </w:r>
    </w:p>
    <w:p w14:paraId="27747325"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Svolik, Milan. 2009. "Power Sharing and Leadership Dynamics in Authoritarian Regimes." </w:t>
      </w:r>
      <w:r w:rsidRPr="00B3339B">
        <w:rPr>
          <w:rFonts w:ascii="Times New Roman" w:hAnsi="Times New Roman" w:cs="Times New Roman"/>
          <w:i/>
          <w:iCs/>
          <w:sz w:val="24"/>
          <w:szCs w:val="24"/>
        </w:rPr>
        <w:t>American Journal of Political Science</w:t>
      </w:r>
      <w:r w:rsidRPr="00B3339B">
        <w:rPr>
          <w:rFonts w:ascii="Times New Roman" w:hAnsi="Times New Roman" w:cs="Times New Roman"/>
          <w:sz w:val="24"/>
          <w:szCs w:val="24"/>
        </w:rPr>
        <w:t xml:space="preserve"> 53(2): 477–494.</w:t>
      </w:r>
    </w:p>
    <w:p w14:paraId="39721102"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Svolik, Milan. 2012. </w:t>
      </w:r>
      <w:r w:rsidRPr="00B3339B">
        <w:rPr>
          <w:rFonts w:ascii="Times New Roman" w:hAnsi="Times New Roman" w:cs="Times New Roman"/>
          <w:i/>
          <w:iCs/>
          <w:sz w:val="24"/>
          <w:szCs w:val="24"/>
        </w:rPr>
        <w:t>The Politics of Authoritarian Rule.</w:t>
      </w:r>
      <w:r w:rsidRPr="00B3339B">
        <w:rPr>
          <w:rFonts w:ascii="Times New Roman" w:hAnsi="Times New Roman" w:cs="Times New Roman"/>
          <w:sz w:val="24"/>
          <w:szCs w:val="24"/>
        </w:rPr>
        <w:t xml:space="preserve"> New York: Cambridge University Press.</w:t>
      </w:r>
    </w:p>
    <w:p w14:paraId="680346E7"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Shafqat, Saeed. 1997. </w:t>
      </w:r>
      <w:r w:rsidRPr="00B3339B">
        <w:rPr>
          <w:rFonts w:ascii="Times New Roman" w:hAnsi="Times New Roman" w:cs="Times New Roman"/>
          <w:i/>
          <w:iCs/>
          <w:sz w:val="24"/>
          <w:szCs w:val="24"/>
        </w:rPr>
        <w:t>Civil-Military Relations in Pakistan: From Zulfikar Ali Bhutto to Benazir Bhutto.</w:t>
      </w:r>
      <w:r w:rsidRPr="00B3339B">
        <w:rPr>
          <w:rFonts w:ascii="Times New Roman" w:hAnsi="Times New Roman" w:cs="Times New Roman"/>
          <w:sz w:val="24"/>
          <w:szCs w:val="24"/>
        </w:rPr>
        <w:t xml:space="preserve"> New York: Routledge.</w:t>
      </w:r>
    </w:p>
    <w:p w14:paraId="60C3E934"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Sudduth, Jun Koga. 2017a. "Strategic Logic of Elite Purges in Dictatorships." </w:t>
      </w:r>
      <w:r w:rsidRPr="00B3339B">
        <w:rPr>
          <w:rFonts w:ascii="Times New Roman" w:hAnsi="Times New Roman" w:cs="Times New Roman"/>
          <w:i/>
          <w:iCs/>
          <w:sz w:val="24"/>
          <w:szCs w:val="24"/>
        </w:rPr>
        <w:t>Comparative Political Studies</w:t>
      </w:r>
      <w:r w:rsidRPr="00B3339B">
        <w:rPr>
          <w:rFonts w:ascii="Times New Roman" w:hAnsi="Times New Roman" w:cs="Times New Roman"/>
          <w:sz w:val="24"/>
          <w:szCs w:val="24"/>
        </w:rPr>
        <w:t xml:space="preserve"> 50(13): 1768–1801.</w:t>
      </w:r>
    </w:p>
    <w:p w14:paraId="56D64F33"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Sudduth, Jun Koga. 2017b. "Coup Risk, Coup-Proofing and Leader Survival." </w:t>
      </w:r>
      <w:r w:rsidRPr="00B3339B">
        <w:rPr>
          <w:rFonts w:ascii="Times New Roman" w:hAnsi="Times New Roman" w:cs="Times New Roman"/>
          <w:i/>
          <w:iCs/>
          <w:sz w:val="24"/>
          <w:szCs w:val="24"/>
        </w:rPr>
        <w:t>Journal of Peace Research</w:t>
      </w:r>
      <w:r w:rsidRPr="00B3339B">
        <w:rPr>
          <w:rFonts w:ascii="Times New Roman" w:hAnsi="Times New Roman" w:cs="Times New Roman"/>
          <w:sz w:val="24"/>
          <w:szCs w:val="24"/>
        </w:rPr>
        <w:t xml:space="preserve"> 54(1): 3–15.</w:t>
      </w:r>
    </w:p>
    <w:p w14:paraId="76A93329"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Talmadge, Caitlin. 2015. </w:t>
      </w:r>
      <w:r w:rsidRPr="00B3339B">
        <w:rPr>
          <w:rFonts w:ascii="Times New Roman" w:hAnsi="Times New Roman" w:cs="Times New Roman"/>
          <w:i/>
          <w:iCs/>
          <w:sz w:val="24"/>
          <w:szCs w:val="24"/>
        </w:rPr>
        <w:t>The Dictator’s Army: Battlefield Effectiveness in Authoritarian Regimes.</w:t>
      </w:r>
      <w:r w:rsidRPr="00B3339B">
        <w:rPr>
          <w:rFonts w:ascii="Times New Roman" w:hAnsi="Times New Roman" w:cs="Times New Roman"/>
          <w:sz w:val="24"/>
          <w:szCs w:val="24"/>
        </w:rPr>
        <w:t xml:space="preserve"> Ithaca, NY: Cornell University Press.</w:t>
      </w:r>
    </w:p>
    <w:p w14:paraId="541CB1B7"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lastRenderedPageBreak/>
        <w:t xml:space="preserve">Thompson, William R. 1973. </w:t>
      </w:r>
      <w:r w:rsidRPr="00B3339B">
        <w:rPr>
          <w:rFonts w:ascii="Times New Roman" w:hAnsi="Times New Roman" w:cs="Times New Roman"/>
          <w:i/>
          <w:iCs/>
          <w:sz w:val="24"/>
          <w:szCs w:val="24"/>
        </w:rPr>
        <w:t>The Grievances of Military Coup-Makers.</w:t>
      </w:r>
      <w:r w:rsidRPr="00B3339B">
        <w:rPr>
          <w:rFonts w:ascii="Times New Roman" w:hAnsi="Times New Roman" w:cs="Times New Roman"/>
          <w:sz w:val="24"/>
          <w:szCs w:val="24"/>
        </w:rPr>
        <w:t xml:space="preserve"> New York: Sage Publications.</w:t>
      </w:r>
    </w:p>
    <w:p w14:paraId="6BDAA334"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Thyne, Clayton L., and Jonathan M. Powell. 2016. "Coup d’État or Coup d'Autocracy? How Coups Impact Democratization, 1950–2008." </w:t>
      </w:r>
      <w:r w:rsidRPr="00B3339B">
        <w:rPr>
          <w:rFonts w:ascii="Times New Roman" w:hAnsi="Times New Roman" w:cs="Times New Roman"/>
          <w:i/>
          <w:iCs/>
          <w:sz w:val="24"/>
          <w:szCs w:val="24"/>
        </w:rPr>
        <w:t>Foreign Policy Analysis</w:t>
      </w:r>
      <w:r w:rsidRPr="00B3339B">
        <w:rPr>
          <w:rFonts w:ascii="Times New Roman" w:hAnsi="Times New Roman" w:cs="Times New Roman"/>
          <w:sz w:val="24"/>
          <w:szCs w:val="24"/>
        </w:rPr>
        <w:t xml:space="preserve"> 12(2): 192–213.</w:t>
      </w:r>
    </w:p>
    <w:p w14:paraId="3DB3E70B" w14:textId="19614D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Timoneda, J</w:t>
      </w:r>
      <w:r w:rsidR="001D6FBD">
        <w:rPr>
          <w:rFonts w:ascii="Times New Roman" w:hAnsi="Times New Roman" w:cs="Times New Roman"/>
          <w:sz w:val="24"/>
          <w:szCs w:val="24"/>
        </w:rPr>
        <w:t>o</w:t>
      </w:r>
      <w:r w:rsidRPr="00B3339B">
        <w:rPr>
          <w:rFonts w:ascii="Times New Roman" w:hAnsi="Times New Roman" w:cs="Times New Roman"/>
          <w:sz w:val="24"/>
          <w:szCs w:val="24"/>
        </w:rPr>
        <w:t xml:space="preserve">an C. 2021. "Estimating Group Fixed Effects in Panel Data with a Binary Dependent Variable: How the LPM Outperforms Logistic Regression in Rare Events Data." </w:t>
      </w:r>
      <w:r w:rsidRPr="00B3339B">
        <w:rPr>
          <w:rFonts w:ascii="Times New Roman" w:hAnsi="Times New Roman" w:cs="Times New Roman"/>
          <w:i/>
          <w:iCs/>
          <w:sz w:val="24"/>
          <w:szCs w:val="24"/>
        </w:rPr>
        <w:t>Social Science Research</w:t>
      </w:r>
      <w:r w:rsidRPr="00B3339B">
        <w:rPr>
          <w:rFonts w:ascii="Times New Roman" w:hAnsi="Times New Roman" w:cs="Times New Roman"/>
          <w:sz w:val="24"/>
          <w:szCs w:val="24"/>
        </w:rPr>
        <w:t xml:space="preserve"> 93(1): 102486.</w:t>
      </w:r>
    </w:p>
    <w:p w14:paraId="39B3733A" w14:textId="333CC354"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Timoneda, J</w:t>
      </w:r>
      <w:r w:rsidR="001D6FBD">
        <w:rPr>
          <w:rFonts w:ascii="Times New Roman" w:hAnsi="Times New Roman" w:cs="Times New Roman"/>
          <w:sz w:val="24"/>
          <w:szCs w:val="24"/>
        </w:rPr>
        <w:t>o</w:t>
      </w:r>
      <w:r w:rsidRPr="00B3339B">
        <w:rPr>
          <w:rFonts w:ascii="Times New Roman" w:hAnsi="Times New Roman" w:cs="Times New Roman"/>
          <w:sz w:val="24"/>
          <w:szCs w:val="24"/>
        </w:rPr>
        <w:t>an</w:t>
      </w:r>
      <w:r w:rsidR="002C58F5">
        <w:rPr>
          <w:rFonts w:ascii="Times New Roman" w:hAnsi="Times New Roman" w:cs="Times New Roman"/>
          <w:sz w:val="24"/>
          <w:szCs w:val="24"/>
        </w:rPr>
        <w:t xml:space="preserve"> C.</w:t>
      </w:r>
      <w:r w:rsidRPr="00B3339B">
        <w:rPr>
          <w:rFonts w:ascii="Times New Roman" w:hAnsi="Times New Roman" w:cs="Times New Roman"/>
          <w:sz w:val="24"/>
          <w:szCs w:val="24"/>
        </w:rPr>
        <w:t>, Abel Escribà-Folch, and Jo</w:t>
      </w:r>
      <w:r w:rsidR="002C58F5">
        <w:rPr>
          <w:rFonts w:ascii="Times New Roman" w:hAnsi="Times New Roman" w:cs="Times New Roman"/>
          <w:sz w:val="24"/>
          <w:szCs w:val="24"/>
        </w:rPr>
        <w:t>hn</w:t>
      </w:r>
      <w:r w:rsidRPr="00B3339B">
        <w:rPr>
          <w:rFonts w:ascii="Times New Roman" w:hAnsi="Times New Roman" w:cs="Times New Roman"/>
          <w:sz w:val="24"/>
          <w:szCs w:val="24"/>
        </w:rPr>
        <w:t xml:space="preserve"> Chin. 2023. "The Rush to Personalize: Power Concentration after Failed Coups in Dictatorships." </w:t>
      </w:r>
      <w:r w:rsidRPr="00B3339B">
        <w:rPr>
          <w:rFonts w:ascii="Times New Roman" w:hAnsi="Times New Roman" w:cs="Times New Roman"/>
          <w:i/>
          <w:iCs/>
          <w:sz w:val="24"/>
          <w:szCs w:val="24"/>
        </w:rPr>
        <w:t>British Journal of Political Science</w:t>
      </w:r>
      <w:r w:rsidRPr="00B3339B">
        <w:rPr>
          <w:rFonts w:ascii="Times New Roman" w:hAnsi="Times New Roman" w:cs="Times New Roman"/>
          <w:sz w:val="24"/>
          <w:szCs w:val="24"/>
        </w:rPr>
        <w:t xml:space="preserve"> 53(3): 878–901.</w:t>
      </w:r>
    </w:p>
    <w:p w14:paraId="345856EE" w14:textId="0B6B5FF2" w:rsidR="00C90AB2" w:rsidRPr="00B3339B" w:rsidRDefault="00C90AB2" w:rsidP="00F07CF4">
      <w:pPr>
        <w:ind w:left="720" w:hanging="720"/>
        <w:rPr>
          <w:rFonts w:ascii="Times New Roman" w:hAnsi="Times New Roman" w:cs="Times New Roman"/>
          <w:sz w:val="24"/>
          <w:szCs w:val="24"/>
        </w:rPr>
      </w:pPr>
      <w:r w:rsidRPr="00B3339B">
        <w:rPr>
          <w:rFonts w:ascii="Times New Roman" w:hAnsi="Times New Roman" w:cs="Times New Roman"/>
          <w:sz w:val="24"/>
          <w:szCs w:val="24"/>
        </w:rPr>
        <w:t>Turay, E</w:t>
      </w:r>
      <w:r w:rsidR="00F07CF4">
        <w:rPr>
          <w:rFonts w:ascii="Times New Roman" w:hAnsi="Times New Roman" w:cs="Times New Roman"/>
          <w:sz w:val="24"/>
          <w:szCs w:val="24"/>
        </w:rPr>
        <w:t>dward,</w:t>
      </w:r>
      <w:r w:rsidRPr="00B3339B">
        <w:rPr>
          <w:rFonts w:ascii="Times New Roman" w:hAnsi="Times New Roman" w:cs="Times New Roman"/>
          <w:sz w:val="24"/>
          <w:szCs w:val="24"/>
        </w:rPr>
        <w:t xml:space="preserve"> D. A., and A</w:t>
      </w:r>
      <w:r w:rsidR="00F07CF4">
        <w:rPr>
          <w:rFonts w:ascii="Times New Roman" w:hAnsi="Times New Roman" w:cs="Times New Roman"/>
          <w:sz w:val="24"/>
          <w:szCs w:val="24"/>
        </w:rPr>
        <w:t>rthur</w:t>
      </w:r>
      <w:r w:rsidRPr="00B3339B">
        <w:rPr>
          <w:rFonts w:ascii="Times New Roman" w:hAnsi="Times New Roman" w:cs="Times New Roman"/>
          <w:sz w:val="24"/>
          <w:szCs w:val="24"/>
        </w:rPr>
        <w:t xml:space="preserve"> Abraham. 1987. </w:t>
      </w:r>
      <w:r w:rsidRPr="00B3339B">
        <w:rPr>
          <w:rFonts w:ascii="Times New Roman" w:hAnsi="Times New Roman" w:cs="Times New Roman"/>
          <w:i/>
          <w:iCs/>
          <w:sz w:val="24"/>
          <w:szCs w:val="24"/>
        </w:rPr>
        <w:t>The Sierra Leone Army: A Century of History.</w:t>
      </w:r>
      <w:r w:rsidRPr="00B3339B">
        <w:rPr>
          <w:rFonts w:ascii="Times New Roman" w:hAnsi="Times New Roman" w:cs="Times New Roman"/>
          <w:sz w:val="24"/>
          <w:szCs w:val="24"/>
        </w:rPr>
        <w:t xml:space="preserve"> London: Macmillan.</w:t>
      </w:r>
    </w:p>
    <w:p w14:paraId="3C0BC0A7" w14:textId="7ABEF2DD"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Vidler, E</w:t>
      </w:r>
      <w:r w:rsidR="00CB589A">
        <w:rPr>
          <w:rFonts w:ascii="Times New Roman" w:hAnsi="Times New Roman" w:cs="Times New Roman"/>
          <w:sz w:val="24"/>
          <w:szCs w:val="24"/>
        </w:rPr>
        <w:t>lizabeth</w:t>
      </w:r>
      <w:r w:rsidRPr="00B3339B">
        <w:rPr>
          <w:rFonts w:ascii="Times New Roman" w:hAnsi="Times New Roman" w:cs="Times New Roman"/>
          <w:sz w:val="24"/>
          <w:szCs w:val="24"/>
        </w:rPr>
        <w:t xml:space="preserve">. 1998. </w:t>
      </w:r>
      <w:r w:rsidRPr="00B3339B">
        <w:rPr>
          <w:rFonts w:ascii="Times New Roman" w:hAnsi="Times New Roman" w:cs="Times New Roman"/>
          <w:i/>
          <w:iCs/>
          <w:sz w:val="24"/>
          <w:szCs w:val="24"/>
        </w:rPr>
        <w:t>Regime Survival in The Gambia and Sierra Leone: A Comparative Study of the People’s Progressive Party (1965–1994) and the All People’s Congress (1968–1992).</w:t>
      </w:r>
      <w:r w:rsidRPr="00B3339B">
        <w:rPr>
          <w:rFonts w:ascii="Times New Roman" w:hAnsi="Times New Roman" w:cs="Times New Roman"/>
          <w:sz w:val="24"/>
          <w:szCs w:val="24"/>
        </w:rPr>
        <w:t xml:space="preserve"> PhD dissertation, University of Newcastle. </w:t>
      </w:r>
      <w:hyperlink r:id="rId23" w:tgtFrame="_new" w:history="1">
        <w:r w:rsidRPr="00B3339B">
          <w:rPr>
            <w:rStyle w:val="Hyperlink"/>
            <w:rFonts w:ascii="Times New Roman" w:hAnsi="Times New Roman" w:cs="Times New Roman"/>
            <w:sz w:val="24"/>
            <w:szCs w:val="24"/>
          </w:rPr>
          <w:t>https://theses.ncl.ac.uk/jspui/handle/10443/1024?mode=simple</w:t>
        </w:r>
      </w:hyperlink>
      <w:r w:rsidRPr="00B3339B">
        <w:rPr>
          <w:rFonts w:ascii="Times New Roman" w:hAnsi="Times New Roman" w:cs="Times New Roman"/>
          <w:sz w:val="24"/>
          <w:szCs w:val="24"/>
        </w:rPr>
        <w:t>.</w:t>
      </w:r>
    </w:p>
    <w:p w14:paraId="29EA987E" w14:textId="77777777" w:rsidR="00C90AB2" w:rsidRPr="00B3339B" w:rsidRDefault="00C90AB2" w:rsidP="00C90AB2">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Yavuz, M. Hakan, and Rasim Koç. 2018. "The Gulen Movement vs. Erdogan: The Failed Coup." In </w:t>
      </w:r>
      <w:r w:rsidRPr="00B3339B">
        <w:rPr>
          <w:rFonts w:ascii="Times New Roman" w:hAnsi="Times New Roman" w:cs="Times New Roman"/>
          <w:i/>
          <w:iCs/>
          <w:sz w:val="24"/>
          <w:szCs w:val="24"/>
        </w:rPr>
        <w:t>Turkey’s July 15th Coup: What Happened and Why,</w:t>
      </w:r>
      <w:r w:rsidRPr="00B3339B">
        <w:rPr>
          <w:rFonts w:ascii="Times New Roman" w:hAnsi="Times New Roman" w:cs="Times New Roman"/>
          <w:sz w:val="24"/>
          <w:szCs w:val="24"/>
        </w:rPr>
        <w:t xml:space="preserve"> edited by M. H. Yavuz and Bayram Balci, 78–97. Salt Lake City: University of Utah Press.</w:t>
      </w:r>
    </w:p>
    <w:p w14:paraId="0C0BCC11" w14:textId="62759315" w:rsidR="00C90AB2" w:rsidRPr="00C90AB2" w:rsidRDefault="00C90AB2" w:rsidP="009A4ED1">
      <w:pPr>
        <w:ind w:left="720" w:hanging="720"/>
        <w:rPr>
          <w:rFonts w:ascii="Times New Roman" w:hAnsi="Times New Roman" w:cs="Times New Roman"/>
          <w:sz w:val="24"/>
          <w:szCs w:val="24"/>
        </w:rPr>
      </w:pPr>
      <w:r w:rsidRPr="00B3339B">
        <w:rPr>
          <w:rFonts w:ascii="Times New Roman" w:hAnsi="Times New Roman" w:cs="Times New Roman"/>
          <w:sz w:val="24"/>
          <w:szCs w:val="24"/>
        </w:rPr>
        <w:t xml:space="preserve">Zartman, I. William. 1970. "The Algerian Army in Politics." In </w:t>
      </w:r>
      <w:r w:rsidRPr="00B3339B">
        <w:rPr>
          <w:rFonts w:ascii="Times New Roman" w:hAnsi="Times New Roman" w:cs="Times New Roman"/>
          <w:i/>
          <w:iCs/>
          <w:sz w:val="24"/>
          <w:szCs w:val="24"/>
        </w:rPr>
        <w:t>Soldier and State in Africa,</w:t>
      </w:r>
      <w:r w:rsidRPr="00B3339B">
        <w:rPr>
          <w:rFonts w:ascii="Times New Roman" w:hAnsi="Times New Roman" w:cs="Times New Roman"/>
          <w:sz w:val="24"/>
          <w:szCs w:val="24"/>
        </w:rPr>
        <w:t xml:space="preserve"> edited by Claude E. Welch Jr., 224–249. Evanston, IL: Northwestern University Press.</w:t>
      </w:r>
    </w:p>
    <w:sectPr w:rsidR="00C90AB2" w:rsidRPr="00C90A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BE72D" w14:textId="77777777" w:rsidR="00170B28" w:rsidRDefault="00170B28" w:rsidP="003875C0">
      <w:pPr>
        <w:spacing w:after="0" w:line="240" w:lineRule="auto"/>
      </w:pPr>
      <w:r>
        <w:separator/>
      </w:r>
    </w:p>
  </w:endnote>
  <w:endnote w:type="continuationSeparator" w:id="0">
    <w:p w14:paraId="4E35FFC8" w14:textId="77777777" w:rsidR="00170B28" w:rsidRDefault="00170B28" w:rsidP="003875C0">
      <w:pPr>
        <w:spacing w:after="0" w:line="240" w:lineRule="auto"/>
      </w:pPr>
      <w:r>
        <w:continuationSeparator/>
      </w:r>
    </w:p>
  </w:endnote>
  <w:endnote w:type="continuationNotice" w:id="1">
    <w:p w14:paraId="5EA176DB" w14:textId="77777777" w:rsidR="00170B28" w:rsidRDefault="00170B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F5F04" w14:textId="77777777" w:rsidR="00170B28" w:rsidRDefault="00170B28" w:rsidP="003875C0">
      <w:pPr>
        <w:spacing w:after="0" w:line="240" w:lineRule="auto"/>
      </w:pPr>
      <w:r>
        <w:separator/>
      </w:r>
    </w:p>
  </w:footnote>
  <w:footnote w:type="continuationSeparator" w:id="0">
    <w:p w14:paraId="0B92E836" w14:textId="77777777" w:rsidR="00170B28" w:rsidRDefault="00170B28" w:rsidP="003875C0">
      <w:pPr>
        <w:spacing w:after="0" w:line="240" w:lineRule="auto"/>
      </w:pPr>
      <w:r>
        <w:continuationSeparator/>
      </w:r>
    </w:p>
  </w:footnote>
  <w:footnote w:type="continuationNotice" w:id="1">
    <w:p w14:paraId="29638848" w14:textId="77777777" w:rsidR="00170B28" w:rsidRDefault="00170B28">
      <w:pPr>
        <w:spacing w:after="0" w:line="240" w:lineRule="auto"/>
      </w:pPr>
    </w:p>
  </w:footnote>
  <w:footnote w:id="2">
    <w:p w14:paraId="112C898A" w14:textId="010ED73C" w:rsidR="00F470BA" w:rsidRPr="00F470BA" w:rsidRDefault="00F470BA">
      <w:pPr>
        <w:pStyle w:val="FootnoteText"/>
        <w:rPr>
          <w:rFonts w:ascii="Times New Roman" w:hAnsi="Times New Roman" w:cs="Times New Roman"/>
        </w:rPr>
      </w:pPr>
      <w:r w:rsidRPr="00F470BA">
        <w:rPr>
          <w:rStyle w:val="FootnoteReference"/>
          <w:rFonts w:ascii="Times New Roman" w:hAnsi="Times New Roman" w:cs="Times New Roman"/>
        </w:rPr>
        <w:footnoteRef/>
      </w:r>
      <w:r w:rsidRPr="00F470BA">
        <w:rPr>
          <w:rFonts w:ascii="Times New Roman" w:hAnsi="Times New Roman" w:cs="Times New Roman"/>
        </w:rPr>
        <w:t xml:space="preserve"> In this paper, I use bot</w:t>
      </w:r>
      <w:r>
        <w:rPr>
          <w:rFonts w:ascii="Times New Roman" w:hAnsi="Times New Roman" w:cs="Times New Roman"/>
        </w:rPr>
        <w:t>h</w:t>
      </w:r>
      <w:r w:rsidRPr="00F470BA">
        <w:rPr>
          <w:rFonts w:ascii="Times New Roman" w:hAnsi="Times New Roman" w:cs="Times New Roman"/>
        </w:rPr>
        <w:t xml:space="preserve"> terms interchangeably</w:t>
      </w:r>
      <w:r>
        <w:rPr>
          <w:rFonts w:ascii="Times New Roman" w:hAnsi="Times New Roman" w:cs="Times New Roman"/>
        </w:rPr>
        <w:t>.</w:t>
      </w:r>
    </w:p>
  </w:footnote>
  <w:footnote w:id="3">
    <w:p w14:paraId="4C8FB6D1" w14:textId="65A74EB1" w:rsidR="003875C0" w:rsidRPr="009C42C9" w:rsidRDefault="003875C0" w:rsidP="003875C0">
      <w:pPr>
        <w:pStyle w:val="FootnoteText"/>
        <w:rPr>
          <w:lang w:val="sv-SE"/>
        </w:rPr>
      </w:pPr>
      <w:r w:rsidRPr="009C42C9">
        <w:rPr>
          <w:rStyle w:val="FootnoteReference"/>
        </w:rPr>
        <w:footnoteRef/>
      </w:r>
      <w:r w:rsidRPr="009C42C9">
        <w:t xml:space="preserve"> </w:t>
      </w:r>
      <w:r w:rsidRPr="009C42C9">
        <w:rPr>
          <w:rFonts w:ascii="Times New Roman" w:hAnsi="Times New Roman" w:cs="Times New Roman"/>
        </w:rPr>
        <w:t>The figure was created using De Bruin’s (2020) data on ‘counterweights’ from her State Security Forces</w:t>
      </w:r>
      <w:r>
        <w:rPr>
          <w:rFonts w:ascii="Times New Roman" w:hAnsi="Times New Roman" w:cs="Times New Roman"/>
        </w:rPr>
        <w:t xml:space="preserve"> </w:t>
      </w:r>
      <w:r w:rsidRPr="009C42C9">
        <w:rPr>
          <w:rFonts w:ascii="Times New Roman" w:hAnsi="Times New Roman" w:cs="Times New Roman"/>
        </w:rPr>
        <w:t>dataset filtered for autocratic regimes as operationalized by Geddes et al. (2018).</w:t>
      </w:r>
    </w:p>
  </w:footnote>
  <w:footnote w:id="4">
    <w:p w14:paraId="5EF59B16" w14:textId="77777777" w:rsidR="008A697C" w:rsidRPr="00862B84" w:rsidRDefault="008A697C" w:rsidP="008A697C">
      <w:pPr>
        <w:pStyle w:val="FootnoteText"/>
        <w:rPr>
          <w:rFonts w:ascii="Times New Roman" w:hAnsi="Times New Roman" w:cs="Times New Roman"/>
        </w:rPr>
      </w:pPr>
      <w:r w:rsidRPr="00862B84">
        <w:rPr>
          <w:rStyle w:val="FootnoteReference"/>
          <w:rFonts w:ascii="Times New Roman" w:hAnsi="Times New Roman" w:cs="Times New Roman"/>
        </w:rPr>
        <w:footnoteRef/>
      </w:r>
      <w:r>
        <w:rPr>
          <w:rFonts w:ascii="Times New Roman" w:hAnsi="Times New Roman" w:cs="Times New Roman"/>
        </w:rPr>
        <w:t xml:space="preserve"> Belkin and Schofer (2003) assign equally weights to their three indicators without justifying their decision to do so, while a measure of previous coups is endogenous to counterbalancing itself.</w:t>
      </w:r>
    </w:p>
  </w:footnote>
  <w:footnote w:id="5">
    <w:p w14:paraId="07E5C03A" w14:textId="77777777" w:rsidR="003875C0" w:rsidRPr="00862B84" w:rsidRDefault="003875C0" w:rsidP="003875C0">
      <w:pPr>
        <w:pStyle w:val="FootnoteText"/>
        <w:rPr>
          <w:rFonts w:ascii="Times New Roman" w:hAnsi="Times New Roman" w:cs="Times New Roman"/>
        </w:rPr>
      </w:pPr>
      <w:r w:rsidRPr="00862B84">
        <w:rPr>
          <w:rStyle w:val="FootnoteReference"/>
          <w:rFonts w:ascii="Times New Roman" w:hAnsi="Times New Roman" w:cs="Times New Roman"/>
        </w:rPr>
        <w:footnoteRef/>
      </w:r>
      <w:r w:rsidRPr="00862B84">
        <w:rPr>
          <w:rFonts w:ascii="Times New Roman" w:hAnsi="Times New Roman" w:cs="Times New Roman"/>
        </w:rPr>
        <w:t xml:space="preserve"> For a dissenting view, see Derpanopolous et al. (2016)</w:t>
      </w:r>
      <w:r>
        <w:rPr>
          <w:rFonts w:ascii="Times New Roman" w:hAnsi="Times New Roman" w:cs="Times New Roman"/>
        </w:rPr>
        <w:t>.</w:t>
      </w:r>
    </w:p>
  </w:footnote>
  <w:footnote w:id="6">
    <w:p w14:paraId="040BE6CE" w14:textId="1AB288A7" w:rsidR="003875C0" w:rsidRPr="004A322F" w:rsidRDefault="003875C0" w:rsidP="003875C0">
      <w:pPr>
        <w:pStyle w:val="FootnoteText"/>
        <w:rPr>
          <w:rFonts w:ascii="Times New Roman" w:hAnsi="Times New Roman" w:cs="Times New Roman"/>
        </w:rPr>
      </w:pPr>
      <w:r w:rsidRPr="004A322F">
        <w:rPr>
          <w:rStyle w:val="FootnoteReference"/>
          <w:rFonts w:ascii="Times New Roman" w:hAnsi="Times New Roman" w:cs="Times New Roman"/>
          <w:sz w:val="22"/>
          <w:szCs w:val="22"/>
        </w:rPr>
        <w:footnoteRef/>
      </w:r>
      <w:r w:rsidRPr="004A322F">
        <w:rPr>
          <w:rFonts w:ascii="Times New Roman" w:hAnsi="Times New Roman" w:cs="Times New Roman"/>
          <w:sz w:val="22"/>
          <w:szCs w:val="22"/>
        </w:rPr>
        <w:t xml:space="preserve"> </w:t>
      </w:r>
      <w:r w:rsidRPr="003875C0">
        <w:rPr>
          <w:rFonts w:ascii="Times New Roman" w:hAnsi="Times New Roman" w:cs="Times New Roman"/>
        </w:rPr>
        <w:t xml:space="preserve">Enshrined in Article 35 of the TSK Law, the military legitimized its intervention in politics </w:t>
      </w:r>
      <w:r w:rsidR="008B3E16">
        <w:rPr>
          <w:rFonts w:ascii="Times New Roman" w:hAnsi="Times New Roman" w:cs="Times New Roman"/>
        </w:rPr>
        <w:t>on grounds that it is the</w:t>
      </w:r>
      <w:r w:rsidRPr="003875C0">
        <w:rPr>
          <w:rFonts w:ascii="Times New Roman" w:hAnsi="Times New Roman" w:cs="Times New Roman"/>
        </w:rPr>
        <w:t xml:space="preserve"> guardian of</w:t>
      </w:r>
      <w:r w:rsidR="008B3E16">
        <w:rPr>
          <w:rFonts w:ascii="Times New Roman" w:hAnsi="Times New Roman" w:cs="Times New Roman"/>
        </w:rPr>
        <w:t xml:space="preserve"> both</w:t>
      </w:r>
      <w:r w:rsidRPr="003875C0">
        <w:rPr>
          <w:rFonts w:ascii="Times New Roman" w:hAnsi="Times New Roman" w:cs="Times New Roman"/>
        </w:rPr>
        <w:t xml:space="preserve"> the state and</w:t>
      </w:r>
      <w:r w:rsidR="008B3E16">
        <w:rPr>
          <w:rFonts w:ascii="Times New Roman" w:hAnsi="Times New Roman" w:cs="Times New Roman"/>
        </w:rPr>
        <w:t xml:space="preserve"> </w:t>
      </w:r>
      <w:r w:rsidRPr="003875C0">
        <w:rPr>
          <w:rFonts w:ascii="Times New Roman" w:hAnsi="Times New Roman" w:cs="Times New Roman"/>
        </w:rPr>
        <w:t>regime grounded in Kemalism</w:t>
      </w:r>
      <w:r w:rsidR="008B3E16">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395E2" w14:textId="34D25912" w:rsidR="00350523" w:rsidRPr="0092568C" w:rsidRDefault="00350523" w:rsidP="00350523">
    <w:pPr>
      <w:pStyle w:val="Header"/>
      <w:rPr>
        <w:rFonts w:ascii="Times New Roman" w:hAnsi="Times New Roman" w:cs="Times New Roman"/>
      </w:rPr>
    </w:pPr>
    <w:r w:rsidRPr="0092568C">
      <w:rPr>
        <w:rFonts w:ascii="Times New Roman" w:hAnsi="Times New Roman" w:cs="Times New Roman"/>
      </w:rPr>
      <w:t>Civil-Military Relations in the Aftermath of Coups</w:t>
    </w:r>
    <w:r w:rsidRPr="0092568C">
      <w:rPr>
        <w:rFonts w:ascii="Times New Roman" w:hAnsi="Times New Roman" w:cs="Times New Roman"/>
      </w:rPr>
      <w:tab/>
    </w:r>
    <w:r w:rsidRPr="0092568C">
      <w:rPr>
        <w:rFonts w:ascii="Times New Roman" w:hAnsi="Times New Roman" w:cs="Times New Roman"/>
      </w:rPr>
      <w:tab/>
    </w:r>
    <w:sdt>
      <w:sdtPr>
        <w:rPr>
          <w:rFonts w:ascii="Times New Roman" w:hAnsi="Times New Roman" w:cs="Times New Roman"/>
        </w:rPr>
        <w:id w:val="-493869843"/>
        <w:docPartObj>
          <w:docPartGallery w:val="Page Numbers (Top of Page)"/>
          <w:docPartUnique/>
        </w:docPartObj>
      </w:sdtPr>
      <w:sdtEndPr>
        <w:rPr>
          <w:noProof/>
        </w:rPr>
      </w:sdtEndPr>
      <w:sdtContent>
        <w:r w:rsidRPr="0092568C">
          <w:rPr>
            <w:rFonts w:ascii="Times New Roman" w:hAnsi="Times New Roman" w:cs="Times New Roman"/>
          </w:rPr>
          <w:fldChar w:fldCharType="begin"/>
        </w:r>
        <w:r w:rsidRPr="0092568C">
          <w:rPr>
            <w:rFonts w:ascii="Times New Roman" w:hAnsi="Times New Roman" w:cs="Times New Roman"/>
          </w:rPr>
          <w:instrText xml:space="preserve"> PAGE   \* MERGEFORMAT </w:instrText>
        </w:r>
        <w:r w:rsidRPr="0092568C">
          <w:rPr>
            <w:rFonts w:ascii="Times New Roman" w:hAnsi="Times New Roman" w:cs="Times New Roman"/>
          </w:rPr>
          <w:fldChar w:fldCharType="separate"/>
        </w:r>
        <w:r w:rsidRPr="0092568C">
          <w:rPr>
            <w:rFonts w:ascii="Times New Roman" w:hAnsi="Times New Roman" w:cs="Times New Roman"/>
            <w:noProof/>
          </w:rPr>
          <w:t>2</w:t>
        </w:r>
        <w:r w:rsidRPr="0092568C">
          <w:rPr>
            <w:rFonts w:ascii="Times New Roman" w:hAnsi="Times New Roman" w:cs="Times New Roman"/>
            <w:noProof/>
          </w:rPr>
          <w:fldChar w:fldCharType="end"/>
        </w:r>
      </w:sdtContent>
    </w:sdt>
  </w:p>
  <w:p w14:paraId="7B3987B9" w14:textId="77777777" w:rsidR="00350523" w:rsidRDefault="00350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1DA0" w14:textId="63683EBE" w:rsidR="005B4F67" w:rsidRPr="007E644F" w:rsidRDefault="005B4F67">
    <w:pPr>
      <w:pStyle w:val="Header"/>
      <w:rPr>
        <w:rFonts w:ascii="Times New Roman" w:hAnsi="Times New Roman" w:cs="Times New Roman"/>
      </w:rPr>
    </w:pPr>
    <w:r w:rsidRPr="007E644F">
      <w:rPr>
        <w:rFonts w:ascii="Times New Roman" w:hAnsi="Times New Roman" w:cs="Times New Roman"/>
      </w:rPr>
      <w:t xml:space="preserve">Running Head: </w:t>
    </w:r>
    <w:r w:rsidR="007E644F" w:rsidRPr="007E644F">
      <w:rPr>
        <w:rFonts w:ascii="Times New Roman" w:hAnsi="Times New Roman" w:cs="Times New Roman"/>
      </w:rPr>
      <w:t>Civil-Military Relations in the Aftermath of Coups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1F03C0"/>
    <w:multiLevelType w:val="hybridMultilevel"/>
    <w:tmpl w:val="ACD6FA5A"/>
    <w:lvl w:ilvl="0" w:tplc="E85CC28E">
      <w:start w:val="1"/>
      <w:numFmt w:val="decimal"/>
      <w:lvlText w:val="%1."/>
      <w:lvlJc w:val="left"/>
      <w:pPr>
        <w:ind w:left="720" w:hanging="360"/>
      </w:pPr>
      <w:rPr>
        <w:rFonts w:ascii="Times New Roman" w:hAnsi="Times New Roman" w:cs="Times New Roman" w:hint="default"/>
        <w:i/>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9D0AA4"/>
    <w:multiLevelType w:val="hybridMultilevel"/>
    <w:tmpl w:val="82940388"/>
    <w:lvl w:ilvl="0" w:tplc="D070D7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588413">
    <w:abstractNumId w:val="0"/>
  </w:num>
  <w:num w:numId="2" w16cid:durableId="104202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5C0"/>
    <w:rsid w:val="00005907"/>
    <w:rsid w:val="000069F0"/>
    <w:rsid w:val="000135E8"/>
    <w:rsid w:val="0002329D"/>
    <w:rsid w:val="000238AF"/>
    <w:rsid w:val="0002422F"/>
    <w:rsid w:val="000315B9"/>
    <w:rsid w:val="000328E2"/>
    <w:rsid w:val="00033EC6"/>
    <w:rsid w:val="00034985"/>
    <w:rsid w:val="00034CE3"/>
    <w:rsid w:val="00041EDC"/>
    <w:rsid w:val="0005405A"/>
    <w:rsid w:val="00066537"/>
    <w:rsid w:val="00066652"/>
    <w:rsid w:val="000746D3"/>
    <w:rsid w:val="000770E9"/>
    <w:rsid w:val="00080259"/>
    <w:rsid w:val="0009084B"/>
    <w:rsid w:val="000A0DC1"/>
    <w:rsid w:val="000A2C5E"/>
    <w:rsid w:val="000A3375"/>
    <w:rsid w:val="000B18DD"/>
    <w:rsid w:val="000B4576"/>
    <w:rsid w:val="000B6906"/>
    <w:rsid w:val="000B7BDD"/>
    <w:rsid w:val="000D2CF6"/>
    <w:rsid w:val="000D410B"/>
    <w:rsid w:val="000D49CF"/>
    <w:rsid w:val="000D6950"/>
    <w:rsid w:val="000E1272"/>
    <w:rsid w:val="000E57B9"/>
    <w:rsid w:val="000E6E2B"/>
    <w:rsid w:val="000E703A"/>
    <w:rsid w:val="000F274A"/>
    <w:rsid w:val="0011350D"/>
    <w:rsid w:val="00121D76"/>
    <w:rsid w:val="001379FD"/>
    <w:rsid w:val="0014157E"/>
    <w:rsid w:val="0014402A"/>
    <w:rsid w:val="001468AE"/>
    <w:rsid w:val="001475D0"/>
    <w:rsid w:val="00147F56"/>
    <w:rsid w:val="0015188B"/>
    <w:rsid w:val="00153A16"/>
    <w:rsid w:val="001613C2"/>
    <w:rsid w:val="00167013"/>
    <w:rsid w:val="00170B28"/>
    <w:rsid w:val="00171424"/>
    <w:rsid w:val="0018050B"/>
    <w:rsid w:val="0018582F"/>
    <w:rsid w:val="001917C0"/>
    <w:rsid w:val="0019220C"/>
    <w:rsid w:val="001975A5"/>
    <w:rsid w:val="001A021F"/>
    <w:rsid w:val="001A19E3"/>
    <w:rsid w:val="001C6C54"/>
    <w:rsid w:val="001D0540"/>
    <w:rsid w:val="001D1269"/>
    <w:rsid w:val="001D5CFA"/>
    <w:rsid w:val="001D6FBD"/>
    <w:rsid w:val="001E4D01"/>
    <w:rsid w:val="001E5195"/>
    <w:rsid w:val="001F2763"/>
    <w:rsid w:val="001F5B61"/>
    <w:rsid w:val="002021F6"/>
    <w:rsid w:val="002055CD"/>
    <w:rsid w:val="00206BFF"/>
    <w:rsid w:val="002240A9"/>
    <w:rsid w:val="00235DF2"/>
    <w:rsid w:val="00261173"/>
    <w:rsid w:val="00263625"/>
    <w:rsid w:val="002649D6"/>
    <w:rsid w:val="0026554B"/>
    <w:rsid w:val="00270835"/>
    <w:rsid w:val="00271834"/>
    <w:rsid w:val="0027540A"/>
    <w:rsid w:val="00275667"/>
    <w:rsid w:val="00282734"/>
    <w:rsid w:val="00285C97"/>
    <w:rsid w:val="00294444"/>
    <w:rsid w:val="002976A5"/>
    <w:rsid w:val="002A6838"/>
    <w:rsid w:val="002B4968"/>
    <w:rsid w:val="002C1FD4"/>
    <w:rsid w:val="002C2AEB"/>
    <w:rsid w:val="002C2B0E"/>
    <w:rsid w:val="002C2E33"/>
    <w:rsid w:val="002C58F5"/>
    <w:rsid w:val="002C5C6B"/>
    <w:rsid w:val="002C66C5"/>
    <w:rsid w:val="002C688C"/>
    <w:rsid w:val="002D243B"/>
    <w:rsid w:val="002D3CD7"/>
    <w:rsid w:val="002D42F7"/>
    <w:rsid w:val="002D44EE"/>
    <w:rsid w:val="002D56B3"/>
    <w:rsid w:val="002D6AC3"/>
    <w:rsid w:val="002E6B11"/>
    <w:rsid w:val="002F30D0"/>
    <w:rsid w:val="002F5524"/>
    <w:rsid w:val="002F5A51"/>
    <w:rsid w:val="002F736E"/>
    <w:rsid w:val="00303F3B"/>
    <w:rsid w:val="003056B6"/>
    <w:rsid w:val="003059B8"/>
    <w:rsid w:val="003205BC"/>
    <w:rsid w:val="0032538D"/>
    <w:rsid w:val="00325674"/>
    <w:rsid w:val="0033373E"/>
    <w:rsid w:val="00333E7C"/>
    <w:rsid w:val="0033458F"/>
    <w:rsid w:val="00343E34"/>
    <w:rsid w:val="00350523"/>
    <w:rsid w:val="00352927"/>
    <w:rsid w:val="003566B7"/>
    <w:rsid w:val="003619F4"/>
    <w:rsid w:val="00363C74"/>
    <w:rsid w:val="00371724"/>
    <w:rsid w:val="00373527"/>
    <w:rsid w:val="00374DBE"/>
    <w:rsid w:val="00380E6D"/>
    <w:rsid w:val="003875C0"/>
    <w:rsid w:val="00392E3D"/>
    <w:rsid w:val="0039522A"/>
    <w:rsid w:val="003B2220"/>
    <w:rsid w:val="003D230F"/>
    <w:rsid w:val="003E04E2"/>
    <w:rsid w:val="003E1A47"/>
    <w:rsid w:val="003E26A9"/>
    <w:rsid w:val="003E4E68"/>
    <w:rsid w:val="003F4B69"/>
    <w:rsid w:val="003F5E40"/>
    <w:rsid w:val="004139C2"/>
    <w:rsid w:val="00427E47"/>
    <w:rsid w:val="004344FF"/>
    <w:rsid w:val="00434A08"/>
    <w:rsid w:val="004374B2"/>
    <w:rsid w:val="00443B17"/>
    <w:rsid w:val="00446956"/>
    <w:rsid w:val="00451668"/>
    <w:rsid w:val="0045797B"/>
    <w:rsid w:val="00462B6E"/>
    <w:rsid w:val="00466EB3"/>
    <w:rsid w:val="004670A5"/>
    <w:rsid w:val="00473F56"/>
    <w:rsid w:val="00476037"/>
    <w:rsid w:val="0048509C"/>
    <w:rsid w:val="00486653"/>
    <w:rsid w:val="004905D5"/>
    <w:rsid w:val="00490ED7"/>
    <w:rsid w:val="004961F8"/>
    <w:rsid w:val="004A1119"/>
    <w:rsid w:val="004A19BB"/>
    <w:rsid w:val="004B1299"/>
    <w:rsid w:val="004C1F83"/>
    <w:rsid w:val="004C2D5D"/>
    <w:rsid w:val="004C7C28"/>
    <w:rsid w:val="004D3A71"/>
    <w:rsid w:val="004D4C61"/>
    <w:rsid w:val="004D4EF7"/>
    <w:rsid w:val="004D5AFD"/>
    <w:rsid w:val="004D7459"/>
    <w:rsid w:val="004E552D"/>
    <w:rsid w:val="00500F27"/>
    <w:rsid w:val="00501F41"/>
    <w:rsid w:val="00501FEB"/>
    <w:rsid w:val="00503EB6"/>
    <w:rsid w:val="00506161"/>
    <w:rsid w:val="0051643B"/>
    <w:rsid w:val="00532B0F"/>
    <w:rsid w:val="00536009"/>
    <w:rsid w:val="0053623E"/>
    <w:rsid w:val="005402A8"/>
    <w:rsid w:val="005447D9"/>
    <w:rsid w:val="00544C2E"/>
    <w:rsid w:val="0054748D"/>
    <w:rsid w:val="00557237"/>
    <w:rsid w:val="00560EE7"/>
    <w:rsid w:val="00560FB3"/>
    <w:rsid w:val="00563ED3"/>
    <w:rsid w:val="00564C8D"/>
    <w:rsid w:val="00565040"/>
    <w:rsid w:val="00571E8C"/>
    <w:rsid w:val="00575A46"/>
    <w:rsid w:val="00583E86"/>
    <w:rsid w:val="005873D7"/>
    <w:rsid w:val="00593AD8"/>
    <w:rsid w:val="005957EC"/>
    <w:rsid w:val="005A545D"/>
    <w:rsid w:val="005A609A"/>
    <w:rsid w:val="005B4F67"/>
    <w:rsid w:val="005B518F"/>
    <w:rsid w:val="005B616C"/>
    <w:rsid w:val="005C5869"/>
    <w:rsid w:val="005D24DA"/>
    <w:rsid w:val="005E23A3"/>
    <w:rsid w:val="005E449D"/>
    <w:rsid w:val="005E46C3"/>
    <w:rsid w:val="005E73A9"/>
    <w:rsid w:val="006009F7"/>
    <w:rsid w:val="00601C80"/>
    <w:rsid w:val="00604139"/>
    <w:rsid w:val="00604FE0"/>
    <w:rsid w:val="00611C4C"/>
    <w:rsid w:val="006176BD"/>
    <w:rsid w:val="00617DA5"/>
    <w:rsid w:val="00624D95"/>
    <w:rsid w:val="006350A5"/>
    <w:rsid w:val="0063525C"/>
    <w:rsid w:val="00652195"/>
    <w:rsid w:val="006526AA"/>
    <w:rsid w:val="00663066"/>
    <w:rsid w:val="006716A6"/>
    <w:rsid w:val="00674091"/>
    <w:rsid w:val="006755F5"/>
    <w:rsid w:val="0068693A"/>
    <w:rsid w:val="006C3A17"/>
    <w:rsid w:val="006D62BD"/>
    <w:rsid w:val="006D6F24"/>
    <w:rsid w:val="006F14FF"/>
    <w:rsid w:val="006F754D"/>
    <w:rsid w:val="007032BA"/>
    <w:rsid w:val="00703C09"/>
    <w:rsid w:val="00704252"/>
    <w:rsid w:val="0070496A"/>
    <w:rsid w:val="0070723D"/>
    <w:rsid w:val="00712FF3"/>
    <w:rsid w:val="0071498C"/>
    <w:rsid w:val="00722C69"/>
    <w:rsid w:val="007311FE"/>
    <w:rsid w:val="0073531B"/>
    <w:rsid w:val="0073587D"/>
    <w:rsid w:val="00737AA0"/>
    <w:rsid w:val="00742C36"/>
    <w:rsid w:val="00743E12"/>
    <w:rsid w:val="007456C8"/>
    <w:rsid w:val="007460B6"/>
    <w:rsid w:val="00750709"/>
    <w:rsid w:val="00754D9C"/>
    <w:rsid w:val="00755877"/>
    <w:rsid w:val="007716B3"/>
    <w:rsid w:val="00774732"/>
    <w:rsid w:val="00776D56"/>
    <w:rsid w:val="00782054"/>
    <w:rsid w:val="0078650A"/>
    <w:rsid w:val="00793104"/>
    <w:rsid w:val="0079375C"/>
    <w:rsid w:val="007954C6"/>
    <w:rsid w:val="00796E5D"/>
    <w:rsid w:val="007A4B63"/>
    <w:rsid w:val="007A5168"/>
    <w:rsid w:val="007A6C64"/>
    <w:rsid w:val="007A7929"/>
    <w:rsid w:val="007B7A49"/>
    <w:rsid w:val="007C1212"/>
    <w:rsid w:val="007C3597"/>
    <w:rsid w:val="007C7F7A"/>
    <w:rsid w:val="007D120D"/>
    <w:rsid w:val="007D5A10"/>
    <w:rsid w:val="007E1698"/>
    <w:rsid w:val="007E644F"/>
    <w:rsid w:val="007E6FCF"/>
    <w:rsid w:val="007E7F26"/>
    <w:rsid w:val="007F150B"/>
    <w:rsid w:val="008001FE"/>
    <w:rsid w:val="008016DA"/>
    <w:rsid w:val="00803446"/>
    <w:rsid w:val="00811912"/>
    <w:rsid w:val="00812C82"/>
    <w:rsid w:val="008239B0"/>
    <w:rsid w:val="00823F75"/>
    <w:rsid w:val="0083112B"/>
    <w:rsid w:val="00836A6C"/>
    <w:rsid w:val="008410F8"/>
    <w:rsid w:val="008432B8"/>
    <w:rsid w:val="008472F2"/>
    <w:rsid w:val="00850928"/>
    <w:rsid w:val="00871969"/>
    <w:rsid w:val="00876C43"/>
    <w:rsid w:val="00882109"/>
    <w:rsid w:val="00883449"/>
    <w:rsid w:val="0088454D"/>
    <w:rsid w:val="008909AF"/>
    <w:rsid w:val="008915CE"/>
    <w:rsid w:val="00892888"/>
    <w:rsid w:val="00895DCF"/>
    <w:rsid w:val="008A1D39"/>
    <w:rsid w:val="008A3364"/>
    <w:rsid w:val="008A5731"/>
    <w:rsid w:val="008A5742"/>
    <w:rsid w:val="008A697C"/>
    <w:rsid w:val="008B2652"/>
    <w:rsid w:val="008B3E16"/>
    <w:rsid w:val="008B638C"/>
    <w:rsid w:val="008B6A8D"/>
    <w:rsid w:val="008C3212"/>
    <w:rsid w:val="008C4F14"/>
    <w:rsid w:val="008C70BF"/>
    <w:rsid w:val="008D0410"/>
    <w:rsid w:val="008D2AC4"/>
    <w:rsid w:val="008D4BF2"/>
    <w:rsid w:val="008E1A9B"/>
    <w:rsid w:val="008E6AE2"/>
    <w:rsid w:val="008F48F0"/>
    <w:rsid w:val="0090581A"/>
    <w:rsid w:val="00905DAA"/>
    <w:rsid w:val="00914B5C"/>
    <w:rsid w:val="0091503F"/>
    <w:rsid w:val="0092221C"/>
    <w:rsid w:val="0092568C"/>
    <w:rsid w:val="00927D4A"/>
    <w:rsid w:val="00945F53"/>
    <w:rsid w:val="00947A9F"/>
    <w:rsid w:val="00955193"/>
    <w:rsid w:val="00964FDE"/>
    <w:rsid w:val="0097503D"/>
    <w:rsid w:val="009827D1"/>
    <w:rsid w:val="0099263B"/>
    <w:rsid w:val="00992909"/>
    <w:rsid w:val="00993B13"/>
    <w:rsid w:val="009A31E0"/>
    <w:rsid w:val="009A4ED1"/>
    <w:rsid w:val="009A7B16"/>
    <w:rsid w:val="009B05EC"/>
    <w:rsid w:val="009B1F51"/>
    <w:rsid w:val="009B362B"/>
    <w:rsid w:val="009C539D"/>
    <w:rsid w:val="009C5D86"/>
    <w:rsid w:val="009C6B43"/>
    <w:rsid w:val="009D24E1"/>
    <w:rsid w:val="009D6A81"/>
    <w:rsid w:val="009D6BC6"/>
    <w:rsid w:val="009D6E73"/>
    <w:rsid w:val="009D7622"/>
    <w:rsid w:val="009F75C1"/>
    <w:rsid w:val="00A07520"/>
    <w:rsid w:val="00A117BF"/>
    <w:rsid w:val="00A14674"/>
    <w:rsid w:val="00A16158"/>
    <w:rsid w:val="00A22F88"/>
    <w:rsid w:val="00A235C7"/>
    <w:rsid w:val="00A23A0C"/>
    <w:rsid w:val="00A32801"/>
    <w:rsid w:val="00A4002C"/>
    <w:rsid w:val="00A4782C"/>
    <w:rsid w:val="00A5602C"/>
    <w:rsid w:val="00A577C4"/>
    <w:rsid w:val="00A62E0A"/>
    <w:rsid w:val="00A6494C"/>
    <w:rsid w:val="00A670C1"/>
    <w:rsid w:val="00A733E3"/>
    <w:rsid w:val="00A772E6"/>
    <w:rsid w:val="00A8192D"/>
    <w:rsid w:val="00A827B6"/>
    <w:rsid w:val="00A83526"/>
    <w:rsid w:val="00A845E6"/>
    <w:rsid w:val="00A8596B"/>
    <w:rsid w:val="00A93BD0"/>
    <w:rsid w:val="00A93D42"/>
    <w:rsid w:val="00A97FEB"/>
    <w:rsid w:val="00AA5CA6"/>
    <w:rsid w:val="00AA67B9"/>
    <w:rsid w:val="00AA7FAA"/>
    <w:rsid w:val="00AC1DC5"/>
    <w:rsid w:val="00AC35D4"/>
    <w:rsid w:val="00AC4FAE"/>
    <w:rsid w:val="00AC6B98"/>
    <w:rsid w:val="00AC6F63"/>
    <w:rsid w:val="00AD085B"/>
    <w:rsid w:val="00AD0D22"/>
    <w:rsid w:val="00AD2C2E"/>
    <w:rsid w:val="00AD4CF2"/>
    <w:rsid w:val="00AE56C4"/>
    <w:rsid w:val="00AF24E4"/>
    <w:rsid w:val="00AF2625"/>
    <w:rsid w:val="00AF5F2B"/>
    <w:rsid w:val="00AF693A"/>
    <w:rsid w:val="00B01317"/>
    <w:rsid w:val="00B07623"/>
    <w:rsid w:val="00B24CA2"/>
    <w:rsid w:val="00B24FB9"/>
    <w:rsid w:val="00B267F7"/>
    <w:rsid w:val="00B325CB"/>
    <w:rsid w:val="00B34E53"/>
    <w:rsid w:val="00B35F17"/>
    <w:rsid w:val="00B50D3C"/>
    <w:rsid w:val="00B54141"/>
    <w:rsid w:val="00B60876"/>
    <w:rsid w:val="00B618E7"/>
    <w:rsid w:val="00B64E79"/>
    <w:rsid w:val="00B65C1C"/>
    <w:rsid w:val="00B6783C"/>
    <w:rsid w:val="00B7342C"/>
    <w:rsid w:val="00B73D87"/>
    <w:rsid w:val="00B753A2"/>
    <w:rsid w:val="00B7661C"/>
    <w:rsid w:val="00B815F2"/>
    <w:rsid w:val="00B86C72"/>
    <w:rsid w:val="00B8792C"/>
    <w:rsid w:val="00B92494"/>
    <w:rsid w:val="00B97C9B"/>
    <w:rsid w:val="00BA3F15"/>
    <w:rsid w:val="00BA45D3"/>
    <w:rsid w:val="00BA4AF5"/>
    <w:rsid w:val="00BA52A5"/>
    <w:rsid w:val="00BB4CC2"/>
    <w:rsid w:val="00BB74A4"/>
    <w:rsid w:val="00BC0388"/>
    <w:rsid w:val="00BC1F41"/>
    <w:rsid w:val="00BC3E35"/>
    <w:rsid w:val="00BD3790"/>
    <w:rsid w:val="00BD6CBB"/>
    <w:rsid w:val="00BE0B62"/>
    <w:rsid w:val="00BE3B10"/>
    <w:rsid w:val="00BE49FD"/>
    <w:rsid w:val="00BE5415"/>
    <w:rsid w:val="00BE6052"/>
    <w:rsid w:val="00BE60FA"/>
    <w:rsid w:val="00BF4E3B"/>
    <w:rsid w:val="00BF73D9"/>
    <w:rsid w:val="00C05DF2"/>
    <w:rsid w:val="00C101E8"/>
    <w:rsid w:val="00C10346"/>
    <w:rsid w:val="00C12A21"/>
    <w:rsid w:val="00C214F7"/>
    <w:rsid w:val="00C2196C"/>
    <w:rsid w:val="00C254FC"/>
    <w:rsid w:val="00C30342"/>
    <w:rsid w:val="00C316AD"/>
    <w:rsid w:val="00C33040"/>
    <w:rsid w:val="00C338E8"/>
    <w:rsid w:val="00C41917"/>
    <w:rsid w:val="00C43695"/>
    <w:rsid w:val="00C506EC"/>
    <w:rsid w:val="00C534B9"/>
    <w:rsid w:val="00C60814"/>
    <w:rsid w:val="00C60D71"/>
    <w:rsid w:val="00C61599"/>
    <w:rsid w:val="00C620B0"/>
    <w:rsid w:val="00C6302F"/>
    <w:rsid w:val="00C63071"/>
    <w:rsid w:val="00C67589"/>
    <w:rsid w:val="00C703C8"/>
    <w:rsid w:val="00C70AF8"/>
    <w:rsid w:val="00C7243C"/>
    <w:rsid w:val="00C8172E"/>
    <w:rsid w:val="00C82A18"/>
    <w:rsid w:val="00C8521A"/>
    <w:rsid w:val="00C855AB"/>
    <w:rsid w:val="00C90AB2"/>
    <w:rsid w:val="00C952D8"/>
    <w:rsid w:val="00C965BF"/>
    <w:rsid w:val="00C976D9"/>
    <w:rsid w:val="00CA0990"/>
    <w:rsid w:val="00CA643B"/>
    <w:rsid w:val="00CB0639"/>
    <w:rsid w:val="00CB589A"/>
    <w:rsid w:val="00CC3981"/>
    <w:rsid w:val="00CC5817"/>
    <w:rsid w:val="00CD6A21"/>
    <w:rsid w:val="00CE3F37"/>
    <w:rsid w:val="00CE5CCA"/>
    <w:rsid w:val="00D02097"/>
    <w:rsid w:val="00D03D11"/>
    <w:rsid w:val="00D045DD"/>
    <w:rsid w:val="00D04996"/>
    <w:rsid w:val="00D10476"/>
    <w:rsid w:val="00D10BB6"/>
    <w:rsid w:val="00D14E98"/>
    <w:rsid w:val="00D24C6A"/>
    <w:rsid w:val="00D300E6"/>
    <w:rsid w:val="00D3508B"/>
    <w:rsid w:val="00D3580D"/>
    <w:rsid w:val="00D432A6"/>
    <w:rsid w:val="00D50CCE"/>
    <w:rsid w:val="00D51D66"/>
    <w:rsid w:val="00D5320C"/>
    <w:rsid w:val="00D54B6A"/>
    <w:rsid w:val="00D61F30"/>
    <w:rsid w:val="00D65BE6"/>
    <w:rsid w:val="00D70254"/>
    <w:rsid w:val="00D736E8"/>
    <w:rsid w:val="00D80673"/>
    <w:rsid w:val="00D848BA"/>
    <w:rsid w:val="00D95AA5"/>
    <w:rsid w:val="00D95DDE"/>
    <w:rsid w:val="00DA5E16"/>
    <w:rsid w:val="00DB001B"/>
    <w:rsid w:val="00DC644C"/>
    <w:rsid w:val="00DC7653"/>
    <w:rsid w:val="00DD5C3A"/>
    <w:rsid w:val="00DD6E83"/>
    <w:rsid w:val="00DE0822"/>
    <w:rsid w:val="00DE1437"/>
    <w:rsid w:val="00DE4923"/>
    <w:rsid w:val="00DE6299"/>
    <w:rsid w:val="00DE6E63"/>
    <w:rsid w:val="00DF4B74"/>
    <w:rsid w:val="00E03C78"/>
    <w:rsid w:val="00E0788C"/>
    <w:rsid w:val="00E1622C"/>
    <w:rsid w:val="00E16286"/>
    <w:rsid w:val="00E244C8"/>
    <w:rsid w:val="00E27784"/>
    <w:rsid w:val="00E332F9"/>
    <w:rsid w:val="00E4469A"/>
    <w:rsid w:val="00E4762E"/>
    <w:rsid w:val="00E54406"/>
    <w:rsid w:val="00E572F7"/>
    <w:rsid w:val="00E65E54"/>
    <w:rsid w:val="00E775B7"/>
    <w:rsid w:val="00E80474"/>
    <w:rsid w:val="00E84BA1"/>
    <w:rsid w:val="00E84D63"/>
    <w:rsid w:val="00E90635"/>
    <w:rsid w:val="00E95753"/>
    <w:rsid w:val="00EA703A"/>
    <w:rsid w:val="00EB13C6"/>
    <w:rsid w:val="00EB4724"/>
    <w:rsid w:val="00EB5BFE"/>
    <w:rsid w:val="00EB71C5"/>
    <w:rsid w:val="00EC2CC2"/>
    <w:rsid w:val="00EC7C3A"/>
    <w:rsid w:val="00EC7FB2"/>
    <w:rsid w:val="00ED4FC9"/>
    <w:rsid w:val="00ED5E6E"/>
    <w:rsid w:val="00EE375B"/>
    <w:rsid w:val="00EF0E15"/>
    <w:rsid w:val="00EF7CBB"/>
    <w:rsid w:val="00F03ABC"/>
    <w:rsid w:val="00F041A7"/>
    <w:rsid w:val="00F07CF4"/>
    <w:rsid w:val="00F130FE"/>
    <w:rsid w:val="00F155AA"/>
    <w:rsid w:val="00F33A95"/>
    <w:rsid w:val="00F453B3"/>
    <w:rsid w:val="00F45C84"/>
    <w:rsid w:val="00F470BA"/>
    <w:rsid w:val="00F477F1"/>
    <w:rsid w:val="00F52D04"/>
    <w:rsid w:val="00F64BEE"/>
    <w:rsid w:val="00F775DB"/>
    <w:rsid w:val="00F91668"/>
    <w:rsid w:val="00F9386B"/>
    <w:rsid w:val="00FA1C70"/>
    <w:rsid w:val="00FA4EDC"/>
    <w:rsid w:val="00FA77B0"/>
    <w:rsid w:val="00FC2B6A"/>
    <w:rsid w:val="00FC2BAD"/>
    <w:rsid w:val="00FC5E18"/>
    <w:rsid w:val="00FD236E"/>
    <w:rsid w:val="00FD5353"/>
    <w:rsid w:val="00FD5EA6"/>
    <w:rsid w:val="00FD6D74"/>
    <w:rsid w:val="00FE176A"/>
    <w:rsid w:val="00FE179C"/>
    <w:rsid w:val="00FF14E7"/>
    <w:rsid w:val="00FF304F"/>
    <w:rsid w:val="00FF4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44D9"/>
  <w15:chartTrackingRefBased/>
  <w15:docId w15:val="{857DD81F-72DD-48C4-AE45-65BF4053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5C0"/>
  </w:style>
  <w:style w:type="paragraph" w:styleId="Heading1">
    <w:name w:val="heading 1"/>
    <w:basedOn w:val="Normal"/>
    <w:next w:val="Normal"/>
    <w:link w:val="Heading1Char"/>
    <w:uiPriority w:val="9"/>
    <w:qFormat/>
    <w:rsid w:val="003875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75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75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75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75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75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75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75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75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7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7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75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7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7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7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7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75C0"/>
    <w:rPr>
      <w:rFonts w:eastAsiaTheme="majorEastAsia" w:cstheme="majorBidi"/>
      <w:color w:val="272727" w:themeColor="text1" w:themeTint="D8"/>
    </w:rPr>
  </w:style>
  <w:style w:type="paragraph" w:styleId="Title">
    <w:name w:val="Title"/>
    <w:basedOn w:val="Normal"/>
    <w:next w:val="Normal"/>
    <w:link w:val="TitleChar"/>
    <w:uiPriority w:val="10"/>
    <w:qFormat/>
    <w:rsid w:val="003875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7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75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7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75C0"/>
    <w:pPr>
      <w:spacing w:before="160"/>
      <w:jc w:val="center"/>
    </w:pPr>
    <w:rPr>
      <w:i/>
      <w:iCs/>
      <w:color w:val="404040" w:themeColor="text1" w:themeTint="BF"/>
    </w:rPr>
  </w:style>
  <w:style w:type="character" w:customStyle="1" w:styleId="QuoteChar">
    <w:name w:val="Quote Char"/>
    <w:basedOn w:val="DefaultParagraphFont"/>
    <w:link w:val="Quote"/>
    <w:uiPriority w:val="29"/>
    <w:rsid w:val="003875C0"/>
    <w:rPr>
      <w:i/>
      <w:iCs/>
      <w:color w:val="404040" w:themeColor="text1" w:themeTint="BF"/>
    </w:rPr>
  </w:style>
  <w:style w:type="paragraph" w:styleId="ListParagraph">
    <w:name w:val="List Paragraph"/>
    <w:basedOn w:val="Normal"/>
    <w:uiPriority w:val="34"/>
    <w:qFormat/>
    <w:rsid w:val="003875C0"/>
    <w:pPr>
      <w:ind w:left="720"/>
      <w:contextualSpacing/>
    </w:pPr>
  </w:style>
  <w:style w:type="character" w:styleId="IntenseEmphasis">
    <w:name w:val="Intense Emphasis"/>
    <w:basedOn w:val="DefaultParagraphFont"/>
    <w:uiPriority w:val="21"/>
    <w:qFormat/>
    <w:rsid w:val="003875C0"/>
    <w:rPr>
      <w:i/>
      <w:iCs/>
      <w:color w:val="0F4761" w:themeColor="accent1" w:themeShade="BF"/>
    </w:rPr>
  </w:style>
  <w:style w:type="paragraph" w:styleId="IntenseQuote">
    <w:name w:val="Intense Quote"/>
    <w:basedOn w:val="Normal"/>
    <w:next w:val="Normal"/>
    <w:link w:val="IntenseQuoteChar"/>
    <w:uiPriority w:val="30"/>
    <w:qFormat/>
    <w:rsid w:val="003875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75C0"/>
    <w:rPr>
      <w:i/>
      <w:iCs/>
      <w:color w:val="0F4761" w:themeColor="accent1" w:themeShade="BF"/>
    </w:rPr>
  </w:style>
  <w:style w:type="character" w:styleId="IntenseReference">
    <w:name w:val="Intense Reference"/>
    <w:basedOn w:val="DefaultParagraphFont"/>
    <w:uiPriority w:val="32"/>
    <w:qFormat/>
    <w:rsid w:val="003875C0"/>
    <w:rPr>
      <w:b/>
      <w:bCs/>
      <w:smallCaps/>
      <w:color w:val="0F4761" w:themeColor="accent1" w:themeShade="BF"/>
      <w:spacing w:val="5"/>
    </w:rPr>
  </w:style>
  <w:style w:type="paragraph" w:styleId="FootnoteText">
    <w:name w:val="footnote text"/>
    <w:basedOn w:val="Normal"/>
    <w:link w:val="FootnoteTextChar"/>
    <w:uiPriority w:val="99"/>
    <w:semiHidden/>
    <w:unhideWhenUsed/>
    <w:rsid w:val="003875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75C0"/>
    <w:rPr>
      <w:sz w:val="20"/>
      <w:szCs w:val="20"/>
    </w:rPr>
  </w:style>
  <w:style w:type="character" w:styleId="FootnoteReference">
    <w:name w:val="footnote reference"/>
    <w:basedOn w:val="DefaultParagraphFont"/>
    <w:uiPriority w:val="99"/>
    <w:semiHidden/>
    <w:unhideWhenUsed/>
    <w:rsid w:val="003875C0"/>
    <w:rPr>
      <w:vertAlign w:val="superscript"/>
    </w:rPr>
  </w:style>
  <w:style w:type="table" w:styleId="TableGrid">
    <w:name w:val="Table Grid"/>
    <w:basedOn w:val="TableNormal"/>
    <w:uiPriority w:val="39"/>
    <w:rsid w:val="00387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873D7"/>
    <w:rPr>
      <w:color w:val="467886" w:themeColor="hyperlink"/>
      <w:u w:val="single"/>
    </w:rPr>
  </w:style>
  <w:style w:type="paragraph" w:styleId="Header">
    <w:name w:val="header"/>
    <w:basedOn w:val="Normal"/>
    <w:link w:val="HeaderChar"/>
    <w:uiPriority w:val="99"/>
    <w:unhideWhenUsed/>
    <w:rsid w:val="00AA7F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FAA"/>
  </w:style>
  <w:style w:type="paragraph" w:styleId="Footer">
    <w:name w:val="footer"/>
    <w:basedOn w:val="Normal"/>
    <w:link w:val="FooterChar"/>
    <w:uiPriority w:val="99"/>
    <w:unhideWhenUsed/>
    <w:rsid w:val="00AA7F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FAA"/>
  </w:style>
  <w:style w:type="character" w:styleId="UnresolvedMention">
    <w:name w:val="Unresolved Mention"/>
    <w:basedOn w:val="DefaultParagraphFont"/>
    <w:uiPriority w:val="99"/>
    <w:semiHidden/>
    <w:unhideWhenUsed/>
    <w:rsid w:val="00536009"/>
    <w:rPr>
      <w:color w:val="605E5C"/>
      <w:shd w:val="clear" w:color="auto" w:fill="E1DFDD"/>
    </w:rPr>
  </w:style>
  <w:style w:type="character" w:styleId="FollowedHyperlink">
    <w:name w:val="FollowedHyperlink"/>
    <w:basedOn w:val="DefaultParagraphFont"/>
    <w:uiPriority w:val="99"/>
    <w:semiHidden/>
    <w:unhideWhenUsed/>
    <w:rsid w:val="006F754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059068">
      <w:bodyDiv w:val="1"/>
      <w:marLeft w:val="0"/>
      <w:marRight w:val="0"/>
      <w:marTop w:val="0"/>
      <w:marBottom w:val="0"/>
      <w:divBdr>
        <w:top w:val="none" w:sz="0" w:space="0" w:color="auto"/>
        <w:left w:val="none" w:sz="0" w:space="0" w:color="auto"/>
        <w:bottom w:val="none" w:sz="0" w:space="0" w:color="auto"/>
        <w:right w:val="none" w:sz="0" w:space="0" w:color="auto"/>
      </w:divBdr>
      <w:divsChild>
        <w:div w:id="1253978191">
          <w:marLeft w:val="0"/>
          <w:marRight w:val="0"/>
          <w:marTop w:val="0"/>
          <w:marBottom w:val="0"/>
          <w:divBdr>
            <w:top w:val="none" w:sz="0" w:space="0" w:color="auto"/>
            <w:left w:val="none" w:sz="0" w:space="0" w:color="auto"/>
            <w:bottom w:val="none" w:sz="0" w:space="0" w:color="auto"/>
            <w:right w:val="none" w:sz="0" w:space="0" w:color="auto"/>
          </w:divBdr>
          <w:divsChild>
            <w:div w:id="403651543">
              <w:marLeft w:val="0"/>
              <w:marRight w:val="0"/>
              <w:marTop w:val="0"/>
              <w:marBottom w:val="0"/>
              <w:divBdr>
                <w:top w:val="none" w:sz="0" w:space="0" w:color="auto"/>
                <w:left w:val="none" w:sz="0" w:space="0" w:color="auto"/>
                <w:bottom w:val="none" w:sz="0" w:space="0" w:color="auto"/>
                <w:right w:val="none" w:sz="0" w:space="0" w:color="auto"/>
              </w:divBdr>
              <w:divsChild>
                <w:div w:id="1459253820">
                  <w:marLeft w:val="0"/>
                  <w:marRight w:val="0"/>
                  <w:marTop w:val="0"/>
                  <w:marBottom w:val="0"/>
                  <w:divBdr>
                    <w:top w:val="none" w:sz="0" w:space="0" w:color="auto"/>
                    <w:left w:val="none" w:sz="0" w:space="0" w:color="auto"/>
                    <w:bottom w:val="none" w:sz="0" w:space="0" w:color="auto"/>
                    <w:right w:val="none" w:sz="0" w:space="0" w:color="auto"/>
                  </w:divBdr>
                  <w:divsChild>
                    <w:div w:id="705638452">
                      <w:marLeft w:val="0"/>
                      <w:marRight w:val="0"/>
                      <w:marTop w:val="0"/>
                      <w:marBottom w:val="0"/>
                      <w:divBdr>
                        <w:top w:val="none" w:sz="0" w:space="0" w:color="auto"/>
                        <w:left w:val="none" w:sz="0" w:space="0" w:color="auto"/>
                        <w:bottom w:val="none" w:sz="0" w:space="0" w:color="auto"/>
                        <w:right w:val="none" w:sz="0" w:space="0" w:color="auto"/>
                      </w:divBdr>
                      <w:divsChild>
                        <w:div w:id="348530732">
                          <w:marLeft w:val="0"/>
                          <w:marRight w:val="0"/>
                          <w:marTop w:val="0"/>
                          <w:marBottom w:val="0"/>
                          <w:divBdr>
                            <w:top w:val="none" w:sz="0" w:space="0" w:color="auto"/>
                            <w:left w:val="none" w:sz="0" w:space="0" w:color="auto"/>
                            <w:bottom w:val="none" w:sz="0" w:space="0" w:color="auto"/>
                            <w:right w:val="none" w:sz="0" w:space="0" w:color="auto"/>
                          </w:divBdr>
                          <w:divsChild>
                            <w:div w:id="14726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677613">
      <w:bodyDiv w:val="1"/>
      <w:marLeft w:val="0"/>
      <w:marRight w:val="0"/>
      <w:marTop w:val="0"/>
      <w:marBottom w:val="0"/>
      <w:divBdr>
        <w:top w:val="none" w:sz="0" w:space="0" w:color="auto"/>
        <w:left w:val="none" w:sz="0" w:space="0" w:color="auto"/>
        <w:bottom w:val="none" w:sz="0" w:space="0" w:color="auto"/>
        <w:right w:val="none" w:sz="0" w:space="0" w:color="auto"/>
      </w:divBdr>
      <w:divsChild>
        <w:div w:id="1582251374">
          <w:marLeft w:val="0"/>
          <w:marRight w:val="0"/>
          <w:marTop w:val="0"/>
          <w:marBottom w:val="0"/>
          <w:divBdr>
            <w:top w:val="none" w:sz="0" w:space="0" w:color="auto"/>
            <w:left w:val="none" w:sz="0" w:space="0" w:color="auto"/>
            <w:bottom w:val="none" w:sz="0" w:space="0" w:color="auto"/>
            <w:right w:val="none" w:sz="0" w:space="0" w:color="auto"/>
          </w:divBdr>
          <w:divsChild>
            <w:div w:id="848712515">
              <w:marLeft w:val="0"/>
              <w:marRight w:val="0"/>
              <w:marTop w:val="0"/>
              <w:marBottom w:val="0"/>
              <w:divBdr>
                <w:top w:val="none" w:sz="0" w:space="0" w:color="auto"/>
                <w:left w:val="none" w:sz="0" w:space="0" w:color="auto"/>
                <w:bottom w:val="none" w:sz="0" w:space="0" w:color="auto"/>
                <w:right w:val="none" w:sz="0" w:space="0" w:color="auto"/>
              </w:divBdr>
              <w:divsChild>
                <w:div w:id="1830974603">
                  <w:marLeft w:val="0"/>
                  <w:marRight w:val="0"/>
                  <w:marTop w:val="0"/>
                  <w:marBottom w:val="0"/>
                  <w:divBdr>
                    <w:top w:val="none" w:sz="0" w:space="0" w:color="auto"/>
                    <w:left w:val="none" w:sz="0" w:space="0" w:color="auto"/>
                    <w:bottom w:val="none" w:sz="0" w:space="0" w:color="auto"/>
                    <w:right w:val="none" w:sz="0" w:space="0" w:color="auto"/>
                  </w:divBdr>
                  <w:divsChild>
                    <w:div w:id="1598364643">
                      <w:marLeft w:val="0"/>
                      <w:marRight w:val="0"/>
                      <w:marTop w:val="0"/>
                      <w:marBottom w:val="0"/>
                      <w:divBdr>
                        <w:top w:val="none" w:sz="0" w:space="0" w:color="auto"/>
                        <w:left w:val="none" w:sz="0" w:space="0" w:color="auto"/>
                        <w:bottom w:val="none" w:sz="0" w:space="0" w:color="auto"/>
                        <w:right w:val="none" w:sz="0" w:space="0" w:color="auto"/>
                      </w:divBdr>
                      <w:divsChild>
                        <w:div w:id="1392195307">
                          <w:marLeft w:val="0"/>
                          <w:marRight w:val="0"/>
                          <w:marTop w:val="0"/>
                          <w:marBottom w:val="0"/>
                          <w:divBdr>
                            <w:top w:val="none" w:sz="0" w:space="0" w:color="auto"/>
                            <w:left w:val="none" w:sz="0" w:space="0" w:color="auto"/>
                            <w:bottom w:val="none" w:sz="0" w:space="0" w:color="auto"/>
                            <w:right w:val="none" w:sz="0" w:space="0" w:color="auto"/>
                          </w:divBdr>
                          <w:divsChild>
                            <w:div w:id="99622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www.voanews.com/a/erdogan-launches-crackdown-after-failed-coup-in-turkey/3421297.html" TargetMode="External"/><Relationship Id="rId3" Type="http://schemas.openxmlformats.org/officeDocument/2006/relationships/styles" Target="styles.xml"/><Relationship Id="rId21" Type="http://schemas.openxmlformats.org/officeDocument/2006/relationships/hyperlink" Target="https://jrgcmu.github.io/2sdd_current.pdf"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theguardian.com/world/2023/aug/30/gabon-coup-military-takeover-gabonese-election-dispute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searchworks.stanford.edu/view/28618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theses.ncl.ac.uk/jspui/handle/10443/1024?mode=simple" TargetMode="External"/><Relationship Id="rId10" Type="http://schemas.openxmlformats.org/officeDocument/2006/relationships/image" Target="media/image3.png"/><Relationship Id="rId19" Type="http://schemas.openxmlformats.org/officeDocument/2006/relationships/hyperlink" Target="https://projects.voanews.com/african-cou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https://www.cmi.no/publications/6028-civilian-and-military-relations-in-turk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81901-5FA9-4CAB-A3F2-B748E2A29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41</Pages>
  <Words>11167</Words>
  <Characters>63653</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University of Gothenburg</Company>
  <LinksUpToDate>false</LinksUpToDate>
  <CharactersWithSpaces>74671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Kyzym</dc:creator>
  <cp:keywords/>
  <dc:description/>
  <cp:lastModifiedBy>Artem Kyzym</cp:lastModifiedBy>
  <cp:revision>410</cp:revision>
  <cp:lastPrinted>2024-12-13T10:23:00Z</cp:lastPrinted>
  <dcterms:created xsi:type="dcterms:W3CDTF">2024-12-11T12:32:00Z</dcterms:created>
  <dcterms:modified xsi:type="dcterms:W3CDTF">2024-12-14T23:39:00Z</dcterms:modified>
</cp:coreProperties>
</file>