
<file path=[Content_Types].xml><?xml version="1.0" encoding="utf-8"?>
<Types xmlns="http://schemas.openxmlformats.org/package/2006/content-types">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B6D71EC">
      <w:pPr>
        <w:spacing w:line="360" w:lineRule="auto"/>
        <w:outlineLvl w:val="0"/>
        <w:rPr>
          <w:rFonts w:ascii="Times New Roman" w:hAnsi="Times New Roman" w:eastAsia="宋体" w:cs="Times New Roman"/>
          <w:b/>
          <w:bCs/>
          <w:sz w:val="32"/>
          <w:szCs w:val="32"/>
        </w:rPr>
      </w:pPr>
      <w:r>
        <w:rPr>
          <w:rFonts w:ascii="Times New Roman" w:hAnsi="Times New Roman" w:eastAsia="宋体" w:cs="Times New Roman"/>
          <w:b/>
          <w:bCs/>
          <w:sz w:val="32"/>
          <w:szCs w:val="32"/>
        </w:rPr>
        <w:t xml:space="preserve">Genetic Insights into Sheep Colostrum: Unraveling the Impact of </w:t>
      </w:r>
      <w:r>
        <w:rPr>
          <w:rFonts w:ascii="Times New Roman" w:hAnsi="Times New Roman" w:eastAsia="宋体" w:cs="Times New Roman"/>
          <w:b/>
          <w:bCs/>
          <w:i/>
          <w:iCs/>
          <w:sz w:val="32"/>
          <w:szCs w:val="32"/>
        </w:rPr>
        <w:t>LTF</w:t>
      </w:r>
      <w:r>
        <w:rPr>
          <w:rFonts w:ascii="Times New Roman" w:hAnsi="Times New Roman" w:eastAsia="宋体" w:cs="Times New Roman"/>
          <w:b/>
          <w:bCs/>
          <w:sz w:val="32"/>
          <w:szCs w:val="32"/>
        </w:rPr>
        <w:t xml:space="preserve">, </w:t>
      </w:r>
      <w:r>
        <w:rPr>
          <w:rFonts w:ascii="Times New Roman" w:hAnsi="Times New Roman" w:eastAsia="宋体" w:cs="Times New Roman"/>
          <w:b/>
          <w:bCs/>
          <w:i/>
          <w:iCs/>
          <w:sz w:val="32"/>
          <w:szCs w:val="32"/>
        </w:rPr>
        <w:t>PTPRK</w:t>
      </w:r>
      <w:r>
        <w:rPr>
          <w:rFonts w:ascii="Times New Roman" w:hAnsi="Times New Roman" w:eastAsia="宋体" w:cs="Times New Roman"/>
          <w:b/>
          <w:bCs/>
          <w:sz w:val="32"/>
          <w:szCs w:val="32"/>
        </w:rPr>
        <w:t xml:space="preserve">, and </w:t>
      </w:r>
      <w:r>
        <w:rPr>
          <w:rFonts w:ascii="Times New Roman" w:hAnsi="Times New Roman" w:eastAsia="宋体" w:cs="Times New Roman"/>
          <w:b/>
          <w:bCs/>
          <w:i/>
          <w:iCs/>
          <w:sz w:val="32"/>
          <w:szCs w:val="32"/>
        </w:rPr>
        <w:t>LIFR</w:t>
      </w:r>
      <w:r>
        <w:rPr>
          <w:rFonts w:ascii="Times New Roman" w:hAnsi="Times New Roman" w:eastAsia="宋体" w:cs="Times New Roman"/>
          <w:b/>
          <w:bCs/>
          <w:sz w:val="32"/>
          <w:szCs w:val="32"/>
        </w:rPr>
        <w:t xml:space="preserve"> Polymorphisms on Yield and Quality</w:t>
      </w:r>
    </w:p>
    <w:p w14:paraId="60B84BB1">
      <w:pPr>
        <w:snapToGrid w:val="0"/>
        <w:spacing w:line="360" w:lineRule="auto"/>
        <w:rPr>
          <w:rFonts w:ascii="Times New Roman" w:hAnsi="Times New Roman" w:eastAsia="宋体" w:cs="Times New Roman"/>
          <w:szCs w:val="21"/>
        </w:rPr>
      </w:pPr>
      <w:r>
        <w:rPr>
          <w:rFonts w:hint="eastAsia" w:ascii="Times New Roman" w:hAnsi="Times New Roman" w:eastAsia="宋体" w:cs="Times New Roman"/>
          <w:szCs w:val="21"/>
        </w:rPr>
        <w:t>Yiyu Sha</w:t>
      </w:r>
      <w:r>
        <w:rPr>
          <w:rFonts w:ascii="Times New Roman" w:hAnsi="Times New Roman" w:eastAsia="宋体" w:cs="Times New Roman"/>
          <w:szCs w:val="21"/>
          <w:vertAlign w:val="superscript"/>
        </w:rPr>
        <w:t xml:space="preserve"> </w:t>
      </w:r>
      <w:r>
        <w:rPr>
          <w:rFonts w:hint="eastAsia" w:ascii="Times New Roman" w:hAnsi="Times New Roman" w:eastAsia="宋体" w:cs="Times New Roman"/>
          <w:szCs w:val="21"/>
          <w:vertAlign w:val="superscript"/>
        </w:rPr>
        <w:t>1</w:t>
      </w:r>
      <w:r>
        <w:rPr>
          <w:rFonts w:ascii="Times New Roman" w:hAnsi="Times New Roman" w:eastAsia="宋体" w:cs="Times New Roman"/>
          <w:szCs w:val="21"/>
          <w:vertAlign w:val="superscript"/>
        </w:rPr>
        <w:t xml:space="preserve">, </w:t>
      </w:r>
      <w:r>
        <w:rPr>
          <w:rFonts w:hint="eastAsia" w:ascii="Times New Roman" w:hAnsi="Times New Roman" w:eastAsia="宋体" w:cs="Times New Roman"/>
          <w:szCs w:val="21"/>
          <w:vertAlign w:val="superscript"/>
        </w:rPr>
        <w:t>2</w:t>
      </w:r>
      <w:r>
        <w:rPr>
          <w:rFonts w:ascii="Times New Roman" w:hAnsi="Times New Roman" w:eastAsia="宋体" w:cs="Times New Roman"/>
          <w:szCs w:val="21"/>
        </w:rPr>
        <w:t xml:space="preserve">, </w:t>
      </w:r>
      <w:r>
        <w:rPr>
          <w:rFonts w:hint="eastAsia" w:ascii="Times New Roman" w:hAnsi="Times New Roman" w:eastAsia="宋体" w:cs="Times New Roman"/>
          <w:szCs w:val="21"/>
        </w:rPr>
        <w:t>Guiqiong Liu</w:t>
      </w:r>
      <w:r>
        <w:rPr>
          <w:rFonts w:ascii="Times New Roman" w:hAnsi="Times New Roman" w:eastAsia="宋体" w:cs="Times New Roman"/>
          <w:szCs w:val="21"/>
          <w:vertAlign w:val="superscript"/>
        </w:rPr>
        <w:t xml:space="preserve"> </w:t>
      </w:r>
      <w:r>
        <w:rPr>
          <w:rFonts w:hint="eastAsia" w:ascii="Times New Roman" w:hAnsi="Times New Roman" w:eastAsia="宋体" w:cs="Times New Roman"/>
          <w:szCs w:val="21"/>
          <w:vertAlign w:val="superscript"/>
        </w:rPr>
        <w:t>1</w:t>
      </w:r>
      <w:r>
        <w:rPr>
          <w:rFonts w:ascii="Times New Roman" w:hAnsi="Times New Roman" w:eastAsia="宋体" w:cs="Times New Roman"/>
          <w:szCs w:val="21"/>
          <w:vertAlign w:val="superscript"/>
        </w:rPr>
        <w:t xml:space="preserve">, </w:t>
      </w:r>
      <w:r>
        <w:rPr>
          <w:rFonts w:hint="eastAsia" w:ascii="Times New Roman" w:hAnsi="Times New Roman" w:eastAsia="宋体" w:cs="Times New Roman"/>
          <w:szCs w:val="21"/>
          <w:vertAlign w:val="superscript"/>
        </w:rPr>
        <w:t>2</w:t>
      </w:r>
      <w:r>
        <w:rPr>
          <w:rFonts w:ascii="Times New Roman" w:hAnsi="Times New Roman" w:eastAsia="宋体" w:cs="Times New Roman"/>
          <w:szCs w:val="21"/>
        </w:rPr>
        <w:t xml:space="preserve">, </w:t>
      </w:r>
      <w:r>
        <w:rPr>
          <w:rFonts w:hint="eastAsia" w:ascii="Times New Roman" w:hAnsi="Times New Roman" w:eastAsia="宋体" w:cs="Times New Roman"/>
          <w:szCs w:val="21"/>
        </w:rPr>
        <w:t>Jianping Ding</w:t>
      </w:r>
      <w:r>
        <w:rPr>
          <w:rFonts w:hint="eastAsia" w:ascii="Times New Roman" w:hAnsi="Times New Roman" w:eastAsia="宋体" w:cs="Times New Roman"/>
          <w:szCs w:val="21"/>
          <w:vertAlign w:val="superscript"/>
        </w:rPr>
        <w:t>3</w:t>
      </w:r>
      <w:r>
        <w:rPr>
          <w:rFonts w:ascii="Times New Roman" w:hAnsi="Times New Roman" w:eastAsia="宋体" w:cs="Times New Roman"/>
          <w:szCs w:val="21"/>
        </w:rPr>
        <w:t>,</w:t>
      </w:r>
      <w:r>
        <w:rPr>
          <w:rFonts w:hint="eastAsia" w:ascii="Times New Roman" w:hAnsi="Times New Roman" w:eastAsia="宋体" w:cs="Times New Roman"/>
          <w:szCs w:val="21"/>
        </w:rPr>
        <w:t xml:space="preserve"> </w:t>
      </w:r>
      <w:r>
        <w:rPr>
          <w:rFonts w:ascii="Times New Roman" w:hAnsi="Times New Roman" w:eastAsia="宋体" w:cs="Times New Roman"/>
          <w:bCs/>
          <w:szCs w:val="21"/>
        </w:rPr>
        <w:t xml:space="preserve">Fuqing Hou </w:t>
      </w:r>
      <w:r>
        <w:rPr>
          <w:rFonts w:hint="eastAsia" w:ascii="Times New Roman" w:hAnsi="Times New Roman" w:eastAsia="宋体" w:cs="Times New Roman"/>
          <w:bCs/>
          <w:szCs w:val="21"/>
          <w:vertAlign w:val="superscript"/>
        </w:rPr>
        <w:t>4</w:t>
      </w:r>
      <w:r>
        <w:rPr>
          <w:rFonts w:ascii="Times New Roman" w:hAnsi="Times New Roman" w:eastAsia="宋体" w:cs="Times New Roman"/>
          <w:szCs w:val="21"/>
        </w:rPr>
        <w:t>, Huiguo Yang</w:t>
      </w:r>
      <w:r>
        <w:rPr>
          <w:rFonts w:ascii="Times New Roman" w:hAnsi="Times New Roman" w:eastAsia="宋体" w:cs="Times New Roman"/>
          <w:szCs w:val="21"/>
          <w:vertAlign w:val="superscript"/>
        </w:rPr>
        <w:t>5</w:t>
      </w:r>
      <w:r>
        <w:rPr>
          <w:rFonts w:ascii="Times New Roman" w:hAnsi="Times New Roman" w:eastAsia="宋体" w:cs="Times New Roman"/>
          <w:szCs w:val="21"/>
        </w:rPr>
        <w:t>, Yongbin Liu</w:t>
      </w:r>
      <w:r>
        <w:rPr>
          <w:rFonts w:ascii="Times New Roman" w:hAnsi="Times New Roman" w:eastAsia="宋体" w:cs="Times New Roman"/>
          <w:szCs w:val="21"/>
          <w:vertAlign w:val="superscript"/>
        </w:rPr>
        <w:t>6</w:t>
      </w:r>
      <w:r>
        <w:rPr>
          <w:rFonts w:ascii="Times New Roman" w:hAnsi="Times New Roman" w:eastAsia="宋体" w:cs="Times New Roman"/>
          <w:szCs w:val="21"/>
        </w:rPr>
        <w:t>,</w:t>
      </w:r>
      <w:r>
        <w:rPr>
          <w:rFonts w:hint="eastAsia" w:ascii="Times New Roman" w:hAnsi="Times New Roman" w:eastAsia="宋体" w:cs="Times New Roman"/>
          <w:szCs w:val="21"/>
        </w:rPr>
        <w:t xml:space="preserve"> Xunping Jiang</w:t>
      </w:r>
      <w:r>
        <w:rPr>
          <w:rFonts w:ascii="Times New Roman" w:hAnsi="Times New Roman" w:eastAsia="宋体" w:cs="Times New Roman"/>
          <w:szCs w:val="21"/>
        </w:rPr>
        <w:t>*</w:t>
      </w:r>
      <w:r>
        <w:rPr>
          <w:rFonts w:ascii="Times New Roman" w:hAnsi="Times New Roman" w:eastAsia="宋体" w:cs="Times New Roman"/>
          <w:szCs w:val="21"/>
          <w:vertAlign w:val="superscript"/>
        </w:rPr>
        <w:t xml:space="preserve">, </w:t>
      </w:r>
      <w:r>
        <w:rPr>
          <w:rFonts w:hint="eastAsia" w:ascii="Times New Roman" w:hAnsi="Times New Roman" w:eastAsia="宋体" w:cs="Times New Roman"/>
          <w:szCs w:val="21"/>
          <w:vertAlign w:val="superscript"/>
        </w:rPr>
        <w:t>1</w:t>
      </w:r>
      <w:r>
        <w:rPr>
          <w:rFonts w:ascii="Times New Roman" w:hAnsi="Times New Roman" w:eastAsia="宋体" w:cs="Times New Roman"/>
          <w:szCs w:val="21"/>
          <w:vertAlign w:val="superscript"/>
        </w:rPr>
        <w:t xml:space="preserve">, </w:t>
      </w:r>
      <w:r>
        <w:rPr>
          <w:rFonts w:hint="eastAsia" w:ascii="Times New Roman" w:hAnsi="Times New Roman" w:eastAsia="宋体" w:cs="Times New Roman"/>
          <w:szCs w:val="21"/>
          <w:vertAlign w:val="superscript"/>
        </w:rPr>
        <w:t>2</w:t>
      </w:r>
    </w:p>
    <w:p w14:paraId="193CA0F1">
      <w:pPr>
        <w:snapToGrid w:val="0"/>
        <w:spacing w:line="360" w:lineRule="auto"/>
        <w:rPr>
          <w:rFonts w:ascii="Times New Roman" w:hAnsi="Times New Roman" w:eastAsia="宋体" w:cs="Times New Roman"/>
          <w:szCs w:val="21"/>
        </w:rPr>
      </w:pPr>
      <w:r>
        <w:rPr>
          <w:rFonts w:hint="eastAsia" w:ascii="Times New Roman" w:hAnsi="Times New Roman" w:eastAsia="宋体" w:cs="Times New Roman"/>
          <w:szCs w:val="21"/>
          <w:vertAlign w:val="superscript"/>
        </w:rPr>
        <w:t>1</w:t>
      </w:r>
      <w:r>
        <w:rPr>
          <w:rFonts w:ascii="Times New Roman" w:hAnsi="Times New Roman" w:eastAsia="宋体" w:cs="Times New Roman"/>
          <w:szCs w:val="21"/>
          <w:vertAlign w:val="superscript"/>
        </w:rPr>
        <w:t xml:space="preserve"> </w:t>
      </w:r>
      <w:r>
        <w:rPr>
          <w:rFonts w:ascii="Times New Roman" w:hAnsi="Times New Roman" w:eastAsia="宋体" w:cs="Times New Roman"/>
          <w:szCs w:val="21"/>
        </w:rPr>
        <w:t xml:space="preserve">Key Laboratory of Agricultural Animal Genetics, Breeding and Reproduction of Ministry of Education, Huazhong Agricultural University, Wuhan, People’s Republic of China, 430070 </w:t>
      </w:r>
    </w:p>
    <w:p w14:paraId="45F6F6A5">
      <w:pPr>
        <w:snapToGrid w:val="0"/>
        <w:spacing w:line="360" w:lineRule="auto"/>
        <w:rPr>
          <w:rFonts w:ascii="Times New Roman" w:hAnsi="Times New Roman" w:eastAsia="宋体" w:cs="Times New Roman"/>
          <w:szCs w:val="21"/>
        </w:rPr>
      </w:pPr>
      <w:r>
        <w:rPr>
          <w:rFonts w:hint="eastAsia" w:ascii="Times New Roman" w:hAnsi="Times New Roman" w:eastAsia="宋体" w:cs="Times New Roman"/>
          <w:szCs w:val="21"/>
          <w:vertAlign w:val="superscript"/>
        </w:rPr>
        <w:t>2</w:t>
      </w:r>
      <w:r>
        <w:rPr>
          <w:rFonts w:ascii="Times New Roman" w:hAnsi="Times New Roman" w:eastAsia="宋体" w:cs="Times New Roman"/>
          <w:szCs w:val="21"/>
        </w:rPr>
        <w:t xml:space="preserve"> Laboratory of Sheep and Goat Genetics, Breeding and Reproduction, College of Animal Science and Technology, Huazhong Agricultural University, Wuhan, People’s Republic of China, 430070</w:t>
      </w:r>
    </w:p>
    <w:p w14:paraId="2E610184">
      <w:pPr>
        <w:snapToGrid w:val="0"/>
        <w:spacing w:line="360" w:lineRule="auto"/>
        <w:rPr>
          <w:rFonts w:ascii="Times New Roman" w:hAnsi="Times New Roman" w:eastAsia="宋体" w:cs="Times New Roman"/>
          <w:szCs w:val="21"/>
          <w:vertAlign w:val="superscript"/>
        </w:rPr>
      </w:pPr>
      <w:r>
        <w:rPr>
          <w:rFonts w:hint="eastAsia" w:ascii="Times New Roman" w:hAnsi="Times New Roman" w:eastAsia="宋体" w:cs="Times New Roman"/>
          <w:szCs w:val="21"/>
          <w:vertAlign w:val="superscript"/>
        </w:rPr>
        <w:t>3</w:t>
      </w:r>
      <w:r>
        <w:rPr>
          <w:rFonts w:hint="eastAsia" w:ascii="Times New Roman" w:hAnsi="Times New Roman" w:eastAsia="宋体" w:cs="Times New Roman"/>
          <w:szCs w:val="21"/>
        </w:rPr>
        <w:t xml:space="preserve"> </w:t>
      </w:r>
      <w:r>
        <w:rPr>
          <w:rFonts w:ascii="Times New Roman" w:hAnsi="Times New Roman" w:eastAsia="宋体" w:cs="Times New Roman"/>
          <w:szCs w:val="21"/>
        </w:rPr>
        <w:t>Anxin Sheep Industry Technology Innovation Research Institute</w:t>
      </w:r>
      <w:r>
        <w:rPr>
          <w:rFonts w:hint="eastAsia" w:ascii="Times New Roman" w:hAnsi="Times New Roman" w:eastAsia="宋体" w:cs="Times New Roman"/>
          <w:szCs w:val="21"/>
        </w:rPr>
        <w:t>，</w:t>
      </w:r>
      <w:r>
        <w:rPr>
          <w:rFonts w:ascii="Times New Roman" w:hAnsi="Times New Roman" w:eastAsia="宋体" w:cs="Times New Roman"/>
          <w:szCs w:val="21"/>
        </w:rPr>
        <w:t>Bozhou, People’s Republic of China, 233600</w:t>
      </w:r>
      <w:r>
        <w:rPr>
          <w:rFonts w:hint="eastAsia" w:ascii="Times New Roman" w:hAnsi="Times New Roman" w:eastAsia="宋体" w:cs="Times New Roman"/>
          <w:szCs w:val="21"/>
        </w:rPr>
        <w:t xml:space="preserve"> </w:t>
      </w:r>
    </w:p>
    <w:p w14:paraId="5A83FC2B">
      <w:pPr>
        <w:snapToGrid w:val="0"/>
        <w:spacing w:line="360" w:lineRule="auto"/>
        <w:rPr>
          <w:rFonts w:ascii="Times New Roman" w:hAnsi="Times New Roman" w:eastAsia="宋体" w:cs="Times New Roman"/>
          <w:szCs w:val="21"/>
        </w:rPr>
      </w:pPr>
      <w:r>
        <w:rPr>
          <w:rFonts w:ascii="Times New Roman" w:hAnsi="Times New Roman" w:eastAsia="宋体" w:cs="Times New Roman"/>
          <w:szCs w:val="21"/>
          <w:vertAlign w:val="superscript"/>
        </w:rPr>
        <w:t>4</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National Sheep Industry Technology System Shihezi Comprehensive Experimental Station, Shihezi, People’s Republic of China, 832000 </w:t>
      </w:r>
    </w:p>
    <w:p w14:paraId="146DE7F3">
      <w:pPr>
        <w:snapToGrid w:val="0"/>
        <w:spacing w:line="360" w:lineRule="auto"/>
        <w:rPr>
          <w:rFonts w:ascii="Times New Roman" w:hAnsi="Times New Roman" w:eastAsia="宋体" w:cs="Times New Roman"/>
          <w:szCs w:val="21"/>
        </w:rPr>
      </w:pPr>
      <w:r>
        <w:rPr>
          <w:rFonts w:ascii="Times New Roman" w:hAnsi="Times New Roman" w:eastAsia="宋体" w:cs="Times New Roman"/>
          <w:szCs w:val="21"/>
          <w:vertAlign w:val="superscript"/>
        </w:rPr>
        <w:t>5</w:t>
      </w:r>
      <w:r>
        <w:rPr>
          <w:rFonts w:hint="eastAsia" w:ascii="Times New Roman" w:hAnsi="Times New Roman" w:eastAsia="宋体" w:cs="Times New Roman"/>
          <w:szCs w:val="21"/>
        </w:rPr>
        <w:t xml:space="preserve"> </w:t>
      </w:r>
      <w:r>
        <w:rPr>
          <w:rFonts w:ascii="Times New Roman" w:hAnsi="Times New Roman" w:eastAsia="宋体" w:cs="Times New Roman"/>
          <w:szCs w:val="21"/>
        </w:rPr>
        <w:t>Xinjiang Academy of Animal Sciences, Urumqi, People’s Republic of China</w:t>
      </w:r>
    </w:p>
    <w:p w14:paraId="5767FF16">
      <w:pPr>
        <w:snapToGrid w:val="0"/>
        <w:spacing w:line="360" w:lineRule="auto"/>
        <w:rPr>
          <w:rFonts w:ascii="Times New Roman" w:hAnsi="Times New Roman" w:eastAsia="宋体" w:cs="Times New Roman"/>
          <w:szCs w:val="21"/>
        </w:rPr>
      </w:pPr>
      <w:r>
        <w:rPr>
          <w:rFonts w:hint="eastAsia" w:ascii="Times New Roman" w:hAnsi="Times New Roman" w:eastAsia="宋体" w:cs="Times New Roman"/>
          <w:szCs w:val="21"/>
          <w:vertAlign w:val="superscript"/>
        </w:rPr>
        <w:t>6</w:t>
      </w:r>
      <w:r>
        <w:rPr>
          <w:rFonts w:hint="eastAsia" w:ascii="Times New Roman" w:hAnsi="Times New Roman" w:eastAsia="宋体" w:cs="Times New Roman"/>
          <w:szCs w:val="21"/>
        </w:rPr>
        <w:t xml:space="preserve"> </w:t>
      </w:r>
      <w:r>
        <w:rPr>
          <w:rFonts w:ascii="Times New Roman" w:hAnsi="Times New Roman" w:eastAsia="宋体" w:cs="Times New Roman"/>
          <w:szCs w:val="21"/>
        </w:rPr>
        <w:t>College of life sciences, Inner Mongolia University, Hohhot, People’s Republic of China,</w:t>
      </w:r>
      <w:r>
        <w:rPr>
          <w:rFonts w:hint="eastAsia" w:ascii="Times New Roman" w:hAnsi="Times New Roman" w:eastAsia="宋体" w:cs="Times New Roman"/>
          <w:szCs w:val="21"/>
        </w:rPr>
        <w:t xml:space="preserve"> </w:t>
      </w:r>
      <w:r>
        <w:rPr>
          <w:rFonts w:ascii="Times New Roman" w:hAnsi="Times New Roman" w:eastAsia="宋体" w:cs="Times New Roman"/>
          <w:szCs w:val="21"/>
        </w:rPr>
        <w:t xml:space="preserve">010021 </w:t>
      </w:r>
    </w:p>
    <w:p w14:paraId="4BB1D678">
      <w:pPr>
        <w:jc w:val="left"/>
        <w:rPr>
          <w:rFonts w:ascii="Times New Roman" w:hAnsi="Times New Roman" w:eastAsia="宋体" w:cs="Times New Roman"/>
          <w:sz w:val="24"/>
          <w:shd w:val="clear" w:color="auto" w:fill="FFFFFF"/>
        </w:rPr>
      </w:pPr>
      <w:r>
        <w:rPr>
          <w:rFonts w:ascii="Times New Roman" w:hAnsi="Times New Roman" w:eastAsia="宋体" w:cs="Times New Roman"/>
          <w:b/>
          <w:kern w:val="0"/>
          <w:sz w:val="22"/>
          <w:szCs w:val="22"/>
        </w:rPr>
        <w:t xml:space="preserve">*Correspondence: </w:t>
      </w:r>
      <w:bookmarkStart w:id="0" w:name="OLE_LINK23"/>
      <w:bookmarkEnd w:id="0"/>
      <w:bookmarkStart w:id="1" w:name="OLE_LINK36"/>
      <w:bookmarkEnd w:id="1"/>
      <w:bookmarkStart w:id="2" w:name="OLE_LINK53"/>
      <w:r>
        <w:rPr>
          <w:rFonts w:ascii="Times New Roman" w:hAnsi="Times New Roman" w:eastAsia="宋体" w:cs="Times New Roman"/>
          <w:sz w:val="24"/>
          <w:shd w:val="clear" w:color="auto" w:fill="FFFFFF"/>
        </w:rPr>
        <w:t xml:space="preserve">Xunping Jiang, </w:t>
      </w:r>
      <w:r>
        <w:fldChar w:fldCharType="begin"/>
      </w:r>
      <w:r>
        <w:instrText xml:space="preserve"> HYPERLINK "mailto:xpjiang@mail.hzau.edu.cn" </w:instrText>
      </w:r>
      <w:r>
        <w:fldChar w:fldCharType="separate"/>
      </w:r>
      <w:r>
        <w:rPr>
          <w:rFonts w:ascii="Times New Roman" w:hAnsi="Times New Roman" w:eastAsia="宋体" w:cs="Calibri"/>
          <w:color w:val="0026E5"/>
          <w:sz w:val="24"/>
          <w:u w:val="single"/>
          <w:shd w:val="clear" w:color="auto" w:fill="FFFFFF"/>
        </w:rPr>
        <w:t>xpjiang@mail.hzau.edu.cn</w:t>
      </w:r>
      <w:r>
        <w:rPr>
          <w:rFonts w:ascii="Times New Roman" w:hAnsi="Times New Roman" w:eastAsia="宋体" w:cs="Calibri"/>
          <w:color w:val="0026E5"/>
          <w:sz w:val="24"/>
          <w:u w:val="single"/>
          <w:shd w:val="clear" w:color="auto" w:fill="FFFFFF"/>
        </w:rPr>
        <w:fldChar w:fldCharType="end"/>
      </w:r>
    </w:p>
    <w:bookmarkEnd w:id="2"/>
    <w:p w14:paraId="605D2652">
      <w:pPr>
        <w:pStyle w:val="15"/>
        <w:widowControl/>
        <w:spacing w:beforeAutospacing="0" w:afterAutospacing="0" w:line="360" w:lineRule="auto"/>
        <w:jc w:val="both"/>
        <w:outlineLvl w:val="1"/>
        <w:rPr>
          <w:rFonts w:ascii="Times New Roman" w:hAnsi="Times New Roman"/>
          <w:b/>
          <w:bCs/>
          <w:spacing w:val="10"/>
        </w:rPr>
      </w:pPr>
    </w:p>
    <w:p w14:paraId="7627B869">
      <w:pPr>
        <w:pStyle w:val="15"/>
        <w:widowControl/>
        <w:spacing w:beforeAutospacing="0" w:afterAutospacing="0" w:line="360" w:lineRule="auto"/>
        <w:jc w:val="both"/>
        <w:outlineLvl w:val="1"/>
        <w:rPr>
          <w:rFonts w:ascii="Times New Roman" w:hAnsi="Times New Roman"/>
          <w:b/>
          <w:bCs/>
          <w:spacing w:val="10"/>
        </w:rPr>
      </w:pPr>
      <w:bookmarkStart w:id="14" w:name="_GoBack"/>
      <w:bookmarkEnd w:id="14"/>
      <w:r>
        <w:rPr>
          <w:rFonts w:ascii="Times New Roman" w:hAnsi="Times New Roman"/>
          <w:b/>
          <w:bCs/>
          <w:spacing w:val="10"/>
        </w:rPr>
        <w:t xml:space="preserve">Abstract: </w:t>
      </w:r>
    </w:p>
    <w:p w14:paraId="6CDA7ACB">
      <w:pPr>
        <w:pStyle w:val="15"/>
        <w:widowControl/>
        <w:spacing w:beforeAutospacing="0" w:afterAutospacing="0" w:line="360" w:lineRule="auto"/>
        <w:ind w:firstLine="520" w:firstLineChars="200"/>
        <w:jc w:val="both"/>
        <w:rPr>
          <w:rFonts w:ascii="Times New Roman" w:hAnsi="Times New Roman"/>
          <w:spacing w:val="10"/>
        </w:rPr>
      </w:pPr>
      <w:r>
        <w:rPr>
          <w:rFonts w:hint="eastAsia" w:ascii="Times New Roman" w:hAnsi="Times New Roman"/>
          <w:spacing w:val="10"/>
        </w:rPr>
        <w:t>Colostrum is a unique channel that contributes to passive immunity transfer and provides nutrients for the growth and newborn lambs development. High yield and quality colostrum are the keys to ensuring the healthy lamb's survival.</w:t>
      </w:r>
      <w:r>
        <w:rPr>
          <w:rFonts w:ascii="Times New Roman" w:hAnsi="Times New Roman"/>
          <w:spacing w:val="10"/>
        </w:rPr>
        <w:t xml:space="preserve">However, systematic evidence regarding colostrum characteristics, particularly yield and immunoglobulin concentrations, as well as the underlying genetic-molecular mechanisms, remains insufficient. Therefore, </w:t>
      </w:r>
      <w:r>
        <w:rPr>
          <w:rFonts w:hint="eastAsia" w:ascii="Times New Roman" w:hAnsi="Times New Roman"/>
          <w:spacing w:val="10"/>
        </w:rPr>
        <w:t>t</w:t>
      </w:r>
      <w:r>
        <w:rPr>
          <w:rFonts w:ascii="Times New Roman" w:hAnsi="Times New Roman"/>
          <w:spacing w:val="10"/>
        </w:rPr>
        <w:t>his study aims to measure and analyze the dynamic changes in colostrum yield,</w:t>
      </w:r>
      <w:r>
        <w:rPr>
          <w:rFonts w:hint="eastAsia" w:ascii="Times New Roman" w:hAnsi="Times New Roman"/>
          <w:spacing w:val="10"/>
        </w:rPr>
        <w:t xml:space="preserve"> </w:t>
      </w:r>
      <w:r>
        <w:rPr>
          <w:rFonts w:ascii="Times New Roman" w:hAnsi="Times New Roman"/>
          <w:spacing w:val="10"/>
        </w:rPr>
        <w:t>immunoglobulin concentrations (IgG, IgA, and IgM), and nutrient composition (including fat, protein, lactose, total solids, non-fat solids, and urea) in sheep, while also identifying genes associated with colostrum characteristics to provide insights for improving the yield and quality of sheep colostrum and for developing efficient lactating sheep breeds. It was found that colostrum production increased significantly with time and total colostrum production could reach 3.489±0.075 Kg in the first 3 days after delivery.At the same time, the highest concentrations of IgG (108.014 mg/mL), IgA (4.139 mg/mL), and IgM</w:t>
      </w:r>
      <w:r>
        <w:rPr>
          <w:rFonts w:hint="eastAsia" w:ascii="Times New Roman" w:hAnsi="Times New Roman"/>
          <w:spacing w:val="10"/>
        </w:rPr>
        <w:t xml:space="preserve"> </w:t>
      </w:r>
      <w:r>
        <w:rPr>
          <w:rFonts w:ascii="Times New Roman" w:hAnsi="Times New Roman"/>
          <w:spacing w:val="10"/>
        </w:rPr>
        <w:t xml:space="preserve">(0.447 mg/mL) in colostrum were observed during delivery, and they decreased rapidly at 12 hours and finally stabilized. The contents of fat, protein, lactose, total solids, non-fat solids, and urea decreased after delivery, while the lactose content showed an increasing pattern. In addition, whole genome resequencing analysis revealed six single nucleotide polymorphism (SNP) sites in the </w:t>
      </w:r>
      <w:r>
        <w:rPr>
          <w:rFonts w:ascii="Times New Roman" w:hAnsi="Times New Roman"/>
          <w:i/>
          <w:iCs/>
          <w:spacing w:val="10"/>
        </w:rPr>
        <w:t>LTF</w:t>
      </w:r>
      <w:r>
        <w:rPr>
          <w:rFonts w:ascii="Times New Roman" w:hAnsi="Times New Roman"/>
          <w:spacing w:val="10"/>
        </w:rPr>
        <w:t xml:space="preserve"> gene (rs422619216), </w:t>
      </w:r>
      <w:r>
        <w:rPr>
          <w:rFonts w:ascii="Times New Roman" w:hAnsi="Times New Roman"/>
          <w:i/>
          <w:iCs/>
          <w:spacing w:val="10"/>
        </w:rPr>
        <w:t>PTPRK</w:t>
      </w:r>
      <w:r>
        <w:rPr>
          <w:rFonts w:ascii="Times New Roman" w:hAnsi="Times New Roman"/>
          <w:spacing w:val="10"/>
        </w:rPr>
        <w:t xml:space="preserve"> gene (rs429528738), and </w:t>
      </w:r>
      <w:r>
        <w:rPr>
          <w:rFonts w:ascii="Times New Roman" w:hAnsi="Times New Roman"/>
          <w:i/>
          <w:iCs/>
          <w:spacing w:val="10"/>
        </w:rPr>
        <w:t>LIFR</w:t>
      </w:r>
      <w:r>
        <w:rPr>
          <w:rFonts w:ascii="Times New Roman" w:hAnsi="Times New Roman"/>
          <w:spacing w:val="10"/>
        </w:rPr>
        <w:t xml:space="preserve"> gene rs408968100, rs162154352, rs161149074, and rs411119461). Variations at these loci are significantly associated with colostrum production and immunoglobulin content, serving as important molecular genetic markers for colostrum traits. Notably, these variations also influence the hydrophilicity and three-dimensional structure of the corresponding proteins.</w:t>
      </w:r>
      <w:r>
        <w:rPr>
          <w:rFonts w:hint="eastAsia" w:ascii="Times New Roman" w:hAnsi="Times New Roman"/>
          <w:spacing w:val="10"/>
        </w:rPr>
        <w:t xml:space="preserve"> </w:t>
      </w:r>
      <w:r>
        <w:rPr>
          <w:rFonts w:ascii="Times New Roman" w:hAnsi="Times New Roman"/>
          <w:i/>
          <w:iCs/>
          <w:spacing w:val="10"/>
        </w:rPr>
        <w:t>LTF</w:t>
      </w:r>
      <w:r>
        <w:rPr>
          <w:rFonts w:ascii="Times New Roman" w:hAnsi="Times New Roman"/>
          <w:spacing w:val="10"/>
        </w:rPr>
        <w:t xml:space="preserve">, </w:t>
      </w:r>
      <w:r>
        <w:rPr>
          <w:rFonts w:ascii="Times New Roman" w:hAnsi="Times New Roman"/>
          <w:i/>
          <w:iCs/>
          <w:spacing w:val="10"/>
        </w:rPr>
        <w:t>PTPRK</w:t>
      </w:r>
      <w:r>
        <w:rPr>
          <w:rFonts w:ascii="Times New Roman" w:hAnsi="Times New Roman"/>
          <w:spacing w:val="10"/>
        </w:rPr>
        <w:t xml:space="preserve">, and </w:t>
      </w:r>
      <w:r>
        <w:rPr>
          <w:rFonts w:ascii="Times New Roman" w:hAnsi="Times New Roman"/>
          <w:i/>
          <w:iCs/>
          <w:spacing w:val="10"/>
        </w:rPr>
        <w:t>LIFR</w:t>
      </w:r>
      <w:r>
        <w:rPr>
          <w:rFonts w:ascii="Times New Roman" w:hAnsi="Times New Roman"/>
          <w:spacing w:val="10"/>
        </w:rPr>
        <w:t xml:space="preserve"> genes are important candidate genes for colostrum yield and immunoglobulin concentration, providing robust evidence to support sheep selection and breeding programs.</w:t>
      </w:r>
    </w:p>
    <w:p w14:paraId="14A5B842">
      <w:pPr>
        <w:pStyle w:val="15"/>
        <w:widowControl/>
        <w:spacing w:beforeAutospacing="0" w:afterAutospacing="0" w:line="360" w:lineRule="auto"/>
        <w:jc w:val="both"/>
        <w:rPr>
          <w:rFonts w:ascii="Times New Roman" w:hAnsi="Times New Roman"/>
          <w:spacing w:val="10"/>
          <w:sz w:val="19"/>
          <w:szCs w:val="19"/>
        </w:rPr>
      </w:pPr>
      <w:r>
        <w:rPr>
          <w:rFonts w:ascii="Times New Roman" w:hAnsi="Times New Roman"/>
          <w:b/>
          <w:bCs/>
          <w:spacing w:val="10"/>
        </w:rPr>
        <w:t>Key words:</w:t>
      </w:r>
      <w:r>
        <w:rPr>
          <w:rFonts w:ascii="Times New Roman" w:hAnsi="Times New Roman"/>
          <w:spacing w:val="10"/>
        </w:rPr>
        <w:t xml:space="preserve"> sheep, colostrum, yield and composition, immunoglobulin, candidate genes.</w:t>
      </w:r>
    </w:p>
    <w:p w14:paraId="349A6EDB">
      <w:pPr>
        <w:spacing w:line="360" w:lineRule="auto"/>
        <w:rPr>
          <w:rFonts w:ascii="Times New Roman" w:hAnsi="Times New Roman" w:eastAsia="宋体" w:cs="Times New Roman"/>
          <w:b/>
          <w:bCs/>
          <w:sz w:val="24"/>
          <w:highlight w:val="cyan"/>
        </w:rPr>
      </w:pPr>
    </w:p>
    <w:p w14:paraId="239B87D9">
      <w:pPr>
        <w:pStyle w:val="2"/>
        <w:keepNext/>
        <w:keepLines/>
        <w:numPr>
          <w:ilvl w:val="0"/>
          <w:numId w:val="3"/>
        </w:numPr>
        <w:spacing w:beforeAutospacing="0" w:afterAutospacing="0" w:line="360" w:lineRule="auto"/>
        <w:ind w:left="0" w:firstLine="0"/>
        <w:jc w:val="both"/>
        <w:rPr>
          <w:rFonts w:hint="default" w:ascii="Times New Roman" w:hAnsi="Times New Roman" w:eastAsia="黑体"/>
          <w:sz w:val="32"/>
          <w:szCs w:val="32"/>
        </w:rPr>
      </w:pPr>
      <w:r>
        <w:rPr>
          <w:rFonts w:hint="default" w:ascii="Times New Roman" w:hAnsi="Times New Roman" w:eastAsia="黑体"/>
          <w:sz w:val="32"/>
          <w:szCs w:val="32"/>
        </w:rPr>
        <w:t>Introduction</w:t>
      </w:r>
    </w:p>
    <w:p w14:paraId="20B763D4">
      <w:pPr>
        <w:pStyle w:val="15"/>
        <w:widowControl/>
        <w:spacing w:beforeAutospacing="0" w:afterAutospacing="0" w:line="360" w:lineRule="auto"/>
        <w:ind w:firstLine="520" w:firstLineChars="200"/>
        <w:jc w:val="both"/>
        <w:rPr>
          <w:rFonts w:ascii="Times New Roman" w:hAnsi="Times New Roman"/>
          <w:spacing w:val="10"/>
        </w:rPr>
      </w:pPr>
      <w:r>
        <w:rPr>
          <w:rFonts w:ascii="Times New Roman" w:hAnsi="Times New Roman"/>
          <w:spacing w:val="10"/>
        </w:rPr>
        <w:t>Colostrum is the milk secreted by mammals in the first few days after delivery, which is rich in nutrients and immunocompetent molecules. It provides essential nutrition for newborns and gives them important passive immune protection, crucial for establishing the neonatal immune system</w:t>
      </w:r>
      <w:r>
        <w:rPr>
          <w:rFonts w:ascii="Times New Roman" w:hAnsi="Times New Roman" w:eastAsia="宋体"/>
        </w:rPr>
        <w:t>(1, 2)</w:t>
      </w:r>
      <w:r>
        <w:rPr>
          <w:rFonts w:ascii="Times New Roman" w:hAnsi="Times New Roman"/>
          <w:spacing w:val="10"/>
        </w:rPr>
        <w:t xml:space="preserve">. The sheep placenta is a layer of the connective chorion, and immunoglobulin can't be transmitted from the placenta to the lamb(3). Birth lambs can only obtain passive immune protection through colostrum </w:t>
      </w:r>
      <w:r>
        <w:rPr>
          <w:rFonts w:ascii="Times New Roman" w:hAnsi="Times New Roman" w:eastAsia="宋体"/>
        </w:rPr>
        <w:t>(4)</w:t>
      </w:r>
      <w:r>
        <w:rPr>
          <w:rFonts w:ascii="Times New Roman" w:hAnsi="Times New Roman"/>
          <w:spacing w:val="10"/>
        </w:rPr>
        <w:t>. Therefore, newborn lambs need to ingest enough high-quality colostrum immediately after birth to get immunity from ewes through "passive transfer"</w:t>
      </w:r>
      <w:r>
        <w:rPr>
          <w:rFonts w:ascii="Times New Roman" w:hAnsi="Times New Roman" w:eastAsia="宋体"/>
        </w:rPr>
        <w:t>(5)</w:t>
      </w:r>
      <w:r>
        <w:rPr>
          <w:rFonts w:ascii="Times New Roman" w:hAnsi="Times New Roman"/>
          <w:spacing w:val="10"/>
        </w:rPr>
        <w:t xml:space="preserve">. The yield and quality of colostrum are directly related to lambs' survival rate and breeding efficiency. </w:t>
      </w:r>
    </w:p>
    <w:p w14:paraId="367D873F">
      <w:pPr>
        <w:pStyle w:val="15"/>
        <w:widowControl/>
        <w:spacing w:beforeAutospacing="0" w:afterAutospacing="0" w:line="360" w:lineRule="auto"/>
        <w:ind w:firstLine="520" w:firstLineChars="200"/>
        <w:jc w:val="both"/>
        <w:rPr>
          <w:rFonts w:ascii="Times New Roman" w:hAnsi="Times New Roman"/>
          <w:spacing w:val="10"/>
        </w:rPr>
      </w:pPr>
      <w:r>
        <w:rPr>
          <w:rFonts w:ascii="Times New Roman" w:hAnsi="Times New Roman"/>
          <w:spacing w:val="10"/>
        </w:rPr>
        <w:t>The yield and quality of colostrum (the contents of immunoglobulins, fat, protein, and lactose) are affected by various factors, such as parity, litter size, genetics, etc.(6). Several studies have investigated the relevant characteristics of sheep colostrum. Kessler et al. examined the colostrum composition of sheep from 10 to 390 minutes after delivery and found that the concentrations of fat, protein, and lactose ranged from 1.1% to 24.8%, 7.3% to 30.5% and 1.3% to 4.6% respectively , and IgG varied from 6.2 to 65.4 mg/mL</w:t>
      </w:r>
      <w:r>
        <w:rPr>
          <w:rFonts w:ascii="Times New Roman" w:hAnsi="Times New Roman" w:eastAsia="宋体"/>
        </w:rPr>
        <w:t>(7)</w:t>
      </w:r>
      <w:r>
        <w:rPr>
          <w:rFonts w:ascii="Times New Roman" w:hAnsi="Times New Roman"/>
          <w:spacing w:val="10"/>
        </w:rPr>
        <w:t xml:space="preserve">. </w:t>
      </w:r>
      <w:r>
        <w:rPr>
          <w:rFonts w:hint="eastAsia" w:ascii="Times New Roman" w:hAnsi="Times New Roman"/>
          <w:spacing w:val="10"/>
        </w:rPr>
        <w:t>T</w:t>
      </w:r>
      <w:r>
        <w:rPr>
          <w:rFonts w:ascii="Times New Roman" w:hAnsi="Times New Roman"/>
          <w:spacing w:val="10"/>
        </w:rPr>
        <w:t xml:space="preserve">he mortality rate of newborn lambs in the global sheep production system is 15% to 25%, and most of the lamb deaths before weaning occur in the first week after birth </w:t>
      </w:r>
      <w:r>
        <w:rPr>
          <w:rFonts w:ascii="Times New Roman" w:hAnsi="Times New Roman" w:eastAsia="宋体"/>
        </w:rPr>
        <w:t>(5)</w:t>
      </w:r>
      <w:r>
        <w:rPr>
          <w:rFonts w:ascii="Times New Roman" w:hAnsi="Times New Roman"/>
          <w:spacing w:val="10"/>
        </w:rPr>
        <w:t>, and the mortality rate from birth to weaning is 13.8%</w:t>
      </w:r>
      <w:r>
        <w:rPr>
          <w:rFonts w:ascii="Times New Roman" w:hAnsi="Times New Roman" w:eastAsia="宋体"/>
        </w:rPr>
        <w:t>(8)</w:t>
      </w:r>
      <w:r>
        <w:rPr>
          <w:rFonts w:ascii="Times New Roman" w:hAnsi="Times New Roman"/>
          <w:spacing w:val="10"/>
        </w:rPr>
        <w:t>. Ahmad et al. reported significantly higher concentrations of immunoglobulin in lambs that survived the neonatal period compared to those that died during the same period(9).The failure of young animals to acquire passive immunity leads to a higher incidence of microbial infections and, consequently, higher mortality rates(10). Moreover, it has been found that lambs born to ewes producing low-quality colostrum with lower IgG content have noticeably higher mortality rates(11). </w:t>
      </w:r>
    </w:p>
    <w:p w14:paraId="08BA3D74">
      <w:pPr>
        <w:spacing w:line="360" w:lineRule="auto"/>
        <w:ind w:firstLine="520" w:firstLineChars="200"/>
        <w:rPr>
          <w:rFonts w:ascii="Times New Roman" w:hAnsi="Times New Roman" w:cs="Times New Roman"/>
          <w:spacing w:val="10"/>
          <w:kern w:val="0"/>
          <w:sz w:val="24"/>
        </w:rPr>
      </w:pPr>
      <w:r>
        <w:rPr>
          <w:rFonts w:ascii="Times New Roman" w:hAnsi="Times New Roman" w:cs="Times New Roman"/>
          <w:spacing w:val="10"/>
          <w:kern w:val="0"/>
          <w:sz w:val="24"/>
        </w:rPr>
        <w:t>Colostrum yield and immunoglobulin concentration are important economic traits of sheep, which vary greatly among individual animals and are controlled by multiple genes (6). Genome resequencing is helpful for population genetic structure evaluation, molecular protection, and the improvement of local livestock breeds, and it has become a reliable method for mining candidate genes for important traits of livestock. For many years, people have been looking for candidate genes or genetic markers for colostrum yield and immunoglobulin concentration traits to meet the needs of molecular breeding or marker-assisted selection. The HIF1A gene is associated with mammary epithelial cell differentiation and function, and the loss of this gene impairs mammary differentiation and lipid metabolism, ultimately leading to lactation failure and altered milk composition(12). Two missense variants (rs398518619 and rs402826789) in the HIF1A gene were significantly associated with colostrum yield in sheep, as identified through genome-wide selection signal detection. Therefore, the HIF1A gene is an important candidate gene for colostrum yield in sheep(4). Li et al. analyzed the genomic data of 46 East Friesian sheep and identified that genes including DOCK9, ARID1B, B4GALNT4, RCOR1, and SH3D19 are significantly associated with milk production traits in sheep.(13). In addition, FCGR3A exhibits a significant negative correlation with sheep milk production, as demonstrated by whole-genome sequencing of 10 sheep breeds, comprising 57 high-producing and 44 low-producing milk sheep(14).Although the importance of colostrum has been recognized, research related to colostrum remains challenging due to limitations in human resources, transportation, and storage. Studies on the nutrient composition and immune substance content of sheep colostrum are incomplete and lack systematic parameters and theoretical support. In addition, genetic screening for colostrum yield and immunoglobulin concentration in sheep remains inadequate, limiting the implementation of targeted genetic improvement measures.</w:t>
      </w:r>
    </w:p>
    <w:p w14:paraId="6BD43C24">
      <w:pPr>
        <w:widowControl/>
        <w:spacing w:line="360" w:lineRule="auto"/>
        <w:ind w:firstLine="520" w:firstLineChars="200"/>
        <w:rPr>
          <w:rFonts w:ascii="Times New Roman" w:hAnsi="Times New Roman" w:eastAsia="宋体"/>
        </w:rPr>
      </w:pPr>
      <w:r>
        <w:rPr>
          <w:rFonts w:ascii="Times New Roman" w:hAnsi="Times New Roman" w:cs="Times New Roman"/>
          <w:spacing w:val="10"/>
          <w:kern w:val="0"/>
          <w:sz w:val="24"/>
        </w:rPr>
        <w:t xml:space="preserve">In this study, we aimed </w:t>
      </w:r>
      <w:r>
        <w:rPr>
          <w:rFonts w:hint="eastAsia" w:ascii="Times New Roman" w:hAnsi="Times New Roman" w:cs="Times New Roman"/>
          <w:spacing w:val="10"/>
          <w:kern w:val="0"/>
          <w:sz w:val="24"/>
        </w:rPr>
        <w:t>(</w:t>
      </w:r>
      <w:r>
        <w:rPr>
          <w:rFonts w:ascii="Times New Roman" w:hAnsi="Times New Roman" w:cs="Times New Roman"/>
          <w:spacing w:val="10"/>
          <w:kern w:val="0"/>
          <w:sz w:val="24"/>
        </w:rPr>
        <w:t>1) to comprehensively analyze the dynamic changes in sheep colostrum yield, immunoglobulin concentrations, and nutrient composition, (</w:t>
      </w:r>
      <w:r>
        <w:rPr>
          <w:rFonts w:hint="eastAsia" w:ascii="Times New Roman" w:hAnsi="Times New Roman" w:cs="Times New Roman"/>
          <w:spacing w:val="10"/>
          <w:kern w:val="0"/>
          <w:sz w:val="24"/>
        </w:rPr>
        <w:t>2)</w:t>
      </w:r>
      <w:r>
        <w:rPr>
          <w:rFonts w:ascii="Times New Roman" w:hAnsi="Times New Roman" w:cs="Times New Roman"/>
          <w:spacing w:val="10"/>
          <w:kern w:val="0"/>
          <w:sz w:val="24"/>
        </w:rPr>
        <w:t xml:space="preserve"> to identify candidate genes associated with colostrum traits </w:t>
      </w:r>
      <w:r>
        <w:rPr>
          <w:rFonts w:hint="eastAsia" w:ascii="Times New Roman" w:hAnsi="Times New Roman" w:cs="Times New Roman"/>
          <w:spacing w:val="10"/>
          <w:kern w:val="0"/>
          <w:sz w:val="24"/>
        </w:rPr>
        <w:t xml:space="preserve">by </w:t>
      </w:r>
      <w:r>
        <w:rPr>
          <w:rFonts w:ascii="Times New Roman" w:hAnsi="Times New Roman" w:cs="Times New Roman"/>
          <w:spacing w:val="10"/>
          <w:kern w:val="0"/>
          <w:sz w:val="24"/>
        </w:rPr>
        <w:t>employ</w:t>
      </w:r>
      <w:r>
        <w:rPr>
          <w:rFonts w:hint="eastAsia" w:ascii="Times New Roman" w:hAnsi="Times New Roman" w:cs="Times New Roman"/>
          <w:spacing w:val="10"/>
          <w:kern w:val="0"/>
          <w:sz w:val="24"/>
        </w:rPr>
        <w:t>ing</w:t>
      </w:r>
      <w:r>
        <w:rPr>
          <w:rFonts w:ascii="Times New Roman" w:hAnsi="Times New Roman" w:cs="Times New Roman"/>
          <w:spacing w:val="10"/>
          <w:kern w:val="0"/>
          <w:sz w:val="24"/>
        </w:rPr>
        <w:t xml:space="preserve"> whole-genome resequencing. By elucidating the relationships between candidate genes and colostrum traits, we sought to provide novel insights for enhancing sheep colostrum quality and yield, thereby contributing to the development of more efficient lactating sheep breeds.</w:t>
      </w:r>
    </w:p>
    <w:p w14:paraId="48142956">
      <w:pPr>
        <w:pStyle w:val="2"/>
        <w:keepNext/>
        <w:keepLines/>
        <w:numPr>
          <w:ilvl w:val="0"/>
          <w:numId w:val="3"/>
        </w:numPr>
        <w:spacing w:beforeAutospacing="0" w:afterAutospacing="0" w:line="360" w:lineRule="auto"/>
        <w:ind w:left="0" w:firstLine="0"/>
        <w:jc w:val="both"/>
        <w:rPr>
          <w:rFonts w:hint="default" w:ascii="Times New Roman" w:hAnsi="Times New Roman" w:eastAsia="黑体"/>
          <w:sz w:val="32"/>
          <w:szCs w:val="32"/>
        </w:rPr>
      </w:pPr>
      <w:r>
        <w:rPr>
          <w:rFonts w:hint="default" w:ascii="Times New Roman" w:hAnsi="Times New Roman" w:eastAsia="黑体"/>
          <w:sz w:val="32"/>
          <w:szCs w:val="32"/>
        </w:rPr>
        <w:t>Materials and Methods</w:t>
      </w:r>
    </w:p>
    <w:p w14:paraId="4882B69D">
      <w:pPr>
        <w:pStyle w:val="3"/>
        <w:widowControl/>
        <w:spacing w:before="0" w:after="0" w:line="360" w:lineRule="auto"/>
        <w:ind w:left="0" w:firstLine="0"/>
        <w:rPr>
          <w:rFonts w:ascii="Times New Roman" w:hAnsi="Times New Roman" w:cs="Times New Roman"/>
          <w:b w:val="0"/>
          <w:bCs/>
          <w:spacing w:val="10"/>
          <w:sz w:val="30"/>
          <w:szCs w:val="30"/>
        </w:rPr>
      </w:pPr>
      <w:r>
        <w:rPr>
          <w:rFonts w:ascii="Times New Roman" w:hAnsi="Times New Roman" w:cs="Times New Roman"/>
          <w:bCs/>
          <w:spacing w:val="10"/>
          <w:sz w:val="30"/>
          <w:szCs w:val="30"/>
        </w:rPr>
        <w:t>Animals and ethics</w:t>
      </w:r>
    </w:p>
    <w:p w14:paraId="59A46DDD">
      <w:pPr>
        <w:pStyle w:val="15"/>
        <w:widowControl/>
        <w:spacing w:beforeAutospacing="0" w:afterAutospacing="0" w:line="360" w:lineRule="auto"/>
        <w:ind w:firstLine="520" w:firstLineChars="200"/>
        <w:jc w:val="both"/>
        <w:rPr>
          <w:rFonts w:ascii="Times New Roman" w:hAnsi="Times New Roman"/>
          <w:spacing w:val="10"/>
        </w:rPr>
      </w:pPr>
      <w:r>
        <w:rPr>
          <w:rFonts w:ascii="Times New Roman" w:hAnsi="Times New Roman"/>
          <w:spacing w:val="10"/>
        </w:rPr>
        <w:t>Twenty Hu sheep used in the study were fed the same feed, freely ingested drinking water, and routinely immunized, provided by Zhiqinghe Agriculture and Animal Husbandry Co., Ltd. (Yichang, Hubei, China). After delivery, colostrum samples were collected from both ewe udders by hand milking every 12 hours, weighed by electronic balance, recorded the milk yield, and then stored in 50</w:t>
      </w:r>
      <w:r>
        <w:rPr>
          <w:rFonts w:hint="eastAsia" w:ascii="Times New Roman" w:hAnsi="Times New Roman"/>
          <w:spacing w:val="10"/>
        </w:rPr>
        <w:t xml:space="preserve"> </w:t>
      </w:r>
      <w:r>
        <w:rPr>
          <w:rFonts w:ascii="Times New Roman" w:hAnsi="Times New Roman"/>
          <w:spacing w:val="10"/>
        </w:rPr>
        <w:t>mL</w:t>
      </w:r>
      <w:r>
        <w:rPr>
          <w:rFonts w:hint="eastAsia" w:ascii="Times New Roman" w:hAnsi="Times New Roman"/>
          <w:spacing w:val="10"/>
        </w:rPr>
        <w:t xml:space="preserve"> </w:t>
      </w:r>
      <w:r>
        <w:rPr>
          <w:rFonts w:ascii="Times New Roman" w:hAnsi="Times New Roman"/>
          <w:spacing w:val="10"/>
        </w:rPr>
        <w:t>EP tubes. At the same time, blood (5 mL) was sampled from the jugular vein of each Hu sheep and kept in a tube containing the anticoagulant EDTA-K2.</w:t>
      </w:r>
      <w:r>
        <w:rPr>
          <w:rFonts w:hint="eastAsia" w:ascii="Times New Roman" w:hAnsi="Times New Roman"/>
          <w:spacing w:val="10"/>
        </w:rPr>
        <w:t>Colostrum and blood samples were transported to the laboratory by dry ice and stored in the refrigerator at -80 ℃. The ethical approval of this study was obtained from the Ethics Committee of Huazhong Agricultural University</w:t>
      </w:r>
      <w:r>
        <w:rPr>
          <w:rFonts w:ascii="Times New Roman" w:hAnsi="Times New Roman"/>
          <w:spacing w:val="10"/>
        </w:rPr>
        <w:t>. We tried our best to reduce the discomfort that may occur during blood collection and milking.</w:t>
      </w:r>
    </w:p>
    <w:p w14:paraId="1417A668">
      <w:pPr>
        <w:pStyle w:val="3"/>
        <w:widowControl/>
        <w:spacing w:before="0" w:after="0" w:line="360" w:lineRule="auto"/>
        <w:ind w:left="0" w:firstLine="0"/>
        <w:rPr>
          <w:rFonts w:ascii="Times New Roman" w:hAnsi="Times New Roman" w:cs="Times New Roman"/>
          <w:b w:val="0"/>
          <w:bCs/>
          <w:color w:val="000000" w:themeColor="text1"/>
          <w:spacing w:val="10"/>
          <w:sz w:val="30"/>
          <w:szCs w:val="30"/>
          <w14:textFill>
            <w14:solidFill>
              <w14:schemeClr w14:val="tx1"/>
            </w14:solidFill>
          </w14:textFill>
        </w:rPr>
      </w:pPr>
      <w:r>
        <w:rPr>
          <w:rFonts w:ascii="Times New Roman" w:hAnsi="Times New Roman" w:cs="Times New Roman"/>
          <w:bCs/>
          <w:color w:val="000000" w:themeColor="text1"/>
          <w:spacing w:val="10"/>
          <w:sz w:val="30"/>
          <w:szCs w:val="30"/>
          <w14:textFill>
            <w14:solidFill>
              <w14:schemeClr w14:val="tx1"/>
            </w14:solidFill>
          </w14:textFill>
        </w:rPr>
        <w:t>Colostrum proximal composition</w:t>
      </w:r>
    </w:p>
    <w:p w14:paraId="6A57A591">
      <w:pPr>
        <w:pStyle w:val="15"/>
        <w:widowControl/>
        <w:spacing w:beforeAutospacing="0" w:afterAutospacing="0" w:line="360" w:lineRule="auto"/>
        <w:ind w:firstLine="520" w:firstLineChars="200"/>
        <w:jc w:val="both"/>
        <w:rPr>
          <w:rFonts w:ascii="Times New Roman" w:hAnsi="Times New Roman"/>
          <w:spacing w:val="10"/>
        </w:rPr>
      </w:pPr>
      <w:r>
        <w:rPr>
          <w:rFonts w:ascii="Times New Roman" w:hAnsi="Times New Roman"/>
          <w:spacing w:val="10"/>
        </w:rPr>
        <w:t>The colostrum samples were sent to Hubei Dairy Cattle Production Performance Testing Center for testing. The specific steps are as follows: preheat the colostrum sample in a water bath at 40</w:t>
      </w:r>
      <w:r>
        <w:rPr>
          <w:rFonts w:hint="eastAsia" w:ascii="Times New Roman" w:hAnsi="Times New Roman"/>
          <w:spacing w:val="10"/>
        </w:rPr>
        <w:t xml:space="preserve"> </w:t>
      </w:r>
      <w:r>
        <w:rPr>
          <w:rFonts w:ascii="Times New Roman" w:hAnsi="Times New Roman"/>
          <w:spacing w:val="10"/>
        </w:rPr>
        <w:t>℃ for 15 minutes and use a milk component analyzer (milk component detector; FOSS</w:t>
      </w:r>
      <w:r>
        <w:rPr>
          <w:rFonts w:hint="eastAsia" w:ascii="Times New Roman" w:hAnsi="Times New Roman"/>
          <w:spacing w:val="10"/>
        </w:rPr>
        <w:t xml:space="preserve"> </w:t>
      </w:r>
      <w:r>
        <w:rPr>
          <w:rFonts w:ascii="Times New Roman" w:hAnsi="Times New Roman"/>
          <w:spacing w:val="10"/>
        </w:rPr>
        <w:t>company), and the determination indexes include protein, fat, lactose, total solids, non-fat solids and urea.</w:t>
      </w:r>
    </w:p>
    <w:p w14:paraId="3F7797F3">
      <w:pPr>
        <w:pStyle w:val="3"/>
        <w:widowControl/>
        <w:spacing w:before="0" w:after="0" w:line="360" w:lineRule="auto"/>
        <w:ind w:left="0" w:firstLine="0"/>
        <w:rPr>
          <w:rFonts w:ascii="Times New Roman" w:hAnsi="Times New Roman" w:cs="Times New Roman"/>
          <w:b w:val="0"/>
          <w:bCs/>
          <w:spacing w:val="10"/>
          <w:sz w:val="30"/>
          <w:szCs w:val="30"/>
        </w:rPr>
      </w:pPr>
      <w:r>
        <w:rPr>
          <w:rFonts w:ascii="Times New Roman" w:hAnsi="Times New Roman" w:cs="Times New Roman"/>
          <w:bCs/>
          <w:spacing w:val="10"/>
          <w:sz w:val="30"/>
          <w:szCs w:val="30"/>
        </w:rPr>
        <w:t>Immunological parameters</w:t>
      </w:r>
    </w:p>
    <w:p w14:paraId="6A0D0ACF">
      <w:pPr>
        <w:pStyle w:val="15"/>
        <w:widowControl/>
        <w:spacing w:beforeAutospacing="0" w:afterAutospacing="0" w:line="360" w:lineRule="auto"/>
        <w:ind w:firstLine="520" w:firstLineChars="200"/>
        <w:jc w:val="both"/>
        <w:rPr>
          <w:rFonts w:ascii="Times New Roman" w:hAnsi="Times New Roman"/>
          <w:spacing w:val="10"/>
        </w:rPr>
      </w:pPr>
      <w:r>
        <w:rPr>
          <w:rFonts w:ascii="Times New Roman" w:hAnsi="Times New Roman"/>
          <w:spacing w:val="10"/>
        </w:rPr>
        <w:t>IgG, IgA, and IgM in colostrum were quantitatively detected by sheep IgG, IgA, and IgM ELISA kits (Meilian Biotechnology Co., Ltd., Shanghai, China).</w:t>
      </w:r>
    </w:p>
    <w:p w14:paraId="1164969F">
      <w:pPr>
        <w:pStyle w:val="3"/>
        <w:widowControl/>
        <w:spacing w:before="0" w:after="0" w:line="360" w:lineRule="auto"/>
        <w:ind w:left="0" w:firstLine="0"/>
        <w:rPr>
          <w:rFonts w:ascii="Times New Roman" w:hAnsi="Times New Roman" w:cs="Times New Roman"/>
          <w:sz w:val="28"/>
          <w:szCs w:val="28"/>
        </w:rPr>
      </w:pPr>
      <w:r>
        <w:rPr>
          <w:rFonts w:ascii="Times New Roman" w:hAnsi="Times New Roman" w:cs="Times New Roman"/>
          <w:sz w:val="28"/>
          <w:szCs w:val="28"/>
        </w:rPr>
        <w:t xml:space="preserve">Screening of candidate genes for colostrum </w:t>
      </w:r>
      <w:r>
        <w:rPr>
          <w:rFonts w:hint="eastAsia" w:ascii="Times New Roman" w:hAnsi="Times New Roman" w:cs="Times New Roman"/>
          <w:sz w:val="28"/>
          <w:szCs w:val="28"/>
        </w:rPr>
        <w:t>traits</w:t>
      </w:r>
    </w:p>
    <w:p w14:paraId="5AF3090F">
      <w:pPr>
        <w:pStyle w:val="4"/>
        <w:spacing w:before="0" w:after="0" w:line="360" w:lineRule="auto"/>
        <w:ind w:left="0" w:firstLine="0"/>
        <w:rPr>
          <w:rFonts w:ascii="Times New Roman" w:hAnsi="Times New Roman" w:eastAsia="黑体" w:cs="Times New Roman"/>
          <w:sz w:val="28"/>
          <w:szCs w:val="28"/>
        </w:rPr>
      </w:pPr>
      <w:r>
        <w:rPr>
          <w:rFonts w:ascii="Times New Roman" w:hAnsi="Times New Roman" w:eastAsia="黑体" w:cs="Times New Roman"/>
          <w:sz w:val="28"/>
          <w:szCs w:val="28"/>
        </w:rPr>
        <w:t>Sample selection and DNA extraction</w:t>
      </w:r>
    </w:p>
    <w:p w14:paraId="38AF603D">
      <w:pPr>
        <w:pStyle w:val="15"/>
        <w:widowControl/>
        <w:spacing w:beforeAutospacing="0" w:afterAutospacing="0" w:line="360" w:lineRule="auto"/>
        <w:ind w:firstLine="520" w:firstLineChars="200"/>
        <w:jc w:val="both"/>
        <w:rPr>
          <w:rFonts w:ascii="Times New Roman" w:hAnsi="Times New Roman"/>
          <w:spacing w:val="10"/>
        </w:rPr>
      </w:pPr>
      <w:r>
        <w:rPr>
          <w:rFonts w:ascii="Times New Roman" w:hAnsi="Times New Roman"/>
          <w:spacing w:val="10"/>
        </w:rPr>
        <w:t>Mean colostrum yield was calculated for sheep (n=29) on days 2 and 3 postpartum, and 19 sheep were selected as samples for whole genome resequencing analysis using a two-tailed distribution method (mean ± 0.5 standard deviation). These samples were divided into two groups: a high colostrum yield group (n=11) and a low colostrum yield group (n=8). Of the 29 sheep used for the calculations, 20 were from this assay and 9 were from laboratory saved data. Each of the high colostrum yield group (n=11) and the low colostrum yield group (n=8) contained 2 laboratory self-tested sheep whose sequencing data were sequenced on a Hisequation 2000 sequencer with an average read depth of approximately 10</w:t>
      </w:r>
      <w:r>
        <w:rPr>
          <w:rFonts w:ascii="Times New Roman" w:hAnsi="Times New Roman" w:eastAsia="微软雅黑"/>
          <w:color w:val="191B1F"/>
          <w:sz w:val="27"/>
          <w:szCs w:val="27"/>
          <w:shd w:val="clear" w:color="auto" w:fill="FFFFFF"/>
        </w:rPr>
        <w:t>x</w:t>
      </w:r>
      <w:r>
        <w:rPr>
          <w:rFonts w:ascii="Times New Roman" w:hAnsi="Times New Roman"/>
          <w:spacing w:val="10"/>
        </w:rPr>
        <w:t>.</w:t>
      </w:r>
    </w:p>
    <w:p w14:paraId="3B0BCB31">
      <w:pPr>
        <w:pStyle w:val="15"/>
        <w:widowControl/>
        <w:spacing w:beforeAutospacing="0" w:afterAutospacing="0" w:line="360" w:lineRule="auto"/>
        <w:ind w:firstLine="520" w:firstLineChars="200"/>
        <w:jc w:val="both"/>
        <w:rPr>
          <w:rFonts w:ascii="Times New Roman" w:hAnsi="Times New Roman"/>
          <w:spacing w:val="10"/>
        </w:rPr>
      </w:pPr>
      <w:r>
        <w:rPr>
          <w:rFonts w:ascii="Times New Roman" w:hAnsi="Times New Roman"/>
          <w:spacing w:val="10"/>
        </w:rPr>
        <w:t>Sheep blood leukocyte genomic DNA was extracted using the Blood Genomic DNA Mini Kit (Beijing ComWin Biotech Co., Ltd., Beijing, China) and dissolved in Buffer GE and stored at -20</w:t>
      </w:r>
      <w:r>
        <w:rPr>
          <w:rFonts w:hint="eastAsia" w:ascii="Times New Roman" w:hAnsi="Times New Roman"/>
          <w:spacing w:val="10"/>
        </w:rPr>
        <w:t xml:space="preserve"> </w:t>
      </w:r>
      <w:r>
        <w:rPr>
          <w:rFonts w:ascii="Times New Roman" w:hAnsi="Times New Roman"/>
          <w:spacing w:val="10"/>
        </w:rPr>
        <w:t>°C.</w:t>
      </w:r>
    </w:p>
    <w:p w14:paraId="4E7EF822">
      <w:pPr>
        <w:pStyle w:val="4"/>
        <w:spacing w:before="0" w:after="0" w:line="360" w:lineRule="auto"/>
        <w:ind w:left="0" w:firstLine="0"/>
        <w:rPr>
          <w:rFonts w:ascii="Times New Roman" w:hAnsi="Times New Roman" w:eastAsia="黑体" w:cs="Times New Roman"/>
          <w:sz w:val="28"/>
          <w:szCs w:val="28"/>
        </w:rPr>
      </w:pPr>
      <w:r>
        <w:rPr>
          <w:rFonts w:ascii="Times New Roman" w:hAnsi="Times New Roman" w:eastAsia="黑体" w:cs="Times New Roman"/>
          <w:sz w:val="28"/>
          <w:szCs w:val="28"/>
        </w:rPr>
        <w:t>Whole genome sequencing and SNP information extraction</w:t>
      </w:r>
    </w:p>
    <w:p w14:paraId="78020850">
      <w:pPr>
        <w:pStyle w:val="15"/>
        <w:widowControl/>
        <w:spacing w:beforeAutospacing="0" w:afterAutospacing="0" w:line="360" w:lineRule="auto"/>
        <w:ind w:firstLine="520" w:firstLineChars="200"/>
        <w:jc w:val="both"/>
        <w:rPr>
          <w:rFonts w:ascii="Times New Roman" w:hAnsi="Times New Roman" w:eastAsia="宋体"/>
          <w:spacing w:val="10"/>
        </w:rPr>
      </w:pPr>
      <w:r>
        <w:rPr>
          <w:rFonts w:ascii="Times New Roman" w:hAnsi="Times New Roman" w:eastAsia="宋体"/>
          <w:spacing w:val="10"/>
        </w:rPr>
        <w:t>The quality of genomic DNA was detected by A260/280 ratio and agarose gel electrophoresis. A sequencing library with an average fragment size of about 300-500bp was constructed for each high-quality DNA sample. Data were sequenced on a DNBSEQ-T7 sequencer, and the sequencing result was about 10× average reading depth.</w:t>
      </w:r>
    </w:p>
    <w:p w14:paraId="0105EEB6">
      <w:pPr>
        <w:pStyle w:val="15"/>
        <w:widowControl/>
        <w:spacing w:beforeAutospacing="0" w:afterAutospacing="0" w:line="360" w:lineRule="auto"/>
        <w:ind w:firstLine="520" w:firstLineChars="200"/>
        <w:jc w:val="both"/>
        <w:rPr>
          <w:rFonts w:ascii="Times New Roman" w:hAnsi="Times New Roman" w:eastAsia="宋体"/>
          <w:spacing w:val="10"/>
        </w:rPr>
      </w:pPr>
      <w:r>
        <w:rPr>
          <w:rFonts w:ascii="Times New Roman" w:hAnsi="Times New Roman" w:eastAsia="宋体"/>
          <w:spacing w:val="10"/>
        </w:rPr>
        <w:t>Two quality control steps are used to process the original reading: (1) removing the reading with linker contamination and (2) excluding the reading with more than 10% ambiguous bases. The reading was compared with the Oar_rambouillet_v1.0 reference genome using Burrows-Wheeler Aligner and marking duplicates with Samols. The mutation requirements of SNPs, short insertions, and deletions were carried out using GATK software.</w:t>
      </w:r>
    </w:p>
    <w:p w14:paraId="5BA36327">
      <w:pPr>
        <w:pStyle w:val="4"/>
        <w:spacing w:before="0" w:after="0" w:line="360" w:lineRule="auto"/>
        <w:ind w:left="0" w:firstLine="0"/>
        <w:rPr>
          <w:rFonts w:ascii="Times New Roman" w:hAnsi="Times New Roman" w:eastAsia="黑体" w:cs="Times New Roman"/>
          <w:sz w:val="28"/>
          <w:szCs w:val="28"/>
        </w:rPr>
      </w:pPr>
      <w:r>
        <w:rPr>
          <w:rFonts w:ascii="Times New Roman" w:hAnsi="Times New Roman" w:eastAsia="黑体" w:cs="Times New Roman"/>
          <w:sz w:val="28"/>
          <w:szCs w:val="28"/>
        </w:rPr>
        <w:t>Genome-wide selective signal detection</w:t>
      </w:r>
    </w:p>
    <w:p w14:paraId="261FC15D">
      <w:pPr>
        <w:pStyle w:val="15"/>
        <w:widowControl/>
        <w:spacing w:beforeAutospacing="0" w:afterAutospacing="0" w:line="360" w:lineRule="auto"/>
        <w:ind w:firstLine="520" w:firstLineChars="200"/>
        <w:jc w:val="both"/>
        <w:rPr>
          <w:rFonts w:ascii="Times New Roman" w:hAnsi="Times New Roman" w:eastAsia="宋体"/>
          <w:spacing w:val="10"/>
        </w:rPr>
      </w:pPr>
      <w:r>
        <w:rPr>
          <w:rFonts w:ascii="Times New Roman" w:hAnsi="Times New Roman" w:eastAsia="宋体"/>
          <w:spacing w:val="10"/>
        </w:rPr>
        <w:t>Using the whole genome resequencing data, the whole genome selection signal was detected by FST. The average FST value over a 100kb window is obtained by sliding 10kb at a time, and the obtained distribution is Z-transformed. By applying the cutoff value Z(FST)&gt;2.326, possible selection targets are extracted from the extreme tail of the distribution.</w:t>
      </w:r>
    </w:p>
    <w:p w14:paraId="2B49C4D5">
      <w:pPr>
        <w:pStyle w:val="4"/>
        <w:spacing w:before="0" w:after="0" w:line="360" w:lineRule="auto"/>
        <w:ind w:left="0" w:firstLine="0"/>
        <w:rPr>
          <w:rFonts w:ascii="Times New Roman" w:hAnsi="Times New Roman" w:eastAsia="黑体" w:cs="Times New Roman"/>
          <w:sz w:val="28"/>
          <w:szCs w:val="28"/>
        </w:rPr>
      </w:pPr>
      <w:r>
        <w:rPr>
          <w:rFonts w:ascii="Times New Roman" w:hAnsi="Times New Roman" w:eastAsia="黑体" w:cs="Times New Roman"/>
          <w:sz w:val="28"/>
          <w:szCs w:val="28"/>
        </w:rPr>
        <w:t xml:space="preserve"> Gene ontology analysis</w:t>
      </w:r>
    </w:p>
    <w:p w14:paraId="4810F41F">
      <w:pPr>
        <w:pStyle w:val="15"/>
        <w:widowControl/>
        <w:spacing w:beforeAutospacing="0" w:afterAutospacing="0" w:line="360" w:lineRule="auto"/>
        <w:ind w:firstLine="520" w:firstLineChars="200"/>
        <w:jc w:val="both"/>
        <w:rPr>
          <w:rFonts w:ascii="Times New Roman" w:hAnsi="Times New Roman" w:eastAsia="宋体"/>
          <w:spacing w:val="10"/>
        </w:rPr>
      </w:pPr>
      <w:r>
        <w:rPr>
          <w:rFonts w:ascii="Times New Roman" w:hAnsi="Times New Roman" w:eastAsia="宋体"/>
          <w:spacing w:val="10"/>
        </w:rPr>
        <w:t>Ensembl gene annotation is used to identify genes located in the upstream and downstream regions of 10kb, including the potential impact of regulatory changes on seats at a certain distance, and the risk of excluding the outermost part of the selected haplotype is reduced by using a sliding window with a fixed size. The richness of gene ontology terms assigned to these genes was tested, and these genes can be used to establish human orthogonality.</w:t>
      </w:r>
    </w:p>
    <w:p w14:paraId="4D7233CF">
      <w:pPr>
        <w:pStyle w:val="4"/>
        <w:spacing w:before="0" w:after="0" w:line="360" w:lineRule="auto"/>
        <w:ind w:left="0" w:firstLine="0"/>
        <w:rPr>
          <w:rFonts w:ascii="Times New Roman" w:hAnsi="Times New Roman" w:eastAsia="黑体" w:cs="Times New Roman"/>
          <w:sz w:val="28"/>
          <w:szCs w:val="28"/>
        </w:rPr>
      </w:pPr>
      <w:r>
        <w:rPr>
          <w:rFonts w:ascii="Times New Roman" w:hAnsi="Times New Roman" w:eastAsia="黑体" w:cs="Times New Roman"/>
          <w:sz w:val="28"/>
          <w:szCs w:val="28"/>
        </w:rPr>
        <w:t>Protein 3D structure analysis and physicochemical property prediction</w:t>
      </w:r>
    </w:p>
    <w:p w14:paraId="313A7147">
      <w:pPr>
        <w:pStyle w:val="15"/>
        <w:widowControl/>
        <w:spacing w:beforeAutospacing="0" w:afterAutospacing="0" w:line="360" w:lineRule="auto"/>
        <w:ind w:firstLine="520" w:firstLineChars="200"/>
        <w:jc w:val="both"/>
        <w:rPr>
          <w:rFonts w:ascii="Times New Roman" w:hAnsi="Times New Roman" w:eastAsia="宋体"/>
          <w:spacing w:val="10"/>
        </w:rPr>
      </w:pPr>
      <w:r>
        <w:rPr>
          <w:rFonts w:ascii="Times New Roman" w:hAnsi="Times New Roman" w:eastAsia="宋体"/>
          <w:spacing w:val="10"/>
        </w:rPr>
        <w:t>Calculate hydrophilicity with ProtScale (https://web.expasy.org/protscale/). Physical and chemical properties were determined using ProtParam (https://web.expasy.org/protparam/). Prediction of protein structure using I-TASSER online service to predict protein structure (https://zhanglab.ccmb.med.umich.edu/I-TASSER/).</w:t>
      </w:r>
    </w:p>
    <w:p w14:paraId="2A188BE8">
      <w:pPr>
        <w:pStyle w:val="3"/>
        <w:spacing w:before="0" w:after="0" w:line="360" w:lineRule="auto"/>
        <w:ind w:left="0" w:firstLine="0"/>
        <w:rPr>
          <w:rFonts w:ascii="Times New Roman" w:hAnsi="Times New Roman" w:cs="Times New Roman"/>
          <w:sz w:val="30"/>
          <w:szCs w:val="30"/>
        </w:rPr>
      </w:pPr>
      <w:r>
        <w:rPr>
          <w:rFonts w:ascii="Times New Roman" w:hAnsi="Times New Roman" w:cs="Times New Roman"/>
          <w:sz w:val="30"/>
          <w:szCs w:val="30"/>
        </w:rPr>
        <w:t>Statistical analysis</w:t>
      </w:r>
    </w:p>
    <w:p w14:paraId="0ABC1854">
      <w:pPr>
        <w:pStyle w:val="15"/>
        <w:widowControl/>
        <w:spacing w:beforeAutospacing="0" w:afterAutospacing="0" w:line="360" w:lineRule="auto"/>
        <w:ind w:firstLine="520" w:firstLineChars="200"/>
        <w:jc w:val="both"/>
        <w:rPr>
          <w:rFonts w:ascii="Times New Roman" w:hAnsi="Times New Roman" w:eastAsia="宋体"/>
          <w:spacing w:val="10"/>
        </w:rPr>
      </w:pPr>
      <w:r>
        <w:rPr>
          <w:rFonts w:ascii="Times New Roman" w:hAnsi="Times New Roman" w:eastAsia="宋体"/>
          <w:spacing w:val="10"/>
        </w:rPr>
        <w:t xml:space="preserve">Use SPSS software (version 23.0). The Generalized linear mixed model (GLMM) was used to evaluate the postpartum-time effect on colostrum production, immunity, and composition and analyze the association between polymorphism of </w:t>
      </w:r>
      <w:r>
        <w:rPr>
          <w:rFonts w:ascii="Times New Roman" w:hAnsi="Times New Roman" w:eastAsia="宋体"/>
          <w:i/>
          <w:spacing w:val="10"/>
        </w:rPr>
        <w:t>LTF</w:t>
      </w:r>
      <w:r>
        <w:rPr>
          <w:rFonts w:ascii="Times New Roman" w:hAnsi="Times New Roman" w:eastAsia="宋体"/>
          <w:spacing w:val="10"/>
        </w:rPr>
        <w:t xml:space="preserve">, </w:t>
      </w:r>
      <w:r>
        <w:rPr>
          <w:rFonts w:ascii="Times New Roman" w:hAnsi="Times New Roman" w:eastAsia="宋体"/>
          <w:i/>
          <w:spacing w:val="10"/>
        </w:rPr>
        <w:t>PTPRK</w:t>
      </w:r>
      <w:r>
        <w:rPr>
          <w:rFonts w:ascii="Times New Roman" w:hAnsi="Times New Roman" w:eastAsia="宋体"/>
          <w:spacing w:val="10"/>
        </w:rPr>
        <w:t xml:space="preserve">, and </w:t>
      </w:r>
      <w:r>
        <w:rPr>
          <w:rFonts w:ascii="Times New Roman" w:hAnsi="Times New Roman" w:eastAsia="宋体"/>
          <w:i/>
          <w:spacing w:val="10"/>
        </w:rPr>
        <w:t>LIFR</w:t>
      </w:r>
      <w:r>
        <w:rPr>
          <w:rFonts w:ascii="Times New Roman" w:hAnsi="Times New Roman" w:eastAsia="宋体"/>
          <w:spacing w:val="10"/>
        </w:rPr>
        <w:t xml:space="preserve"> genes and immunoglobulin concentration. A non-parametric test assessed the difference between the high colostrum production group and the low colostrum production group. UNIANOVA program was used to analyze the association between polymorphism of </w:t>
      </w:r>
      <w:r>
        <w:rPr>
          <w:rFonts w:ascii="Times New Roman" w:hAnsi="Times New Roman" w:eastAsia="宋体"/>
          <w:i/>
          <w:spacing w:val="10"/>
        </w:rPr>
        <w:t>LTF</w:t>
      </w:r>
      <w:r>
        <w:rPr>
          <w:rFonts w:ascii="Times New Roman" w:hAnsi="Times New Roman" w:eastAsia="宋体"/>
          <w:spacing w:val="10"/>
        </w:rPr>
        <w:t xml:space="preserve">, </w:t>
      </w:r>
      <w:r>
        <w:rPr>
          <w:rFonts w:ascii="Times New Roman" w:hAnsi="Times New Roman" w:eastAsia="宋体"/>
          <w:i/>
          <w:spacing w:val="10"/>
        </w:rPr>
        <w:t>PTPRK</w:t>
      </w:r>
      <w:r>
        <w:rPr>
          <w:rFonts w:ascii="Times New Roman" w:hAnsi="Times New Roman" w:eastAsia="宋体"/>
          <w:spacing w:val="10"/>
        </w:rPr>
        <w:t xml:space="preserve">, and </w:t>
      </w:r>
      <w:r>
        <w:rPr>
          <w:rFonts w:ascii="Times New Roman" w:hAnsi="Times New Roman" w:eastAsia="宋体"/>
          <w:i/>
          <w:spacing w:val="10"/>
        </w:rPr>
        <w:t>LIFR</w:t>
      </w:r>
      <w:r>
        <w:rPr>
          <w:rFonts w:ascii="Times New Roman" w:hAnsi="Times New Roman" w:eastAsia="宋体"/>
          <w:spacing w:val="10"/>
        </w:rPr>
        <w:t xml:space="preserve"> genes and colostrum production (T-Test was used to analyze the association between polymorphism of </w:t>
      </w:r>
      <w:r>
        <w:rPr>
          <w:rFonts w:ascii="Times New Roman" w:hAnsi="Times New Roman" w:eastAsia="宋体"/>
          <w:i/>
          <w:spacing w:val="10"/>
        </w:rPr>
        <w:t>LIFR</w:t>
      </w:r>
      <w:r>
        <w:rPr>
          <w:rFonts w:ascii="Times New Roman" w:hAnsi="Times New Roman" w:eastAsia="宋体"/>
          <w:spacing w:val="10"/>
        </w:rPr>
        <w:t xml:space="preserve"> gene rs408968100 and colostrum production; non-parametric test is used to analyze the association between the polymorphism of </w:t>
      </w:r>
      <w:r>
        <w:rPr>
          <w:rFonts w:ascii="Times New Roman" w:hAnsi="Times New Roman" w:eastAsia="宋体"/>
          <w:i/>
          <w:spacing w:val="10"/>
        </w:rPr>
        <w:t>LIFR</w:t>
      </w:r>
      <w:r>
        <w:rPr>
          <w:rFonts w:ascii="Times New Roman" w:hAnsi="Times New Roman" w:eastAsia="宋体"/>
          <w:spacing w:val="10"/>
        </w:rPr>
        <w:t xml:space="preserve"> gene </w:t>
      </w:r>
      <w:r>
        <w:rPr>
          <w:rFonts w:ascii="Times New Roman" w:hAnsi="Times New Roman" w:eastAsia="宋体"/>
          <w:i/>
          <w:spacing w:val="10"/>
        </w:rPr>
        <w:t>LIFR</w:t>
      </w:r>
      <w:r>
        <w:rPr>
          <w:rFonts w:ascii="Times New Roman" w:hAnsi="Times New Roman" w:eastAsia="宋体"/>
          <w:spacing w:val="10"/>
        </w:rPr>
        <w:t>rs162154352 and colostrum production. GLMM program was used. Using Popgene (version 32.0), the allele frequency and genotype frequency were calculated, and the Hardy-Weinberg equilibrium test was carried out. Ensembl database is used to find gene sequences for the protein structure prediction. The Manhattan diagram of Z(FST) is drawn using the qqman of the R language package.</w:t>
      </w:r>
    </w:p>
    <w:p w14:paraId="6CFE0835">
      <w:pPr>
        <w:pStyle w:val="2"/>
        <w:keepNext/>
        <w:keepLines/>
        <w:numPr>
          <w:ilvl w:val="0"/>
          <w:numId w:val="3"/>
        </w:numPr>
        <w:spacing w:beforeAutospacing="0" w:afterAutospacing="0" w:line="360" w:lineRule="auto"/>
        <w:ind w:left="0" w:firstLine="0"/>
        <w:jc w:val="both"/>
        <w:rPr>
          <w:rFonts w:hint="default" w:ascii="Times New Roman" w:hAnsi="Times New Roman" w:eastAsia="黑体"/>
          <w:sz w:val="32"/>
          <w:szCs w:val="32"/>
        </w:rPr>
      </w:pPr>
      <w:r>
        <w:rPr>
          <w:rFonts w:hint="default" w:ascii="Times New Roman" w:hAnsi="Times New Roman" w:eastAsia="黑体"/>
          <w:sz w:val="32"/>
          <w:szCs w:val="32"/>
        </w:rPr>
        <w:t>Results</w:t>
      </w:r>
    </w:p>
    <w:p w14:paraId="688DD436">
      <w:pPr>
        <w:pStyle w:val="3"/>
        <w:numPr>
          <w:ilvl w:val="1"/>
          <w:numId w:val="4"/>
        </w:numPr>
        <w:spacing w:before="0" w:after="0" w:line="360" w:lineRule="auto"/>
        <w:ind w:left="0" w:firstLine="0"/>
        <w:rPr>
          <w:rFonts w:ascii="Times New Roman" w:hAnsi="Times New Roman" w:cs="Times New Roman"/>
          <w:sz w:val="30"/>
          <w:szCs w:val="30"/>
        </w:rPr>
      </w:pPr>
      <w:r>
        <w:rPr>
          <w:rFonts w:ascii="Times New Roman" w:hAnsi="Times New Roman" w:cs="Times New Roman"/>
          <w:sz w:val="30"/>
          <w:szCs w:val="30"/>
        </w:rPr>
        <w:t>Colostrum yield and immunoglobulin content</w:t>
      </w:r>
    </w:p>
    <w:p w14:paraId="2412F84E">
      <w:pPr>
        <w:pStyle w:val="15"/>
        <w:widowControl/>
        <w:spacing w:beforeAutospacing="0" w:afterAutospacing="0" w:line="360" w:lineRule="auto"/>
        <w:ind w:firstLine="520" w:firstLineChars="200"/>
        <w:jc w:val="both"/>
        <w:rPr>
          <w:rFonts w:ascii="Times New Roman" w:hAnsi="Times New Roman" w:eastAsia="宋体"/>
          <w:spacing w:val="10"/>
          <w:lang w:bidi="ar"/>
        </w:rPr>
      </w:pPr>
      <w:bookmarkStart w:id="3" w:name="_Hlk177929176"/>
      <w:r>
        <w:rPr>
          <w:rFonts w:ascii="Times New Roman" w:hAnsi="Times New Roman" w:eastAsia="宋体"/>
          <w:spacing w:val="10"/>
          <w:lang w:bidi="ar"/>
        </w:rPr>
        <w:t>The colostrum yield of ewes was 1.027±0.450</w:t>
      </w:r>
      <w:r>
        <w:rPr>
          <w:rFonts w:hint="eastAsia" w:ascii="Times New Roman" w:hAnsi="Times New Roman" w:eastAsia="宋体"/>
          <w:spacing w:val="10"/>
          <w:lang w:bidi="ar"/>
        </w:rPr>
        <w:t xml:space="preserve"> </w:t>
      </w:r>
      <w:r>
        <w:rPr>
          <w:rFonts w:ascii="Times New Roman" w:hAnsi="Times New Roman" w:eastAsia="宋体"/>
          <w:spacing w:val="10"/>
          <w:lang w:bidi="ar"/>
        </w:rPr>
        <w:t>Kg on the first day after delivery, 1.105±0.455</w:t>
      </w:r>
      <w:r>
        <w:rPr>
          <w:rFonts w:hint="eastAsia" w:ascii="Times New Roman" w:hAnsi="Times New Roman" w:eastAsia="宋体"/>
          <w:spacing w:val="10"/>
          <w:lang w:bidi="ar"/>
        </w:rPr>
        <w:t xml:space="preserve"> </w:t>
      </w:r>
      <w:r>
        <w:rPr>
          <w:rFonts w:ascii="Times New Roman" w:hAnsi="Times New Roman" w:eastAsia="宋体"/>
          <w:spacing w:val="10"/>
          <w:lang w:bidi="ar"/>
        </w:rPr>
        <w:t>Kg on the second day, 1.357±0.582</w:t>
      </w:r>
      <w:r>
        <w:rPr>
          <w:rFonts w:hint="eastAsia" w:ascii="Times New Roman" w:hAnsi="Times New Roman" w:eastAsia="宋体"/>
          <w:spacing w:val="10"/>
          <w:lang w:bidi="ar"/>
        </w:rPr>
        <w:t xml:space="preserve"> </w:t>
      </w:r>
      <w:r>
        <w:rPr>
          <w:rFonts w:ascii="Times New Roman" w:hAnsi="Times New Roman" w:eastAsia="宋体"/>
          <w:spacing w:val="10"/>
          <w:lang w:bidi="ar"/>
        </w:rPr>
        <w:t>Kg on the third day, and the total colostrum yield was 3.489± 0.075</w:t>
      </w:r>
      <w:r>
        <w:rPr>
          <w:rFonts w:hint="eastAsia" w:ascii="Times New Roman" w:hAnsi="Times New Roman" w:eastAsia="宋体"/>
          <w:spacing w:val="10"/>
          <w:lang w:bidi="ar"/>
        </w:rPr>
        <w:t xml:space="preserve"> </w:t>
      </w:r>
      <w:r>
        <w:rPr>
          <w:rFonts w:ascii="Times New Roman" w:hAnsi="Times New Roman" w:eastAsia="宋体"/>
          <w:spacing w:val="10"/>
          <w:lang w:bidi="ar"/>
        </w:rPr>
        <w:t>Kg on the first three days after delivery, and 296,448.396</w:t>
      </w:r>
      <w:r>
        <w:rPr>
          <w:rFonts w:hint="eastAsia" w:ascii="Times New Roman" w:hAnsi="Times New Roman" w:eastAsia="宋体"/>
          <w:spacing w:val="10"/>
          <w:lang w:bidi="ar"/>
        </w:rPr>
        <w:t xml:space="preserve"> </w:t>
      </w:r>
      <w:r>
        <w:rPr>
          <w:rFonts w:ascii="Times New Roman" w:hAnsi="Times New Roman" w:eastAsia="宋体"/>
          <w:spacing w:val="10"/>
          <w:lang w:bidi="ar"/>
        </w:rPr>
        <w:t>mg of immunoglobulins (IgG, IgM, and IgA) were transferred to colostrum</w:t>
      </w:r>
      <w:r>
        <w:rPr>
          <w:rFonts w:hint="eastAsia" w:ascii="Times New Roman" w:hAnsi="Times New Roman" w:eastAsia="宋体"/>
          <w:spacing w:val="10"/>
          <w:lang w:bidi="ar"/>
        </w:rPr>
        <w:t xml:space="preserve"> (</w:t>
      </w:r>
      <w:r>
        <w:rPr>
          <w:rFonts w:ascii="Times New Roman" w:hAnsi="Times New Roman"/>
          <w:b/>
          <w:bCs/>
          <w:spacing w:val="10"/>
          <w:sz w:val="21"/>
          <w:szCs w:val="21"/>
        </w:rPr>
        <w:t>Table 1</w:t>
      </w:r>
      <w:r>
        <w:rPr>
          <w:rFonts w:hint="eastAsia" w:ascii="Times New Roman" w:hAnsi="Times New Roman" w:eastAsia="宋体"/>
          <w:spacing w:val="10"/>
          <w:lang w:bidi="ar"/>
        </w:rPr>
        <w:t>)</w:t>
      </w:r>
      <w:r>
        <w:rPr>
          <w:rFonts w:ascii="Times New Roman" w:hAnsi="Times New Roman" w:eastAsia="宋体"/>
          <w:spacing w:val="10"/>
          <w:lang w:bidi="ar"/>
        </w:rPr>
        <w:t>.</w:t>
      </w:r>
      <w:bookmarkEnd w:id="3"/>
    </w:p>
    <w:p w14:paraId="06CC9644">
      <w:pPr>
        <w:pStyle w:val="15"/>
        <w:widowControl/>
        <w:spacing w:beforeAutospacing="0" w:afterAutospacing="0" w:line="360" w:lineRule="auto"/>
        <w:jc w:val="both"/>
        <w:outlineLvl w:val="3"/>
        <w:rPr>
          <w:rFonts w:ascii="Times New Roman" w:hAnsi="Times New Roman"/>
          <w:b/>
          <w:bCs/>
          <w:spacing w:val="10"/>
          <w:sz w:val="21"/>
          <w:szCs w:val="21"/>
        </w:rPr>
      </w:pPr>
      <w:r>
        <w:rPr>
          <w:rFonts w:ascii="Times New Roman" w:hAnsi="Times New Roman"/>
          <w:b/>
          <w:bCs/>
          <w:spacing w:val="10"/>
          <w:sz w:val="21"/>
          <w:szCs w:val="21"/>
        </w:rPr>
        <w:t>Table 1 Colostrum yield and immunoglobulin concentration.</w:t>
      </w:r>
    </w:p>
    <w:tbl>
      <w:tblPr>
        <w:tblStyle w:val="16"/>
        <w:tblW w:w="5000" w:type="pct"/>
        <w:jc w:val="center"/>
        <w:tblLayout w:type="autofit"/>
        <w:tblCellMar>
          <w:top w:w="0" w:type="dxa"/>
          <w:left w:w="108" w:type="dxa"/>
          <w:bottom w:w="0" w:type="dxa"/>
          <w:right w:w="108" w:type="dxa"/>
        </w:tblCellMar>
      </w:tblPr>
      <w:tblGrid>
        <w:gridCol w:w="2357"/>
        <w:gridCol w:w="1544"/>
        <w:gridCol w:w="1544"/>
        <w:gridCol w:w="1544"/>
        <w:gridCol w:w="1533"/>
      </w:tblGrid>
      <w:tr w14:paraId="4BA9B690">
        <w:tblPrEx>
          <w:tblCellMar>
            <w:top w:w="0" w:type="dxa"/>
            <w:left w:w="108" w:type="dxa"/>
            <w:bottom w:w="0" w:type="dxa"/>
            <w:right w:w="108" w:type="dxa"/>
          </w:tblCellMar>
        </w:tblPrEx>
        <w:trPr>
          <w:trHeight w:val="330" w:hRule="atLeast"/>
          <w:jc w:val="center"/>
        </w:trPr>
        <w:tc>
          <w:tcPr>
            <w:tcW w:w="1424" w:type="pct"/>
            <w:tcBorders>
              <w:top w:val="single" w:color="auto" w:sz="12" w:space="0"/>
              <w:left w:val="nil"/>
              <w:bottom w:val="single" w:color="auto" w:sz="6" w:space="0"/>
              <w:right w:val="nil"/>
            </w:tcBorders>
            <w:shd w:val="clear" w:color="auto" w:fill="auto"/>
            <w:noWrap/>
            <w:vAlign w:val="center"/>
          </w:tcPr>
          <w:p w14:paraId="71AD5E94">
            <w:pPr>
              <w:widowControl/>
              <w:tabs>
                <w:tab w:val="right" w:pos="2092"/>
              </w:tabs>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color w:val="000000"/>
                <w:kern w:val="0"/>
                <w:szCs w:val="21"/>
                <w:lang w:bidi="ar"/>
              </w:rPr>
              <w:t>Trait</w:t>
            </w:r>
          </w:p>
        </w:tc>
        <w:tc>
          <w:tcPr>
            <w:tcW w:w="896" w:type="pct"/>
            <w:tcBorders>
              <w:top w:val="single" w:color="auto" w:sz="12" w:space="0"/>
              <w:left w:val="nil"/>
              <w:bottom w:val="single" w:color="auto" w:sz="6" w:space="0"/>
              <w:right w:val="nil"/>
            </w:tcBorders>
            <w:shd w:val="clear" w:color="auto" w:fill="auto"/>
            <w:noWrap/>
            <w:vAlign w:val="center"/>
          </w:tcPr>
          <w:p w14:paraId="23125698">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1d</w:t>
            </w:r>
          </w:p>
        </w:tc>
        <w:tc>
          <w:tcPr>
            <w:tcW w:w="896" w:type="pct"/>
            <w:tcBorders>
              <w:top w:val="single" w:color="auto" w:sz="12" w:space="0"/>
              <w:left w:val="nil"/>
              <w:bottom w:val="single" w:color="auto" w:sz="6" w:space="0"/>
              <w:right w:val="nil"/>
            </w:tcBorders>
            <w:shd w:val="clear" w:color="auto" w:fill="auto"/>
            <w:noWrap/>
            <w:vAlign w:val="center"/>
          </w:tcPr>
          <w:p w14:paraId="1190BE64">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2d</w:t>
            </w:r>
          </w:p>
        </w:tc>
        <w:tc>
          <w:tcPr>
            <w:tcW w:w="896" w:type="pct"/>
            <w:tcBorders>
              <w:top w:val="single" w:color="auto" w:sz="12" w:space="0"/>
              <w:left w:val="nil"/>
              <w:bottom w:val="single" w:color="auto" w:sz="6" w:space="0"/>
              <w:right w:val="nil"/>
            </w:tcBorders>
            <w:shd w:val="clear" w:color="auto" w:fill="auto"/>
            <w:noWrap/>
            <w:vAlign w:val="center"/>
          </w:tcPr>
          <w:p w14:paraId="78E4CC81">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3d</w:t>
            </w:r>
          </w:p>
        </w:tc>
        <w:tc>
          <w:tcPr>
            <w:tcW w:w="889" w:type="pct"/>
            <w:tcBorders>
              <w:top w:val="single" w:color="auto" w:sz="12" w:space="0"/>
              <w:left w:val="nil"/>
              <w:bottom w:val="single" w:color="auto" w:sz="6" w:space="0"/>
              <w:right w:val="nil"/>
            </w:tcBorders>
            <w:shd w:val="clear" w:color="auto" w:fill="auto"/>
            <w:noWrap/>
            <w:vAlign w:val="center"/>
          </w:tcPr>
          <w:p w14:paraId="7C866A52">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Total</w:t>
            </w:r>
          </w:p>
        </w:tc>
      </w:tr>
      <w:tr w14:paraId="2F53EAC9">
        <w:tblPrEx>
          <w:tblCellMar>
            <w:top w:w="0" w:type="dxa"/>
            <w:left w:w="108" w:type="dxa"/>
            <w:bottom w:w="0" w:type="dxa"/>
            <w:right w:w="108" w:type="dxa"/>
          </w:tblCellMar>
        </w:tblPrEx>
        <w:trPr>
          <w:trHeight w:val="295" w:hRule="atLeast"/>
          <w:jc w:val="center"/>
        </w:trPr>
        <w:tc>
          <w:tcPr>
            <w:tcW w:w="1424" w:type="pct"/>
            <w:tcBorders>
              <w:top w:val="single" w:color="auto" w:sz="6" w:space="0"/>
              <w:left w:val="nil"/>
              <w:bottom w:val="nil"/>
              <w:right w:val="nil"/>
            </w:tcBorders>
            <w:shd w:val="clear" w:color="auto" w:fill="auto"/>
            <w:noWrap/>
            <w:vAlign w:val="center"/>
          </w:tcPr>
          <w:p w14:paraId="48CD8602">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Colostrum yield (Kg)</w:t>
            </w:r>
          </w:p>
        </w:tc>
        <w:tc>
          <w:tcPr>
            <w:tcW w:w="896" w:type="pct"/>
            <w:tcBorders>
              <w:top w:val="single" w:color="auto" w:sz="6" w:space="0"/>
              <w:left w:val="nil"/>
              <w:bottom w:val="nil"/>
              <w:right w:val="nil"/>
            </w:tcBorders>
            <w:shd w:val="clear" w:color="auto" w:fill="auto"/>
            <w:noWrap/>
            <w:vAlign w:val="center"/>
          </w:tcPr>
          <w:p w14:paraId="0F9AD073">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1.027±0.450</w:t>
            </w:r>
          </w:p>
        </w:tc>
        <w:tc>
          <w:tcPr>
            <w:tcW w:w="896" w:type="pct"/>
            <w:tcBorders>
              <w:top w:val="single" w:color="auto" w:sz="6" w:space="0"/>
              <w:left w:val="nil"/>
              <w:bottom w:val="nil"/>
              <w:right w:val="nil"/>
            </w:tcBorders>
            <w:shd w:val="clear" w:color="auto" w:fill="auto"/>
            <w:noWrap/>
            <w:vAlign w:val="center"/>
          </w:tcPr>
          <w:p w14:paraId="413B7776">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1.105±0.455</w:t>
            </w:r>
          </w:p>
        </w:tc>
        <w:tc>
          <w:tcPr>
            <w:tcW w:w="896" w:type="pct"/>
            <w:tcBorders>
              <w:top w:val="single" w:color="auto" w:sz="6" w:space="0"/>
              <w:left w:val="nil"/>
              <w:bottom w:val="nil"/>
              <w:right w:val="nil"/>
            </w:tcBorders>
            <w:shd w:val="clear" w:color="auto" w:fill="auto"/>
            <w:noWrap/>
            <w:vAlign w:val="center"/>
          </w:tcPr>
          <w:p w14:paraId="2162BFBD">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1.357±0.582</w:t>
            </w:r>
          </w:p>
        </w:tc>
        <w:tc>
          <w:tcPr>
            <w:tcW w:w="889" w:type="pct"/>
            <w:tcBorders>
              <w:top w:val="single" w:color="auto" w:sz="6" w:space="0"/>
              <w:left w:val="nil"/>
              <w:bottom w:val="nil"/>
              <w:right w:val="nil"/>
            </w:tcBorders>
            <w:shd w:val="clear" w:color="auto" w:fill="auto"/>
            <w:noWrap/>
            <w:vAlign w:val="center"/>
          </w:tcPr>
          <w:p w14:paraId="64626F4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3.489</w:t>
            </w:r>
          </w:p>
        </w:tc>
      </w:tr>
      <w:tr w14:paraId="2BF9FDF9">
        <w:tblPrEx>
          <w:tblCellMar>
            <w:top w:w="0" w:type="dxa"/>
            <w:left w:w="108" w:type="dxa"/>
            <w:bottom w:w="0" w:type="dxa"/>
            <w:right w:w="108" w:type="dxa"/>
          </w:tblCellMar>
        </w:tblPrEx>
        <w:trPr>
          <w:trHeight w:val="280" w:hRule="atLeast"/>
          <w:jc w:val="center"/>
        </w:trPr>
        <w:tc>
          <w:tcPr>
            <w:tcW w:w="1424" w:type="pct"/>
            <w:tcBorders>
              <w:top w:val="nil"/>
              <w:left w:val="nil"/>
              <w:bottom w:val="nil"/>
              <w:right w:val="nil"/>
            </w:tcBorders>
            <w:shd w:val="clear" w:color="auto" w:fill="auto"/>
            <w:noWrap/>
            <w:vAlign w:val="center"/>
          </w:tcPr>
          <w:p w14:paraId="4162DB6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IgG(mg/mL)</w:t>
            </w:r>
          </w:p>
        </w:tc>
        <w:tc>
          <w:tcPr>
            <w:tcW w:w="896" w:type="pct"/>
            <w:tcBorders>
              <w:top w:val="nil"/>
              <w:left w:val="nil"/>
              <w:bottom w:val="nil"/>
              <w:right w:val="nil"/>
            </w:tcBorders>
            <w:shd w:val="clear" w:color="auto" w:fill="auto"/>
            <w:noWrap/>
            <w:vAlign w:val="center"/>
          </w:tcPr>
          <w:p w14:paraId="088751E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92.907</w:t>
            </w:r>
          </w:p>
        </w:tc>
        <w:tc>
          <w:tcPr>
            <w:tcW w:w="896" w:type="pct"/>
            <w:tcBorders>
              <w:top w:val="nil"/>
              <w:left w:val="nil"/>
              <w:bottom w:val="nil"/>
              <w:right w:val="nil"/>
            </w:tcBorders>
            <w:shd w:val="clear" w:color="auto" w:fill="auto"/>
            <w:noWrap/>
            <w:vAlign w:val="center"/>
          </w:tcPr>
          <w:p w14:paraId="4A5E358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81.318</w:t>
            </w:r>
          </w:p>
        </w:tc>
        <w:tc>
          <w:tcPr>
            <w:tcW w:w="896" w:type="pct"/>
            <w:tcBorders>
              <w:top w:val="nil"/>
              <w:left w:val="nil"/>
              <w:bottom w:val="nil"/>
              <w:right w:val="nil"/>
            </w:tcBorders>
            <w:shd w:val="clear" w:color="auto" w:fill="auto"/>
            <w:noWrap/>
            <w:vAlign w:val="center"/>
          </w:tcPr>
          <w:p w14:paraId="1B386CB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77.135</w:t>
            </w:r>
          </w:p>
        </w:tc>
        <w:tc>
          <w:tcPr>
            <w:tcW w:w="889" w:type="pct"/>
            <w:tcBorders>
              <w:top w:val="nil"/>
              <w:left w:val="nil"/>
              <w:bottom w:val="nil"/>
              <w:right w:val="nil"/>
            </w:tcBorders>
            <w:shd w:val="clear" w:color="auto" w:fill="auto"/>
            <w:noWrap/>
            <w:vAlign w:val="center"/>
          </w:tcPr>
          <w:p w14:paraId="5EB04954">
            <w:pPr>
              <w:widowControl/>
              <w:spacing w:line="360" w:lineRule="auto"/>
              <w:jc w:val="center"/>
              <w:textAlignment w:val="center"/>
              <w:rPr>
                <w:rFonts w:ascii="Times New Roman" w:hAnsi="Times New Roman" w:eastAsia="宋体" w:cs="Times New Roman"/>
                <w:color w:val="000000"/>
                <w:kern w:val="0"/>
                <w:szCs w:val="21"/>
                <w:lang w:bidi="ar"/>
              </w:rPr>
            </w:pPr>
            <w:r>
              <w:rPr>
                <w:rFonts w:hint="eastAsia" w:ascii="Times New Roman" w:hAnsi="Times New Roman" w:eastAsia="宋体" w:cs="Times New Roman"/>
                <w:color w:val="000000"/>
                <w:kern w:val="0"/>
                <w:szCs w:val="21"/>
                <w:lang w:bidi="ar"/>
              </w:rPr>
              <w:t>251.36</w:t>
            </w:r>
          </w:p>
        </w:tc>
      </w:tr>
      <w:tr w14:paraId="5534FFB6">
        <w:tblPrEx>
          <w:tblCellMar>
            <w:top w:w="0" w:type="dxa"/>
            <w:left w:w="108" w:type="dxa"/>
            <w:bottom w:w="0" w:type="dxa"/>
            <w:right w:w="108" w:type="dxa"/>
          </w:tblCellMar>
        </w:tblPrEx>
        <w:trPr>
          <w:trHeight w:val="280" w:hRule="atLeast"/>
          <w:jc w:val="center"/>
        </w:trPr>
        <w:tc>
          <w:tcPr>
            <w:tcW w:w="1424" w:type="pct"/>
            <w:tcBorders>
              <w:top w:val="nil"/>
              <w:left w:val="nil"/>
              <w:bottom w:val="nil"/>
              <w:right w:val="nil"/>
            </w:tcBorders>
            <w:shd w:val="clear" w:color="auto" w:fill="auto"/>
            <w:noWrap/>
            <w:vAlign w:val="center"/>
          </w:tcPr>
          <w:p w14:paraId="309106DC">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IgM(mg/mL)</w:t>
            </w:r>
          </w:p>
        </w:tc>
        <w:tc>
          <w:tcPr>
            <w:tcW w:w="896" w:type="pct"/>
            <w:tcBorders>
              <w:top w:val="nil"/>
              <w:left w:val="nil"/>
              <w:bottom w:val="nil"/>
              <w:right w:val="nil"/>
            </w:tcBorders>
            <w:shd w:val="clear" w:color="auto" w:fill="auto"/>
            <w:noWrap/>
            <w:vAlign w:val="center"/>
          </w:tcPr>
          <w:p w14:paraId="46C0F1C0">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3.688</w:t>
            </w:r>
          </w:p>
        </w:tc>
        <w:tc>
          <w:tcPr>
            <w:tcW w:w="896" w:type="pct"/>
            <w:tcBorders>
              <w:top w:val="nil"/>
              <w:left w:val="nil"/>
              <w:bottom w:val="nil"/>
              <w:right w:val="nil"/>
            </w:tcBorders>
            <w:shd w:val="clear" w:color="auto" w:fill="auto"/>
            <w:noWrap/>
            <w:vAlign w:val="center"/>
          </w:tcPr>
          <w:p w14:paraId="730725B1">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3.465</w:t>
            </w:r>
          </w:p>
        </w:tc>
        <w:tc>
          <w:tcPr>
            <w:tcW w:w="896" w:type="pct"/>
            <w:tcBorders>
              <w:top w:val="nil"/>
              <w:left w:val="nil"/>
              <w:bottom w:val="nil"/>
              <w:right w:val="nil"/>
            </w:tcBorders>
            <w:shd w:val="clear" w:color="auto" w:fill="auto"/>
            <w:noWrap/>
            <w:vAlign w:val="center"/>
          </w:tcPr>
          <w:p w14:paraId="743DFA6C">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3.464</w:t>
            </w:r>
          </w:p>
        </w:tc>
        <w:tc>
          <w:tcPr>
            <w:tcW w:w="889" w:type="pct"/>
            <w:tcBorders>
              <w:top w:val="nil"/>
              <w:left w:val="nil"/>
              <w:bottom w:val="nil"/>
              <w:right w:val="nil"/>
            </w:tcBorders>
            <w:shd w:val="clear" w:color="auto" w:fill="auto"/>
            <w:noWrap/>
            <w:vAlign w:val="center"/>
          </w:tcPr>
          <w:p w14:paraId="08BCFCA5">
            <w:pPr>
              <w:widowControl/>
              <w:spacing w:line="360" w:lineRule="auto"/>
              <w:jc w:val="center"/>
              <w:textAlignment w:val="center"/>
              <w:rPr>
                <w:rFonts w:ascii="Times New Roman" w:hAnsi="Times New Roman" w:eastAsia="宋体" w:cs="Times New Roman"/>
                <w:color w:val="000000"/>
                <w:kern w:val="0"/>
                <w:szCs w:val="21"/>
                <w:lang w:bidi="ar"/>
              </w:rPr>
            </w:pPr>
            <w:r>
              <w:rPr>
                <w:rFonts w:hint="eastAsia" w:ascii="Times New Roman" w:hAnsi="Times New Roman" w:eastAsia="宋体" w:cs="Times New Roman"/>
                <w:color w:val="000000"/>
                <w:kern w:val="0"/>
                <w:szCs w:val="21"/>
                <w:lang w:bidi="ar"/>
              </w:rPr>
              <w:t>10.617</w:t>
            </w:r>
          </w:p>
        </w:tc>
      </w:tr>
      <w:tr w14:paraId="4758B0DF">
        <w:tblPrEx>
          <w:tblCellMar>
            <w:top w:w="0" w:type="dxa"/>
            <w:left w:w="108" w:type="dxa"/>
            <w:bottom w:w="0" w:type="dxa"/>
            <w:right w:w="108" w:type="dxa"/>
          </w:tblCellMar>
        </w:tblPrEx>
        <w:trPr>
          <w:trHeight w:val="295" w:hRule="atLeast"/>
          <w:jc w:val="center"/>
        </w:trPr>
        <w:tc>
          <w:tcPr>
            <w:tcW w:w="1424" w:type="pct"/>
            <w:tcBorders>
              <w:top w:val="nil"/>
              <w:left w:val="nil"/>
              <w:bottom w:val="nil"/>
              <w:right w:val="nil"/>
            </w:tcBorders>
            <w:shd w:val="clear" w:color="auto" w:fill="auto"/>
            <w:noWrap/>
            <w:vAlign w:val="center"/>
          </w:tcPr>
          <w:p w14:paraId="6D42C4AD">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IgA(mg/mL)</w:t>
            </w:r>
          </w:p>
        </w:tc>
        <w:tc>
          <w:tcPr>
            <w:tcW w:w="896" w:type="pct"/>
            <w:tcBorders>
              <w:top w:val="nil"/>
              <w:left w:val="nil"/>
              <w:bottom w:val="nil"/>
              <w:right w:val="nil"/>
            </w:tcBorders>
            <w:shd w:val="clear" w:color="auto" w:fill="auto"/>
            <w:noWrap/>
            <w:vAlign w:val="center"/>
          </w:tcPr>
          <w:p w14:paraId="35801FB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0.410</w:t>
            </w:r>
          </w:p>
        </w:tc>
        <w:tc>
          <w:tcPr>
            <w:tcW w:w="896" w:type="pct"/>
            <w:tcBorders>
              <w:top w:val="nil"/>
              <w:left w:val="nil"/>
              <w:bottom w:val="nil"/>
              <w:right w:val="nil"/>
            </w:tcBorders>
            <w:shd w:val="clear" w:color="auto" w:fill="auto"/>
            <w:noWrap/>
            <w:vAlign w:val="center"/>
          </w:tcPr>
          <w:p w14:paraId="0F4D03CD">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0.373</w:t>
            </w:r>
          </w:p>
        </w:tc>
        <w:tc>
          <w:tcPr>
            <w:tcW w:w="896" w:type="pct"/>
            <w:tcBorders>
              <w:top w:val="nil"/>
              <w:left w:val="nil"/>
              <w:bottom w:val="nil"/>
              <w:right w:val="nil"/>
            </w:tcBorders>
            <w:shd w:val="clear" w:color="auto" w:fill="auto"/>
            <w:noWrap/>
            <w:vAlign w:val="center"/>
          </w:tcPr>
          <w:p w14:paraId="189786EC">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0.346</w:t>
            </w:r>
          </w:p>
        </w:tc>
        <w:tc>
          <w:tcPr>
            <w:tcW w:w="889" w:type="pct"/>
            <w:tcBorders>
              <w:top w:val="nil"/>
              <w:left w:val="nil"/>
              <w:bottom w:val="nil"/>
              <w:right w:val="nil"/>
            </w:tcBorders>
            <w:shd w:val="clear" w:color="auto" w:fill="auto"/>
            <w:noWrap/>
            <w:vAlign w:val="center"/>
          </w:tcPr>
          <w:p w14:paraId="081FCF19">
            <w:pPr>
              <w:widowControl/>
              <w:spacing w:line="360" w:lineRule="auto"/>
              <w:jc w:val="center"/>
              <w:textAlignment w:val="center"/>
              <w:rPr>
                <w:rFonts w:ascii="Times New Roman" w:hAnsi="Times New Roman" w:eastAsia="宋体" w:cs="Times New Roman"/>
                <w:color w:val="000000"/>
                <w:kern w:val="0"/>
                <w:szCs w:val="21"/>
                <w:lang w:bidi="ar"/>
              </w:rPr>
            </w:pPr>
            <w:r>
              <w:rPr>
                <w:rFonts w:hint="eastAsia" w:ascii="Times New Roman" w:hAnsi="Times New Roman" w:eastAsia="宋体" w:cs="Times New Roman"/>
                <w:color w:val="000000"/>
                <w:kern w:val="0"/>
                <w:szCs w:val="21"/>
                <w:lang w:bidi="ar"/>
              </w:rPr>
              <w:t>1.129</w:t>
            </w:r>
          </w:p>
        </w:tc>
      </w:tr>
      <w:tr w14:paraId="3A87BA89">
        <w:tblPrEx>
          <w:tblCellMar>
            <w:top w:w="0" w:type="dxa"/>
            <w:left w:w="108" w:type="dxa"/>
            <w:bottom w:w="0" w:type="dxa"/>
            <w:right w:w="108" w:type="dxa"/>
          </w:tblCellMar>
        </w:tblPrEx>
        <w:trPr>
          <w:trHeight w:val="295" w:hRule="atLeast"/>
          <w:jc w:val="center"/>
        </w:trPr>
        <w:tc>
          <w:tcPr>
            <w:tcW w:w="1424" w:type="pct"/>
            <w:tcBorders>
              <w:top w:val="nil"/>
              <w:left w:val="nil"/>
              <w:bottom w:val="nil"/>
              <w:right w:val="nil"/>
            </w:tcBorders>
            <w:shd w:val="clear" w:color="auto" w:fill="auto"/>
            <w:noWrap/>
            <w:vAlign w:val="center"/>
          </w:tcPr>
          <w:p w14:paraId="30863D18">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IgG content</w:t>
            </w:r>
            <w:r>
              <w:rPr>
                <w:rFonts w:ascii="Times New Roman" w:hAnsi="Times New Roman" w:eastAsia="宋体" w:cs="Times New Roman"/>
                <w:color w:val="000000"/>
                <w:kern w:val="0"/>
                <w:szCs w:val="21"/>
                <w:vertAlign w:val="superscript"/>
                <w:lang w:bidi="ar"/>
              </w:rPr>
              <w:t>1</w:t>
            </w:r>
            <w:r>
              <w:rPr>
                <w:rFonts w:ascii="Times New Roman" w:hAnsi="Times New Roman" w:eastAsia="宋体" w:cs="Times New Roman"/>
                <w:color w:val="000000"/>
                <w:kern w:val="0"/>
                <w:szCs w:val="21"/>
                <w:lang w:bidi="ar"/>
              </w:rPr>
              <w:t>(mg)</w:t>
            </w:r>
          </w:p>
        </w:tc>
        <w:tc>
          <w:tcPr>
            <w:tcW w:w="896" w:type="pct"/>
            <w:tcBorders>
              <w:top w:val="nil"/>
              <w:left w:val="nil"/>
              <w:bottom w:val="nil"/>
              <w:right w:val="nil"/>
            </w:tcBorders>
            <w:shd w:val="clear" w:color="auto" w:fill="auto"/>
            <w:noWrap/>
            <w:vAlign w:val="center"/>
          </w:tcPr>
          <w:p w14:paraId="28E292A5">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93,179.334</w:t>
            </w:r>
          </w:p>
        </w:tc>
        <w:tc>
          <w:tcPr>
            <w:tcW w:w="896" w:type="pct"/>
            <w:tcBorders>
              <w:top w:val="nil"/>
              <w:left w:val="nil"/>
              <w:bottom w:val="nil"/>
              <w:right w:val="nil"/>
            </w:tcBorders>
            <w:shd w:val="clear" w:color="auto" w:fill="auto"/>
            <w:noWrap/>
            <w:vAlign w:val="center"/>
          </w:tcPr>
          <w:p w14:paraId="17207E03">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87,750.344</w:t>
            </w:r>
          </w:p>
        </w:tc>
        <w:tc>
          <w:tcPr>
            <w:tcW w:w="896" w:type="pct"/>
            <w:tcBorders>
              <w:top w:val="nil"/>
              <w:left w:val="nil"/>
              <w:bottom w:val="nil"/>
              <w:right w:val="nil"/>
            </w:tcBorders>
            <w:shd w:val="clear" w:color="auto" w:fill="auto"/>
            <w:noWrap/>
            <w:vAlign w:val="center"/>
          </w:tcPr>
          <w:p w14:paraId="548F0A29">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102,219.075</w:t>
            </w:r>
          </w:p>
        </w:tc>
        <w:tc>
          <w:tcPr>
            <w:tcW w:w="889" w:type="pct"/>
            <w:tcBorders>
              <w:top w:val="nil"/>
              <w:left w:val="nil"/>
              <w:bottom w:val="nil"/>
              <w:right w:val="nil"/>
            </w:tcBorders>
            <w:shd w:val="clear" w:color="auto" w:fill="auto"/>
            <w:noWrap/>
            <w:vAlign w:val="center"/>
          </w:tcPr>
          <w:p w14:paraId="0E85B544">
            <w:pPr>
              <w:widowControl/>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283,148.753</w:t>
            </w:r>
          </w:p>
        </w:tc>
      </w:tr>
      <w:tr w14:paraId="184775C3">
        <w:tblPrEx>
          <w:tblCellMar>
            <w:top w:w="0" w:type="dxa"/>
            <w:left w:w="108" w:type="dxa"/>
            <w:bottom w:w="0" w:type="dxa"/>
            <w:right w:w="108" w:type="dxa"/>
          </w:tblCellMar>
        </w:tblPrEx>
        <w:trPr>
          <w:trHeight w:val="295" w:hRule="atLeast"/>
          <w:jc w:val="center"/>
        </w:trPr>
        <w:tc>
          <w:tcPr>
            <w:tcW w:w="1424" w:type="pct"/>
            <w:tcBorders>
              <w:top w:val="nil"/>
              <w:left w:val="nil"/>
              <w:bottom w:val="nil"/>
              <w:right w:val="nil"/>
            </w:tcBorders>
            <w:shd w:val="clear" w:color="auto" w:fill="auto"/>
            <w:noWrap/>
            <w:vAlign w:val="center"/>
          </w:tcPr>
          <w:p w14:paraId="040BE287">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IgM content</w:t>
            </w:r>
            <w:r>
              <w:rPr>
                <w:rFonts w:ascii="Times New Roman" w:hAnsi="Times New Roman" w:eastAsia="宋体" w:cs="Times New Roman"/>
                <w:color w:val="000000"/>
                <w:kern w:val="0"/>
                <w:szCs w:val="21"/>
                <w:vertAlign w:val="superscript"/>
                <w:lang w:bidi="ar"/>
              </w:rPr>
              <w:t>2</w:t>
            </w:r>
            <w:r>
              <w:rPr>
                <w:rFonts w:ascii="Times New Roman" w:hAnsi="Times New Roman" w:eastAsia="宋体" w:cs="Times New Roman"/>
                <w:color w:val="000000"/>
                <w:kern w:val="0"/>
                <w:szCs w:val="21"/>
                <w:lang w:bidi="ar"/>
              </w:rPr>
              <w:t>(mg)</w:t>
            </w:r>
          </w:p>
        </w:tc>
        <w:tc>
          <w:tcPr>
            <w:tcW w:w="896" w:type="pct"/>
            <w:tcBorders>
              <w:top w:val="nil"/>
              <w:left w:val="nil"/>
              <w:bottom w:val="nil"/>
              <w:right w:val="nil"/>
            </w:tcBorders>
            <w:shd w:val="clear" w:color="auto" w:fill="auto"/>
            <w:noWrap/>
            <w:vAlign w:val="center"/>
          </w:tcPr>
          <w:p w14:paraId="56FE16D4">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3,698.557</w:t>
            </w:r>
          </w:p>
        </w:tc>
        <w:tc>
          <w:tcPr>
            <w:tcW w:w="896" w:type="pct"/>
            <w:tcBorders>
              <w:top w:val="nil"/>
              <w:left w:val="nil"/>
              <w:bottom w:val="nil"/>
              <w:right w:val="nil"/>
            </w:tcBorders>
            <w:shd w:val="clear" w:color="auto" w:fill="auto"/>
            <w:noWrap/>
            <w:vAlign w:val="center"/>
          </w:tcPr>
          <w:p w14:paraId="6CBEAF49">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3,739.237</w:t>
            </w:r>
          </w:p>
        </w:tc>
        <w:tc>
          <w:tcPr>
            <w:tcW w:w="896" w:type="pct"/>
            <w:tcBorders>
              <w:top w:val="nil"/>
              <w:left w:val="nil"/>
              <w:bottom w:val="nil"/>
              <w:right w:val="nil"/>
            </w:tcBorders>
            <w:shd w:val="clear" w:color="auto" w:fill="auto"/>
            <w:noWrap/>
            <w:vAlign w:val="center"/>
          </w:tcPr>
          <w:p w14:paraId="6A576F6A">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4,590.002</w:t>
            </w:r>
          </w:p>
        </w:tc>
        <w:tc>
          <w:tcPr>
            <w:tcW w:w="889" w:type="pct"/>
            <w:tcBorders>
              <w:top w:val="nil"/>
              <w:left w:val="nil"/>
              <w:bottom w:val="nil"/>
              <w:right w:val="nil"/>
            </w:tcBorders>
            <w:shd w:val="clear" w:color="auto" w:fill="auto"/>
            <w:noWrap/>
            <w:vAlign w:val="center"/>
          </w:tcPr>
          <w:p w14:paraId="375A24ED">
            <w:pPr>
              <w:widowControl/>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12,027.796</w:t>
            </w:r>
          </w:p>
        </w:tc>
      </w:tr>
      <w:tr w14:paraId="0E38304E">
        <w:tblPrEx>
          <w:tblCellMar>
            <w:top w:w="0" w:type="dxa"/>
            <w:left w:w="108" w:type="dxa"/>
            <w:bottom w:w="0" w:type="dxa"/>
            <w:right w:w="108" w:type="dxa"/>
          </w:tblCellMar>
        </w:tblPrEx>
        <w:trPr>
          <w:trHeight w:val="295" w:hRule="atLeast"/>
          <w:jc w:val="center"/>
        </w:trPr>
        <w:tc>
          <w:tcPr>
            <w:tcW w:w="1424" w:type="pct"/>
            <w:tcBorders>
              <w:top w:val="nil"/>
              <w:left w:val="nil"/>
              <w:bottom w:val="nil"/>
              <w:right w:val="nil"/>
            </w:tcBorders>
            <w:shd w:val="clear" w:color="auto" w:fill="auto"/>
            <w:noWrap/>
            <w:vAlign w:val="center"/>
          </w:tcPr>
          <w:p w14:paraId="087D6F4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IgA content</w:t>
            </w:r>
            <w:r>
              <w:rPr>
                <w:rFonts w:ascii="Times New Roman" w:hAnsi="Times New Roman" w:eastAsia="宋体" w:cs="Times New Roman"/>
                <w:color w:val="000000"/>
                <w:kern w:val="0"/>
                <w:szCs w:val="21"/>
                <w:vertAlign w:val="superscript"/>
                <w:lang w:bidi="ar"/>
              </w:rPr>
              <w:t>3</w:t>
            </w:r>
            <w:r>
              <w:rPr>
                <w:rFonts w:ascii="Times New Roman" w:hAnsi="Times New Roman" w:eastAsia="宋体" w:cs="Times New Roman"/>
                <w:color w:val="000000"/>
                <w:kern w:val="0"/>
                <w:szCs w:val="21"/>
                <w:lang w:bidi="ar"/>
              </w:rPr>
              <w:t>(mg)</w:t>
            </w:r>
          </w:p>
        </w:tc>
        <w:tc>
          <w:tcPr>
            <w:tcW w:w="896" w:type="pct"/>
            <w:tcBorders>
              <w:top w:val="nil"/>
              <w:left w:val="nil"/>
              <w:bottom w:val="nil"/>
              <w:right w:val="nil"/>
            </w:tcBorders>
            <w:shd w:val="clear" w:color="auto" w:fill="auto"/>
            <w:noWrap/>
            <w:vAlign w:val="center"/>
          </w:tcPr>
          <w:p w14:paraId="4F224ABC">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410.979</w:t>
            </w:r>
          </w:p>
        </w:tc>
        <w:tc>
          <w:tcPr>
            <w:tcW w:w="896" w:type="pct"/>
            <w:tcBorders>
              <w:top w:val="nil"/>
              <w:left w:val="nil"/>
              <w:bottom w:val="nil"/>
              <w:right w:val="nil"/>
            </w:tcBorders>
            <w:shd w:val="clear" w:color="auto" w:fill="auto"/>
            <w:noWrap/>
            <w:vAlign w:val="center"/>
          </w:tcPr>
          <w:p w14:paraId="7199EFA0">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402.337</w:t>
            </w:r>
          </w:p>
        </w:tc>
        <w:tc>
          <w:tcPr>
            <w:tcW w:w="896" w:type="pct"/>
            <w:tcBorders>
              <w:top w:val="nil"/>
              <w:left w:val="nil"/>
              <w:bottom w:val="nil"/>
              <w:right w:val="nil"/>
            </w:tcBorders>
            <w:shd w:val="clear" w:color="auto" w:fill="auto"/>
            <w:noWrap/>
            <w:vAlign w:val="center"/>
          </w:tcPr>
          <w:p w14:paraId="398ACB74">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458.531</w:t>
            </w:r>
          </w:p>
        </w:tc>
        <w:tc>
          <w:tcPr>
            <w:tcW w:w="889" w:type="pct"/>
            <w:tcBorders>
              <w:top w:val="nil"/>
              <w:left w:val="nil"/>
              <w:bottom w:val="nil"/>
              <w:right w:val="nil"/>
            </w:tcBorders>
            <w:shd w:val="clear" w:color="auto" w:fill="auto"/>
            <w:noWrap/>
            <w:vAlign w:val="center"/>
          </w:tcPr>
          <w:p w14:paraId="1CAC0493">
            <w:pPr>
              <w:widowControl/>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1,271.847</w:t>
            </w:r>
          </w:p>
        </w:tc>
      </w:tr>
      <w:tr w14:paraId="7EDB6EE4">
        <w:tblPrEx>
          <w:tblCellMar>
            <w:top w:w="0" w:type="dxa"/>
            <w:left w:w="108" w:type="dxa"/>
            <w:bottom w:w="0" w:type="dxa"/>
            <w:right w:w="108" w:type="dxa"/>
          </w:tblCellMar>
        </w:tblPrEx>
        <w:trPr>
          <w:trHeight w:val="295" w:hRule="atLeast"/>
          <w:jc w:val="center"/>
        </w:trPr>
        <w:tc>
          <w:tcPr>
            <w:tcW w:w="1424" w:type="pct"/>
            <w:tcBorders>
              <w:top w:val="nil"/>
              <w:left w:val="nil"/>
              <w:bottom w:val="single" w:color="auto" w:sz="12" w:space="0"/>
              <w:right w:val="nil"/>
            </w:tcBorders>
            <w:shd w:val="clear" w:color="auto" w:fill="auto"/>
            <w:noWrap/>
            <w:vAlign w:val="center"/>
          </w:tcPr>
          <w:p w14:paraId="1CA1DCF5">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Total Igs content</w:t>
            </w:r>
            <w:r>
              <w:rPr>
                <w:rFonts w:ascii="Times New Roman" w:hAnsi="Times New Roman" w:eastAsia="宋体" w:cs="Times New Roman"/>
                <w:color w:val="000000"/>
                <w:kern w:val="0"/>
                <w:szCs w:val="21"/>
                <w:vertAlign w:val="superscript"/>
                <w:lang w:bidi="ar"/>
              </w:rPr>
              <w:t>4</w:t>
            </w:r>
            <w:r>
              <w:rPr>
                <w:rFonts w:ascii="Times New Roman" w:hAnsi="Times New Roman" w:eastAsia="宋体" w:cs="Times New Roman"/>
                <w:color w:val="000000"/>
                <w:kern w:val="0"/>
                <w:szCs w:val="21"/>
                <w:lang w:bidi="ar"/>
              </w:rPr>
              <w:t>(mg)</w:t>
            </w:r>
          </w:p>
        </w:tc>
        <w:tc>
          <w:tcPr>
            <w:tcW w:w="896" w:type="pct"/>
            <w:tcBorders>
              <w:top w:val="nil"/>
              <w:left w:val="nil"/>
              <w:bottom w:val="single" w:color="auto" w:sz="12" w:space="0"/>
              <w:right w:val="nil"/>
            </w:tcBorders>
            <w:shd w:val="clear" w:color="auto" w:fill="auto"/>
            <w:noWrap/>
            <w:vAlign w:val="center"/>
          </w:tcPr>
          <w:p w14:paraId="08A65476">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97,288.870</w:t>
            </w:r>
          </w:p>
        </w:tc>
        <w:tc>
          <w:tcPr>
            <w:tcW w:w="896" w:type="pct"/>
            <w:tcBorders>
              <w:top w:val="nil"/>
              <w:left w:val="nil"/>
              <w:bottom w:val="single" w:color="auto" w:sz="12" w:space="0"/>
              <w:right w:val="nil"/>
            </w:tcBorders>
            <w:shd w:val="clear" w:color="auto" w:fill="auto"/>
            <w:noWrap/>
            <w:vAlign w:val="center"/>
          </w:tcPr>
          <w:p w14:paraId="7002E1D8">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91,891.918</w:t>
            </w:r>
          </w:p>
        </w:tc>
        <w:tc>
          <w:tcPr>
            <w:tcW w:w="896" w:type="pct"/>
            <w:tcBorders>
              <w:top w:val="nil"/>
              <w:left w:val="nil"/>
              <w:bottom w:val="single" w:color="auto" w:sz="12" w:space="0"/>
              <w:right w:val="nil"/>
            </w:tcBorders>
            <w:shd w:val="clear" w:color="auto" w:fill="auto"/>
            <w:noWrap/>
            <w:vAlign w:val="center"/>
          </w:tcPr>
          <w:p w14:paraId="399F1767">
            <w:pPr>
              <w:widowControl/>
              <w:jc w:val="center"/>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lang w:bidi="ar"/>
              </w:rPr>
              <w:t>107,267.608</w:t>
            </w:r>
          </w:p>
        </w:tc>
        <w:tc>
          <w:tcPr>
            <w:tcW w:w="889" w:type="pct"/>
            <w:tcBorders>
              <w:top w:val="nil"/>
              <w:left w:val="nil"/>
              <w:bottom w:val="single" w:color="auto" w:sz="12" w:space="0"/>
              <w:right w:val="nil"/>
            </w:tcBorders>
            <w:shd w:val="clear" w:color="auto" w:fill="auto"/>
            <w:noWrap/>
            <w:vAlign w:val="center"/>
          </w:tcPr>
          <w:p w14:paraId="27518EAE">
            <w:pPr>
              <w:widowControl/>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296,448.396</w:t>
            </w:r>
          </w:p>
        </w:tc>
      </w:tr>
      <w:tr w14:paraId="27A4C692">
        <w:tblPrEx>
          <w:tblCellMar>
            <w:top w:w="0" w:type="dxa"/>
            <w:left w:w="108" w:type="dxa"/>
            <w:bottom w:w="0" w:type="dxa"/>
            <w:right w:w="108" w:type="dxa"/>
          </w:tblCellMar>
        </w:tblPrEx>
        <w:trPr>
          <w:trHeight w:val="295" w:hRule="atLeast"/>
          <w:jc w:val="center"/>
        </w:trPr>
        <w:tc>
          <w:tcPr>
            <w:tcW w:w="5000" w:type="pct"/>
            <w:gridSpan w:val="5"/>
            <w:tcBorders>
              <w:top w:val="single" w:color="auto" w:sz="12" w:space="0"/>
              <w:left w:val="nil"/>
              <w:right w:val="nil"/>
            </w:tcBorders>
            <w:shd w:val="clear" w:color="auto" w:fill="auto"/>
            <w:noWrap/>
            <w:vAlign w:val="center"/>
          </w:tcPr>
          <w:p w14:paraId="433A1E2F">
            <w:pPr>
              <w:widowControl/>
              <w:spacing w:line="360" w:lineRule="auto"/>
              <w:jc w:val="left"/>
              <w:textAlignment w:val="center"/>
              <w:rPr>
                <w:rFonts w:ascii="Times New Roman" w:hAnsi="Times New Roman" w:eastAsia="宋体" w:cs="Times New Roman"/>
                <w:color w:val="000000"/>
                <w:kern w:val="0"/>
                <w:szCs w:val="21"/>
                <w:highlight w:val="yellow"/>
                <w:lang w:bidi="ar"/>
              </w:rPr>
            </w:pPr>
            <w:r>
              <w:rPr>
                <w:rFonts w:ascii="Times New Roman" w:hAnsi="Times New Roman" w:eastAsia="宋体" w:cs="Times New Roman"/>
                <w:color w:val="000000"/>
                <w:kern w:val="0"/>
                <w:szCs w:val="21"/>
                <w:vertAlign w:val="superscript"/>
                <w:lang w:bidi="ar"/>
              </w:rPr>
              <w:t>1</w:t>
            </w:r>
            <w:r>
              <w:rPr>
                <w:rFonts w:ascii="Times New Roman" w:hAnsi="Times New Roman" w:eastAsia="宋体" w:cs="Times New Roman"/>
                <w:color w:val="000000"/>
                <w:kern w:val="0"/>
                <w:szCs w:val="21"/>
                <w:lang w:bidi="ar"/>
              </w:rPr>
              <w:t>IgG</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content</w:t>
            </w:r>
            <w:r>
              <w:rPr>
                <w:rFonts w:hint="eastAsia" w:ascii="Times New Roman" w:hAnsi="Times New Roman" w:eastAsia="宋体" w:cs="Times New Roman"/>
                <w:color w:val="000000"/>
                <w:kern w:val="0"/>
                <w:szCs w:val="21"/>
                <w:lang w:bidi="ar"/>
              </w:rPr>
              <w:t>(</w:t>
            </w:r>
            <w:r>
              <w:rPr>
                <w:rFonts w:ascii="Times New Roman" w:hAnsi="Times New Roman" w:eastAsia="宋体" w:cs="Times New Roman"/>
                <w:color w:val="000000"/>
                <w:kern w:val="0"/>
                <w:szCs w:val="21"/>
                <w:lang w:bidi="ar"/>
              </w:rPr>
              <w:t>mg)</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IgG(mg/mL) ×</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Colostrum yield(</w:t>
            </w:r>
            <w:r>
              <w:rPr>
                <w:rFonts w:hint="eastAsia" w:ascii="Times New Roman" w:hAnsi="Times New Roman" w:eastAsia="宋体" w:cs="Times New Roman"/>
                <w:color w:val="000000"/>
                <w:kern w:val="0"/>
                <w:szCs w:val="21"/>
                <w:lang w:bidi="ar"/>
              </w:rPr>
              <w:t>mL</w:t>
            </w:r>
            <w:r>
              <w:rPr>
                <w:rFonts w:ascii="Times New Roman" w:hAnsi="Times New Roman" w:eastAsia="宋体" w:cs="Times New Roman"/>
                <w:color w:val="000000"/>
                <w:kern w:val="0"/>
                <w:szCs w:val="21"/>
                <w:lang w:bidi="ar"/>
              </w:rPr>
              <w:t>);</w:t>
            </w:r>
            <w:r>
              <w:rPr>
                <w:rFonts w:ascii="Times New Roman" w:hAnsi="Times New Roman" w:eastAsia="宋体" w:cs="Times New Roman"/>
                <w:color w:val="000000"/>
                <w:kern w:val="0"/>
                <w:szCs w:val="21"/>
                <w:vertAlign w:val="superscript"/>
                <w:lang w:bidi="ar"/>
              </w:rPr>
              <w:t>2</w:t>
            </w:r>
            <w:r>
              <w:rPr>
                <w:rFonts w:ascii="Times New Roman" w:hAnsi="Times New Roman" w:eastAsia="宋体" w:cs="Times New Roman"/>
                <w:color w:val="000000"/>
                <w:kern w:val="0"/>
                <w:szCs w:val="21"/>
                <w:lang w:bidi="ar"/>
              </w:rPr>
              <w:t>IgM content(mg)=IgM(mg/mL)</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Colostrum yield(</w:t>
            </w:r>
            <w:r>
              <w:rPr>
                <w:rFonts w:hint="eastAsia" w:ascii="Times New Roman" w:hAnsi="Times New Roman" w:eastAsia="宋体" w:cs="Times New Roman"/>
                <w:color w:val="000000"/>
                <w:kern w:val="0"/>
                <w:szCs w:val="21"/>
                <w:lang w:bidi="ar"/>
              </w:rPr>
              <w:t>mL)</w:t>
            </w:r>
            <w:r>
              <w:rPr>
                <w:rFonts w:ascii="Times New Roman" w:hAnsi="Times New Roman" w:eastAsia="宋体" w:cs="Times New Roman"/>
                <w:color w:val="000000"/>
                <w:kern w:val="0"/>
                <w:szCs w:val="21"/>
                <w:lang w:bidi="ar"/>
              </w:rPr>
              <w:t>;</w:t>
            </w:r>
            <w:r>
              <w:rPr>
                <w:rFonts w:ascii="Times New Roman" w:hAnsi="Times New Roman" w:eastAsia="宋体" w:cs="Times New Roman"/>
                <w:color w:val="000000"/>
                <w:kern w:val="0"/>
                <w:szCs w:val="21"/>
                <w:vertAlign w:val="superscript"/>
                <w:lang w:bidi="ar"/>
              </w:rPr>
              <w:t>3</w:t>
            </w:r>
            <w:r>
              <w:rPr>
                <w:rFonts w:ascii="Times New Roman" w:hAnsi="Times New Roman" w:eastAsia="宋体" w:cs="Times New Roman"/>
                <w:color w:val="000000"/>
                <w:kern w:val="0"/>
                <w:szCs w:val="21"/>
                <w:lang w:bidi="ar"/>
              </w:rPr>
              <w:t>IgA content(mg)=IgA(mg/mL)</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Colostrum yield(</w:t>
            </w:r>
            <w:r>
              <w:rPr>
                <w:rFonts w:hint="eastAsia" w:ascii="Times New Roman" w:hAnsi="Times New Roman" w:eastAsia="宋体" w:cs="Times New Roman"/>
                <w:color w:val="000000"/>
                <w:kern w:val="0"/>
                <w:szCs w:val="21"/>
                <w:lang w:bidi="ar"/>
              </w:rPr>
              <w:t>mL</w:t>
            </w:r>
            <w:r>
              <w:rPr>
                <w:rFonts w:ascii="Times New Roman" w:hAnsi="Times New Roman" w:eastAsia="宋体" w:cs="Times New Roman"/>
                <w:color w:val="000000"/>
                <w:kern w:val="0"/>
                <w:szCs w:val="21"/>
                <w:lang w:bidi="ar"/>
              </w:rPr>
              <w:t>);</w:t>
            </w:r>
            <w:r>
              <w:rPr>
                <w:rFonts w:ascii="Times New Roman" w:hAnsi="Times New Roman" w:eastAsia="宋体" w:cs="Times New Roman"/>
                <w:spacing w:val="10"/>
                <w:vertAlign w:val="superscript"/>
              </w:rPr>
              <w:t>4</w:t>
            </w:r>
            <w:r>
              <w:rPr>
                <w:rFonts w:ascii="Times New Roman" w:hAnsi="Times New Roman" w:eastAsia="宋体" w:cs="Times New Roman"/>
                <w:color w:val="000000"/>
                <w:kern w:val="0"/>
                <w:szCs w:val="21"/>
                <w:lang w:bidi="ar"/>
              </w:rPr>
              <w:t>Total Igs content=IgG content(mg)</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IgM content(mg)</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IgA content(mg)</w:t>
            </w:r>
            <w:r>
              <w:rPr>
                <w:rFonts w:hint="eastAsia" w:ascii="Times New Roman" w:hAnsi="Times New Roman" w:eastAsia="宋体" w:cs="Times New Roman"/>
                <w:color w:val="000000"/>
                <w:kern w:val="0"/>
                <w:szCs w:val="21"/>
                <w:lang w:bidi="ar"/>
              </w:rPr>
              <w:t>.</w:t>
            </w:r>
            <w:r>
              <w:t xml:space="preserve"> </w:t>
            </w:r>
            <w:r>
              <w:rPr>
                <w:rFonts w:ascii="Times New Roman" w:hAnsi="Times New Roman" w:eastAsia="宋体" w:cs="Times New Roman"/>
                <w:color w:val="000000"/>
                <w:kern w:val="0"/>
                <w:szCs w:val="21"/>
                <w:lang w:bidi="ar"/>
              </w:rPr>
              <w:t>It is worth noting that colostrum yield (mL) was converted from the ratio of colostrum yield (Kg) to colostrum density (Kg/mL), which was 1.024</w:t>
            </w:r>
            <w:r>
              <w:rPr>
                <w:rFonts w:ascii="MS Gothic" w:hAnsi="MS Gothic" w:eastAsia="MS Gothic" w:cs="MS Gothic"/>
                <w:color w:val="000000"/>
                <w:kern w:val="0"/>
                <w:szCs w:val="21"/>
                <w:lang w:bidi="ar"/>
              </w:rPr>
              <w:t>x</w:t>
            </w:r>
            <w:r>
              <w:rPr>
                <w:rFonts w:ascii="Times New Roman" w:hAnsi="Times New Roman" w:eastAsia="宋体" w:cs="Times New Roman"/>
                <w:color w:val="000000"/>
                <w:kern w:val="0"/>
                <w:szCs w:val="21"/>
                <w:lang w:bidi="ar"/>
              </w:rPr>
              <w:t>10</w:t>
            </w:r>
            <w:r>
              <w:rPr>
                <w:rFonts w:ascii="Times New Roman" w:hAnsi="Times New Roman" w:eastAsia="宋体" w:cs="Times New Roman"/>
                <w:color w:val="000000"/>
                <w:kern w:val="0"/>
                <w:szCs w:val="21"/>
                <w:vertAlign w:val="superscript"/>
                <w:lang w:bidi="ar"/>
              </w:rPr>
              <w:t>-3</w:t>
            </w:r>
            <w:r>
              <w:rPr>
                <w:rFonts w:hint="eastAsia" w:ascii="Times New Roman" w:hAnsi="Times New Roman" w:eastAsia="宋体" w:cs="Times New Roman"/>
                <w:color w:val="000000"/>
                <w:kern w:val="0"/>
                <w:szCs w:val="21"/>
                <w:vertAlign w:val="superscript"/>
                <w:lang w:bidi="ar"/>
              </w:rPr>
              <w:t xml:space="preserve"> </w:t>
            </w:r>
            <w:r>
              <w:rPr>
                <w:rFonts w:ascii="Times New Roman" w:hAnsi="Times New Roman" w:eastAsia="宋体" w:cs="Times New Roman"/>
                <w:color w:val="000000"/>
                <w:kern w:val="0"/>
                <w:szCs w:val="21"/>
                <w:lang w:bidi="ar"/>
              </w:rPr>
              <w:t>Kg/mL.</w:t>
            </w:r>
          </w:p>
        </w:tc>
      </w:tr>
    </w:tbl>
    <w:p w14:paraId="77628C2D">
      <w:pPr>
        <w:pStyle w:val="15"/>
        <w:widowControl/>
        <w:spacing w:beforeAutospacing="0" w:afterAutospacing="0" w:line="360" w:lineRule="auto"/>
        <w:ind w:firstLine="522" w:firstLineChars="200"/>
        <w:jc w:val="both"/>
        <w:rPr>
          <w:rFonts w:ascii="Times New Roman" w:hAnsi="Times New Roman" w:eastAsia="宋体"/>
          <w:spacing w:val="10"/>
          <w:lang w:bidi="ar"/>
        </w:rPr>
      </w:pPr>
      <w:r>
        <w:rPr>
          <w:rFonts w:ascii="Times New Roman" w:hAnsi="Times New Roman" w:eastAsia="宋体"/>
          <w:b/>
          <w:bCs/>
          <w:spacing w:val="10"/>
          <w:lang w:bidi="ar"/>
        </w:rPr>
        <w:t>Figure 1</w:t>
      </w:r>
      <w:r>
        <w:rPr>
          <w:rFonts w:ascii="Times New Roman" w:hAnsi="Times New Roman" w:eastAsia="宋体"/>
          <w:spacing w:val="10"/>
          <w:lang w:bidi="ar"/>
        </w:rPr>
        <w:t xml:space="preserve"> shows the colostrum production and the changes in IgG, IgM, and IgA concentrations in sheep within 72 hours after delivery. The colostrum production increased significantly with time, while the IgG, IgM, and IgA concentrations decreased significantly. The highest concentrations of IgG, IgM, and IgA in colostrum were observed at delivery, reaching 108.014 mg/mL, 4.139</w:t>
      </w:r>
      <w:r>
        <w:rPr>
          <w:rFonts w:hint="eastAsia" w:ascii="Times New Roman" w:hAnsi="Times New Roman" w:eastAsia="宋体"/>
          <w:spacing w:val="10"/>
          <w:lang w:bidi="ar"/>
        </w:rPr>
        <w:t xml:space="preserve"> </w:t>
      </w:r>
      <w:r>
        <w:rPr>
          <w:rFonts w:ascii="Times New Roman" w:hAnsi="Times New Roman" w:eastAsia="宋体"/>
          <w:spacing w:val="10"/>
          <w:lang w:bidi="ar"/>
        </w:rPr>
        <w:t>mg/mL, and 0.447 mg/ml, respectively, which all decreased rapidly within 12 hours after delivery and finally stabilized.</w:t>
      </w:r>
    </w:p>
    <w:p w14:paraId="1AA8A2F2">
      <w:pPr>
        <w:pStyle w:val="15"/>
        <w:widowControl/>
        <w:spacing w:beforeAutospacing="0" w:afterAutospacing="0" w:line="360" w:lineRule="auto"/>
        <w:ind w:firstLine="520" w:firstLineChars="200"/>
        <w:jc w:val="both"/>
        <w:rPr>
          <w:rFonts w:ascii="Times New Roman" w:hAnsi="Times New Roman" w:eastAsia="宋体"/>
          <w:spacing w:val="10"/>
          <w:lang w:bidi="ar"/>
        </w:rPr>
      </w:pPr>
    </w:p>
    <w:p w14:paraId="527FD67C">
      <w:pPr>
        <w:spacing w:line="360" w:lineRule="auto"/>
        <w:ind w:firstLine="520" w:firstLineChars="200"/>
        <w:rPr>
          <w:rFonts w:ascii="Times New Roman" w:hAnsi="Times New Roman" w:eastAsia="宋体" w:cs="Times New Roman"/>
          <w:spacing w:val="10"/>
          <w:kern w:val="0"/>
          <w:sz w:val="24"/>
        </w:rPr>
      </w:pPr>
    </w:p>
    <w:p w14:paraId="0D543236">
      <w:pPr>
        <w:spacing w:line="360" w:lineRule="auto"/>
        <w:ind w:firstLine="420" w:firstLineChars="200"/>
        <w:jc w:val="center"/>
        <w:rPr>
          <w:rFonts w:ascii="Times New Roman" w:hAnsi="Times New Roman" w:eastAsia="宋体" w:cs="Times New Roman"/>
        </w:rPr>
      </w:pPr>
      <w:r>
        <w:rPr>
          <w:rFonts w:ascii="Times New Roman" w:hAnsi="Times New Roman" w:eastAsia="宋体" w:cs="Times New Roman"/>
        </w:rPr>
        <w:drawing>
          <wp:inline distT="0" distB="0" distL="114300" distR="114300">
            <wp:extent cx="5274310" cy="3576320"/>
            <wp:effectExtent l="0" t="0" r="8890" b="5080"/>
            <wp:docPr id="2" name="图片 2" descr="0-72h初乳产量+免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0-72h初乳产量+免疫"/>
                    <pic:cNvPicPr>
                      <a:picLocks noChangeAspect="1"/>
                    </pic:cNvPicPr>
                  </pic:nvPicPr>
                  <pic:blipFill>
                    <a:blip r:embed="rId4"/>
                    <a:stretch>
                      <a:fillRect/>
                    </a:stretch>
                  </pic:blipFill>
                  <pic:spPr>
                    <a:xfrm>
                      <a:off x="0" y="0"/>
                      <a:ext cx="5274310" cy="3576320"/>
                    </a:xfrm>
                    <a:prstGeom prst="rect">
                      <a:avLst/>
                    </a:prstGeom>
                  </pic:spPr>
                </pic:pic>
              </a:graphicData>
            </a:graphic>
          </wp:inline>
        </w:drawing>
      </w:r>
    </w:p>
    <w:p w14:paraId="7216E8F4">
      <w:pPr>
        <w:pStyle w:val="15"/>
        <w:widowControl/>
        <w:spacing w:beforeAutospacing="0" w:afterAutospacing="0" w:line="360" w:lineRule="auto"/>
        <w:jc w:val="both"/>
        <w:outlineLvl w:val="3"/>
        <w:rPr>
          <w:rFonts w:ascii="Times New Roman" w:hAnsi="Times New Roman" w:eastAsia="宋体"/>
          <w:b/>
          <w:bCs/>
          <w:color w:val="000000"/>
          <w:sz w:val="21"/>
          <w:szCs w:val="21"/>
          <w:lang w:bidi="ar"/>
        </w:rPr>
      </w:pPr>
      <w:r>
        <w:rPr>
          <w:rFonts w:ascii="Times New Roman" w:hAnsi="Times New Roman" w:eastAsia="宋体"/>
          <w:b/>
          <w:bCs/>
          <w:color w:val="000000"/>
          <w:sz w:val="21"/>
          <w:szCs w:val="21"/>
          <w:lang w:bidi="ar"/>
        </w:rPr>
        <w:t>Fig. 1 Colostrum yield and immunoglobulin content of sheep from delivery to 72 hours after delivery (n=20)</w:t>
      </w:r>
      <w:r>
        <w:rPr>
          <w:rFonts w:hint="eastAsia" w:ascii="Times New Roman" w:hAnsi="Times New Roman" w:eastAsia="宋体"/>
          <w:b/>
          <w:bCs/>
          <w:color w:val="000000"/>
          <w:sz w:val="21"/>
          <w:szCs w:val="21"/>
          <w:lang w:bidi="ar"/>
        </w:rPr>
        <w:t>.</w:t>
      </w:r>
    </w:p>
    <w:p w14:paraId="73F3C057">
      <w:pPr>
        <w:pStyle w:val="15"/>
        <w:widowControl/>
        <w:spacing w:beforeAutospacing="0" w:afterAutospacing="0" w:line="360" w:lineRule="auto"/>
        <w:jc w:val="both"/>
        <w:rPr>
          <w:rFonts w:ascii="Times New Roman" w:hAnsi="Times New Roman" w:eastAsia="宋体"/>
          <w:color w:val="000000"/>
          <w:sz w:val="21"/>
          <w:szCs w:val="21"/>
          <w:lang w:bidi="ar"/>
        </w:rPr>
      </w:pPr>
      <w:r>
        <w:rPr>
          <w:rFonts w:ascii="Times New Roman" w:hAnsi="Times New Roman" w:eastAsia="宋体"/>
          <w:color w:val="000000"/>
          <w:sz w:val="21"/>
          <w:szCs w:val="21"/>
          <w:lang w:bidi="ar"/>
        </w:rPr>
        <w:t>(a)</w:t>
      </w:r>
      <w:bookmarkStart w:id="4" w:name="_Hlk177929262"/>
      <w:r>
        <w:rPr>
          <w:rFonts w:ascii="Times New Roman" w:hAnsi="Times New Roman" w:eastAsia="宋体"/>
          <w:color w:val="000000"/>
          <w:sz w:val="21"/>
          <w:szCs w:val="21"/>
          <w:lang w:bidi="ar"/>
        </w:rPr>
        <w:t xml:space="preserve"> The fitting diagram of the colostrum yield changes with time. </w:t>
      </w:r>
      <w:bookmarkEnd w:id="4"/>
      <w:r>
        <w:rPr>
          <w:rFonts w:ascii="Times New Roman" w:hAnsi="Times New Roman" w:eastAsia="宋体"/>
          <w:color w:val="000000"/>
          <w:sz w:val="21"/>
          <w:szCs w:val="21"/>
          <w:lang w:bidi="ar"/>
        </w:rPr>
        <w:t xml:space="preserve">The model is </w:t>
      </w:r>
      <m:oMath>
        <m:r>
          <m:rPr/>
          <w:rPr>
            <w:rFonts w:ascii="Cambria Math" w:hAnsi="Cambria Math" w:eastAsia="宋体"/>
            <w:color w:val="000000"/>
            <w:sz w:val="21"/>
            <w:szCs w:val="21"/>
            <w:lang w:bidi="ar"/>
          </w:rPr>
          <m:t>CY</m:t>
        </m:r>
        <m:r>
          <m:rPr>
            <m:sty m:val="p"/>
          </m:rPr>
          <w:rPr>
            <w:rFonts w:ascii="Cambria Math" w:hAnsi="Cambria Math" w:eastAsia="宋体"/>
            <w:color w:val="000000"/>
            <w:sz w:val="21"/>
            <w:szCs w:val="21"/>
            <w:lang w:bidi="ar"/>
          </w:rPr>
          <m:t xml:space="preserve"> =0.1071+0.03980</m:t>
        </m:r>
        <m:r>
          <m:rPr/>
          <w:rPr>
            <w:rFonts w:ascii="Cambria Math" w:hAnsi="Cambria Math" w:eastAsia="宋体"/>
            <w:color w:val="000000"/>
            <w:sz w:val="21"/>
            <w:szCs w:val="21"/>
            <w:lang w:bidi="ar"/>
          </w:rPr>
          <m:t>H</m:t>
        </m:r>
        <m:r>
          <m:rPr>
            <m:sty m:val="p"/>
          </m:rPr>
          <w:rPr>
            <w:rFonts w:ascii="Cambria Math" w:hAnsi="Cambria Math" w:eastAsia="宋体"/>
            <w:color w:val="000000"/>
            <w:sz w:val="21"/>
            <w:szCs w:val="21"/>
            <w:lang w:bidi="ar"/>
          </w:rPr>
          <m:t>−0.001420</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2</m:t>
            </m:r>
            <m:ctrlPr>
              <w:rPr>
                <w:rFonts w:ascii="Cambria Math" w:hAnsi="Cambria Math" w:eastAsia="宋体"/>
                <w:color w:val="000000"/>
                <w:sz w:val="21"/>
                <w:szCs w:val="21"/>
                <w:lang w:bidi="ar"/>
              </w:rPr>
            </m:ctrlPr>
          </m:sup>
        </m:sSup>
        <m:r>
          <m:rPr>
            <m:sty m:val="p"/>
          </m:rPr>
          <w:rPr>
            <w:rFonts w:ascii="Cambria Math" w:hAnsi="Cambria Math" w:eastAsia="宋体"/>
            <w:color w:val="000000"/>
            <w:sz w:val="21"/>
            <w:szCs w:val="21"/>
            <w:lang w:bidi="ar"/>
          </w:rPr>
          <m:t>+0.00002224</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3</m:t>
            </m:r>
            <m:ctrlPr>
              <w:rPr>
                <w:rFonts w:ascii="Cambria Math" w:hAnsi="Cambria Math" w:eastAsia="宋体"/>
                <w:color w:val="000000"/>
                <w:sz w:val="21"/>
                <w:szCs w:val="21"/>
                <w:lang w:bidi="ar"/>
              </w:rPr>
            </m:ctrlPr>
          </m:sup>
        </m:sSup>
        <m:r>
          <m:rPr>
            <m:sty m:val="p"/>
          </m:rPr>
          <w:rPr>
            <w:rFonts w:ascii="Cambria Math" w:hAnsi="Cambria Math" w:eastAsia="宋体"/>
            <w:color w:val="000000"/>
            <w:sz w:val="21"/>
            <w:szCs w:val="21"/>
            <w:lang w:bidi="ar"/>
          </w:rPr>
          <m:t xml:space="preserve"> −0.0000001188</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4</m:t>
            </m:r>
            <m:ctrlPr>
              <w:rPr>
                <w:rFonts w:ascii="Cambria Math" w:hAnsi="Cambria Math" w:eastAsia="宋体"/>
                <w:color w:val="000000"/>
                <w:sz w:val="21"/>
                <w:szCs w:val="21"/>
                <w:lang w:bidi="ar"/>
              </w:rPr>
            </m:ctrlPr>
          </m:sup>
        </m:sSup>
      </m:oMath>
      <w:r>
        <w:rPr>
          <w:rFonts w:ascii="Times New Roman" w:hAnsi="Times New Roman" w:eastAsia="宋体"/>
          <w:color w:val="000000"/>
          <w:sz w:val="21"/>
          <w:szCs w:val="21"/>
          <w:lang w:bidi="ar"/>
        </w:rPr>
        <w:t>,CY means Colostrum yield, CY), and h means time (Hour, H; The same later).</w:t>
      </w:r>
      <w:r>
        <w:rPr>
          <w:rFonts w:hint="eastAsia" w:ascii="Times New Roman" w:hAnsi="Times New Roman" w:eastAsia="宋体"/>
          <w:color w:val="000000"/>
          <w:sz w:val="21"/>
          <w:szCs w:val="21"/>
          <w:lang w:bidi="ar"/>
        </w:rPr>
        <w:t xml:space="preserve"> </w:t>
      </w:r>
      <w:r>
        <w:rPr>
          <w:rFonts w:ascii="Times New Roman" w:hAnsi="Times New Roman" w:eastAsia="宋体"/>
          <w:color w:val="000000"/>
          <w:sz w:val="21"/>
          <w:szCs w:val="21"/>
          <w:lang w:bidi="ar"/>
        </w:rPr>
        <w:t xml:space="preserve">(b)Fitting diagram of IgG changing with time. The model is </w:t>
      </w:r>
      <m:oMath>
        <m:r>
          <m:rPr/>
          <w:rPr>
            <w:rFonts w:ascii="Cambria Math" w:hAnsi="Cambria Math" w:eastAsia="宋体"/>
            <w:color w:val="000000"/>
            <w:sz w:val="21"/>
            <w:szCs w:val="21"/>
            <w:lang w:bidi="ar"/>
          </w:rPr>
          <m:t>IgG</m:t>
        </m:r>
        <m:r>
          <m:rPr>
            <m:sty m:val="p"/>
          </m:rPr>
          <w:rPr>
            <w:rFonts w:ascii="Cambria Math" w:hAnsi="Cambria Math" w:eastAsia="宋体"/>
            <w:color w:val="000000"/>
            <w:sz w:val="21"/>
            <w:szCs w:val="21"/>
            <w:lang w:bidi="ar"/>
          </w:rPr>
          <m:t>_</m:t>
        </m:r>
        <m:r>
          <m:rPr/>
          <w:rPr>
            <w:rFonts w:ascii="Cambria Math" w:hAnsi="Cambria Math" w:eastAsia="宋体"/>
            <w:color w:val="000000"/>
            <w:sz w:val="21"/>
            <w:szCs w:val="21"/>
            <w:lang w:bidi="ar"/>
          </w:rPr>
          <m:t>concentration</m:t>
        </m:r>
        <m:r>
          <m:rPr>
            <m:sty m:val="p"/>
          </m:rPr>
          <w:rPr>
            <w:rFonts w:ascii="Cambria Math" w:hAnsi="Cambria Math" w:eastAsia="宋体"/>
            <w:color w:val="000000"/>
            <w:sz w:val="21"/>
            <w:szCs w:val="21"/>
            <w:lang w:bidi="ar"/>
          </w:rPr>
          <m:t>=107.7−2.874</m:t>
        </m:r>
        <m:r>
          <m:rPr/>
          <w:rPr>
            <w:rFonts w:ascii="Cambria Math" w:hAnsi="Cambria Math" w:eastAsia="宋体"/>
            <w:color w:val="000000"/>
            <w:sz w:val="21"/>
            <w:szCs w:val="21"/>
            <w:lang w:bidi="ar"/>
          </w:rPr>
          <m:t>H</m:t>
        </m:r>
        <m:r>
          <m:rPr>
            <m:sty m:val="p"/>
          </m:rPr>
          <w:rPr>
            <w:rFonts w:ascii="Cambria Math" w:hAnsi="Cambria Math" w:eastAsia="宋体"/>
            <w:color w:val="000000"/>
            <w:sz w:val="21"/>
            <w:szCs w:val="21"/>
            <w:lang w:bidi="ar"/>
          </w:rPr>
          <m:t>+0.1195</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2</m:t>
            </m:r>
            <m:ctrlPr>
              <w:rPr>
                <w:rFonts w:ascii="Cambria Math" w:hAnsi="Cambria Math" w:eastAsia="宋体"/>
                <w:color w:val="000000"/>
                <w:sz w:val="21"/>
                <w:szCs w:val="21"/>
                <w:lang w:bidi="ar"/>
              </w:rPr>
            </m:ctrlPr>
          </m:sup>
        </m:sSup>
        <m:r>
          <m:rPr>
            <m:sty m:val="p"/>
          </m:rPr>
          <w:rPr>
            <w:rFonts w:ascii="Cambria Math" w:hAnsi="Cambria Math" w:eastAsia="宋体"/>
            <w:color w:val="000000"/>
            <w:sz w:val="21"/>
            <w:szCs w:val="21"/>
            <w:lang w:bidi="ar"/>
          </w:rPr>
          <m:t xml:space="preserve"> −0.002076</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3</m:t>
            </m:r>
            <m:ctrlPr>
              <w:rPr>
                <w:rFonts w:ascii="Cambria Math" w:hAnsi="Cambria Math" w:eastAsia="宋体"/>
                <w:color w:val="000000"/>
                <w:sz w:val="21"/>
                <w:szCs w:val="21"/>
                <w:lang w:bidi="ar"/>
              </w:rPr>
            </m:ctrlPr>
          </m:sup>
        </m:sSup>
        <m:r>
          <m:rPr>
            <m:sty m:val="p"/>
          </m:rPr>
          <w:rPr>
            <w:rFonts w:ascii="Cambria Math" w:hAnsi="Cambria Math" w:eastAsia="宋体"/>
            <w:color w:val="000000"/>
            <w:sz w:val="21"/>
            <w:szCs w:val="21"/>
            <w:lang w:bidi="ar"/>
          </w:rPr>
          <m:t xml:space="preserve"> + 0.00001232</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4</m:t>
            </m:r>
            <m:ctrlPr>
              <w:rPr>
                <w:rFonts w:ascii="Cambria Math" w:hAnsi="Cambria Math" w:eastAsia="宋体"/>
                <w:color w:val="000000"/>
                <w:sz w:val="21"/>
                <w:szCs w:val="21"/>
                <w:lang w:bidi="ar"/>
              </w:rPr>
            </m:ctrlPr>
          </m:sup>
        </m:sSup>
      </m:oMath>
      <w:r>
        <w:rPr>
          <w:rFonts w:ascii="Times New Roman" w:hAnsi="Times New Roman" w:eastAsia="宋体"/>
          <w:color w:val="000000"/>
          <w:sz w:val="21"/>
          <w:szCs w:val="21"/>
          <w:lang w:bidi="ar"/>
        </w:rPr>
        <w:t>,</w:t>
      </w:r>
      <w:r>
        <w:rPr>
          <w:rFonts w:hint="eastAsia" w:ascii="Times New Roman" w:hAnsi="Times New Roman" w:eastAsia="宋体"/>
          <w:color w:val="000000"/>
          <w:sz w:val="21"/>
          <w:szCs w:val="21"/>
          <w:lang w:bidi="ar"/>
        </w:rPr>
        <w:t xml:space="preserve"> </w:t>
      </w:r>
      <w:r>
        <w:rPr>
          <w:rFonts w:ascii="Times New Roman" w:hAnsi="Times New Roman" w:eastAsia="宋体"/>
          <w:color w:val="000000"/>
          <w:sz w:val="21"/>
          <w:szCs w:val="21"/>
          <w:lang w:bidi="ar"/>
        </w:rPr>
        <w:t>IgG _concentration indicates immunoglobulin G (same as immunoglobulin G) concentration.</w:t>
      </w:r>
      <w:r>
        <w:rPr>
          <w:rFonts w:hint="eastAsia" w:ascii="Times New Roman" w:hAnsi="Times New Roman" w:eastAsia="宋体"/>
          <w:color w:val="000000"/>
          <w:sz w:val="21"/>
          <w:szCs w:val="21"/>
          <w:lang w:bidi="ar"/>
        </w:rPr>
        <w:t xml:space="preserve"> </w:t>
      </w:r>
      <w:r>
        <w:rPr>
          <w:rFonts w:ascii="Times New Roman" w:hAnsi="Times New Roman" w:eastAsia="宋体"/>
          <w:color w:val="000000"/>
          <w:sz w:val="21"/>
          <w:szCs w:val="21"/>
          <w:lang w:bidi="ar"/>
        </w:rPr>
        <w:t>(c)Model fitting of IgM changing with time. The model is</w:t>
      </w:r>
      <m:oMath>
        <m:r>
          <m:rPr/>
          <w:rPr>
            <w:rFonts w:ascii="Cambria Math" w:hAnsi="Cambria Math" w:eastAsia="宋体"/>
            <w:color w:val="000000"/>
            <w:sz w:val="21"/>
            <w:szCs w:val="21"/>
            <w:lang w:bidi="ar"/>
          </w:rPr>
          <m:t>IgM</m:t>
        </m:r>
        <m:r>
          <m:rPr>
            <m:sty m:val="p"/>
          </m:rPr>
          <w:rPr>
            <w:rFonts w:ascii="Cambria Math" w:hAnsi="Cambria Math" w:eastAsia="宋体"/>
            <w:color w:val="000000"/>
            <w:sz w:val="21"/>
            <w:szCs w:val="21"/>
            <w:lang w:bidi="ar"/>
          </w:rPr>
          <m:t>_</m:t>
        </m:r>
        <m:r>
          <m:rPr/>
          <w:rPr>
            <w:rFonts w:ascii="Cambria Math" w:hAnsi="Cambria Math" w:eastAsia="宋体"/>
            <w:color w:val="000000"/>
            <w:sz w:val="21"/>
            <w:szCs w:val="21"/>
            <w:lang w:bidi="ar"/>
          </w:rPr>
          <m:t>concentration</m:t>
        </m:r>
        <m:r>
          <m:rPr>
            <m:sty m:val="p"/>
          </m:rPr>
          <w:rPr>
            <w:rFonts w:ascii="Cambria Math" w:hAnsi="Cambria Math" w:eastAsia="宋体"/>
            <w:color w:val="000000"/>
            <w:sz w:val="21"/>
            <w:szCs w:val="21"/>
            <w:lang w:bidi="ar"/>
          </w:rPr>
          <m:t>=443.6 − 4.453</m:t>
        </m:r>
        <m:r>
          <m:rPr/>
          <w:rPr>
            <w:rFonts w:ascii="Cambria Math" w:hAnsi="Cambria Math" w:eastAsia="宋体"/>
            <w:color w:val="000000"/>
            <w:sz w:val="21"/>
            <w:szCs w:val="21"/>
            <w:lang w:bidi="ar"/>
          </w:rPr>
          <m:t>H</m:t>
        </m:r>
        <m:r>
          <m:rPr>
            <m:sty m:val="p"/>
          </m:rPr>
          <w:rPr>
            <w:rFonts w:ascii="Cambria Math" w:hAnsi="Cambria Math" w:eastAsia="宋体"/>
            <w:color w:val="000000"/>
            <w:sz w:val="21"/>
            <w:szCs w:val="21"/>
            <w:lang w:bidi="ar"/>
          </w:rPr>
          <m:t xml:space="preserve"> +0.09890</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2</m:t>
            </m:r>
            <m:ctrlPr>
              <w:rPr>
                <w:rFonts w:ascii="Cambria Math" w:hAnsi="Cambria Math" w:eastAsia="宋体"/>
                <w:color w:val="000000"/>
                <w:sz w:val="21"/>
                <w:szCs w:val="21"/>
                <w:lang w:bidi="ar"/>
              </w:rPr>
            </m:ctrlPr>
          </m:sup>
        </m:sSup>
        <m:r>
          <m:rPr>
            <m:sty m:val="p"/>
          </m:rPr>
          <w:rPr>
            <w:rFonts w:ascii="Cambria Math" w:hAnsi="Cambria Math" w:eastAsia="宋体"/>
            <w:color w:val="000000"/>
            <w:sz w:val="21"/>
            <w:szCs w:val="21"/>
            <w:lang w:bidi="ar"/>
          </w:rPr>
          <m:t xml:space="preserve"> −0.0008042</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3</m:t>
            </m:r>
            <m:ctrlPr>
              <w:rPr>
                <w:rFonts w:ascii="Cambria Math" w:hAnsi="Cambria Math" w:eastAsia="宋体"/>
                <w:color w:val="000000"/>
                <w:sz w:val="21"/>
                <w:szCs w:val="21"/>
                <w:lang w:bidi="ar"/>
              </w:rPr>
            </m:ctrlPr>
          </m:sup>
        </m:sSup>
      </m:oMath>
      <w:r>
        <w:rPr>
          <w:rFonts w:ascii="Times New Roman" w:hAnsi="Times New Roman" w:eastAsia="宋体"/>
          <w:color w:val="000000"/>
          <w:sz w:val="21"/>
          <w:szCs w:val="21"/>
          <w:lang w:bidi="ar"/>
        </w:rPr>
        <w:t>,IgM _concentration indicates immunoglobulin M (same as immunoglobulin M) concentration.</w:t>
      </w:r>
      <w:r>
        <w:rPr>
          <w:rFonts w:hint="eastAsia" w:ascii="Times New Roman" w:hAnsi="Times New Roman" w:eastAsia="宋体"/>
          <w:color w:val="000000"/>
          <w:sz w:val="21"/>
          <w:szCs w:val="21"/>
          <w:lang w:bidi="ar"/>
        </w:rPr>
        <w:t xml:space="preserve"> </w:t>
      </w:r>
      <w:r>
        <w:rPr>
          <w:rFonts w:ascii="Times New Roman" w:hAnsi="Times New Roman" w:eastAsia="宋体"/>
          <w:color w:val="000000"/>
          <w:sz w:val="21"/>
          <w:szCs w:val="21"/>
          <w:lang w:bidi="ar"/>
        </w:rPr>
        <w:t>(d)Model fitting of IgA content changing with time. The model is</w:t>
      </w:r>
      <m:oMath>
        <m:r>
          <m:rPr/>
          <w:rPr>
            <w:rFonts w:ascii="Cambria Math" w:hAnsi="Cambria Math" w:eastAsia="宋体"/>
            <w:color w:val="000000"/>
            <w:sz w:val="21"/>
            <w:szCs w:val="21"/>
            <w:lang w:bidi="ar"/>
          </w:rPr>
          <m:t xml:space="preserve"> IgA</m:t>
        </m:r>
        <m:r>
          <m:rPr>
            <m:sty m:val="p"/>
          </m:rPr>
          <w:rPr>
            <w:rFonts w:ascii="Cambria Math" w:hAnsi="Cambria Math" w:eastAsia="宋体"/>
            <w:color w:val="000000"/>
            <w:sz w:val="21"/>
            <w:szCs w:val="21"/>
            <w:lang w:bidi="ar"/>
          </w:rPr>
          <m:t>_</m:t>
        </m:r>
        <m:r>
          <m:rPr/>
          <w:rPr>
            <w:rFonts w:ascii="Cambria Math" w:hAnsi="Cambria Math" w:eastAsia="宋体"/>
            <w:color w:val="000000"/>
            <w:sz w:val="21"/>
            <w:szCs w:val="21"/>
            <w:lang w:bidi="ar"/>
          </w:rPr>
          <m:t>concentration</m:t>
        </m:r>
        <m:r>
          <m:rPr>
            <m:sty m:val="p"/>
          </m:rPr>
          <w:rPr>
            <w:rFonts w:ascii="Cambria Math" w:hAnsi="Cambria Math" w:eastAsia="宋体"/>
            <w:color w:val="000000"/>
            <w:sz w:val="21"/>
            <w:szCs w:val="21"/>
            <w:lang w:bidi="ar"/>
          </w:rPr>
          <m:t>=4128 −93.79</m:t>
        </m:r>
        <m:r>
          <m:rPr/>
          <w:rPr>
            <w:rFonts w:ascii="Cambria Math" w:hAnsi="Cambria Math" w:eastAsia="宋体"/>
            <w:color w:val="000000"/>
            <w:sz w:val="21"/>
            <w:szCs w:val="21"/>
            <w:lang w:bidi="ar"/>
          </w:rPr>
          <m:t>H</m:t>
        </m:r>
        <m:r>
          <m:rPr>
            <m:sty m:val="p"/>
          </m:rPr>
          <w:rPr>
            <w:rFonts w:ascii="Cambria Math" w:hAnsi="Cambria Math" w:eastAsia="宋体"/>
            <w:color w:val="000000"/>
            <w:sz w:val="21"/>
            <w:szCs w:val="21"/>
            <w:lang w:bidi="ar"/>
          </w:rPr>
          <m:t xml:space="preserve"> + 4.224</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2</m:t>
            </m:r>
            <m:ctrlPr>
              <w:rPr>
                <w:rFonts w:ascii="Cambria Math" w:hAnsi="Cambria Math" w:eastAsia="宋体"/>
                <w:color w:val="000000"/>
                <w:sz w:val="21"/>
                <w:szCs w:val="21"/>
                <w:lang w:bidi="ar"/>
              </w:rPr>
            </m:ctrlPr>
          </m:sup>
        </m:sSup>
        <m:r>
          <m:rPr>
            <m:sty m:val="p"/>
          </m:rPr>
          <w:rPr>
            <w:rFonts w:ascii="Cambria Math" w:hAnsi="Cambria Math" w:eastAsia="宋体"/>
            <w:color w:val="000000"/>
            <w:sz w:val="21"/>
            <w:szCs w:val="21"/>
            <w:lang w:bidi="ar"/>
          </w:rPr>
          <m:t xml:space="preserve"> −0.07438</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3</m:t>
            </m:r>
            <m:ctrlPr>
              <w:rPr>
                <w:rFonts w:ascii="Cambria Math" w:hAnsi="Cambria Math" w:eastAsia="宋体"/>
                <w:color w:val="000000"/>
                <w:sz w:val="21"/>
                <w:szCs w:val="21"/>
                <w:lang w:bidi="ar"/>
              </w:rPr>
            </m:ctrlPr>
          </m:sup>
        </m:sSup>
        <m:r>
          <m:rPr>
            <m:sty m:val="p"/>
          </m:rPr>
          <w:rPr>
            <w:rFonts w:ascii="Cambria Math" w:hAnsi="Cambria Math" w:eastAsia="宋体"/>
            <w:color w:val="000000"/>
            <w:sz w:val="21"/>
            <w:szCs w:val="21"/>
            <w:lang w:bidi="ar"/>
          </w:rPr>
          <m:t>+0.0004454</m:t>
        </m:r>
        <m:sSup>
          <m:sSupPr>
            <m:ctrlPr>
              <w:rPr>
                <w:rFonts w:ascii="Cambria Math" w:hAnsi="Cambria Math" w:eastAsia="宋体"/>
                <w:color w:val="000000"/>
                <w:sz w:val="21"/>
                <w:szCs w:val="21"/>
                <w:lang w:bidi="ar"/>
              </w:rPr>
            </m:ctrlPr>
          </m:sSupPr>
          <m:e>
            <m:r>
              <m:rPr/>
              <w:rPr>
                <w:rFonts w:ascii="Cambria Math" w:hAnsi="Cambria Math" w:eastAsia="宋体"/>
                <w:color w:val="000000"/>
                <w:sz w:val="21"/>
                <w:szCs w:val="21"/>
                <w:lang w:bidi="ar"/>
              </w:rPr>
              <m:t>H</m:t>
            </m:r>
            <m:ctrlPr>
              <w:rPr>
                <w:rFonts w:ascii="Cambria Math" w:hAnsi="Cambria Math" w:eastAsia="宋体"/>
                <w:color w:val="000000"/>
                <w:sz w:val="21"/>
                <w:szCs w:val="21"/>
                <w:lang w:bidi="ar"/>
              </w:rPr>
            </m:ctrlPr>
          </m:e>
          <m:sup>
            <m:r>
              <m:rPr>
                <m:sty m:val="p"/>
              </m:rPr>
              <w:rPr>
                <w:rFonts w:ascii="Cambria Math" w:hAnsi="Cambria Math" w:eastAsia="宋体"/>
                <w:color w:val="000000"/>
                <w:sz w:val="21"/>
                <w:szCs w:val="21"/>
                <w:lang w:bidi="ar"/>
              </w:rPr>
              <m:t>4</m:t>
            </m:r>
            <m:ctrlPr>
              <w:rPr>
                <w:rFonts w:ascii="Cambria Math" w:hAnsi="Cambria Math" w:eastAsia="宋体"/>
                <w:color w:val="000000"/>
                <w:sz w:val="21"/>
                <w:szCs w:val="21"/>
                <w:lang w:bidi="ar"/>
              </w:rPr>
            </m:ctrlPr>
          </m:sup>
        </m:sSup>
      </m:oMath>
      <w:r>
        <w:rPr>
          <w:rFonts w:ascii="Times New Roman" w:hAnsi="Times New Roman" w:eastAsia="宋体"/>
          <w:color w:val="000000"/>
          <w:sz w:val="21"/>
          <w:szCs w:val="21"/>
          <w:lang w:bidi="ar"/>
        </w:rPr>
        <w:t>,IgA_concentration indicates IgA concentration. Different lowercase letters in the same number indicate significant differences (</w:t>
      </w:r>
      <w:r>
        <w:rPr>
          <w:rFonts w:ascii="Times New Roman" w:hAnsi="Times New Roman" w:eastAsia="宋体"/>
          <w:i/>
          <w:iCs/>
          <w:color w:val="000000"/>
          <w:sz w:val="21"/>
          <w:szCs w:val="21"/>
          <w:lang w:bidi="ar"/>
        </w:rPr>
        <w:t>p</w:t>
      </w:r>
      <w:r>
        <w:rPr>
          <w:rFonts w:ascii="Times New Roman" w:hAnsi="Times New Roman" w:eastAsia="宋体"/>
          <w:color w:val="000000"/>
          <w:sz w:val="21"/>
          <w:szCs w:val="21"/>
          <w:lang w:bidi="ar"/>
        </w:rPr>
        <w:t>&lt;0.05).</w:t>
      </w:r>
    </w:p>
    <w:p w14:paraId="6926B26E">
      <w:pPr>
        <w:pStyle w:val="3"/>
        <w:numPr>
          <w:ilvl w:val="1"/>
          <w:numId w:val="4"/>
        </w:numPr>
        <w:spacing w:before="0" w:after="0" w:line="360" w:lineRule="auto"/>
        <w:ind w:left="0" w:firstLine="0"/>
        <w:rPr>
          <w:rFonts w:ascii="Times New Roman" w:hAnsi="Times New Roman" w:cs="Times New Roman"/>
          <w:sz w:val="30"/>
          <w:szCs w:val="30"/>
        </w:rPr>
      </w:pPr>
      <w:r>
        <w:rPr>
          <w:rFonts w:ascii="Times New Roman" w:hAnsi="Times New Roman" w:cs="Times New Roman"/>
          <w:sz w:val="30"/>
          <w:szCs w:val="30"/>
        </w:rPr>
        <w:t>Colostrum proximal composition</w:t>
      </w:r>
    </w:p>
    <w:p w14:paraId="0C98044D">
      <w:pPr>
        <w:pStyle w:val="15"/>
        <w:widowControl/>
        <w:spacing w:beforeAutospacing="0" w:afterAutospacing="0" w:line="360" w:lineRule="auto"/>
        <w:ind w:firstLine="520" w:firstLineChars="200"/>
        <w:jc w:val="both"/>
        <w:rPr>
          <w:rFonts w:ascii="Times New Roman" w:hAnsi="Times New Roman" w:eastAsia="宋体"/>
          <w:spacing w:val="10"/>
          <w:lang w:bidi="ar"/>
        </w:rPr>
      </w:pPr>
      <w:bookmarkStart w:id="5" w:name="_Hlk177929407"/>
      <w:bookmarkStart w:id="6" w:name="OLE_LINK1"/>
      <w:r>
        <w:rPr>
          <w:rFonts w:ascii="Times New Roman" w:hAnsi="Times New Roman" w:eastAsia="宋体"/>
          <w:spacing w:val="10"/>
          <w:lang w:bidi="ar"/>
        </w:rPr>
        <w:t xml:space="preserve">The composition of colostrum is shown in </w:t>
      </w:r>
      <w:r>
        <w:rPr>
          <w:rFonts w:ascii="Times New Roman" w:hAnsi="Times New Roman" w:eastAsia="宋体"/>
          <w:b/>
          <w:bCs/>
          <w:spacing w:val="10"/>
          <w:lang w:bidi="ar"/>
        </w:rPr>
        <w:t>Figure 2</w:t>
      </w:r>
      <w:r>
        <w:rPr>
          <w:rFonts w:ascii="Times New Roman" w:hAnsi="Times New Roman" w:eastAsia="宋体"/>
          <w:spacing w:val="10"/>
          <w:lang w:bidi="ar"/>
        </w:rPr>
        <w:t>. The contents of protein, fat, total solids, non-fat solids, and urea were all the highest at delivery and were significantly higher than those in the following hours (</w:t>
      </w:r>
      <w:r>
        <w:rPr>
          <w:rFonts w:hint="eastAsia" w:ascii="Times New Roman" w:hAnsi="Times New Roman" w:eastAsia="宋体"/>
          <w:i/>
          <w:iCs/>
          <w:spacing w:val="10"/>
          <w:lang w:bidi="ar"/>
        </w:rPr>
        <w:t>p</w:t>
      </w:r>
      <w:r>
        <w:rPr>
          <w:rFonts w:ascii="Times New Roman" w:hAnsi="Times New Roman" w:eastAsia="宋体"/>
          <w:spacing w:val="10"/>
          <w:lang w:bidi="ar"/>
        </w:rPr>
        <w:t>&lt;0.05). However, the lactose content was low at delivery and then gradually increased. Protein and fat content after delivery can reach 18.006% and 12.796%, respectively.</w:t>
      </w:r>
      <w:bookmarkEnd w:id="5"/>
    </w:p>
    <w:p w14:paraId="3EE9A563">
      <w:pPr>
        <w:spacing w:line="360" w:lineRule="auto"/>
        <w:ind w:firstLine="422" w:firstLineChars="200"/>
        <w:jc w:val="center"/>
        <w:rPr>
          <w:rFonts w:ascii="Times New Roman" w:hAnsi="Times New Roman" w:eastAsia="宋体" w:cs="Times New Roman"/>
          <w:b/>
          <w:bCs/>
          <w:kern w:val="0"/>
          <w:szCs w:val="21"/>
        </w:rPr>
      </w:pPr>
      <w:r>
        <w:rPr>
          <w:rFonts w:ascii="Times New Roman" w:hAnsi="Times New Roman" w:eastAsia="宋体" w:cs="Times New Roman"/>
          <w:b/>
          <w:bCs/>
          <w:kern w:val="0"/>
          <w:szCs w:val="21"/>
        </w:rPr>
        <w:drawing>
          <wp:inline distT="0" distB="0" distL="114300" distR="114300">
            <wp:extent cx="4594860" cy="4739640"/>
            <wp:effectExtent l="0" t="0" r="2540" b="10160"/>
            <wp:docPr id="1" name="图片 1" descr="乳成分总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乳成分总体"/>
                    <pic:cNvPicPr>
                      <a:picLocks noChangeAspect="1"/>
                    </pic:cNvPicPr>
                  </pic:nvPicPr>
                  <pic:blipFill>
                    <a:blip r:embed="rId5"/>
                    <a:stretch>
                      <a:fillRect/>
                    </a:stretch>
                  </pic:blipFill>
                  <pic:spPr>
                    <a:xfrm>
                      <a:off x="0" y="0"/>
                      <a:ext cx="4594860" cy="4739640"/>
                    </a:xfrm>
                    <a:prstGeom prst="rect">
                      <a:avLst/>
                    </a:prstGeom>
                  </pic:spPr>
                </pic:pic>
              </a:graphicData>
            </a:graphic>
          </wp:inline>
        </w:drawing>
      </w:r>
    </w:p>
    <w:p w14:paraId="247A8F46">
      <w:pPr>
        <w:pStyle w:val="15"/>
        <w:widowControl/>
        <w:spacing w:beforeAutospacing="0" w:afterAutospacing="0" w:line="360" w:lineRule="auto"/>
        <w:jc w:val="both"/>
        <w:outlineLvl w:val="3"/>
        <w:rPr>
          <w:rFonts w:ascii="Times New Roman" w:hAnsi="Times New Roman" w:eastAsia="宋体"/>
          <w:b/>
          <w:bCs/>
          <w:sz w:val="21"/>
          <w:szCs w:val="21"/>
        </w:rPr>
      </w:pPr>
      <w:r>
        <w:rPr>
          <w:rFonts w:ascii="Times New Roman" w:hAnsi="Times New Roman" w:eastAsia="宋体"/>
          <w:b/>
          <w:bCs/>
          <w:sz w:val="21"/>
          <w:szCs w:val="21"/>
        </w:rPr>
        <w:t>Fig. 2 Colostrum composition in sheep (n=14) from birth to 72 hours postpartum.</w:t>
      </w:r>
    </w:p>
    <w:p w14:paraId="0CD72EC6">
      <w:pPr>
        <w:pStyle w:val="15"/>
        <w:widowControl/>
        <w:spacing w:beforeAutospacing="0" w:afterAutospacing="0" w:line="360" w:lineRule="auto"/>
        <w:jc w:val="both"/>
        <w:rPr>
          <w:rFonts w:ascii="Times New Roman" w:hAnsi="Times New Roman" w:eastAsia="宋体"/>
          <w:sz w:val="21"/>
          <w:szCs w:val="21"/>
        </w:rPr>
      </w:pPr>
      <w:r>
        <w:rPr>
          <w:rFonts w:ascii="Times New Roman" w:hAnsi="Times New Roman" w:eastAsia="宋体"/>
          <w:sz w:val="21"/>
          <w:szCs w:val="21"/>
        </w:rPr>
        <w:t xml:space="preserve">(a) Fitted plot of protein over time. Protein was modeled as </w:t>
      </w:r>
      <m:oMath>
        <m:r>
          <m:rPr/>
          <w:rPr>
            <w:rFonts w:ascii="Cambria Math" w:hAnsi="Cambria Math" w:eastAsia="宋体"/>
            <w:color w:val="000000" w:themeColor="text1"/>
            <w:sz w:val="21"/>
            <w:szCs w:val="21"/>
            <w14:textFill>
              <w14:solidFill>
                <w14:schemeClr w14:val="tx1"/>
              </w14:solidFill>
            </w14:textFill>
          </w:rPr>
          <m:t>PC</m:t>
        </m:r>
        <m:r>
          <m:rPr>
            <m:sty m:val="p"/>
          </m:rPr>
          <w:rPr>
            <w:rFonts w:ascii="Cambria Math" w:hAnsi="Cambria Math" w:eastAsia="宋体"/>
            <w:spacing w:val="10"/>
            <w:sz w:val="21"/>
            <w:szCs w:val="21"/>
          </w:rPr>
          <m:t>=1.552+9.8040306</m:t>
        </m:r>
        <m:sSup>
          <m:sSupPr>
            <m:ctrlPr>
              <w:rPr>
                <w:rFonts w:ascii="Cambria Math" w:hAnsi="Cambria Math" w:eastAsia="宋体"/>
                <w:spacing w:val="10"/>
                <w:sz w:val="21"/>
                <w:szCs w:val="21"/>
              </w:rPr>
            </m:ctrlPr>
          </m:sSupPr>
          <m:e>
            <m:r>
              <m:rPr>
                <m:sty m:val="p"/>
              </m:rPr>
              <w:rPr>
                <w:rFonts w:ascii="Cambria Math" w:hAnsi="Cambria Math" w:eastAsia="宋体"/>
                <w:spacing w:val="10"/>
                <w:sz w:val="21"/>
                <w:szCs w:val="21"/>
              </w:rPr>
              <m:t>e</m:t>
            </m:r>
            <m:ctrlPr>
              <w:rPr>
                <w:rFonts w:ascii="Cambria Math" w:hAnsi="Cambria Math" w:eastAsia="宋体"/>
                <w:spacing w:val="10"/>
                <w:sz w:val="21"/>
                <w:szCs w:val="21"/>
              </w:rPr>
            </m:ctrlPr>
          </m:e>
          <m:sup>
            <m:r>
              <m:rPr>
                <m:sty m:val="p"/>
              </m:rPr>
              <w:rPr>
                <w:rFonts w:ascii="Cambria Math" w:hAnsi="Cambria Math" w:eastAsia="宋体"/>
                <w:spacing w:val="10"/>
                <w:sz w:val="21"/>
                <w:szCs w:val="21"/>
              </w:rPr>
              <m:t>(−</m:t>
            </m:r>
            <m:r>
              <m:rPr>
                <m:sty m:val="p"/>
              </m:rPr>
              <w:rPr>
                <w:rFonts w:ascii="Cambria Math" w:hAnsi="Cambria Math" w:eastAsia="宋体"/>
                <w:spacing w:val="11"/>
                <w:sz w:val="21"/>
                <w:szCs w:val="21"/>
                <w:vertAlign w:val="superscript"/>
              </w:rPr>
              <m:t>0.1335</m:t>
            </m:r>
            <m:r>
              <m:rPr/>
              <w:rPr>
                <w:rFonts w:ascii="Cambria Math" w:hAnsi="Cambria Math" w:eastAsia="宋体"/>
                <w:spacing w:val="11"/>
                <w:sz w:val="21"/>
                <w:szCs w:val="21"/>
                <w:vertAlign w:val="superscript"/>
              </w:rPr>
              <m:t>H)</m:t>
            </m:r>
            <m:ctrlPr>
              <w:rPr>
                <w:rFonts w:ascii="Cambria Math" w:hAnsi="Cambria Math" w:eastAsia="宋体"/>
                <w:spacing w:val="10"/>
                <w:sz w:val="21"/>
                <w:szCs w:val="21"/>
              </w:rPr>
            </m:ctrlPr>
          </m:sup>
        </m:sSup>
        <m:r>
          <m:rPr>
            <m:sty m:val="p"/>
          </m:rPr>
          <w:rPr>
            <w:rFonts w:ascii="Cambria Math" w:hAnsi="Cambria Math" w:eastAsia="宋体"/>
            <w:spacing w:val="10"/>
            <w:sz w:val="21"/>
            <w:szCs w:val="21"/>
          </w:rPr>
          <m:t xml:space="preserve"> +6.6539694</m:t>
        </m:r>
        <m:sSup>
          <m:sSupPr>
            <m:ctrlPr>
              <w:rPr>
                <w:rFonts w:ascii="Cambria Math" w:hAnsi="Cambria Math" w:eastAsia="宋体"/>
                <w:spacing w:val="10"/>
                <w:sz w:val="21"/>
                <w:szCs w:val="21"/>
              </w:rPr>
            </m:ctrlPr>
          </m:sSupPr>
          <m:e>
            <m:r>
              <m:rPr>
                <m:sty m:val="p"/>
              </m:rPr>
              <w:rPr>
                <w:rFonts w:ascii="Cambria Math" w:hAnsi="Cambria Math" w:eastAsia="宋体"/>
                <w:spacing w:val="10"/>
                <w:sz w:val="21"/>
                <w:szCs w:val="21"/>
              </w:rPr>
              <m:t>e</m:t>
            </m:r>
            <m:ctrlPr>
              <w:rPr>
                <w:rFonts w:ascii="Cambria Math" w:hAnsi="Cambria Math" w:eastAsia="宋体"/>
                <w:spacing w:val="10"/>
                <w:sz w:val="21"/>
                <w:szCs w:val="21"/>
              </w:rPr>
            </m:ctrlPr>
          </m:e>
          <m:sup>
            <m:r>
              <m:rPr>
                <m:sty m:val="p"/>
              </m:rPr>
              <w:rPr>
                <w:rFonts w:ascii="Cambria Math" w:hAnsi="Cambria Math" w:eastAsia="宋体"/>
                <w:spacing w:val="10"/>
                <w:sz w:val="21"/>
                <w:szCs w:val="21"/>
              </w:rPr>
              <m:t>(0.004035</m:t>
            </m:r>
            <m:r>
              <m:rPr/>
              <w:rPr>
                <w:rFonts w:ascii="Cambria Math" w:hAnsi="Cambria Math" w:eastAsia="宋体"/>
                <w:spacing w:val="10"/>
                <w:sz w:val="21"/>
                <w:szCs w:val="21"/>
              </w:rPr>
              <m:t>H</m:t>
            </m:r>
            <m:r>
              <m:rPr/>
              <w:rPr>
                <w:rFonts w:ascii="Cambria Math" w:hAnsi="Cambria Math" w:eastAsia="宋体"/>
                <w:spacing w:val="11"/>
                <w:sz w:val="21"/>
                <w:szCs w:val="21"/>
                <w:vertAlign w:val="superscript"/>
              </w:rPr>
              <m:t>)</m:t>
            </m:r>
            <m:ctrlPr>
              <w:rPr>
                <w:rFonts w:ascii="Cambria Math" w:hAnsi="Cambria Math" w:eastAsia="宋体"/>
                <w:spacing w:val="10"/>
                <w:sz w:val="21"/>
                <w:szCs w:val="21"/>
              </w:rPr>
            </m:ctrlPr>
          </m:sup>
        </m:sSup>
      </m:oMath>
      <w:r>
        <w:rPr>
          <w:rFonts w:ascii="Times New Roman" w:hAnsi="Times New Roman" w:eastAsia="宋体"/>
          <w:sz w:val="21"/>
          <w:szCs w:val="21"/>
        </w:rPr>
        <w:t xml:space="preserve">, with PC denoting protein content (PC) and H denoting time (Hour, H; later). (b) Fitted plot of fat over time. Fat was modeled as </w:t>
      </w:r>
      <m:oMath>
        <m:r>
          <m:rPr/>
          <w:rPr>
            <w:rFonts w:ascii="Cambria Math" w:hAnsi="Cambria Math" w:eastAsia="宋体"/>
            <w:spacing w:val="10"/>
            <w:sz w:val="21"/>
            <w:szCs w:val="21"/>
          </w:rPr>
          <m:t>FC</m:t>
        </m:r>
        <m:r>
          <m:rPr>
            <m:sty m:val="p"/>
          </m:rPr>
          <w:rPr>
            <w:rFonts w:ascii="Cambria Math" w:hAnsi="Cambria Math" w:eastAsia="宋体"/>
            <w:spacing w:val="10"/>
            <w:sz w:val="21"/>
            <w:szCs w:val="21"/>
          </w:rPr>
          <m:t>=12.77 −0.7623</m:t>
        </m:r>
        <m:r>
          <m:rPr/>
          <w:rPr>
            <w:rFonts w:ascii="Cambria Math" w:hAnsi="Cambria Math" w:eastAsia="宋体"/>
            <w:spacing w:val="10"/>
            <w:sz w:val="21"/>
            <w:szCs w:val="21"/>
          </w:rPr>
          <m:t>H</m:t>
        </m:r>
        <m:r>
          <m:rPr>
            <m:sty m:val="p"/>
          </m:rPr>
          <w:rPr>
            <w:rFonts w:ascii="Cambria Math" w:hAnsi="Cambria Math" w:eastAsia="宋体"/>
            <w:spacing w:val="10"/>
            <w:sz w:val="21"/>
            <w:szCs w:val="21"/>
          </w:rPr>
          <m:t>+0.04064</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2</m:t>
            </m:r>
            <m:ctrlPr>
              <w:rPr>
                <w:rFonts w:ascii="Cambria Math" w:hAnsi="Cambria Math" w:eastAsia="宋体"/>
                <w:i/>
                <w:iCs/>
                <w:spacing w:val="10"/>
                <w:sz w:val="21"/>
                <w:szCs w:val="21"/>
              </w:rPr>
            </m:ctrlPr>
          </m:sup>
        </m:sSup>
        <m:r>
          <m:rPr>
            <m:sty m:val="p"/>
          </m:rPr>
          <w:rPr>
            <w:rFonts w:ascii="Cambria Math" w:hAnsi="Cambria Math" w:eastAsia="宋体"/>
            <w:spacing w:val="10"/>
            <w:sz w:val="21"/>
            <w:szCs w:val="21"/>
          </w:rPr>
          <m:t>−0.0008149</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3</m:t>
            </m:r>
            <m:ctrlPr>
              <w:rPr>
                <w:rFonts w:ascii="Cambria Math" w:hAnsi="Cambria Math" w:eastAsia="宋体"/>
                <w:i/>
                <w:iCs/>
                <w:spacing w:val="10"/>
                <w:sz w:val="21"/>
                <w:szCs w:val="21"/>
              </w:rPr>
            </m:ctrlPr>
          </m:sup>
        </m:sSup>
        <m:r>
          <m:rPr>
            <m:sty m:val="p"/>
          </m:rPr>
          <w:rPr>
            <w:rFonts w:ascii="Cambria Math" w:hAnsi="Cambria Math" w:eastAsia="宋体"/>
            <w:spacing w:val="10"/>
            <w:sz w:val="21"/>
            <w:szCs w:val="21"/>
          </w:rPr>
          <m:t>+0.000005334</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4</m:t>
            </m:r>
            <m:ctrlPr>
              <w:rPr>
                <w:rFonts w:ascii="Cambria Math" w:hAnsi="Cambria Math" w:eastAsia="宋体"/>
                <w:i/>
                <w:iCs/>
                <w:spacing w:val="10"/>
                <w:sz w:val="21"/>
                <w:szCs w:val="21"/>
              </w:rPr>
            </m:ctrlPr>
          </m:sup>
        </m:sSup>
      </m:oMath>
      <w:r>
        <w:rPr>
          <w:rFonts w:ascii="Times New Roman" w:hAnsi="Times New Roman" w:eastAsia="宋体"/>
          <w:sz w:val="21"/>
          <w:szCs w:val="21"/>
        </w:rPr>
        <w:t xml:space="preserve">, and FC denotes fat content (Fat content, FC). (c) Fitted plot of lactose over time. Lactose was modeled as </w:t>
      </w:r>
      <m:oMath>
        <m:r>
          <m:rPr/>
          <w:rPr>
            <w:rFonts w:ascii="Cambria Math" w:hAnsi="Cambria Math" w:eastAsia="宋体"/>
            <w:spacing w:val="10"/>
            <w:sz w:val="21"/>
            <w:szCs w:val="21"/>
          </w:rPr>
          <m:t>LC</m:t>
        </m:r>
        <m:r>
          <m:rPr>
            <m:sty m:val="p"/>
          </m:rPr>
          <w:rPr>
            <w:rFonts w:ascii="Cambria Math" w:hAnsi="Cambria Math" w:eastAsia="宋体"/>
            <w:spacing w:val="10"/>
            <w:sz w:val="21"/>
            <w:szCs w:val="21"/>
          </w:rPr>
          <m:t>=3.12+0.1185</m:t>
        </m:r>
        <m:r>
          <m:rPr/>
          <w:rPr>
            <w:rFonts w:ascii="Cambria Math" w:hAnsi="Cambria Math" w:eastAsia="宋体"/>
            <w:spacing w:val="10"/>
            <w:sz w:val="21"/>
            <w:szCs w:val="21"/>
          </w:rPr>
          <m:t>H</m:t>
        </m:r>
        <m:r>
          <m:rPr>
            <m:sty m:val="p"/>
          </m:rPr>
          <w:rPr>
            <w:rFonts w:ascii="Cambria Math" w:hAnsi="Cambria Math" w:eastAsia="宋体"/>
            <w:spacing w:val="10"/>
            <w:sz w:val="21"/>
            <w:szCs w:val="21"/>
          </w:rPr>
          <m:t>−0.002179</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2</m:t>
            </m:r>
            <m:ctrlPr>
              <w:rPr>
                <w:rFonts w:ascii="Cambria Math" w:hAnsi="Cambria Math" w:eastAsia="宋体"/>
                <w:i/>
                <w:iCs/>
                <w:spacing w:val="10"/>
                <w:sz w:val="21"/>
                <w:szCs w:val="21"/>
              </w:rPr>
            </m:ctrlPr>
          </m:sup>
        </m:sSup>
        <m:r>
          <m:rPr>
            <m:sty m:val="p"/>
          </m:rPr>
          <w:rPr>
            <w:rFonts w:ascii="Cambria Math" w:hAnsi="Cambria Math" w:eastAsia="宋体"/>
            <w:spacing w:val="10"/>
            <w:sz w:val="21"/>
            <w:szCs w:val="21"/>
          </w:rPr>
          <m:t>+0.0000123</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3</m:t>
            </m:r>
            <m:ctrlPr>
              <w:rPr>
                <w:rFonts w:ascii="Cambria Math" w:hAnsi="Cambria Math" w:eastAsia="宋体"/>
                <w:i/>
                <w:iCs/>
                <w:spacing w:val="10"/>
                <w:sz w:val="21"/>
                <w:szCs w:val="21"/>
              </w:rPr>
            </m:ctrlPr>
          </m:sup>
        </m:sSup>
      </m:oMath>
      <w:r>
        <w:rPr>
          <w:rFonts w:ascii="Times New Roman" w:hAnsi="Times New Roman" w:eastAsia="宋体"/>
          <w:sz w:val="21"/>
          <w:szCs w:val="21"/>
        </w:rPr>
        <w:t xml:space="preserve">, LC denotes Lactose content (LC). (d) Fitted plot of total solids over time. Total solids were modeled as </w:t>
      </w:r>
      <m:oMath>
        <m:r>
          <m:rPr/>
          <w:rPr>
            <w:rFonts w:ascii="Cambria Math" w:hAnsi="Cambria Math" w:eastAsia="宋体"/>
            <w:spacing w:val="10"/>
            <w:sz w:val="21"/>
            <w:szCs w:val="21"/>
          </w:rPr>
          <m:t>TSC</m:t>
        </m:r>
        <m:r>
          <m:rPr>
            <m:sty m:val="p"/>
          </m:rPr>
          <w:rPr>
            <w:rFonts w:ascii="Cambria Math" w:hAnsi="Cambria Math" w:eastAsia="宋体"/>
            <w:spacing w:val="10"/>
            <w:sz w:val="21"/>
            <w:szCs w:val="21"/>
          </w:rPr>
          <m:t>=35.66−0.9536</m:t>
        </m:r>
        <m:r>
          <m:rPr/>
          <w:rPr>
            <w:rFonts w:ascii="Cambria Math" w:hAnsi="Cambria Math" w:eastAsia="宋体"/>
            <w:spacing w:val="10"/>
            <w:sz w:val="21"/>
            <w:szCs w:val="21"/>
          </w:rPr>
          <m:t>H</m:t>
        </m:r>
        <m:r>
          <m:rPr>
            <m:sty m:val="p"/>
          </m:rPr>
          <w:rPr>
            <w:rFonts w:ascii="Cambria Math" w:hAnsi="Cambria Math" w:eastAsia="宋体"/>
            <w:spacing w:val="10"/>
            <w:sz w:val="21"/>
            <w:szCs w:val="21"/>
          </w:rPr>
          <m:t>+0.02086</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2</m:t>
            </m:r>
            <m:ctrlPr>
              <w:rPr>
                <w:rFonts w:ascii="Cambria Math" w:hAnsi="Cambria Math" w:eastAsia="宋体"/>
                <w:i/>
                <w:iCs/>
                <w:spacing w:val="10"/>
                <w:sz w:val="21"/>
                <w:szCs w:val="21"/>
              </w:rPr>
            </m:ctrlPr>
          </m:sup>
        </m:sSup>
        <m:r>
          <m:rPr>
            <m:sty m:val="p"/>
          </m:rPr>
          <w:rPr>
            <w:rFonts w:ascii="Cambria Math" w:hAnsi="Cambria Math" w:eastAsia="宋体"/>
            <w:spacing w:val="10"/>
            <w:sz w:val="21"/>
            <w:szCs w:val="21"/>
          </w:rPr>
          <m:t>−0.000149</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3</m:t>
            </m:r>
            <m:ctrlPr>
              <w:rPr>
                <w:rFonts w:ascii="Cambria Math" w:hAnsi="Cambria Math" w:eastAsia="宋体"/>
                <w:i/>
                <w:iCs/>
                <w:spacing w:val="10"/>
                <w:sz w:val="21"/>
                <w:szCs w:val="21"/>
              </w:rPr>
            </m:ctrlPr>
          </m:sup>
        </m:sSup>
      </m:oMath>
      <w:r>
        <w:rPr>
          <w:rFonts w:ascii="Times New Roman" w:hAnsi="Times New Roman" w:eastAsia="宋体"/>
          <w:sz w:val="21"/>
          <w:szCs w:val="21"/>
        </w:rPr>
        <w:t xml:space="preserve">, and TSC denotes Total Solids content (TSC). (e) Fitted plot of non-fat solids over time. Non-fat solids were modeled as </w:t>
      </w:r>
      <m:oMath>
        <m:r>
          <m:rPr/>
          <w:rPr>
            <w:rFonts w:ascii="Cambria Math" w:hAnsi="Cambria Math" w:eastAsia="宋体"/>
            <w:spacing w:val="10"/>
            <w:sz w:val="21"/>
            <w:szCs w:val="21"/>
          </w:rPr>
          <m:t>SNFC</m:t>
        </m:r>
        <m:r>
          <m:rPr>
            <m:sty m:val="p"/>
          </m:rPr>
          <w:rPr>
            <w:rFonts w:ascii="Cambria Math" w:hAnsi="Cambria Math" w:eastAsia="宋体"/>
            <w:spacing w:val="10"/>
            <w:sz w:val="21"/>
            <w:szCs w:val="21"/>
          </w:rPr>
          <m:t>=6.092+9.20941</m:t>
        </m:r>
        <m:sSup>
          <m:sSupPr>
            <m:ctrlPr>
              <w:rPr>
                <w:rFonts w:ascii="Cambria Math" w:hAnsi="Cambria Math" w:eastAsia="宋体"/>
                <w:spacing w:val="10"/>
                <w:sz w:val="21"/>
                <w:szCs w:val="21"/>
              </w:rPr>
            </m:ctrlPr>
          </m:sSupPr>
          <m:e>
            <m:r>
              <m:rPr>
                <m:sty m:val="p"/>
              </m:rPr>
              <w:rPr>
                <w:rFonts w:ascii="Cambria Math" w:hAnsi="Cambria Math" w:eastAsia="宋体"/>
                <w:spacing w:val="10"/>
                <w:sz w:val="21"/>
                <w:szCs w:val="21"/>
              </w:rPr>
              <m:t>e</m:t>
            </m:r>
            <m:ctrlPr>
              <w:rPr>
                <w:rFonts w:ascii="Cambria Math" w:hAnsi="Cambria Math" w:eastAsia="宋体"/>
                <w:spacing w:val="10"/>
                <w:sz w:val="21"/>
                <w:szCs w:val="21"/>
              </w:rPr>
            </m:ctrlPr>
          </m:e>
          <m:sup>
            <m:r>
              <m:rPr>
                <m:sty m:val="p"/>
              </m:rPr>
              <w:rPr>
                <w:rFonts w:ascii="Cambria Math" w:hAnsi="Cambria Math" w:eastAsia="宋体"/>
                <w:spacing w:val="10"/>
                <w:sz w:val="21"/>
                <w:szCs w:val="21"/>
              </w:rPr>
              <m:t>(−0.1212</m:t>
            </m:r>
            <m:r>
              <m:rPr/>
              <w:rPr>
                <w:rFonts w:ascii="Cambria Math" w:hAnsi="Cambria Math" w:eastAsia="宋体"/>
                <w:spacing w:val="10"/>
                <w:sz w:val="21"/>
                <w:szCs w:val="21"/>
              </w:rPr>
              <m:t>H</m:t>
            </m:r>
            <m:r>
              <m:rPr/>
              <w:rPr>
                <w:rFonts w:ascii="Cambria Math" w:hAnsi="Cambria Math" w:eastAsia="宋体"/>
                <w:spacing w:val="11"/>
                <w:sz w:val="21"/>
                <w:szCs w:val="21"/>
                <w:vertAlign w:val="superscript"/>
              </w:rPr>
              <m:t>)</m:t>
            </m:r>
            <m:ctrlPr>
              <w:rPr>
                <w:rFonts w:ascii="Cambria Math" w:hAnsi="Cambria Math" w:eastAsia="宋体"/>
                <w:spacing w:val="10"/>
                <w:sz w:val="21"/>
                <w:szCs w:val="21"/>
              </w:rPr>
            </m:ctrlPr>
          </m:sup>
        </m:sSup>
        <m:r>
          <m:rPr>
            <m:sty m:val="p"/>
          </m:rPr>
          <w:rPr>
            <w:rFonts w:ascii="Cambria Math" w:hAnsi="Cambria Math" w:eastAsia="宋体"/>
            <w:spacing w:val="10"/>
            <w:sz w:val="21"/>
            <w:szCs w:val="21"/>
          </w:rPr>
          <m:t>+7.68859</m:t>
        </m:r>
        <m:sSup>
          <m:sSupPr>
            <m:ctrlPr>
              <w:rPr>
                <w:rFonts w:ascii="Cambria Math" w:hAnsi="Cambria Math" w:eastAsia="宋体"/>
                <w:spacing w:val="10"/>
                <w:sz w:val="21"/>
                <w:szCs w:val="21"/>
              </w:rPr>
            </m:ctrlPr>
          </m:sSupPr>
          <m:e>
            <m:r>
              <m:rPr>
                <m:sty m:val="p"/>
              </m:rPr>
              <w:rPr>
                <w:rFonts w:ascii="Cambria Math" w:hAnsi="Cambria Math" w:eastAsia="宋体"/>
                <w:spacing w:val="10"/>
                <w:sz w:val="21"/>
                <w:szCs w:val="21"/>
              </w:rPr>
              <m:t>e</m:t>
            </m:r>
            <m:ctrlPr>
              <w:rPr>
                <w:rFonts w:ascii="Cambria Math" w:hAnsi="Cambria Math" w:eastAsia="宋体"/>
                <w:spacing w:val="10"/>
                <w:sz w:val="21"/>
                <w:szCs w:val="21"/>
              </w:rPr>
            </m:ctrlPr>
          </m:e>
          <m:sup>
            <m:r>
              <m:rPr>
                <m:sty m:val="p"/>
              </m:rPr>
              <w:rPr>
                <w:rFonts w:ascii="Cambria Math" w:hAnsi="Cambria Math" w:eastAsia="宋体"/>
                <w:spacing w:val="10"/>
                <w:sz w:val="21"/>
                <w:szCs w:val="21"/>
              </w:rPr>
              <m:t>(−0.002616</m:t>
            </m:r>
            <m:r>
              <m:rPr/>
              <w:rPr>
                <w:rFonts w:ascii="Cambria Math" w:hAnsi="Cambria Math" w:eastAsia="宋体"/>
                <w:spacing w:val="10"/>
                <w:sz w:val="21"/>
                <w:szCs w:val="21"/>
              </w:rPr>
              <m:t>H</m:t>
            </m:r>
            <m:r>
              <m:rPr/>
              <w:rPr>
                <w:rFonts w:ascii="Cambria Math" w:hAnsi="Cambria Math" w:eastAsia="宋体"/>
                <w:spacing w:val="11"/>
                <w:sz w:val="21"/>
                <w:szCs w:val="21"/>
                <w:vertAlign w:val="superscript"/>
              </w:rPr>
              <m:t>)</m:t>
            </m:r>
            <m:ctrlPr>
              <w:rPr>
                <w:rFonts w:ascii="Cambria Math" w:hAnsi="Cambria Math" w:eastAsia="宋体"/>
                <w:spacing w:val="10"/>
                <w:sz w:val="21"/>
                <w:szCs w:val="21"/>
              </w:rPr>
            </m:ctrlPr>
          </m:sup>
        </m:sSup>
      </m:oMath>
      <w:r>
        <w:rPr>
          <w:rFonts w:ascii="Times New Roman" w:hAnsi="Times New Roman" w:eastAsia="宋体"/>
          <w:sz w:val="21"/>
          <w:szCs w:val="21"/>
        </w:rPr>
        <w:t xml:space="preserve">, and SNFC denotes Solids-Non-Fat content (SNFC). (f) Fitted plot of urea over time. Urea was modeled as </w:t>
      </w:r>
      <m:oMath>
        <m:r>
          <m:rPr/>
          <w:rPr>
            <w:rFonts w:ascii="Cambria Math" w:hAnsi="Cambria Math" w:eastAsia="宋体"/>
            <w:spacing w:val="10"/>
            <w:sz w:val="21"/>
            <w:szCs w:val="21"/>
          </w:rPr>
          <m:t>UC</m:t>
        </m:r>
        <m:r>
          <m:rPr/>
          <w:rPr>
            <w:rFonts w:ascii="Cambria Math" w:hAnsi="Cambria Math" w:eastAsia="宋体"/>
            <w:color w:val="000000" w:themeColor="text1"/>
            <w:sz w:val="21"/>
            <w:szCs w:val="21"/>
            <w:lang w:val="en-GB"/>
            <w14:textFill>
              <w14:solidFill>
                <w14:schemeClr w14:val="tx1"/>
              </w14:solidFill>
            </w14:textFill>
          </w:rPr>
          <m:t>=70.08 − 2.508</m:t>
        </m:r>
        <m:r>
          <m:rPr/>
          <w:rPr>
            <w:rFonts w:ascii="Cambria Math" w:hAnsi="Cambria Math" w:eastAsia="宋体"/>
            <w:spacing w:val="10"/>
            <w:sz w:val="21"/>
            <w:szCs w:val="21"/>
          </w:rPr>
          <m:t>H</m:t>
        </m:r>
        <m:r>
          <m:rPr/>
          <w:rPr>
            <w:rFonts w:ascii="Cambria Math" w:hAnsi="Cambria Math" w:eastAsia="宋体"/>
            <w:color w:val="000000" w:themeColor="text1"/>
            <w:sz w:val="21"/>
            <w:szCs w:val="21"/>
            <w:lang w:val="en-GB"/>
            <w14:textFill>
              <w14:solidFill>
                <w14:schemeClr w14:val="tx1"/>
              </w14:solidFill>
            </w14:textFill>
          </w:rPr>
          <m:t xml:space="preserve"> +0.05925</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2</m:t>
            </m:r>
            <m:ctrlPr>
              <w:rPr>
                <w:rFonts w:ascii="Cambria Math" w:hAnsi="Cambria Math" w:eastAsia="宋体"/>
                <w:i/>
                <w:iCs/>
                <w:spacing w:val="10"/>
                <w:sz w:val="21"/>
                <w:szCs w:val="21"/>
              </w:rPr>
            </m:ctrlPr>
          </m:sup>
        </m:sSup>
        <m:r>
          <m:rPr/>
          <w:rPr>
            <w:rFonts w:ascii="Cambria Math" w:hAnsi="Cambria Math" w:eastAsia="宋体"/>
            <w:color w:val="000000" w:themeColor="text1"/>
            <w:sz w:val="21"/>
            <w:szCs w:val="21"/>
            <w:lang w:val="en-GB"/>
            <w14:textFill>
              <w14:solidFill>
                <w14:schemeClr w14:val="tx1"/>
              </w14:solidFill>
            </w14:textFill>
          </w:rPr>
          <m:t xml:space="preserve"> − 0.0004630</m:t>
        </m:r>
        <m:sSup>
          <m:sSupPr>
            <m:ctrlPr>
              <w:rPr>
                <w:rFonts w:ascii="Cambria Math" w:hAnsi="Cambria Math" w:eastAsia="宋体"/>
                <w:i/>
                <w:iCs/>
                <w:spacing w:val="10"/>
                <w:sz w:val="21"/>
                <w:szCs w:val="21"/>
              </w:rPr>
            </m:ctrlPr>
          </m:sSupPr>
          <m:e>
            <m:r>
              <m:rPr/>
              <w:rPr>
                <w:rFonts w:ascii="Cambria Math" w:hAnsi="Cambria Math" w:eastAsia="宋体"/>
                <w:spacing w:val="10"/>
                <w:sz w:val="21"/>
                <w:szCs w:val="21"/>
              </w:rPr>
              <m:t>H</m:t>
            </m:r>
            <m:ctrlPr>
              <w:rPr>
                <w:rFonts w:ascii="Cambria Math" w:hAnsi="Cambria Math" w:eastAsia="宋体"/>
                <w:i/>
                <w:iCs/>
                <w:spacing w:val="10"/>
                <w:sz w:val="21"/>
                <w:szCs w:val="21"/>
              </w:rPr>
            </m:ctrlPr>
          </m:e>
          <m:sup>
            <m:r>
              <m:rPr/>
              <w:rPr>
                <w:rFonts w:ascii="Cambria Math" w:hAnsi="Cambria Math" w:eastAsia="宋体"/>
                <w:spacing w:val="10"/>
                <w:sz w:val="21"/>
                <w:szCs w:val="21"/>
              </w:rPr>
              <m:t>3</m:t>
            </m:r>
            <m:ctrlPr>
              <w:rPr>
                <w:rFonts w:ascii="Cambria Math" w:hAnsi="Cambria Math" w:eastAsia="宋体"/>
                <w:i/>
                <w:iCs/>
                <w:spacing w:val="10"/>
                <w:sz w:val="21"/>
                <w:szCs w:val="21"/>
              </w:rPr>
            </m:ctrlPr>
          </m:sup>
        </m:sSup>
      </m:oMath>
      <w:r>
        <w:rPr>
          <w:rFonts w:ascii="Times New Roman" w:hAnsi="Times New Roman" w:eastAsia="宋体"/>
          <w:sz w:val="21"/>
          <w:szCs w:val="21"/>
        </w:rPr>
        <w:t xml:space="preserve"> , and UC denotes Urea content (UC). Results are expressed as “mean ± SEM”. Different lowercase letters in the same number indicate significant differences (</w:t>
      </w:r>
      <w:r>
        <w:rPr>
          <w:rFonts w:ascii="Times New Roman" w:hAnsi="Times New Roman" w:eastAsia="宋体"/>
          <w:i/>
          <w:iCs/>
          <w:sz w:val="21"/>
          <w:szCs w:val="21"/>
        </w:rPr>
        <w:t>p</w:t>
      </w:r>
      <w:r>
        <w:rPr>
          <w:rFonts w:ascii="Times New Roman" w:hAnsi="Times New Roman" w:eastAsia="宋体"/>
          <w:sz w:val="21"/>
          <w:szCs w:val="21"/>
        </w:rPr>
        <w:t>&lt;0.05).</w:t>
      </w:r>
    </w:p>
    <w:bookmarkEnd w:id="6"/>
    <w:p w14:paraId="362A1A34">
      <w:pPr>
        <w:pStyle w:val="3"/>
        <w:numPr>
          <w:ilvl w:val="1"/>
          <w:numId w:val="4"/>
        </w:numPr>
        <w:spacing w:before="0" w:after="0" w:line="360" w:lineRule="auto"/>
        <w:ind w:left="0" w:firstLine="0"/>
        <w:rPr>
          <w:rFonts w:ascii="Times New Roman" w:hAnsi="Times New Roman" w:cs="Times New Roman"/>
          <w:sz w:val="30"/>
          <w:szCs w:val="30"/>
        </w:rPr>
      </w:pPr>
      <w:r>
        <w:rPr>
          <w:rFonts w:ascii="Times New Roman" w:hAnsi="Times New Roman" w:cs="Times New Roman"/>
          <w:sz w:val="30"/>
          <w:szCs w:val="30"/>
        </w:rPr>
        <w:t xml:space="preserve">Genome-wide selection signal and screening of candidate genes for colostrum </w:t>
      </w:r>
      <w:r>
        <w:rPr>
          <w:rFonts w:hint="eastAsia" w:ascii="Times New Roman" w:hAnsi="Times New Roman" w:cs="Times New Roman"/>
          <w:sz w:val="30"/>
          <w:szCs w:val="30"/>
        </w:rPr>
        <w:t>traits</w:t>
      </w:r>
    </w:p>
    <w:p w14:paraId="083C002E">
      <w:pPr>
        <w:pStyle w:val="15"/>
        <w:widowControl/>
        <w:spacing w:beforeAutospacing="0" w:afterAutospacing="0" w:line="360" w:lineRule="auto"/>
        <w:ind w:firstLine="520" w:firstLineChars="200"/>
        <w:jc w:val="both"/>
        <w:rPr>
          <w:rFonts w:ascii="Times New Roman" w:hAnsi="Times New Roman" w:eastAsia="宋体"/>
          <w:spacing w:val="10"/>
          <w:lang w:bidi="ar"/>
        </w:rPr>
      </w:pPr>
      <w:r>
        <w:rPr>
          <w:rFonts w:ascii="Times New Roman" w:hAnsi="Times New Roman"/>
          <w:spacing w:val="10"/>
        </w:rPr>
        <w:t xml:space="preserve">The average colostrum yield on days 2 and 3 postpartum was significantly higher in high-yielding sheep (n = 11, 1.625 ± 0.107 kg) than in low-yielding sheep (n = 8, 0.648 ± 0.179 kg, P &lt; 0.001, </w:t>
      </w:r>
      <w:r>
        <w:rPr>
          <w:rFonts w:ascii="Times New Roman" w:hAnsi="Times New Roman"/>
          <w:b/>
          <w:bCs/>
          <w:spacing w:val="10"/>
        </w:rPr>
        <w:t>Fig. 3a</w:t>
      </w:r>
      <w:r>
        <w:rPr>
          <w:rFonts w:ascii="Times New Roman" w:hAnsi="Times New Roman"/>
          <w:spacing w:val="10"/>
        </w:rPr>
        <w:t>).</w:t>
      </w:r>
      <w:r>
        <w:rPr>
          <w:rFonts w:hint="eastAsia" w:ascii="Times New Roman" w:hAnsi="Times New Roman" w:eastAsia="宋体"/>
          <w:spacing w:val="10"/>
          <w:lang w:bidi="ar"/>
        </w:rPr>
        <w:t>T</w:t>
      </w:r>
      <w:r>
        <w:rPr>
          <w:rFonts w:ascii="Times New Roman" w:hAnsi="Times New Roman" w:eastAsia="宋体"/>
          <w:spacing w:val="10"/>
          <w:lang w:bidi="ar"/>
        </w:rPr>
        <w:t xml:space="preserve">o screen the genome region being selected in sheep with high colostrum yield, FST based on </w:t>
      </w:r>
      <w:r>
        <w:rPr>
          <w:rFonts w:hint="eastAsia" w:ascii="Times New Roman" w:hAnsi="Times New Roman" w:eastAsia="宋体"/>
          <w:spacing w:val="10"/>
          <w:lang w:bidi="ar"/>
        </w:rPr>
        <w:t xml:space="preserve">the </w:t>
      </w:r>
      <w:r>
        <w:rPr>
          <w:rFonts w:ascii="Times New Roman" w:hAnsi="Times New Roman" w:eastAsia="宋体"/>
          <w:spacing w:val="10"/>
          <w:lang w:bidi="ar"/>
        </w:rPr>
        <w:t xml:space="preserve">sliding window square method was calculated, with a window size of 100Kb and a step size of 10Kb. </w:t>
      </w:r>
      <w:r>
        <w:rPr>
          <w:rFonts w:hint="eastAsia" w:ascii="Times New Roman" w:hAnsi="Times New Roman" w:eastAsia="宋体"/>
          <w:spacing w:val="10"/>
          <w:lang w:bidi="ar"/>
        </w:rPr>
        <w:t xml:space="preserve">The </w:t>
      </w:r>
      <w:r>
        <w:rPr>
          <w:rFonts w:ascii="Times New Roman" w:hAnsi="Times New Roman" w:eastAsia="宋体"/>
          <w:spacing w:val="10"/>
          <w:lang w:bidi="ar"/>
        </w:rPr>
        <w:t>Manhattan map is drawn by using Z(FST)&gt;2.326 as the threshold to filter the selected areas (P &lt; 0.01) (</w:t>
      </w:r>
      <w:r>
        <w:rPr>
          <w:rFonts w:ascii="Times New Roman" w:hAnsi="Times New Roman" w:eastAsia="宋体"/>
          <w:b/>
          <w:bCs/>
          <w:spacing w:val="10"/>
          <w:lang w:bidi="ar"/>
        </w:rPr>
        <w:t>Figure 4b</w:t>
      </w:r>
      <w:r>
        <w:rPr>
          <w:rFonts w:ascii="Times New Roman" w:hAnsi="Times New Roman" w:eastAsia="宋体"/>
          <w:spacing w:val="10"/>
          <w:lang w:bidi="ar"/>
        </w:rPr>
        <w:t xml:space="preserve">), and 1008 areas are screened out as positive selection areas. Subsequently, the gene ontology analysis was carried out by using </w:t>
      </w:r>
      <w:r>
        <w:rPr>
          <w:rFonts w:hint="eastAsia" w:ascii="Times New Roman" w:hAnsi="Times New Roman" w:eastAsia="宋体"/>
          <w:spacing w:val="10"/>
          <w:lang w:bidi="ar"/>
        </w:rPr>
        <w:t xml:space="preserve">the </w:t>
      </w:r>
      <w:r>
        <w:rPr>
          <w:rFonts w:ascii="Times New Roman" w:hAnsi="Times New Roman" w:eastAsia="宋体"/>
          <w:spacing w:val="10"/>
          <w:lang w:bidi="ar"/>
        </w:rPr>
        <w:t>Metascape program, and the top 20 significantly enriched pathways were displayed (</w:t>
      </w:r>
      <w:r>
        <w:rPr>
          <w:rFonts w:ascii="Times New Roman" w:hAnsi="Times New Roman" w:eastAsia="宋体"/>
          <w:b/>
          <w:bCs/>
          <w:spacing w:val="10"/>
          <w:lang w:bidi="ar"/>
        </w:rPr>
        <w:t xml:space="preserve">Figure </w:t>
      </w:r>
      <w:r>
        <w:rPr>
          <w:rFonts w:hint="eastAsia" w:ascii="Times New Roman" w:hAnsi="Times New Roman" w:eastAsia="宋体"/>
          <w:b/>
          <w:bCs/>
          <w:spacing w:val="10"/>
          <w:lang w:bidi="ar"/>
        </w:rPr>
        <w:t>3</w:t>
      </w:r>
      <w:r>
        <w:rPr>
          <w:rFonts w:ascii="Times New Roman" w:hAnsi="Times New Roman" w:eastAsia="宋体"/>
          <w:b/>
          <w:bCs/>
          <w:spacing w:val="10"/>
          <w:lang w:bidi="ar"/>
        </w:rPr>
        <w:t>c</w:t>
      </w:r>
      <w:r>
        <w:rPr>
          <w:rFonts w:ascii="Times New Roman" w:hAnsi="Times New Roman" w:eastAsia="宋体"/>
          <w:spacing w:val="10"/>
          <w:lang w:bidi="ar"/>
        </w:rPr>
        <w:t>), including 555 positive selection genes, encoding</w:t>
      </w:r>
      <w:r>
        <w:rPr>
          <w:rFonts w:hint="eastAsia" w:ascii="Times New Roman" w:hAnsi="Times New Roman" w:eastAsia="宋体"/>
          <w:spacing w:val="10"/>
          <w:lang w:bidi="ar"/>
        </w:rPr>
        <w:t xml:space="preserve"> the</w:t>
      </w:r>
      <w:r>
        <w:rPr>
          <w:rFonts w:ascii="Times New Roman" w:hAnsi="Times New Roman" w:eastAsia="宋体"/>
          <w:spacing w:val="10"/>
          <w:lang w:bidi="ar"/>
        </w:rPr>
        <w:t xml:space="preserve"> protein. GO pathway analysis found that positive selection genes were mainly concentrated in plasma membrane protein complex, plasma membrane protein complex, negative regulation of cell differentiation, developmental growth involved in pathology</w:t>
      </w:r>
      <w:r>
        <w:rPr>
          <w:rFonts w:hint="eastAsia" w:ascii="Times New Roman" w:hAnsi="Times New Roman" w:eastAsia="宋体"/>
          <w:spacing w:val="10"/>
          <w:lang w:bidi="ar"/>
        </w:rPr>
        <w:t>,</w:t>
      </w:r>
      <w:r>
        <w:rPr>
          <w:rFonts w:ascii="Times New Roman" w:hAnsi="Times New Roman" w:eastAsia="宋体"/>
          <w:spacing w:val="10"/>
          <w:lang w:bidi="ar"/>
        </w:rPr>
        <w:t xml:space="preserve"> and so on.</w:t>
      </w:r>
    </w:p>
    <w:p w14:paraId="00DF9C89">
      <w:pPr>
        <w:pStyle w:val="15"/>
        <w:widowControl/>
        <w:spacing w:beforeAutospacing="0" w:afterAutospacing="0" w:line="360" w:lineRule="auto"/>
        <w:ind w:firstLine="520" w:firstLineChars="200"/>
        <w:jc w:val="both"/>
        <w:rPr>
          <w:rFonts w:ascii="Times New Roman" w:hAnsi="Times New Roman" w:eastAsia="宋体"/>
          <w:spacing w:val="10"/>
          <w:lang w:bidi="ar"/>
        </w:rPr>
      </w:pPr>
    </w:p>
    <w:p w14:paraId="1D84F39C">
      <w:pPr>
        <w:spacing w:line="360" w:lineRule="auto"/>
        <w:ind w:firstLine="420" w:firstLineChars="200"/>
        <w:rPr>
          <w:rFonts w:ascii="Times New Roman" w:hAnsi="Times New Roman" w:eastAsia="宋体" w:cs="Times New Roman"/>
        </w:rPr>
      </w:pPr>
    </w:p>
    <w:p w14:paraId="10827839">
      <w:pPr>
        <w:spacing w:line="360" w:lineRule="auto"/>
        <w:ind w:firstLine="420" w:firstLineChars="200"/>
        <w:rPr>
          <w:rFonts w:ascii="Times New Roman" w:hAnsi="Times New Roman" w:eastAsia="宋体" w:cs="Times New Roman"/>
        </w:rPr>
      </w:pPr>
      <w:r>
        <w:rPr>
          <w:rFonts w:ascii="Times New Roman" w:hAnsi="Times New Roman" w:eastAsia="宋体" w:cs="Times New Roman"/>
        </w:rPr>
        <w:drawing>
          <wp:inline distT="0" distB="0" distL="114300" distR="114300">
            <wp:extent cx="5264785" cy="3502025"/>
            <wp:effectExtent l="0" t="0" r="5715" b="3175"/>
            <wp:docPr id="7" name="图片 7" descr="全基因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全基因组"/>
                    <pic:cNvPicPr>
                      <a:picLocks noChangeAspect="1"/>
                    </pic:cNvPicPr>
                  </pic:nvPicPr>
                  <pic:blipFill>
                    <a:blip r:embed="rId6"/>
                    <a:stretch>
                      <a:fillRect/>
                    </a:stretch>
                  </pic:blipFill>
                  <pic:spPr>
                    <a:xfrm>
                      <a:off x="0" y="0"/>
                      <a:ext cx="5264785" cy="3502025"/>
                    </a:xfrm>
                    <a:prstGeom prst="rect">
                      <a:avLst/>
                    </a:prstGeom>
                  </pic:spPr>
                </pic:pic>
              </a:graphicData>
            </a:graphic>
          </wp:inline>
        </w:drawing>
      </w:r>
    </w:p>
    <w:p w14:paraId="784AEBCC">
      <w:pPr>
        <w:pStyle w:val="15"/>
        <w:widowControl/>
        <w:spacing w:beforeAutospacing="0" w:afterAutospacing="0" w:line="360" w:lineRule="auto"/>
        <w:jc w:val="both"/>
        <w:outlineLvl w:val="3"/>
        <w:rPr>
          <w:rFonts w:ascii="Times New Roman" w:hAnsi="Times New Roman" w:eastAsia="宋体"/>
          <w:b/>
          <w:bCs/>
          <w:sz w:val="21"/>
          <w:szCs w:val="21"/>
        </w:rPr>
      </w:pPr>
      <w:r>
        <w:rPr>
          <w:rFonts w:ascii="Times New Roman" w:hAnsi="Times New Roman" w:eastAsia="宋体"/>
          <w:b/>
          <w:bCs/>
          <w:sz w:val="21"/>
          <w:szCs w:val="21"/>
        </w:rPr>
        <w:t xml:space="preserve">Fig. 3 Genome-wide distribution of candidate genes related to selection signal and colostrum </w:t>
      </w:r>
      <w:r>
        <w:rPr>
          <w:rFonts w:hint="eastAsia" w:ascii="Times New Roman" w:hAnsi="Times New Roman" w:eastAsia="宋体"/>
          <w:b/>
          <w:bCs/>
          <w:sz w:val="21"/>
          <w:szCs w:val="21"/>
        </w:rPr>
        <w:t>yield</w:t>
      </w:r>
      <w:r>
        <w:rPr>
          <w:rFonts w:ascii="Times New Roman" w:hAnsi="Times New Roman" w:eastAsia="宋体"/>
          <w:b/>
          <w:bCs/>
          <w:sz w:val="21"/>
          <w:szCs w:val="21"/>
        </w:rPr>
        <w:t xml:space="preserve"> in two sheep populations. </w:t>
      </w:r>
    </w:p>
    <w:p w14:paraId="6D44E56F">
      <w:pPr>
        <w:pStyle w:val="15"/>
        <w:widowControl/>
        <w:spacing w:beforeAutospacing="0" w:afterAutospacing="0" w:line="360" w:lineRule="auto"/>
        <w:jc w:val="both"/>
        <w:rPr>
          <w:rFonts w:ascii="Times New Roman" w:hAnsi="Times New Roman" w:eastAsia="宋体"/>
          <w:sz w:val="21"/>
          <w:szCs w:val="21"/>
        </w:rPr>
      </w:pPr>
      <w:r>
        <w:rPr>
          <w:rFonts w:ascii="Times New Roman" w:hAnsi="Times New Roman" w:eastAsia="宋体"/>
          <w:sz w:val="21"/>
          <w:szCs w:val="21"/>
        </w:rPr>
        <w:t xml:space="preserve">(a) The difference </w:t>
      </w:r>
      <w:r>
        <w:rPr>
          <w:rFonts w:hint="eastAsia" w:ascii="Times New Roman" w:hAnsi="Times New Roman" w:eastAsia="宋体"/>
          <w:sz w:val="21"/>
          <w:szCs w:val="21"/>
        </w:rPr>
        <w:t>in</w:t>
      </w:r>
      <w:r>
        <w:rPr>
          <w:rFonts w:ascii="Times New Roman" w:hAnsi="Times New Roman" w:eastAsia="宋体"/>
          <w:sz w:val="21"/>
          <w:szCs w:val="21"/>
        </w:rPr>
        <w:t xml:space="preserve"> colostrum </w:t>
      </w:r>
      <w:r>
        <w:rPr>
          <w:rFonts w:hint="eastAsia" w:ascii="Times New Roman" w:hAnsi="Times New Roman" w:eastAsia="宋体"/>
          <w:sz w:val="21"/>
          <w:szCs w:val="21"/>
        </w:rPr>
        <w:t>yield</w:t>
      </w:r>
      <w:r>
        <w:rPr>
          <w:rFonts w:ascii="Times New Roman" w:hAnsi="Times New Roman" w:eastAsia="宋体"/>
          <w:sz w:val="21"/>
          <w:szCs w:val="21"/>
        </w:rPr>
        <w:t xml:space="preserve"> between two populations. The colostrum yield is obtained according to the average colostrum yield of each ewe. </w:t>
      </w:r>
      <w:r>
        <w:rPr>
          <w:rFonts w:hint="eastAsia" w:ascii="Times New Roman" w:hAnsi="Times New Roman" w:eastAsia="宋体"/>
          <w:sz w:val="21"/>
          <w:szCs w:val="21"/>
        </w:rPr>
        <w:t>***</w:t>
      </w:r>
      <w:r>
        <w:rPr>
          <w:rFonts w:ascii="Times New Roman" w:hAnsi="Times New Roman" w:eastAsia="宋体"/>
          <w:sz w:val="21"/>
          <w:szCs w:val="21"/>
        </w:rPr>
        <w:t xml:space="preserve">represents a significant difference between the two groups (P&lt;0.001). (b) Plotting along the positive end distribution Z(FST) of sheep chromosomes (different chromosomes are separated by color). The Z(FST) value is calculated across chromosomes in steps of 10Kb for each sliding window of 100Kb, and the horizontal solid line indicates the cut-off value for extracting outliers (Z(FST)&gt;2.326). (c) The selected 1008 genes were enriched by using </w:t>
      </w:r>
      <w:r>
        <w:rPr>
          <w:rFonts w:hint="eastAsia" w:ascii="Times New Roman" w:hAnsi="Times New Roman" w:eastAsia="宋体"/>
          <w:sz w:val="21"/>
          <w:szCs w:val="21"/>
        </w:rPr>
        <w:t xml:space="preserve">the </w:t>
      </w:r>
      <w:r>
        <w:rPr>
          <w:rFonts w:ascii="Times New Roman" w:hAnsi="Times New Roman" w:eastAsia="宋体"/>
          <w:sz w:val="21"/>
          <w:szCs w:val="21"/>
        </w:rPr>
        <w:t xml:space="preserve">Metascape online database through </w:t>
      </w:r>
      <w:r>
        <w:rPr>
          <w:rFonts w:hint="eastAsia" w:ascii="Times New Roman" w:hAnsi="Times New Roman" w:eastAsia="宋体"/>
          <w:sz w:val="21"/>
          <w:szCs w:val="21"/>
        </w:rPr>
        <w:t xml:space="preserve">the </w:t>
      </w:r>
      <w:r>
        <w:rPr>
          <w:rFonts w:ascii="Times New Roman" w:hAnsi="Times New Roman" w:eastAsia="宋体"/>
          <w:sz w:val="21"/>
          <w:szCs w:val="21"/>
        </w:rPr>
        <w:t xml:space="preserve">GO pathway, among which the top 20 items were shown, and </w:t>
      </w:r>
      <w:r>
        <w:rPr>
          <w:rFonts w:hint="eastAsia" w:ascii="Times New Roman" w:hAnsi="Times New Roman" w:eastAsia="宋体"/>
          <w:i/>
          <w:iCs/>
          <w:sz w:val="21"/>
          <w:szCs w:val="21"/>
        </w:rPr>
        <w:t>p</w:t>
      </w:r>
      <w:r>
        <w:rPr>
          <w:rFonts w:ascii="Times New Roman" w:hAnsi="Times New Roman" w:eastAsia="宋体"/>
          <w:sz w:val="21"/>
          <w:szCs w:val="21"/>
        </w:rPr>
        <w:t>&lt;0.05 (p correction value) was the standard. (d) Distribution of mutation types at mutation sites of positive selection genes.</w:t>
      </w:r>
    </w:p>
    <w:p w14:paraId="0722C059">
      <w:pPr>
        <w:pStyle w:val="3"/>
        <w:numPr>
          <w:ilvl w:val="1"/>
          <w:numId w:val="4"/>
        </w:numPr>
        <w:spacing w:before="0" w:after="0" w:line="360" w:lineRule="auto"/>
        <w:ind w:left="0" w:firstLine="0"/>
        <w:rPr>
          <w:rFonts w:ascii="Times New Roman" w:hAnsi="Times New Roman" w:cs="Times New Roman"/>
          <w:sz w:val="30"/>
          <w:szCs w:val="30"/>
        </w:rPr>
      </w:pPr>
      <w:r>
        <w:rPr>
          <w:rFonts w:ascii="Times New Roman" w:hAnsi="Times New Roman" w:cs="Times New Roman"/>
          <w:sz w:val="30"/>
          <w:szCs w:val="30"/>
        </w:rPr>
        <w:t xml:space="preserve">Candidate genes related to colostrum </w:t>
      </w:r>
      <w:r>
        <w:rPr>
          <w:rFonts w:hint="eastAsia" w:ascii="Times New Roman" w:hAnsi="Times New Roman" w:cs="Times New Roman"/>
          <w:sz w:val="30"/>
          <w:szCs w:val="30"/>
        </w:rPr>
        <w:t>traits</w:t>
      </w:r>
      <w:r>
        <w:rPr>
          <w:rFonts w:ascii="Times New Roman" w:hAnsi="Times New Roman" w:cs="Times New Roman"/>
          <w:sz w:val="30"/>
          <w:szCs w:val="30"/>
        </w:rPr>
        <w:t xml:space="preserve"> and SNP</w:t>
      </w:r>
    </w:p>
    <w:p w14:paraId="5B39D4E5">
      <w:pPr>
        <w:pStyle w:val="15"/>
        <w:widowControl/>
        <w:spacing w:beforeAutospacing="0" w:afterAutospacing="0" w:line="360" w:lineRule="auto"/>
        <w:ind w:firstLine="520" w:firstLineChars="200"/>
        <w:jc w:val="both"/>
        <w:rPr>
          <w:rFonts w:ascii="Times New Roman" w:hAnsi="Times New Roman" w:eastAsia="宋体"/>
          <w:spacing w:val="10"/>
        </w:rPr>
      </w:pPr>
      <w:bookmarkStart w:id="7" w:name="_Hlk177929710"/>
      <w:r>
        <w:rPr>
          <w:rFonts w:ascii="Times New Roman" w:hAnsi="Times New Roman" w:eastAsia="宋体"/>
          <w:spacing w:val="10"/>
        </w:rPr>
        <w:t>There are various types of variation in the positive selection sites, and the variation of these sites, especially the non-synonymous mutation, may greatly influence the three-dimensional (3D) structure and physical and protein chemical properties. Therefore, we further identified the SNP of the positive selection gene screened above. The results showed that 700 missense mutation sites out of 178,169 mutation sites were identified in the chromosomes of these positive selection genes (</w:t>
      </w:r>
      <w:r>
        <w:rPr>
          <w:rFonts w:ascii="Times New Roman" w:hAnsi="Times New Roman" w:eastAsia="宋体"/>
          <w:b/>
          <w:bCs/>
          <w:spacing w:val="10"/>
        </w:rPr>
        <w:t>Figure 3d</w:t>
      </w:r>
      <w:r>
        <w:rPr>
          <w:rFonts w:ascii="Times New Roman" w:hAnsi="Times New Roman" w:eastAsia="宋体"/>
          <w:spacing w:val="10"/>
        </w:rPr>
        <w:t xml:space="preserve">). Genes related to lactation </w:t>
      </w:r>
      <w:r>
        <w:rPr>
          <w:rFonts w:ascii="Times New Roman" w:hAnsi="Times New Roman" w:eastAsia="宋体"/>
          <w:i/>
          <w:spacing w:val="10"/>
        </w:rPr>
        <w:t>LTF</w:t>
      </w:r>
      <w:r>
        <w:rPr>
          <w:rFonts w:ascii="Times New Roman" w:hAnsi="Times New Roman" w:eastAsia="宋体"/>
          <w:spacing w:val="10"/>
        </w:rPr>
        <w:t xml:space="preserve">, PTPR, and </w:t>
      </w:r>
      <w:r>
        <w:rPr>
          <w:rFonts w:ascii="Times New Roman" w:hAnsi="Times New Roman" w:eastAsia="宋体"/>
          <w:i/>
          <w:spacing w:val="10"/>
        </w:rPr>
        <w:t>LIFR</w:t>
      </w:r>
      <w:r>
        <w:rPr>
          <w:rFonts w:ascii="Times New Roman" w:hAnsi="Times New Roman" w:eastAsia="宋体"/>
          <w:spacing w:val="10"/>
        </w:rPr>
        <w:t xml:space="preserve"> were identified as candidate genes affecting sheep colostrum.</w:t>
      </w:r>
      <w:bookmarkEnd w:id="7"/>
    </w:p>
    <w:p w14:paraId="54A948BB">
      <w:pPr>
        <w:pStyle w:val="3"/>
        <w:numPr>
          <w:ilvl w:val="1"/>
          <w:numId w:val="4"/>
        </w:numPr>
        <w:spacing w:before="0" w:after="0" w:line="360" w:lineRule="auto"/>
        <w:ind w:left="0" w:firstLine="0"/>
        <w:rPr>
          <w:rFonts w:ascii="Times New Roman" w:hAnsi="Times New Roman" w:cs="Times New Roman"/>
          <w:sz w:val="30"/>
          <w:szCs w:val="30"/>
        </w:rPr>
      </w:pPr>
      <w:r>
        <w:rPr>
          <w:rFonts w:ascii="Times New Roman" w:hAnsi="Times New Roman" w:cs="Times New Roman"/>
          <w:sz w:val="30"/>
          <w:szCs w:val="30"/>
        </w:rPr>
        <w:t xml:space="preserve">Relationship between polymorphism of coding regions of </w:t>
      </w:r>
      <w:r>
        <w:rPr>
          <w:rFonts w:ascii="Times New Roman" w:hAnsi="Times New Roman" w:cs="Times New Roman"/>
          <w:i/>
          <w:sz w:val="30"/>
          <w:szCs w:val="30"/>
        </w:rPr>
        <w:t>LTF</w:t>
      </w:r>
      <w:r>
        <w:rPr>
          <w:rFonts w:ascii="Times New Roman" w:hAnsi="Times New Roman" w:cs="Times New Roman"/>
          <w:sz w:val="30"/>
          <w:szCs w:val="30"/>
        </w:rPr>
        <w:t xml:space="preserve">, </w:t>
      </w:r>
      <w:r>
        <w:rPr>
          <w:rFonts w:ascii="Times New Roman" w:hAnsi="Times New Roman" w:cs="Times New Roman"/>
          <w:i/>
          <w:sz w:val="30"/>
          <w:szCs w:val="30"/>
        </w:rPr>
        <w:t>PTPRK</w:t>
      </w:r>
      <w:r>
        <w:rPr>
          <w:rFonts w:hint="eastAsia" w:ascii="Times New Roman" w:hAnsi="Times New Roman" w:cs="Times New Roman"/>
          <w:sz w:val="30"/>
          <w:szCs w:val="30"/>
        </w:rPr>
        <w:t>,</w:t>
      </w:r>
      <w:r>
        <w:rPr>
          <w:rFonts w:ascii="Times New Roman" w:hAnsi="Times New Roman" w:cs="Times New Roman"/>
          <w:sz w:val="30"/>
          <w:szCs w:val="30"/>
        </w:rPr>
        <w:t xml:space="preserve"> and </w:t>
      </w:r>
      <w:r>
        <w:rPr>
          <w:rFonts w:ascii="Times New Roman" w:hAnsi="Times New Roman" w:cs="Times New Roman"/>
          <w:i/>
          <w:sz w:val="30"/>
          <w:szCs w:val="30"/>
        </w:rPr>
        <w:t>LIFR</w:t>
      </w:r>
      <w:r>
        <w:rPr>
          <w:rFonts w:ascii="Times New Roman" w:hAnsi="Times New Roman" w:cs="Times New Roman"/>
          <w:sz w:val="30"/>
          <w:szCs w:val="30"/>
        </w:rPr>
        <w:t xml:space="preserve"> genes and colostrum traits in sheep</w:t>
      </w:r>
    </w:p>
    <w:p w14:paraId="7D580B37">
      <w:pPr>
        <w:pStyle w:val="15"/>
        <w:widowControl/>
        <w:spacing w:beforeAutospacing="0" w:afterAutospacing="0" w:line="360" w:lineRule="auto"/>
        <w:ind w:firstLine="520" w:firstLineChars="200"/>
        <w:jc w:val="both"/>
        <w:rPr>
          <w:rFonts w:ascii="Times New Roman" w:hAnsi="Times New Roman" w:eastAsia="宋体"/>
          <w:spacing w:val="10"/>
        </w:rPr>
      </w:pPr>
      <w:bookmarkStart w:id="8" w:name="_Hlk177930094"/>
      <w:r>
        <w:rPr>
          <w:rFonts w:ascii="Times New Roman" w:hAnsi="Times New Roman" w:eastAsia="宋体"/>
          <w:spacing w:val="10"/>
        </w:rPr>
        <w:t xml:space="preserve">As shown in </w:t>
      </w:r>
      <w:r>
        <w:rPr>
          <w:rFonts w:ascii="Times New Roman" w:hAnsi="Times New Roman" w:eastAsia="宋体"/>
          <w:b/>
          <w:bCs/>
          <w:spacing w:val="10"/>
        </w:rPr>
        <w:t xml:space="preserve">Table </w:t>
      </w:r>
      <w:r>
        <w:rPr>
          <w:rFonts w:hint="eastAsia" w:ascii="Times New Roman" w:hAnsi="Times New Roman" w:eastAsia="宋体"/>
          <w:b/>
          <w:bCs/>
          <w:spacing w:val="10"/>
        </w:rPr>
        <w:t>2</w:t>
      </w:r>
      <w:r>
        <w:rPr>
          <w:rFonts w:ascii="Times New Roman" w:hAnsi="Times New Roman" w:eastAsia="宋体"/>
          <w:spacing w:val="10"/>
        </w:rPr>
        <w:t xml:space="preserve">, six missense mutations involving three genes were identified, namely, one missense mutation of the </w:t>
      </w:r>
      <w:r>
        <w:rPr>
          <w:rFonts w:ascii="Times New Roman" w:hAnsi="Times New Roman" w:eastAsia="宋体"/>
          <w:i/>
          <w:spacing w:val="10"/>
        </w:rPr>
        <w:t>LTF</w:t>
      </w:r>
      <w:r>
        <w:rPr>
          <w:rFonts w:ascii="Times New Roman" w:hAnsi="Times New Roman" w:eastAsia="宋体"/>
          <w:spacing w:val="10"/>
        </w:rPr>
        <w:t xml:space="preserve"> gene (rs422619216), one missense mutation of the </w:t>
      </w:r>
      <w:r>
        <w:rPr>
          <w:rFonts w:ascii="Times New Roman" w:hAnsi="Times New Roman" w:eastAsia="宋体"/>
          <w:i/>
          <w:spacing w:val="10"/>
        </w:rPr>
        <w:t>PTPRK</w:t>
      </w:r>
      <w:r>
        <w:rPr>
          <w:rFonts w:ascii="Times New Roman" w:hAnsi="Times New Roman" w:eastAsia="宋体"/>
          <w:spacing w:val="10"/>
        </w:rPr>
        <w:t xml:space="preserve"> gene (rs429528738), and four missense mutations of the </w:t>
      </w:r>
      <w:r>
        <w:rPr>
          <w:rFonts w:ascii="Times New Roman" w:hAnsi="Times New Roman" w:eastAsia="宋体"/>
          <w:i/>
          <w:spacing w:val="10"/>
        </w:rPr>
        <w:t>LIFR</w:t>
      </w:r>
      <w:r>
        <w:rPr>
          <w:rFonts w:ascii="Times New Roman" w:hAnsi="Times New Roman" w:eastAsia="宋体"/>
          <w:spacing w:val="10"/>
        </w:rPr>
        <w:t xml:space="preserve"> gene (rs408968100, rs162154352, rs161149074). Except for one locus (rs408968100), the reliability of the estimated allele frequencies reached 0.9545. The results of the HWE test showed that the rs162154352 locus of the </w:t>
      </w:r>
      <w:r>
        <w:rPr>
          <w:rFonts w:ascii="Times New Roman" w:hAnsi="Times New Roman" w:eastAsia="宋体"/>
          <w:i/>
          <w:spacing w:val="10"/>
        </w:rPr>
        <w:t>LIFR</w:t>
      </w:r>
      <w:r>
        <w:rPr>
          <w:rFonts w:ascii="Times New Roman" w:hAnsi="Times New Roman" w:eastAsia="宋体"/>
          <w:spacing w:val="10"/>
        </w:rPr>
        <w:t xml:space="preserve"> gene deviated significantly from HWE.</w:t>
      </w:r>
    </w:p>
    <w:p w14:paraId="35B342A7">
      <w:pPr>
        <w:pStyle w:val="15"/>
        <w:widowControl/>
        <w:spacing w:beforeAutospacing="0" w:afterAutospacing="0" w:line="360" w:lineRule="auto"/>
        <w:ind w:firstLine="520" w:firstLineChars="200"/>
        <w:jc w:val="both"/>
        <w:rPr>
          <w:rFonts w:ascii="Times New Roman" w:hAnsi="Times New Roman" w:eastAsia="宋体"/>
          <w:spacing w:val="10"/>
        </w:rPr>
      </w:pPr>
      <w:r>
        <w:rPr>
          <w:rFonts w:ascii="Times New Roman" w:hAnsi="Times New Roman" w:eastAsia="宋体"/>
          <w:spacing w:val="10"/>
        </w:rPr>
        <w:t xml:space="preserve">As shown in </w:t>
      </w:r>
      <w:r>
        <w:rPr>
          <w:rFonts w:ascii="Times New Roman" w:hAnsi="Times New Roman" w:eastAsia="宋体"/>
          <w:b/>
          <w:bCs/>
          <w:spacing w:val="10"/>
        </w:rPr>
        <w:t xml:space="preserve">Table </w:t>
      </w:r>
      <w:r>
        <w:rPr>
          <w:rFonts w:hint="eastAsia" w:ascii="Times New Roman" w:hAnsi="Times New Roman" w:eastAsia="宋体"/>
          <w:b/>
          <w:bCs/>
          <w:spacing w:val="10"/>
        </w:rPr>
        <w:t>3,</w:t>
      </w:r>
      <w:r>
        <w:rPr>
          <w:rFonts w:ascii="Times New Roman" w:hAnsi="Times New Roman" w:eastAsia="宋体"/>
          <w:b/>
          <w:bCs/>
          <w:spacing w:val="10"/>
        </w:rPr>
        <w:t xml:space="preserve"> Table </w:t>
      </w:r>
      <w:r>
        <w:rPr>
          <w:rFonts w:hint="eastAsia" w:ascii="Times New Roman" w:hAnsi="Times New Roman" w:eastAsia="宋体"/>
          <w:b/>
          <w:bCs/>
          <w:spacing w:val="10"/>
        </w:rPr>
        <w:t>4</w:t>
      </w:r>
      <w:r>
        <w:rPr>
          <w:rFonts w:ascii="Times New Roman" w:hAnsi="Times New Roman" w:eastAsia="宋体"/>
          <w:b/>
          <w:bCs/>
          <w:spacing w:val="10"/>
        </w:rPr>
        <w:t xml:space="preserve">, and Table </w:t>
      </w:r>
      <w:r>
        <w:rPr>
          <w:rFonts w:hint="eastAsia" w:ascii="Times New Roman" w:hAnsi="Times New Roman" w:eastAsia="宋体"/>
          <w:b/>
          <w:bCs/>
          <w:spacing w:val="10"/>
        </w:rPr>
        <w:t>5</w:t>
      </w:r>
      <w:r>
        <w:rPr>
          <w:rFonts w:ascii="Times New Roman" w:hAnsi="Times New Roman" w:eastAsia="宋体"/>
          <w:b/>
          <w:bCs/>
          <w:spacing w:val="10"/>
        </w:rPr>
        <w:t xml:space="preserve">, </w:t>
      </w:r>
      <w:r>
        <w:rPr>
          <w:rFonts w:ascii="Times New Roman" w:hAnsi="Times New Roman" w:eastAsia="宋体"/>
          <w:spacing w:val="10"/>
        </w:rPr>
        <w:t>at the locus of rs422619216(c.407T&gt;C), the primary milk yield of TT genotype individuals was higher than that of CC genotype individuals (</w:t>
      </w:r>
      <w:r>
        <w:rPr>
          <w:rFonts w:hint="eastAsia" w:ascii="Times New Roman" w:hAnsi="Times New Roman" w:eastAsia="宋体"/>
          <w:i/>
          <w:iCs/>
          <w:spacing w:val="10"/>
        </w:rPr>
        <w:t>p</w:t>
      </w:r>
      <w:r>
        <w:rPr>
          <w:rFonts w:ascii="Times New Roman" w:hAnsi="Times New Roman" w:eastAsia="宋体"/>
          <w:spacing w:val="10"/>
        </w:rPr>
        <w:t xml:space="preserve">&lt;0.05), and the TT genotype frequency was 0.448. At the locus of rs429528738 (c.1295C&gt;T), the nucleotide of the </w:t>
      </w:r>
      <w:r>
        <w:rPr>
          <w:rFonts w:ascii="Times New Roman" w:hAnsi="Times New Roman" w:eastAsia="宋体"/>
          <w:i/>
          <w:spacing w:val="10"/>
        </w:rPr>
        <w:t>PTPRK</w:t>
      </w:r>
      <w:r>
        <w:rPr>
          <w:rFonts w:ascii="Times New Roman" w:hAnsi="Times New Roman" w:eastAsia="宋体"/>
          <w:spacing w:val="10"/>
        </w:rPr>
        <w:t xml:space="preserve"> gene is mutated from C to T. Individuals with the TT genotype have higher colostrum production than individuals with CC genotype (</w:t>
      </w:r>
      <w:r>
        <w:rPr>
          <w:rFonts w:hint="eastAsia" w:ascii="Times New Roman" w:hAnsi="Times New Roman" w:eastAsia="宋体"/>
          <w:i/>
          <w:iCs/>
          <w:spacing w:val="10"/>
        </w:rPr>
        <w:t>p</w:t>
      </w:r>
      <w:r>
        <w:rPr>
          <w:rFonts w:ascii="Times New Roman" w:hAnsi="Times New Roman" w:eastAsia="宋体"/>
          <w:spacing w:val="10"/>
        </w:rPr>
        <w:t xml:space="preserve">&lt;0.05), and the colostrum IgM concentration of individuals with TT genotype is also significantly higher than that of individuals with CC genotype. The </w:t>
      </w:r>
      <w:r>
        <w:rPr>
          <w:rFonts w:ascii="Times New Roman" w:hAnsi="Times New Roman" w:eastAsia="宋体"/>
          <w:i/>
          <w:spacing w:val="10"/>
        </w:rPr>
        <w:t>LIFR</w:t>
      </w:r>
      <w:r>
        <w:rPr>
          <w:rFonts w:ascii="Times New Roman" w:hAnsi="Times New Roman" w:eastAsia="宋体"/>
          <w:spacing w:val="10"/>
        </w:rPr>
        <w:t xml:space="preserve"> gene contains four missense mutants, namely, rs408968100, rs162154352, rs161149074 and rs411119461. At the locus of rs408968100 (c.1234G&gt;T), individuals with GG genotype had higher colostrum production than individuals with GT genotype (</w:t>
      </w:r>
      <w:r>
        <w:rPr>
          <w:rFonts w:hint="eastAsia" w:ascii="Times New Roman" w:hAnsi="Times New Roman" w:eastAsia="宋体"/>
          <w:i/>
          <w:iCs/>
          <w:spacing w:val="10"/>
        </w:rPr>
        <w:t>p</w:t>
      </w:r>
      <w:r>
        <w:rPr>
          <w:rFonts w:ascii="Times New Roman" w:hAnsi="Times New Roman" w:eastAsia="宋体"/>
          <w:spacing w:val="10"/>
        </w:rPr>
        <w:t xml:space="preserve">&lt;0.05), and the frequency of GG genotype was as high as 79.3%. At the locus of rs162154352(c.2132G&gt;A), the nucleotide of the </w:t>
      </w:r>
      <w:r>
        <w:rPr>
          <w:rFonts w:ascii="Times New Roman" w:hAnsi="Times New Roman" w:eastAsia="宋体"/>
          <w:i/>
          <w:spacing w:val="10"/>
        </w:rPr>
        <w:t>LIFR</w:t>
      </w:r>
      <w:r>
        <w:rPr>
          <w:rFonts w:ascii="Times New Roman" w:hAnsi="Times New Roman" w:eastAsia="宋体"/>
          <w:spacing w:val="10"/>
        </w:rPr>
        <w:t xml:space="preserve"> gene mutated from G to A, and there was no significant difference in colostrum production among different genotypes, but individuals with GG type had higher colostrum IgA concentration. At the locus of rs161149074(c.2571A&gt;G), the colostrum yield of AA genotype individuals was higher than that of GG genotype individuals (</w:t>
      </w:r>
      <w:r>
        <w:rPr>
          <w:rFonts w:hint="eastAsia" w:ascii="Times New Roman" w:hAnsi="Times New Roman" w:eastAsia="宋体"/>
          <w:i/>
          <w:iCs/>
          <w:spacing w:val="10"/>
        </w:rPr>
        <w:t>p</w:t>
      </w:r>
      <w:r>
        <w:rPr>
          <w:rFonts w:ascii="Times New Roman" w:hAnsi="Times New Roman" w:eastAsia="宋体"/>
          <w:spacing w:val="10"/>
        </w:rPr>
        <w:t>&lt;0.05), but the colostrum IgA concentration of GG genotype individuals was higher than that of AA genotype individuals. As for the locus of rs411119461(c.3142G&gt;T), individuals with the GG genotype had higher colostrum production than individuals with the TT genotype (</w:t>
      </w:r>
      <w:r>
        <w:rPr>
          <w:rFonts w:hint="eastAsia" w:ascii="Times New Roman" w:hAnsi="Times New Roman" w:eastAsia="宋体"/>
          <w:i/>
          <w:iCs/>
          <w:spacing w:val="10"/>
        </w:rPr>
        <w:t>p</w:t>
      </w:r>
      <w:r>
        <w:rPr>
          <w:rFonts w:ascii="Times New Roman" w:hAnsi="Times New Roman" w:eastAsia="宋体"/>
          <w:spacing w:val="10"/>
        </w:rPr>
        <w:t>&lt;0.05).</w:t>
      </w:r>
      <w:bookmarkEnd w:id="8"/>
    </w:p>
    <w:p w14:paraId="3910DC4E">
      <w:pPr>
        <w:pStyle w:val="15"/>
        <w:widowControl/>
        <w:spacing w:beforeAutospacing="0" w:afterAutospacing="0" w:line="360" w:lineRule="auto"/>
        <w:jc w:val="both"/>
        <w:outlineLvl w:val="3"/>
        <w:rPr>
          <w:rFonts w:ascii="Times New Roman" w:hAnsi="Times New Roman"/>
          <w:b/>
          <w:bCs/>
          <w:spacing w:val="10"/>
          <w:sz w:val="21"/>
          <w:szCs w:val="21"/>
        </w:rPr>
      </w:pPr>
      <w:r>
        <w:rPr>
          <w:rFonts w:ascii="Times New Roman" w:hAnsi="Times New Roman"/>
          <w:b/>
          <w:bCs/>
          <w:spacing w:val="10"/>
          <w:sz w:val="21"/>
          <w:szCs w:val="21"/>
        </w:rPr>
        <w:t xml:space="preserve">Table 2 </w:t>
      </w:r>
      <w:bookmarkStart w:id="9" w:name="_Toc361"/>
      <w:bookmarkStart w:id="10" w:name="_Toc9095"/>
      <w:bookmarkStart w:id="11" w:name="_Toc10253"/>
      <w:bookmarkStart w:id="12" w:name="_Toc21403"/>
      <w:bookmarkStart w:id="13" w:name="_Toc28361"/>
      <w:r>
        <w:rPr>
          <w:rFonts w:ascii="Times New Roman" w:hAnsi="Times New Roman"/>
          <w:b/>
          <w:bCs/>
          <w:spacing w:val="10"/>
          <w:sz w:val="21"/>
          <w:szCs w:val="21"/>
        </w:rPr>
        <w:t xml:space="preserve">SNP information of candidate genes </w:t>
      </w:r>
      <w:r>
        <w:rPr>
          <w:rFonts w:ascii="Times New Roman" w:hAnsi="Times New Roman"/>
          <w:b/>
          <w:bCs/>
          <w:i/>
          <w:spacing w:val="10"/>
          <w:sz w:val="21"/>
          <w:szCs w:val="21"/>
        </w:rPr>
        <w:t>LTF</w:t>
      </w:r>
      <w:r>
        <w:rPr>
          <w:rFonts w:ascii="Times New Roman" w:hAnsi="Times New Roman"/>
          <w:b/>
          <w:bCs/>
          <w:spacing w:val="10"/>
          <w:sz w:val="21"/>
          <w:szCs w:val="21"/>
        </w:rPr>
        <w:t xml:space="preserve">, PTPR, and </w:t>
      </w:r>
      <w:r>
        <w:rPr>
          <w:rFonts w:ascii="Times New Roman" w:hAnsi="Times New Roman"/>
          <w:b/>
          <w:bCs/>
          <w:i/>
          <w:spacing w:val="10"/>
          <w:sz w:val="21"/>
          <w:szCs w:val="21"/>
        </w:rPr>
        <w:t>LIFR</w:t>
      </w:r>
      <w:r>
        <w:rPr>
          <w:rFonts w:hint="eastAsia" w:ascii="Times New Roman" w:hAnsi="Times New Roman"/>
          <w:b/>
          <w:bCs/>
          <w:spacing w:val="10"/>
          <w:sz w:val="21"/>
          <w:szCs w:val="21"/>
        </w:rPr>
        <w:t>.</w:t>
      </w:r>
    </w:p>
    <w:tbl>
      <w:tblPr>
        <w:tblStyle w:val="16"/>
        <w:tblW w:w="0" w:type="auto"/>
        <w:jc w:val="center"/>
        <w:tblLayout w:type="fixed"/>
        <w:tblCellMar>
          <w:top w:w="0" w:type="dxa"/>
          <w:left w:w="108" w:type="dxa"/>
          <w:bottom w:w="0" w:type="dxa"/>
          <w:right w:w="108" w:type="dxa"/>
        </w:tblCellMar>
      </w:tblPr>
      <w:tblGrid>
        <w:gridCol w:w="474"/>
        <w:gridCol w:w="669"/>
        <w:gridCol w:w="606"/>
        <w:gridCol w:w="830"/>
        <w:gridCol w:w="755"/>
        <w:gridCol w:w="933"/>
        <w:gridCol w:w="440"/>
        <w:gridCol w:w="542"/>
        <w:gridCol w:w="900"/>
        <w:gridCol w:w="799"/>
        <w:gridCol w:w="672"/>
        <w:gridCol w:w="498"/>
        <w:gridCol w:w="404"/>
      </w:tblGrid>
      <w:tr w14:paraId="5812C2AA">
        <w:tblPrEx>
          <w:tblCellMar>
            <w:top w:w="0" w:type="dxa"/>
            <w:left w:w="108" w:type="dxa"/>
            <w:bottom w:w="0" w:type="dxa"/>
            <w:right w:w="108" w:type="dxa"/>
          </w:tblCellMar>
        </w:tblPrEx>
        <w:trPr>
          <w:trHeight w:val="295" w:hRule="atLeast"/>
          <w:jc w:val="center"/>
        </w:trPr>
        <w:tc>
          <w:tcPr>
            <w:tcW w:w="474" w:type="dxa"/>
            <w:tcBorders>
              <w:top w:val="single" w:color="000000" w:sz="12" w:space="0"/>
              <w:left w:val="nil"/>
              <w:bottom w:val="single" w:color="000000" w:sz="6" w:space="0"/>
              <w:right w:val="nil"/>
            </w:tcBorders>
            <w:shd w:val="clear" w:color="auto" w:fill="auto"/>
            <w:noWrap/>
            <w:vAlign w:val="center"/>
          </w:tcPr>
          <w:p w14:paraId="56E07BCB">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Gene</w:t>
            </w:r>
          </w:p>
        </w:tc>
        <w:tc>
          <w:tcPr>
            <w:tcW w:w="669" w:type="dxa"/>
            <w:tcBorders>
              <w:top w:val="single" w:color="000000" w:sz="12" w:space="0"/>
              <w:left w:val="nil"/>
              <w:bottom w:val="single" w:color="000000" w:sz="6" w:space="0"/>
              <w:right w:val="nil"/>
            </w:tcBorders>
            <w:shd w:val="clear" w:color="auto" w:fill="auto"/>
            <w:noWrap/>
            <w:vAlign w:val="center"/>
          </w:tcPr>
          <w:p w14:paraId="7CFA0451">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Chromosome</w:t>
            </w:r>
          </w:p>
        </w:tc>
        <w:tc>
          <w:tcPr>
            <w:tcW w:w="606" w:type="dxa"/>
            <w:tcBorders>
              <w:top w:val="single" w:color="000000" w:sz="12" w:space="0"/>
              <w:left w:val="nil"/>
              <w:bottom w:val="single" w:color="000000" w:sz="6" w:space="0"/>
              <w:right w:val="nil"/>
            </w:tcBorders>
            <w:shd w:val="clear" w:color="auto" w:fill="auto"/>
            <w:noWrap/>
            <w:vAlign w:val="center"/>
          </w:tcPr>
          <w:p w14:paraId="1E849502">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SNP</w:t>
            </w:r>
          </w:p>
        </w:tc>
        <w:tc>
          <w:tcPr>
            <w:tcW w:w="830" w:type="dxa"/>
            <w:tcBorders>
              <w:top w:val="single" w:color="000000" w:sz="12" w:space="0"/>
              <w:left w:val="nil"/>
              <w:bottom w:val="single" w:color="000000" w:sz="6" w:space="0"/>
              <w:right w:val="nil"/>
            </w:tcBorders>
            <w:shd w:val="clear" w:color="auto" w:fill="auto"/>
            <w:noWrap/>
            <w:vAlign w:val="center"/>
          </w:tcPr>
          <w:p w14:paraId="5F5531AF">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Database Number</w:t>
            </w:r>
          </w:p>
        </w:tc>
        <w:tc>
          <w:tcPr>
            <w:tcW w:w="755" w:type="dxa"/>
            <w:tcBorders>
              <w:top w:val="single" w:color="000000" w:sz="12" w:space="0"/>
              <w:left w:val="nil"/>
              <w:bottom w:val="single" w:color="000000" w:sz="6" w:space="0"/>
              <w:right w:val="nil"/>
            </w:tcBorders>
            <w:shd w:val="clear" w:color="auto" w:fill="auto"/>
            <w:noWrap/>
            <w:vAlign w:val="center"/>
          </w:tcPr>
          <w:p w14:paraId="625FFD1C">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Protein position</w:t>
            </w:r>
          </w:p>
        </w:tc>
        <w:tc>
          <w:tcPr>
            <w:tcW w:w="933" w:type="dxa"/>
            <w:tcBorders>
              <w:top w:val="single" w:color="000000" w:sz="12" w:space="0"/>
              <w:left w:val="nil"/>
              <w:bottom w:val="single" w:color="000000" w:sz="6" w:space="0"/>
              <w:right w:val="nil"/>
            </w:tcBorders>
            <w:shd w:val="clear" w:color="auto" w:fill="auto"/>
            <w:noWrap/>
            <w:vAlign w:val="center"/>
          </w:tcPr>
          <w:p w14:paraId="177E02A7">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Amino acid variation</w:t>
            </w:r>
          </w:p>
        </w:tc>
        <w:tc>
          <w:tcPr>
            <w:tcW w:w="440" w:type="dxa"/>
            <w:tcBorders>
              <w:top w:val="single" w:color="000000" w:sz="12" w:space="0"/>
              <w:left w:val="nil"/>
              <w:bottom w:val="single" w:color="000000" w:sz="6" w:space="0"/>
              <w:right w:val="nil"/>
            </w:tcBorders>
            <w:shd w:val="clear" w:color="auto" w:fill="auto"/>
            <w:noWrap/>
            <w:vAlign w:val="center"/>
          </w:tcPr>
          <w:p w14:paraId="58386E39">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Alleles</w:t>
            </w:r>
          </w:p>
        </w:tc>
        <w:tc>
          <w:tcPr>
            <w:tcW w:w="542" w:type="dxa"/>
            <w:tcBorders>
              <w:top w:val="single" w:color="000000" w:sz="12" w:space="0"/>
              <w:left w:val="nil"/>
              <w:bottom w:val="single" w:color="000000" w:sz="6" w:space="0"/>
              <w:right w:val="nil"/>
            </w:tcBorders>
            <w:shd w:val="clear" w:color="auto" w:fill="auto"/>
            <w:noWrap/>
            <w:vAlign w:val="center"/>
          </w:tcPr>
          <w:p w14:paraId="07E96B55">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Genotype</w:t>
            </w:r>
          </w:p>
        </w:tc>
        <w:tc>
          <w:tcPr>
            <w:tcW w:w="900" w:type="dxa"/>
            <w:tcBorders>
              <w:top w:val="single" w:color="000000" w:sz="12" w:space="0"/>
              <w:left w:val="nil"/>
              <w:bottom w:val="single" w:color="000000" w:sz="6" w:space="0"/>
              <w:right w:val="nil"/>
            </w:tcBorders>
            <w:shd w:val="clear" w:color="auto" w:fill="auto"/>
            <w:noWrap/>
            <w:vAlign w:val="center"/>
          </w:tcPr>
          <w:p w14:paraId="20C76190">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Genotype frequency</w:t>
            </w:r>
          </w:p>
        </w:tc>
        <w:tc>
          <w:tcPr>
            <w:tcW w:w="799" w:type="dxa"/>
            <w:tcBorders>
              <w:top w:val="single" w:color="000000" w:sz="12" w:space="0"/>
              <w:left w:val="nil"/>
              <w:bottom w:val="single" w:color="000000" w:sz="6" w:space="0"/>
              <w:right w:val="nil"/>
            </w:tcBorders>
            <w:shd w:val="clear" w:color="auto" w:fill="auto"/>
            <w:noWrap/>
            <w:vAlign w:val="center"/>
          </w:tcPr>
          <w:p w14:paraId="1BF6A84F">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Alleles frequency</w:t>
            </w:r>
          </w:p>
        </w:tc>
        <w:tc>
          <w:tcPr>
            <w:tcW w:w="672" w:type="dxa"/>
            <w:tcBorders>
              <w:top w:val="single" w:color="000000" w:sz="12" w:space="0"/>
              <w:left w:val="nil"/>
              <w:bottom w:val="single" w:color="000000" w:sz="6" w:space="0"/>
              <w:right w:val="nil"/>
            </w:tcBorders>
            <w:shd w:val="clear" w:color="auto" w:fill="auto"/>
            <w:noWrap/>
            <w:vAlign w:val="center"/>
          </w:tcPr>
          <w:p w14:paraId="60A38DC1">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β</w:t>
            </w:r>
          </w:p>
        </w:tc>
        <w:tc>
          <w:tcPr>
            <w:tcW w:w="498" w:type="dxa"/>
            <w:tcBorders>
              <w:top w:val="single" w:color="000000" w:sz="12" w:space="0"/>
              <w:left w:val="nil"/>
              <w:bottom w:val="single" w:color="000000" w:sz="6" w:space="0"/>
              <w:right w:val="nil"/>
            </w:tcBorders>
            <w:shd w:val="clear" w:color="auto" w:fill="auto"/>
            <w:noWrap/>
            <w:vAlign w:val="center"/>
          </w:tcPr>
          <w:p w14:paraId="7D8201A5">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sym w:font="Symbol" w:char="0063"/>
            </w:r>
            <w:r>
              <w:rPr>
                <w:rFonts w:ascii="Times New Roman" w:hAnsi="Times New Roman" w:eastAsia="宋体" w:cs="Times New Roman"/>
                <w:b/>
                <w:bCs/>
                <w:color w:val="000000"/>
                <w:kern w:val="0"/>
                <w:szCs w:val="21"/>
                <w:lang w:bidi="ar"/>
              </w:rPr>
              <w:t>2 test</w:t>
            </w:r>
          </w:p>
        </w:tc>
        <w:tc>
          <w:tcPr>
            <w:tcW w:w="404" w:type="dxa"/>
            <w:tcBorders>
              <w:top w:val="single" w:color="000000" w:sz="12" w:space="0"/>
              <w:left w:val="nil"/>
              <w:bottom w:val="single" w:color="000000" w:sz="6" w:space="0"/>
              <w:right w:val="nil"/>
            </w:tcBorders>
            <w:shd w:val="clear" w:color="auto" w:fill="auto"/>
            <w:noWrap/>
            <w:vAlign w:val="center"/>
          </w:tcPr>
          <w:p w14:paraId="7F8623A7">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P</w:t>
            </w:r>
            <w:r>
              <w:rPr>
                <w:rFonts w:ascii="Times New Roman" w:hAnsi="Times New Roman" w:eastAsia="宋体" w:cs="Times New Roman"/>
                <w:b/>
                <w:bCs/>
                <w:i/>
                <w:iCs/>
                <w:color w:val="000000"/>
                <w:kern w:val="0"/>
                <w:szCs w:val="21"/>
                <w:vertAlign w:val="subscript"/>
                <w:lang w:bidi="ar"/>
              </w:rPr>
              <w:t>HWE</w:t>
            </w:r>
          </w:p>
        </w:tc>
      </w:tr>
      <w:tr w14:paraId="118F2413">
        <w:tblPrEx>
          <w:tblCellMar>
            <w:top w:w="0" w:type="dxa"/>
            <w:left w:w="108" w:type="dxa"/>
            <w:bottom w:w="0" w:type="dxa"/>
            <w:right w:w="108" w:type="dxa"/>
          </w:tblCellMar>
        </w:tblPrEx>
        <w:trPr>
          <w:trHeight w:val="280" w:hRule="atLeast"/>
          <w:jc w:val="center"/>
        </w:trPr>
        <w:tc>
          <w:tcPr>
            <w:tcW w:w="474" w:type="dxa"/>
            <w:vMerge w:val="restart"/>
            <w:tcBorders>
              <w:top w:val="single" w:color="000000" w:sz="6" w:space="0"/>
              <w:left w:val="nil"/>
              <w:bottom w:val="nil"/>
              <w:right w:val="nil"/>
            </w:tcBorders>
            <w:shd w:val="clear" w:color="auto" w:fill="auto"/>
            <w:noWrap/>
            <w:vAlign w:val="center"/>
          </w:tcPr>
          <w:p w14:paraId="62C2DD7B">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LTF</w:t>
            </w:r>
          </w:p>
        </w:tc>
        <w:tc>
          <w:tcPr>
            <w:tcW w:w="669" w:type="dxa"/>
            <w:vMerge w:val="restart"/>
            <w:tcBorders>
              <w:top w:val="single" w:color="000000" w:sz="6" w:space="0"/>
              <w:left w:val="nil"/>
              <w:bottom w:val="nil"/>
              <w:right w:val="nil"/>
            </w:tcBorders>
            <w:shd w:val="clear" w:color="auto" w:fill="auto"/>
            <w:noWrap/>
            <w:vAlign w:val="center"/>
          </w:tcPr>
          <w:p w14:paraId="68B79CD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19</w:t>
            </w:r>
          </w:p>
        </w:tc>
        <w:tc>
          <w:tcPr>
            <w:tcW w:w="606" w:type="dxa"/>
            <w:vMerge w:val="restart"/>
            <w:tcBorders>
              <w:top w:val="single" w:color="000000" w:sz="6" w:space="0"/>
              <w:left w:val="nil"/>
              <w:bottom w:val="nil"/>
              <w:right w:val="nil"/>
            </w:tcBorders>
            <w:shd w:val="clear" w:color="auto" w:fill="auto"/>
            <w:noWrap/>
            <w:vAlign w:val="center"/>
          </w:tcPr>
          <w:p w14:paraId="67089FD2">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c.407T&gt;C</w:t>
            </w:r>
          </w:p>
        </w:tc>
        <w:tc>
          <w:tcPr>
            <w:tcW w:w="830" w:type="dxa"/>
            <w:vMerge w:val="restart"/>
            <w:tcBorders>
              <w:top w:val="single" w:color="000000" w:sz="6" w:space="0"/>
              <w:left w:val="nil"/>
              <w:bottom w:val="nil"/>
              <w:right w:val="nil"/>
            </w:tcBorders>
            <w:shd w:val="clear" w:color="auto" w:fill="auto"/>
            <w:noWrap/>
            <w:vAlign w:val="center"/>
          </w:tcPr>
          <w:p w14:paraId="50E83293">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rs422619216</w:t>
            </w:r>
          </w:p>
        </w:tc>
        <w:tc>
          <w:tcPr>
            <w:tcW w:w="755" w:type="dxa"/>
            <w:vMerge w:val="restart"/>
            <w:tcBorders>
              <w:top w:val="single" w:color="000000" w:sz="6" w:space="0"/>
              <w:left w:val="nil"/>
              <w:bottom w:val="nil"/>
              <w:right w:val="nil"/>
            </w:tcBorders>
            <w:shd w:val="clear" w:color="auto" w:fill="auto"/>
            <w:noWrap/>
            <w:vAlign w:val="center"/>
          </w:tcPr>
          <w:p w14:paraId="76E911D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136</w:t>
            </w:r>
          </w:p>
        </w:tc>
        <w:tc>
          <w:tcPr>
            <w:tcW w:w="933" w:type="dxa"/>
            <w:vMerge w:val="restart"/>
            <w:tcBorders>
              <w:top w:val="single" w:color="000000" w:sz="6" w:space="0"/>
              <w:left w:val="nil"/>
              <w:bottom w:val="nil"/>
              <w:right w:val="nil"/>
            </w:tcBorders>
            <w:shd w:val="clear" w:color="auto" w:fill="auto"/>
            <w:noWrap/>
            <w:vAlign w:val="center"/>
          </w:tcPr>
          <w:p w14:paraId="665E0FD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M/T</w:t>
            </w:r>
          </w:p>
        </w:tc>
        <w:tc>
          <w:tcPr>
            <w:tcW w:w="440" w:type="dxa"/>
            <w:vMerge w:val="restart"/>
            <w:tcBorders>
              <w:top w:val="single" w:color="000000" w:sz="6" w:space="0"/>
              <w:left w:val="nil"/>
              <w:bottom w:val="nil"/>
              <w:right w:val="nil"/>
            </w:tcBorders>
            <w:shd w:val="clear" w:color="auto" w:fill="auto"/>
            <w:noWrap/>
            <w:vAlign w:val="center"/>
          </w:tcPr>
          <w:p w14:paraId="41918D1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T/C</w:t>
            </w:r>
          </w:p>
        </w:tc>
        <w:tc>
          <w:tcPr>
            <w:tcW w:w="542" w:type="dxa"/>
            <w:tcBorders>
              <w:top w:val="single" w:color="000000" w:sz="6" w:space="0"/>
              <w:left w:val="nil"/>
              <w:bottom w:val="nil"/>
              <w:right w:val="nil"/>
            </w:tcBorders>
            <w:shd w:val="clear" w:color="auto" w:fill="auto"/>
            <w:noWrap/>
            <w:vAlign w:val="center"/>
          </w:tcPr>
          <w:p w14:paraId="07DE356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TT</w:t>
            </w:r>
          </w:p>
        </w:tc>
        <w:tc>
          <w:tcPr>
            <w:tcW w:w="900" w:type="dxa"/>
            <w:tcBorders>
              <w:top w:val="single" w:color="000000" w:sz="6" w:space="0"/>
              <w:left w:val="nil"/>
              <w:bottom w:val="nil"/>
              <w:right w:val="nil"/>
            </w:tcBorders>
            <w:shd w:val="clear" w:color="auto" w:fill="auto"/>
            <w:noWrap/>
            <w:vAlign w:val="center"/>
          </w:tcPr>
          <w:p w14:paraId="72B34A91">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0.448</w:t>
            </w:r>
          </w:p>
        </w:tc>
        <w:tc>
          <w:tcPr>
            <w:tcW w:w="799" w:type="dxa"/>
            <w:vMerge w:val="restart"/>
            <w:tcBorders>
              <w:top w:val="single" w:color="000000" w:sz="6" w:space="0"/>
              <w:left w:val="nil"/>
              <w:right w:val="nil"/>
            </w:tcBorders>
            <w:shd w:val="clear" w:color="auto" w:fill="auto"/>
            <w:noWrap/>
            <w:vAlign w:val="center"/>
          </w:tcPr>
          <w:p w14:paraId="63408593">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0.621/0.379</w:t>
            </w:r>
          </w:p>
          <w:p w14:paraId="3D513DA2">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restart"/>
            <w:tcBorders>
              <w:top w:val="single" w:color="000000" w:sz="6" w:space="0"/>
              <w:left w:val="nil"/>
              <w:right w:val="nil"/>
            </w:tcBorders>
            <w:shd w:val="clear" w:color="auto" w:fill="auto"/>
            <w:vAlign w:val="center"/>
          </w:tcPr>
          <w:p w14:paraId="70B63289">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1.000/0.990</w:t>
            </w:r>
          </w:p>
        </w:tc>
        <w:tc>
          <w:tcPr>
            <w:tcW w:w="498" w:type="dxa"/>
            <w:vMerge w:val="restart"/>
            <w:tcBorders>
              <w:top w:val="single" w:color="000000" w:sz="6" w:space="0"/>
              <w:left w:val="nil"/>
              <w:bottom w:val="nil"/>
              <w:right w:val="nil"/>
            </w:tcBorders>
            <w:shd w:val="clear" w:color="auto" w:fill="auto"/>
            <w:vAlign w:val="center"/>
          </w:tcPr>
          <w:p w14:paraId="18BDA4F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2.371</w:t>
            </w:r>
          </w:p>
        </w:tc>
        <w:tc>
          <w:tcPr>
            <w:tcW w:w="404" w:type="dxa"/>
            <w:vMerge w:val="restart"/>
            <w:tcBorders>
              <w:top w:val="single" w:color="000000" w:sz="6" w:space="0"/>
              <w:left w:val="nil"/>
              <w:right w:val="nil"/>
            </w:tcBorders>
            <w:shd w:val="clear" w:color="auto" w:fill="auto"/>
            <w:vAlign w:val="center"/>
          </w:tcPr>
          <w:p w14:paraId="3E6D45B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0.124</w:t>
            </w:r>
          </w:p>
          <w:p w14:paraId="01180547">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29719CF6">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3B67B7FB">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nil"/>
              <w:right w:val="nil"/>
            </w:tcBorders>
            <w:shd w:val="clear" w:color="auto" w:fill="auto"/>
            <w:noWrap/>
            <w:vAlign w:val="center"/>
          </w:tcPr>
          <w:p w14:paraId="1509FDAD">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3B559DC8">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5E92C384">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3F639231">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69EC499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28CF7C32">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3ADC644E">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TC</w:t>
            </w:r>
          </w:p>
        </w:tc>
        <w:tc>
          <w:tcPr>
            <w:tcW w:w="900" w:type="dxa"/>
            <w:tcBorders>
              <w:top w:val="nil"/>
              <w:left w:val="nil"/>
              <w:bottom w:val="nil"/>
              <w:right w:val="nil"/>
            </w:tcBorders>
            <w:shd w:val="clear" w:color="auto" w:fill="auto"/>
            <w:noWrap/>
            <w:vAlign w:val="center"/>
          </w:tcPr>
          <w:p w14:paraId="3400CB8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0.345</w:t>
            </w:r>
          </w:p>
        </w:tc>
        <w:tc>
          <w:tcPr>
            <w:tcW w:w="799" w:type="dxa"/>
            <w:vMerge w:val="continue"/>
            <w:tcBorders>
              <w:left w:val="nil"/>
              <w:right w:val="nil"/>
            </w:tcBorders>
            <w:shd w:val="clear" w:color="auto" w:fill="auto"/>
            <w:noWrap/>
            <w:vAlign w:val="center"/>
          </w:tcPr>
          <w:p w14:paraId="1D8C7639">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right w:val="nil"/>
            </w:tcBorders>
            <w:shd w:val="clear" w:color="auto" w:fill="auto"/>
            <w:vAlign w:val="center"/>
          </w:tcPr>
          <w:p w14:paraId="30A0386F">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single" w:color="000000" w:sz="4" w:space="0"/>
              <w:left w:val="nil"/>
              <w:bottom w:val="nil"/>
              <w:right w:val="nil"/>
            </w:tcBorders>
            <w:shd w:val="clear" w:color="auto" w:fill="auto"/>
            <w:vAlign w:val="center"/>
          </w:tcPr>
          <w:p w14:paraId="0DA1B7FE">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right w:val="nil"/>
            </w:tcBorders>
            <w:shd w:val="clear" w:color="auto" w:fill="auto"/>
            <w:vAlign w:val="center"/>
          </w:tcPr>
          <w:p w14:paraId="101C518F">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5C124737">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069F642F">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nil"/>
              <w:right w:val="nil"/>
            </w:tcBorders>
            <w:shd w:val="clear" w:color="auto" w:fill="auto"/>
            <w:noWrap/>
            <w:vAlign w:val="center"/>
          </w:tcPr>
          <w:p w14:paraId="2BD3183F">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5C55F310">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685AA64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78A98FC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1BFD1EDB">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58958A81">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7BEF539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CC</w:t>
            </w:r>
          </w:p>
        </w:tc>
        <w:tc>
          <w:tcPr>
            <w:tcW w:w="900" w:type="dxa"/>
            <w:tcBorders>
              <w:top w:val="nil"/>
              <w:left w:val="nil"/>
              <w:bottom w:val="nil"/>
              <w:right w:val="nil"/>
            </w:tcBorders>
            <w:shd w:val="clear" w:color="auto" w:fill="auto"/>
            <w:noWrap/>
            <w:vAlign w:val="center"/>
          </w:tcPr>
          <w:p w14:paraId="2767F60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0.207</w:t>
            </w:r>
          </w:p>
        </w:tc>
        <w:tc>
          <w:tcPr>
            <w:tcW w:w="799" w:type="dxa"/>
            <w:vMerge w:val="continue"/>
            <w:tcBorders>
              <w:left w:val="nil"/>
              <w:bottom w:val="nil"/>
              <w:right w:val="nil"/>
            </w:tcBorders>
            <w:shd w:val="clear" w:color="auto" w:fill="auto"/>
            <w:noWrap/>
            <w:vAlign w:val="center"/>
          </w:tcPr>
          <w:p w14:paraId="5A55F00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bottom w:val="nil"/>
              <w:right w:val="nil"/>
            </w:tcBorders>
            <w:shd w:val="clear" w:color="auto" w:fill="auto"/>
            <w:vAlign w:val="center"/>
          </w:tcPr>
          <w:p w14:paraId="2DE586E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single" w:color="000000" w:sz="4" w:space="0"/>
              <w:left w:val="nil"/>
              <w:bottom w:val="nil"/>
              <w:right w:val="nil"/>
            </w:tcBorders>
            <w:shd w:val="clear" w:color="auto" w:fill="auto"/>
            <w:vAlign w:val="center"/>
          </w:tcPr>
          <w:p w14:paraId="5974D6EE">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bottom w:val="nil"/>
              <w:right w:val="nil"/>
            </w:tcBorders>
            <w:shd w:val="clear" w:color="auto" w:fill="auto"/>
            <w:vAlign w:val="center"/>
          </w:tcPr>
          <w:p w14:paraId="72665D32">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54AB2048">
        <w:tblPrEx>
          <w:tblCellMar>
            <w:top w:w="0" w:type="dxa"/>
            <w:left w:w="108" w:type="dxa"/>
            <w:bottom w:w="0" w:type="dxa"/>
            <w:right w:w="108" w:type="dxa"/>
          </w:tblCellMar>
        </w:tblPrEx>
        <w:trPr>
          <w:trHeight w:val="280" w:hRule="atLeast"/>
          <w:jc w:val="center"/>
        </w:trPr>
        <w:tc>
          <w:tcPr>
            <w:tcW w:w="474" w:type="dxa"/>
            <w:vMerge w:val="restart"/>
            <w:tcBorders>
              <w:top w:val="nil"/>
              <w:left w:val="nil"/>
              <w:bottom w:val="nil"/>
              <w:right w:val="nil"/>
            </w:tcBorders>
            <w:shd w:val="clear" w:color="auto" w:fill="auto"/>
            <w:noWrap/>
            <w:vAlign w:val="center"/>
          </w:tcPr>
          <w:p w14:paraId="4442F327">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PTPRK</w:t>
            </w:r>
          </w:p>
        </w:tc>
        <w:tc>
          <w:tcPr>
            <w:tcW w:w="669" w:type="dxa"/>
            <w:vMerge w:val="restart"/>
            <w:tcBorders>
              <w:top w:val="nil"/>
              <w:left w:val="nil"/>
              <w:bottom w:val="nil"/>
              <w:right w:val="nil"/>
            </w:tcBorders>
            <w:shd w:val="clear" w:color="auto" w:fill="auto"/>
            <w:noWrap/>
            <w:vAlign w:val="center"/>
          </w:tcPr>
          <w:p w14:paraId="577707C4">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8</w:t>
            </w:r>
          </w:p>
        </w:tc>
        <w:tc>
          <w:tcPr>
            <w:tcW w:w="606" w:type="dxa"/>
            <w:vMerge w:val="restart"/>
            <w:tcBorders>
              <w:top w:val="nil"/>
              <w:left w:val="nil"/>
              <w:bottom w:val="nil"/>
              <w:right w:val="nil"/>
            </w:tcBorders>
            <w:shd w:val="clear" w:color="auto" w:fill="auto"/>
            <w:noWrap/>
            <w:vAlign w:val="center"/>
          </w:tcPr>
          <w:p w14:paraId="0C71D9ED">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c.1295C&gt;T</w:t>
            </w:r>
          </w:p>
        </w:tc>
        <w:tc>
          <w:tcPr>
            <w:tcW w:w="830" w:type="dxa"/>
            <w:vMerge w:val="restart"/>
            <w:tcBorders>
              <w:top w:val="nil"/>
              <w:left w:val="nil"/>
              <w:bottom w:val="nil"/>
              <w:right w:val="nil"/>
            </w:tcBorders>
            <w:shd w:val="clear" w:color="auto" w:fill="auto"/>
            <w:noWrap/>
            <w:vAlign w:val="center"/>
          </w:tcPr>
          <w:p w14:paraId="06C205E9">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rs429528738</w:t>
            </w:r>
          </w:p>
        </w:tc>
        <w:tc>
          <w:tcPr>
            <w:tcW w:w="755" w:type="dxa"/>
            <w:vMerge w:val="restart"/>
            <w:tcBorders>
              <w:top w:val="nil"/>
              <w:left w:val="nil"/>
              <w:bottom w:val="nil"/>
              <w:right w:val="nil"/>
            </w:tcBorders>
            <w:shd w:val="clear" w:color="auto" w:fill="auto"/>
            <w:noWrap/>
            <w:vAlign w:val="center"/>
          </w:tcPr>
          <w:p w14:paraId="5C69609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432</w:t>
            </w:r>
          </w:p>
        </w:tc>
        <w:tc>
          <w:tcPr>
            <w:tcW w:w="933" w:type="dxa"/>
            <w:vMerge w:val="restart"/>
            <w:tcBorders>
              <w:top w:val="nil"/>
              <w:left w:val="nil"/>
              <w:bottom w:val="nil"/>
              <w:right w:val="nil"/>
            </w:tcBorders>
            <w:shd w:val="clear" w:color="auto" w:fill="auto"/>
            <w:noWrap/>
            <w:vAlign w:val="center"/>
          </w:tcPr>
          <w:p w14:paraId="51AB230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R/H</w:t>
            </w:r>
          </w:p>
        </w:tc>
        <w:tc>
          <w:tcPr>
            <w:tcW w:w="440" w:type="dxa"/>
            <w:vMerge w:val="restart"/>
            <w:tcBorders>
              <w:top w:val="nil"/>
              <w:left w:val="nil"/>
              <w:bottom w:val="nil"/>
              <w:right w:val="nil"/>
            </w:tcBorders>
            <w:shd w:val="clear" w:color="auto" w:fill="auto"/>
            <w:noWrap/>
            <w:vAlign w:val="center"/>
          </w:tcPr>
          <w:p w14:paraId="2D6B706D">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C/T</w:t>
            </w:r>
          </w:p>
        </w:tc>
        <w:tc>
          <w:tcPr>
            <w:tcW w:w="542" w:type="dxa"/>
            <w:tcBorders>
              <w:top w:val="nil"/>
              <w:left w:val="nil"/>
              <w:bottom w:val="nil"/>
              <w:right w:val="nil"/>
            </w:tcBorders>
            <w:shd w:val="clear" w:color="auto" w:fill="auto"/>
            <w:noWrap/>
            <w:vAlign w:val="center"/>
          </w:tcPr>
          <w:p w14:paraId="0DC4D7D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TT</w:t>
            </w:r>
          </w:p>
        </w:tc>
        <w:tc>
          <w:tcPr>
            <w:tcW w:w="900" w:type="dxa"/>
            <w:tcBorders>
              <w:top w:val="nil"/>
              <w:left w:val="nil"/>
              <w:bottom w:val="nil"/>
              <w:right w:val="nil"/>
            </w:tcBorders>
            <w:shd w:val="clear" w:color="auto" w:fill="auto"/>
            <w:noWrap/>
            <w:vAlign w:val="center"/>
          </w:tcPr>
          <w:p w14:paraId="539A4A6C">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0.172</w:t>
            </w:r>
          </w:p>
        </w:tc>
        <w:tc>
          <w:tcPr>
            <w:tcW w:w="799" w:type="dxa"/>
            <w:vMerge w:val="restart"/>
            <w:tcBorders>
              <w:top w:val="nil"/>
              <w:left w:val="nil"/>
              <w:right w:val="nil"/>
            </w:tcBorders>
            <w:shd w:val="clear" w:color="auto" w:fill="auto"/>
            <w:noWrap/>
            <w:vAlign w:val="center"/>
          </w:tcPr>
          <w:p w14:paraId="6125E4DA">
            <w:pPr>
              <w:widowControl/>
              <w:spacing w:line="360" w:lineRule="auto"/>
              <w:jc w:val="center"/>
              <w:textAlignment w:val="center"/>
              <w:rPr>
                <w:rFonts w:ascii="Times New Roman" w:hAnsi="Times New Roman" w:eastAsia="宋体" w:cs="Times New Roman"/>
                <w:color w:val="000000"/>
                <w:kern w:val="0"/>
                <w:sz w:val="22"/>
                <w:szCs w:val="22"/>
                <w:lang w:bidi="ar"/>
              </w:rPr>
            </w:pPr>
          </w:p>
          <w:p w14:paraId="05C9745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0.638/0.362</w:t>
            </w:r>
          </w:p>
        </w:tc>
        <w:tc>
          <w:tcPr>
            <w:tcW w:w="672" w:type="dxa"/>
            <w:vMerge w:val="restart"/>
            <w:tcBorders>
              <w:top w:val="nil"/>
              <w:left w:val="nil"/>
              <w:right w:val="nil"/>
            </w:tcBorders>
            <w:shd w:val="clear" w:color="auto" w:fill="auto"/>
            <w:vAlign w:val="center"/>
          </w:tcPr>
          <w:p w14:paraId="1C7FD0DF">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1.000/0.985</w:t>
            </w:r>
          </w:p>
        </w:tc>
        <w:tc>
          <w:tcPr>
            <w:tcW w:w="498" w:type="dxa"/>
            <w:vMerge w:val="restart"/>
            <w:tcBorders>
              <w:top w:val="nil"/>
              <w:left w:val="nil"/>
              <w:bottom w:val="nil"/>
              <w:right w:val="nil"/>
            </w:tcBorders>
            <w:shd w:val="clear" w:color="auto" w:fill="auto"/>
            <w:vAlign w:val="center"/>
          </w:tcPr>
          <w:p w14:paraId="6E7CAA24">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1.126</w:t>
            </w:r>
          </w:p>
        </w:tc>
        <w:tc>
          <w:tcPr>
            <w:tcW w:w="404" w:type="dxa"/>
            <w:vMerge w:val="restart"/>
            <w:tcBorders>
              <w:top w:val="nil"/>
              <w:left w:val="nil"/>
              <w:right w:val="nil"/>
            </w:tcBorders>
            <w:shd w:val="clear" w:color="auto" w:fill="auto"/>
            <w:vAlign w:val="center"/>
          </w:tcPr>
          <w:p w14:paraId="3F980A9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0.289</w:t>
            </w:r>
          </w:p>
          <w:p w14:paraId="46DAD85C">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2E3DC2C0">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44024259">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nil"/>
              <w:right w:val="nil"/>
            </w:tcBorders>
            <w:shd w:val="clear" w:color="auto" w:fill="auto"/>
            <w:noWrap/>
            <w:vAlign w:val="center"/>
          </w:tcPr>
          <w:p w14:paraId="25B82228">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2403197F">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25F5E31F">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6516E8C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3AEC6C2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1AFD58C1">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0442960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CT</w:t>
            </w:r>
          </w:p>
        </w:tc>
        <w:tc>
          <w:tcPr>
            <w:tcW w:w="900" w:type="dxa"/>
            <w:tcBorders>
              <w:top w:val="nil"/>
              <w:left w:val="nil"/>
              <w:bottom w:val="nil"/>
              <w:right w:val="nil"/>
            </w:tcBorders>
            <w:shd w:val="clear" w:color="auto" w:fill="auto"/>
            <w:noWrap/>
            <w:vAlign w:val="center"/>
          </w:tcPr>
          <w:p w14:paraId="0981F03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0.379</w:t>
            </w:r>
          </w:p>
        </w:tc>
        <w:tc>
          <w:tcPr>
            <w:tcW w:w="799" w:type="dxa"/>
            <w:vMerge w:val="continue"/>
            <w:tcBorders>
              <w:left w:val="nil"/>
              <w:right w:val="nil"/>
            </w:tcBorders>
            <w:shd w:val="clear" w:color="auto" w:fill="auto"/>
            <w:noWrap/>
            <w:vAlign w:val="center"/>
          </w:tcPr>
          <w:p w14:paraId="58EA5DBA">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right w:val="nil"/>
            </w:tcBorders>
            <w:shd w:val="clear" w:color="auto" w:fill="auto"/>
            <w:vAlign w:val="center"/>
          </w:tcPr>
          <w:p w14:paraId="321A954B">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nil"/>
              <w:right w:val="nil"/>
            </w:tcBorders>
            <w:shd w:val="clear" w:color="auto" w:fill="auto"/>
            <w:vAlign w:val="center"/>
          </w:tcPr>
          <w:p w14:paraId="40DE273A">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right w:val="nil"/>
            </w:tcBorders>
            <w:shd w:val="clear" w:color="auto" w:fill="auto"/>
            <w:vAlign w:val="center"/>
          </w:tcPr>
          <w:p w14:paraId="2593B2C4">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5F5E7167">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12650669">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nil"/>
              <w:right w:val="nil"/>
            </w:tcBorders>
            <w:shd w:val="clear" w:color="auto" w:fill="auto"/>
            <w:noWrap/>
            <w:vAlign w:val="center"/>
          </w:tcPr>
          <w:p w14:paraId="48B3A8A2">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2F593B6D">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0D497FA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57B2958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791EA1BF">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27301074">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79F3F38D">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CC</w:t>
            </w:r>
          </w:p>
        </w:tc>
        <w:tc>
          <w:tcPr>
            <w:tcW w:w="900" w:type="dxa"/>
            <w:tcBorders>
              <w:top w:val="nil"/>
              <w:left w:val="nil"/>
              <w:bottom w:val="nil"/>
              <w:right w:val="nil"/>
            </w:tcBorders>
            <w:shd w:val="clear" w:color="auto" w:fill="auto"/>
            <w:noWrap/>
            <w:vAlign w:val="center"/>
          </w:tcPr>
          <w:p w14:paraId="1ED3580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0.448</w:t>
            </w:r>
          </w:p>
        </w:tc>
        <w:tc>
          <w:tcPr>
            <w:tcW w:w="799" w:type="dxa"/>
            <w:vMerge w:val="continue"/>
            <w:tcBorders>
              <w:left w:val="nil"/>
              <w:bottom w:val="nil"/>
              <w:right w:val="nil"/>
            </w:tcBorders>
            <w:shd w:val="clear" w:color="auto" w:fill="auto"/>
            <w:noWrap/>
            <w:vAlign w:val="center"/>
          </w:tcPr>
          <w:p w14:paraId="2CE46B98">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bottom w:val="nil"/>
              <w:right w:val="nil"/>
            </w:tcBorders>
            <w:shd w:val="clear" w:color="auto" w:fill="auto"/>
            <w:vAlign w:val="center"/>
          </w:tcPr>
          <w:p w14:paraId="52006D66">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nil"/>
              <w:right w:val="nil"/>
            </w:tcBorders>
            <w:shd w:val="clear" w:color="auto" w:fill="auto"/>
            <w:vAlign w:val="center"/>
          </w:tcPr>
          <w:p w14:paraId="7571D152">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bottom w:val="nil"/>
              <w:right w:val="nil"/>
            </w:tcBorders>
            <w:shd w:val="clear" w:color="auto" w:fill="auto"/>
            <w:vAlign w:val="center"/>
          </w:tcPr>
          <w:p w14:paraId="2A782CE1">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02C3D9DE">
        <w:tblPrEx>
          <w:tblCellMar>
            <w:top w:w="0" w:type="dxa"/>
            <w:left w:w="108" w:type="dxa"/>
            <w:bottom w:w="0" w:type="dxa"/>
            <w:right w:w="108" w:type="dxa"/>
          </w:tblCellMar>
        </w:tblPrEx>
        <w:trPr>
          <w:trHeight w:val="280" w:hRule="atLeast"/>
          <w:jc w:val="center"/>
        </w:trPr>
        <w:tc>
          <w:tcPr>
            <w:tcW w:w="474" w:type="dxa"/>
            <w:vMerge w:val="restart"/>
            <w:tcBorders>
              <w:top w:val="nil"/>
              <w:left w:val="nil"/>
              <w:bottom w:val="nil"/>
              <w:right w:val="nil"/>
            </w:tcBorders>
            <w:shd w:val="clear" w:color="auto" w:fill="auto"/>
            <w:noWrap/>
            <w:vAlign w:val="center"/>
          </w:tcPr>
          <w:p w14:paraId="4531691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LIFR</w:t>
            </w:r>
          </w:p>
        </w:tc>
        <w:tc>
          <w:tcPr>
            <w:tcW w:w="669" w:type="dxa"/>
            <w:vMerge w:val="restart"/>
            <w:tcBorders>
              <w:top w:val="nil"/>
              <w:left w:val="nil"/>
              <w:bottom w:val="single" w:color="000000" w:sz="8" w:space="0"/>
              <w:right w:val="nil"/>
            </w:tcBorders>
            <w:shd w:val="clear" w:color="auto" w:fill="auto"/>
            <w:noWrap/>
            <w:vAlign w:val="center"/>
          </w:tcPr>
          <w:p w14:paraId="13987331">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16</w:t>
            </w:r>
          </w:p>
        </w:tc>
        <w:tc>
          <w:tcPr>
            <w:tcW w:w="606" w:type="dxa"/>
            <w:vMerge w:val="restart"/>
            <w:tcBorders>
              <w:top w:val="nil"/>
              <w:left w:val="nil"/>
              <w:bottom w:val="nil"/>
              <w:right w:val="nil"/>
            </w:tcBorders>
            <w:shd w:val="clear" w:color="auto" w:fill="auto"/>
            <w:noWrap/>
            <w:vAlign w:val="center"/>
          </w:tcPr>
          <w:p w14:paraId="5A87D34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c.1234G&gt;T</w:t>
            </w:r>
          </w:p>
        </w:tc>
        <w:tc>
          <w:tcPr>
            <w:tcW w:w="830" w:type="dxa"/>
            <w:vMerge w:val="restart"/>
            <w:tcBorders>
              <w:top w:val="nil"/>
              <w:left w:val="nil"/>
              <w:bottom w:val="nil"/>
              <w:right w:val="nil"/>
            </w:tcBorders>
            <w:shd w:val="clear" w:color="auto" w:fill="auto"/>
            <w:noWrap/>
            <w:vAlign w:val="center"/>
          </w:tcPr>
          <w:p w14:paraId="27C01DC9">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rs408968100</w:t>
            </w:r>
          </w:p>
        </w:tc>
        <w:tc>
          <w:tcPr>
            <w:tcW w:w="755" w:type="dxa"/>
            <w:vMerge w:val="restart"/>
            <w:tcBorders>
              <w:top w:val="nil"/>
              <w:left w:val="nil"/>
              <w:bottom w:val="nil"/>
              <w:right w:val="nil"/>
            </w:tcBorders>
            <w:shd w:val="clear" w:color="auto" w:fill="auto"/>
            <w:noWrap/>
            <w:vAlign w:val="center"/>
          </w:tcPr>
          <w:p w14:paraId="10437234">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412</w:t>
            </w:r>
          </w:p>
        </w:tc>
        <w:tc>
          <w:tcPr>
            <w:tcW w:w="933" w:type="dxa"/>
            <w:vMerge w:val="restart"/>
            <w:tcBorders>
              <w:top w:val="nil"/>
              <w:left w:val="nil"/>
              <w:bottom w:val="nil"/>
              <w:right w:val="nil"/>
            </w:tcBorders>
            <w:shd w:val="clear" w:color="auto" w:fill="auto"/>
            <w:noWrap/>
            <w:vAlign w:val="center"/>
          </w:tcPr>
          <w:p w14:paraId="0680E1A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A/S</w:t>
            </w:r>
          </w:p>
        </w:tc>
        <w:tc>
          <w:tcPr>
            <w:tcW w:w="440" w:type="dxa"/>
            <w:vMerge w:val="restart"/>
            <w:tcBorders>
              <w:top w:val="nil"/>
              <w:left w:val="nil"/>
              <w:bottom w:val="nil"/>
              <w:right w:val="nil"/>
            </w:tcBorders>
            <w:shd w:val="clear" w:color="auto" w:fill="auto"/>
            <w:noWrap/>
            <w:vAlign w:val="center"/>
          </w:tcPr>
          <w:p w14:paraId="195C7B7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G/T</w:t>
            </w:r>
          </w:p>
        </w:tc>
        <w:tc>
          <w:tcPr>
            <w:tcW w:w="542" w:type="dxa"/>
            <w:tcBorders>
              <w:top w:val="nil"/>
              <w:left w:val="nil"/>
              <w:bottom w:val="nil"/>
              <w:right w:val="nil"/>
            </w:tcBorders>
            <w:shd w:val="clear" w:color="auto" w:fill="auto"/>
            <w:noWrap/>
            <w:vAlign w:val="center"/>
          </w:tcPr>
          <w:p w14:paraId="0BF92A8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GG</w:t>
            </w:r>
          </w:p>
        </w:tc>
        <w:tc>
          <w:tcPr>
            <w:tcW w:w="900" w:type="dxa"/>
            <w:tcBorders>
              <w:top w:val="nil"/>
              <w:left w:val="nil"/>
              <w:bottom w:val="nil"/>
              <w:right w:val="nil"/>
            </w:tcBorders>
            <w:shd w:val="clear" w:color="auto" w:fill="auto"/>
            <w:noWrap/>
            <w:vAlign w:val="center"/>
          </w:tcPr>
          <w:p w14:paraId="70E1032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0.793</w:t>
            </w:r>
          </w:p>
        </w:tc>
        <w:tc>
          <w:tcPr>
            <w:tcW w:w="799" w:type="dxa"/>
            <w:vMerge w:val="restart"/>
            <w:tcBorders>
              <w:top w:val="nil"/>
              <w:left w:val="nil"/>
              <w:right w:val="nil"/>
            </w:tcBorders>
            <w:shd w:val="clear" w:color="auto" w:fill="auto"/>
            <w:noWrap/>
            <w:vAlign w:val="center"/>
          </w:tcPr>
          <w:p w14:paraId="03441E3C">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0.897/0.103</w:t>
            </w:r>
          </w:p>
          <w:p w14:paraId="6748968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restart"/>
            <w:tcBorders>
              <w:top w:val="nil"/>
              <w:left w:val="nil"/>
              <w:right w:val="nil"/>
            </w:tcBorders>
            <w:shd w:val="clear" w:color="auto" w:fill="auto"/>
            <w:vAlign w:val="center"/>
          </w:tcPr>
          <w:p w14:paraId="66C36B65">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1.000/0.443</w:t>
            </w:r>
          </w:p>
        </w:tc>
        <w:tc>
          <w:tcPr>
            <w:tcW w:w="498" w:type="dxa"/>
            <w:vMerge w:val="restart"/>
            <w:tcBorders>
              <w:top w:val="nil"/>
              <w:left w:val="nil"/>
              <w:bottom w:val="nil"/>
              <w:right w:val="nil"/>
            </w:tcBorders>
            <w:shd w:val="clear" w:color="auto" w:fill="auto"/>
            <w:vAlign w:val="center"/>
          </w:tcPr>
          <w:p w14:paraId="71FBF4EE">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0.317</w:t>
            </w:r>
          </w:p>
        </w:tc>
        <w:tc>
          <w:tcPr>
            <w:tcW w:w="404" w:type="dxa"/>
            <w:vMerge w:val="restart"/>
            <w:tcBorders>
              <w:top w:val="nil"/>
              <w:left w:val="nil"/>
              <w:right w:val="nil"/>
            </w:tcBorders>
            <w:shd w:val="clear" w:color="auto" w:fill="auto"/>
            <w:vAlign w:val="center"/>
          </w:tcPr>
          <w:p w14:paraId="69F0363C">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0.574</w:t>
            </w:r>
          </w:p>
          <w:p w14:paraId="3F5D8BAA">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234A2CFB">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2E89DCB6">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single" w:color="000000" w:sz="8" w:space="0"/>
              <w:right w:val="nil"/>
            </w:tcBorders>
            <w:shd w:val="clear" w:color="auto" w:fill="auto"/>
            <w:noWrap/>
            <w:vAlign w:val="center"/>
          </w:tcPr>
          <w:p w14:paraId="79E4FB6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608D5B42">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29F2DFB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657C9F01">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78ECE66A">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335076C8">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30E99D51">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GT</w:t>
            </w:r>
          </w:p>
        </w:tc>
        <w:tc>
          <w:tcPr>
            <w:tcW w:w="900" w:type="dxa"/>
            <w:tcBorders>
              <w:top w:val="nil"/>
              <w:left w:val="nil"/>
              <w:bottom w:val="nil"/>
              <w:right w:val="nil"/>
            </w:tcBorders>
            <w:shd w:val="clear" w:color="auto" w:fill="auto"/>
            <w:noWrap/>
            <w:vAlign w:val="center"/>
          </w:tcPr>
          <w:p w14:paraId="0D44EAEB">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0.207</w:t>
            </w:r>
          </w:p>
        </w:tc>
        <w:tc>
          <w:tcPr>
            <w:tcW w:w="799" w:type="dxa"/>
            <w:vMerge w:val="continue"/>
            <w:tcBorders>
              <w:left w:val="nil"/>
              <w:bottom w:val="nil"/>
              <w:right w:val="nil"/>
            </w:tcBorders>
            <w:shd w:val="clear" w:color="auto" w:fill="auto"/>
            <w:noWrap/>
            <w:vAlign w:val="center"/>
          </w:tcPr>
          <w:p w14:paraId="27F4FF9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bottom w:val="nil"/>
              <w:right w:val="nil"/>
            </w:tcBorders>
            <w:shd w:val="clear" w:color="auto" w:fill="auto"/>
            <w:vAlign w:val="center"/>
          </w:tcPr>
          <w:p w14:paraId="7CFDB22B">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nil"/>
              <w:right w:val="nil"/>
            </w:tcBorders>
            <w:shd w:val="clear" w:color="auto" w:fill="auto"/>
            <w:vAlign w:val="center"/>
          </w:tcPr>
          <w:p w14:paraId="2BA920EC">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bottom w:val="nil"/>
              <w:right w:val="nil"/>
            </w:tcBorders>
            <w:shd w:val="clear" w:color="auto" w:fill="auto"/>
            <w:vAlign w:val="center"/>
          </w:tcPr>
          <w:p w14:paraId="1260B69C">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7D332495">
        <w:tblPrEx>
          <w:tblCellMar>
            <w:top w:w="0" w:type="dxa"/>
            <w:left w:w="108" w:type="dxa"/>
            <w:bottom w:w="0" w:type="dxa"/>
            <w:right w:w="108" w:type="dxa"/>
          </w:tblCellMar>
        </w:tblPrEx>
        <w:trPr>
          <w:trHeight w:val="515" w:hRule="atLeast"/>
          <w:jc w:val="center"/>
        </w:trPr>
        <w:tc>
          <w:tcPr>
            <w:tcW w:w="474" w:type="dxa"/>
            <w:vMerge w:val="restart"/>
            <w:tcBorders>
              <w:top w:val="nil"/>
              <w:left w:val="nil"/>
              <w:bottom w:val="nil"/>
              <w:right w:val="nil"/>
            </w:tcBorders>
            <w:shd w:val="clear" w:color="auto" w:fill="auto"/>
            <w:noWrap/>
            <w:vAlign w:val="center"/>
          </w:tcPr>
          <w:p w14:paraId="6FAC566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LIFR</w:t>
            </w:r>
          </w:p>
        </w:tc>
        <w:tc>
          <w:tcPr>
            <w:tcW w:w="669" w:type="dxa"/>
            <w:vMerge w:val="continue"/>
            <w:tcBorders>
              <w:top w:val="nil"/>
              <w:left w:val="nil"/>
              <w:bottom w:val="single" w:color="000000" w:sz="8" w:space="0"/>
              <w:right w:val="nil"/>
            </w:tcBorders>
            <w:shd w:val="clear" w:color="auto" w:fill="auto"/>
            <w:noWrap/>
            <w:vAlign w:val="center"/>
          </w:tcPr>
          <w:p w14:paraId="417B7041">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restart"/>
            <w:tcBorders>
              <w:top w:val="nil"/>
              <w:left w:val="nil"/>
              <w:bottom w:val="nil"/>
              <w:right w:val="nil"/>
            </w:tcBorders>
            <w:shd w:val="clear" w:color="auto" w:fill="auto"/>
            <w:noWrap/>
            <w:vAlign w:val="center"/>
          </w:tcPr>
          <w:p w14:paraId="378E485A">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c.2132G&gt;A</w:t>
            </w:r>
          </w:p>
        </w:tc>
        <w:tc>
          <w:tcPr>
            <w:tcW w:w="830" w:type="dxa"/>
            <w:vMerge w:val="restart"/>
            <w:tcBorders>
              <w:top w:val="nil"/>
              <w:left w:val="nil"/>
              <w:bottom w:val="nil"/>
              <w:right w:val="nil"/>
            </w:tcBorders>
            <w:shd w:val="clear" w:color="auto" w:fill="auto"/>
            <w:noWrap/>
            <w:vAlign w:val="center"/>
          </w:tcPr>
          <w:p w14:paraId="687A7D42">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rs162154352</w:t>
            </w:r>
          </w:p>
        </w:tc>
        <w:tc>
          <w:tcPr>
            <w:tcW w:w="755" w:type="dxa"/>
            <w:vMerge w:val="restart"/>
            <w:tcBorders>
              <w:top w:val="nil"/>
              <w:left w:val="nil"/>
              <w:bottom w:val="nil"/>
              <w:right w:val="nil"/>
            </w:tcBorders>
            <w:shd w:val="clear" w:color="auto" w:fill="auto"/>
            <w:noWrap/>
            <w:vAlign w:val="center"/>
          </w:tcPr>
          <w:p w14:paraId="3E2441A4">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711</w:t>
            </w:r>
          </w:p>
        </w:tc>
        <w:tc>
          <w:tcPr>
            <w:tcW w:w="933" w:type="dxa"/>
            <w:vMerge w:val="restart"/>
            <w:tcBorders>
              <w:top w:val="nil"/>
              <w:left w:val="nil"/>
              <w:bottom w:val="nil"/>
              <w:right w:val="nil"/>
            </w:tcBorders>
            <w:shd w:val="clear" w:color="auto" w:fill="auto"/>
            <w:noWrap/>
            <w:vAlign w:val="center"/>
          </w:tcPr>
          <w:p w14:paraId="0FF7034D">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S/N</w:t>
            </w:r>
          </w:p>
        </w:tc>
        <w:tc>
          <w:tcPr>
            <w:tcW w:w="440" w:type="dxa"/>
            <w:vMerge w:val="restart"/>
            <w:tcBorders>
              <w:top w:val="nil"/>
              <w:left w:val="nil"/>
              <w:bottom w:val="nil"/>
              <w:right w:val="nil"/>
            </w:tcBorders>
            <w:shd w:val="clear" w:color="auto" w:fill="auto"/>
            <w:noWrap/>
            <w:vAlign w:val="center"/>
          </w:tcPr>
          <w:p w14:paraId="124668D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G/A</w:t>
            </w:r>
          </w:p>
        </w:tc>
        <w:tc>
          <w:tcPr>
            <w:tcW w:w="542" w:type="dxa"/>
            <w:tcBorders>
              <w:top w:val="nil"/>
              <w:left w:val="nil"/>
              <w:bottom w:val="nil"/>
              <w:right w:val="nil"/>
            </w:tcBorders>
            <w:shd w:val="clear" w:color="auto" w:fill="auto"/>
            <w:noWrap/>
            <w:vAlign w:val="center"/>
          </w:tcPr>
          <w:p w14:paraId="32306E4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GG</w:t>
            </w:r>
          </w:p>
        </w:tc>
        <w:tc>
          <w:tcPr>
            <w:tcW w:w="900" w:type="dxa"/>
            <w:tcBorders>
              <w:top w:val="nil"/>
              <w:left w:val="nil"/>
              <w:bottom w:val="nil"/>
              <w:right w:val="nil"/>
            </w:tcBorders>
            <w:shd w:val="clear" w:color="auto" w:fill="auto"/>
            <w:noWrap/>
            <w:vAlign w:val="center"/>
          </w:tcPr>
          <w:p w14:paraId="0703446E">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0.379</w:t>
            </w:r>
          </w:p>
        </w:tc>
        <w:tc>
          <w:tcPr>
            <w:tcW w:w="799" w:type="dxa"/>
            <w:vMerge w:val="restart"/>
            <w:tcBorders>
              <w:top w:val="nil"/>
              <w:left w:val="nil"/>
              <w:right w:val="nil"/>
            </w:tcBorders>
            <w:shd w:val="clear" w:color="auto" w:fill="auto"/>
            <w:noWrap/>
            <w:vAlign w:val="center"/>
          </w:tcPr>
          <w:p w14:paraId="2364F10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0.552/0.448</w:t>
            </w:r>
          </w:p>
          <w:p w14:paraId="727E59F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restart"/>
            <w:tcBorders>
              <w:top w:val="nil"/>
              <w:left w:val="nil"/>
              <w:right w:val="nil"/>
            </w:tcBorders>
            <w:shd w:val="clear" w:color="auto" w:fill="auto"/>
            <w:vAlign w:val="center"/>
          </w:tcPr>
          <w:p w14:paraId="744DAE05">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1.000/0.999</w:t>
            </w:r>
          </w:p>
        </w:tc>
        <w:tc>
          <w:tcPr>
            <w:tcW w:w="498" w:type="dxa"/>
            <w:vMerge w:val="restart"/>
            <w:tcBorders>
              <w:top w:val="nil"/>
              <w:left w:val="nil"/>
              <w:bottom w:val="nil"/>
              <w:right w:val="nil"/>
            </w:tcBorders>
            <w:shd w:val="clear" w:color="auto" w:fill="auto"/>
            <w:vAlign w:val="center"/>
          </w:tcPr>
          <w:p w14:paraId="6319E1A3">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2.981</w:t>
            </w:r>
          </w:p>
        </w:tc>
        <w:tc>
          <w:tcPr>
            <w:tcW w:w="404" w:type="dxa"/>
            <w:vMerge w:val="restart"/>
            <w:tcBorders>
              <w:top w:val="nil"/>
              <w:left w:val="nil"/>
              <w:right w:val="nil"/>
            </w:tcBorders>
            <w:shd w:val="clear" w:color="auto" w:fill="auto"/>
            <w:vAlign w:val="center"/>
          </w:tcPr>
          <w:p w14:paraId="72F212BD">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0.084</w:t>
            </w:r>
          </w:p>
          <w:p w14:paraId="4BC5C569">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73FD84A9">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2E0F675C">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single" w:color="000000" w:sz="8" w:space="0"/>
              <w:right w:val="nil"/>
            </w:tcBorders>
            <w:shd w:val="clear" w:color="auto" w:fill="auto"/>
            <w:noWrap/>
            <w:vAlign w:val="center"/>
          </w:tcPr>
          <w:p w14:paraId="1FFCF862">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46D197C6">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71B86E67">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4B705FB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311440A7">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71010C59">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5043AFB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GA</w:t>
            </w:r>
          </w:p>
        </w:tc>
        <w:tc>
          <w:tcPr>
            <w:tcW w:w="900" w:type="dxa"/>
            <w:tcBorders>
              <w:top w:val="nil"/>
              <w:left w:val="nil"/>
              <w:bottom w:val="nil"/>
              <w:right w:val="nil"/>
            </w:tcBorders>
            <w:shd w:val="clear" w:color="auto" w:fill="auto"/>
            <w:noWrap/>
            <w:vAlign w:val="center"/>
          </w:tcPr>
          <w:p w14:paraId="4FB7C86E">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0.345</w:t>
            </w:r>
          </w:p>
        </w:tc>
        <w:tc>
          <w:tcPr>
            <w:tcW w:w="799" w:type="dxa"/>
            <w:vMerge w:val="continue"/>
            <w:tcBorders>
              <w:left w:val="nil"/>
              <w:right w:val="nil"/>
            </w:tcBorders>
            <w:shd w:val="clear" w:color="auto" w:fill="auto"/>
            <w:noWrap/>
            <w:vAlign w:val="center"/>
          </w:tcPr>
          <w:p w14:paraId="58910777">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right w:val="nil"/>
            </w:tcBorders>
            <w:shd w:val="clear" w:color="auto" w:fill="auto"/>
            <w:vAlign w:val="center"/>
          </w:tcPr>
          <w:p w14:paraId="4ED84276">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nil"/>
              <w:right w:val="nil"/>
            </w:tcBorders>
            <w:shd w:val="clear" w:color="auto" w:fill="auto"/>
            <w:vAlign w:val="center"/>
          </w:tcPr>
          <w:p w14:paraId="597A87BA">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right w:val="nil"/>
            </w:tcBorders>
            <w:shd w:val="clear" w:color="auto" w:fill="auto"/>
            <w:vAlign w:val="center"/>
          </w:tcPr>
          <w:p w14:paraId="4CB5C2C3">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755CCC65">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5FD72EB8">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single" w:color="000000" w:sz="8" w:space="0"/>
              <w:right w:val="nil"/>
            </w:tcBorders>
            <w:shd w:val="clear" w:color="auto" w:fill="auto"/>
            <w:noWrap/>
            <w:vAlign w:val="center"/>
          </w:tcPr>
          <w:p w14:paraId="5D28354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6A90452C">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3BBA9029">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7F39534D">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553DAC14">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39FF65E4">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15F4A184">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AA</w:t>
            </w:r>
          </w:p>
        </w:tc>
        <w:tc>
          <w:tcPr>
            <w:tcW w:w="900" w:type="dxa"/>
            <w:tcBorders>
              <w:top w:val="nil"/>
              <w:left w:val="nil"/>
              <w:bottom w:val="nil"/>
              <w:right w:val="nil"/>
            </w:tcBorders>
            <w:shd w:val="clear" w:color="auto" w:fill="auto"/>
            <w:noWrap/>
            <w:vAlign w:val="center"/>
          </w:tcPr>
          <w:p w14:paraId="64E4F594">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0.276</w:t>
            </w:r>
          </w:p>
        </w:tc>
        <w:tc>
          <w:tcPr>
            <w:tcW w:w="799" w:type="dxa"/>
            <w:vMerge w:val="continue"/>
            <w:tcBorders>
              <w:left w:val="nil"/>
              <w:bottom w:val="nil"/>
              <w:right w:val="nil"/>
            </w:tcBorders>
            <w:shd w:val="clear" w:color="auto" w:fill="auto"/>
            <w:noWrap/>
            <w:vAlign w:val="center"/>
          </w:tcPr>
          <w:p w14:paraId="3EAE2A8C">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bottom w:val="nil"/>
              <w:right w:val="nil"/>
            </w:tcBorders>
            <w:shd w:val="clear" w:color="auto" w:fill="auto"/>
            <w:vAlign w:val="center"/>
          </w:tcPr>
          <w:p w14:paraId="3AA3196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nil"/>
              <w:right w:val="nil"/>
            </w:tcBorders>
            <w:shd w:val="clear" w:color="auto" w:fill="auto"/>
            <w:vAlign w:val="center"/>
          </w:tcPr>
          <w:p w14:paraId="1E121E0C">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bottom w:val="nil"/>
              <w:right w:val="nil"/>
            </w:tcBorders>
            <w:shd w:val="clear" w:color="auto" w:fill="auto"/>
            <w:vAlign w:val="center"/>
          </w:tcPr>
          <w:p w14:paraId="38176A7B">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04E45101">
        <w:tblPrEx>
          <w:tblCellMar>
            <w:top w:w="0" w:type="dxa"/>
            <w:left w:w="108" w:type="dxa"/>
            <w:bottom w:w="0" w:type="dxa"/>
            <w:right w:w="108" w:type="dxa"/>
          </w:tblCellMar>
        </w:tblPrEx>
        <w:trPr>
          <w:trHeight w:val="280" w:hRule="atLeast"/>
          <w:jc w:val="center"/>
        </w:trPr>
        <w:tc>
          <w:tcPr>
            <w:tcW w:w="474" w:type="dxa"/>
            <w:vMerge w:val="restart"/>
            <w:tcBorders>
              <w:top w:val="nil"/>
              <w:left w:val="nil"/>
              <w:bottom w:val="nil"/>
              <w:right w:val="nil"/>
            </w:tcBorders>
            <w:shd w:val="clear" w:color="auto" w:fill="auto"/>
            <w:noWrap/>
            <w:vAlign w:val="center"/>
          </w:tcPr>
          <w:p w14:paraId="041A251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LIFR</w:t>
            </w:r>
          </w:p>
        </w:tc>
        <w:tc>
          <w:tcPr>
            <w:tcW w:w="669" w:type="dxa"/>
            <w:vMerge w:val="continue"/>
            <w:tcBorders>
              <w:top w:val="nil"/>
              <w:left w:val="nil"/>
              <w:bottom w:val="single" w:color="000000" w:sz="8" w:space="0"/>
              <w:right w:val="nil"/>
            </w:tcBorders>
            <w:shd w:val="clear" w:color="auto" w:fill="auto"/>
            <w:noWrap/>
            <w:vAlign w:val="center"/>
          </w:tcPr>
          <w:p w14:paraId="7A0ED56C">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restart"/>
            <w:tcBorders>
              <w:top w:val="nil"/>
              <w:left w:val="nil"/>
              <w:bottom w:val="nil"/>
              <w:right w:val="nil"/>
            </w:tcBorders>
            <w:shd w:val="clear" w:color="auto" w:fill="auto"/>
            <w:noWrap/>
            <w:vAlign w:val="center"/>
          </w:tcPr>
          <w:p w14:paraId="261E9529">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c.2571A&gt;G</w:t>
            </w:r>
          </w:p>
        </w:tc>
        <w:tc>
          <w:tcPr>
            <w:tcW w:w="830" w:type="dxa"/>
            <w:vMerge w:val="restart"/>
            <w:tcBorders>
              <w:top w:val="nil"/>
              <w:left w:val="nil"/>
              <w:bottom w:val="nil"/>
              <w:right w:val="nil"/>
            </w:tcBorders>
            <w:shd w:val="clear" w:color="auto" w:fill="auto"/>
            <w:noWrap/>
            <w:vAlign w:val="center"/>
          </w:tcPr>
          <w:p w14:paraId="7E4D025C">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rs161149074</w:t>
            </w:r>
          </w:p>
        </w:tc>
        <w:tc>
          <w:tcPr>
            <w:tcW w:w="755" w:type="dxa"/>
            <w:vMerge w:val="restart"/>
            <w:tcBorders>
              <w:top w:val="nil"/>
              <w:left w:val="nil"/>
              <w:bottom w:val="nil"/>
              <w:right w:val="nil"/>
            </w:tcBorders>
            <w:shd w:val="clear" w:color="auto" w:fill="auto"/>
            <w:noWrap/>
            <w:vAlign w:val="center"/>
          </w:tcPr>
          <w:p w14:paraId="6B6073AA">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857</w:t>
            </w:r>
          </w:p>
        </w:tc>
        <w:tc>
          <w:tcPr>
            <w:tcW w:w="933" w:type="dxa"/>
            <w:vMerge w:val="restart"/>
            <w:tcBorders>
              <w:top w:val="nil"/>
              <w:left w:val="nil"/>
              <w:bottom w:val="nil"/>
              <w:right w:val="nil"/>
            </w:tcBorders>
            <w:shd w:val="clear" w:color="auto" w:fill="auto"/>
            <w:noWrap/>
            <w:vAlign w:val="center"/>
          </w:tcPr>
          <w:p w14:paraId="6E421E7E">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I/M</w:t>
            </w:r>
          </w:p>
        </w:tc>
        <w:tc>
          <w:tcPr>
            <w:tcW w:w="440" w:type="dxa"/>
            <w:vMerge w:val="restart"/>
            <w:tcBorders>
              <w:top w:val="nil"/>
              <w:left w:val="nil"/>
              <w:bottom w:val="nil"/>
              <w:right w:val="nil"/>
            </w:tcBorders>
            <w:shd w:val="clear" w:color="auto" w:fill="auto"/>
            <w:noWrap/>
            <w:vAlign w:val="center"/>
          </w:tcPr>
          <w:p w14:paraId="7998AA9A">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A/G</w:t>
            </w:r>
          </w:p>
        </w:tc>
        <w:tc>
          <w:tcPr>
            <w:tcW w:w="542" w:type="dxa"/>
            <w:tcBorders>
              <w:top w:val="nil"/>
              <w:left w:val="nil"/>
              <w:bottom w:val="nil"/>
              <w:right w:val="nil"/>
            </w:tcBorders>
            <w:shd w:val="clear" w:color="auto" w:fill="auto"/>
            <w:noWrap/>
            <w:vAlign w:val="center"/>
          </w:tcPr>
          <w:p w14:paraId="70D5C643">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AA</w:t>
            </w:r>
          </w:p>
        </w:tc>
        <w:tc>
          <w:tcPr>
            <w:tcW w:w="900" w:type="dxa"/>
            <w:tcBorders>
              <w:top w:val="nil"/>
              <w:left w:val="nil"/>
              <w:bottom w:val="nil"/>
              <w:right w:val="nil"/>
            </w:tcBorders>
            <w:shd w:val="clear" w:color="auto" w:fill="auto"/>
            <w:noWrap/>
            <w:vAlign w:val="center"/>
          </w:tcPr>
          <w:p w14:paraId="5423DCF8">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0.138</w:t>
            </w:r>
          </w:p>
        </w:tc>
        <w:tc>
          <w:tcPr>
            <w:tcW w:w="799" w:type="dxa"/>
            <w:vMerge w:val="restart"/>
            <w:tcBorders>
              <w:top w:val="nil"/>
              <w:left w:val="nil"/>
              <w:right w:val="nil"/>
            </w:tcBorders>
            <w:shd w:val="clear" w:color="auto" w:fill="auto"/>
            <w:noWrap/>
            <w:vAlign w:val="center"/>
          </w:tcPr>
          <w:p w14:paraId="7EE0EDD5">
            <w:pPr>
              <w:widowControl/>
              <w:spacing w:line="360" w:lineRule="auto"/>
              <w:jc w:val="center"/>
              <w:textAlignment w:val="center"/>
              <w:rPr>
                <w:rFonts w:ascii="Times New Roman" w:hAnsi="Times New Roman" w:eastAsia="宋体" w:cs="Times New Roman"/>
                <w:color w:val="000000"/>
                <w:kern w:val="0"/>
                <w:sz w:val="22"/>
                <w:szCs w:val="22"/>
                <w:lang w:bidi="ar"/>
              </w:rPr>
            </w:pPr>
          </w:p>
          <w:p w14:paraId="1610F91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0.362/0.638</w:t>
            </w:r>
          </w:p>
        </w:tc>
        <w:tc>
          <w:tcPr>
            <w:tcW w:w="672" w:type="dxa"/>
            <w:vMerge w:val="restart"/>
            <w:tcBorders>
              <w:top w:val="nil"/>
              <w:left w:val="nil"/>
              <w:right w:val="nil"/>
            </w:tcBorders>
            <w:shd w:val="clear" w:color="auto" w:fill="auto"/>
            <w:vAlign w:val="center"/>
          </w:tcPr>
          <w:p w14:paraId="2431CDBD">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0.985/1.000</w:t>
            </w:r>
          </w:p>
        </w:tc>
        <w:tc>
          <w:tcPr>
            <w:tcW w:w="498" w:type="dxa"/>
            <w:vMerge w:val="restart"/>
            <w:tcBorders>
              <w:top w:val="nil"/>
              <w:left w:val="nil"/>
              <w:bottom w:val="nil"/>
              <w:right w:val="nil"/>
            </w:tcBorders>
            <w:shd w:val="clear" w:color="auto" w:fill="auto"/>
            <w:vAlign w:val="center"/>
          </w:tcPr>
          <w:p w14:paraId="25AE9D5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0.065</w:t>
            </w:r>
          </w:p>
        </w:tc>
        <w:tc>
          <w:tcPr>
            <w:tcW w:w="404" w:type="dxa"/>
            <w:vMerge w:val="restart"/>
            <w:tcBorders>
              <w:top w:val="nil"/>
              <w:left w:val="nil"/>
              <w:right w:val="nil"/>
            </w:tcBorders>
            <w:shd w:val="clear" w:color="auto" w:fill="auto"/>
            <w:vAlign w:val="center"/>
          </w:tcPr>
          <w:p w14:paraId="36D69F4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0.799</w:t>
            </w:r>
          </w:p>
          <w:p w14:paraId="62A8E84A">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03BDFD81">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460438FA">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single" w:color="000000" w:sz="8" w:space="0"/>
              <w:right w:val="nil"/>
            </w:tcBorders>
            <w:shd w:val="clear" w:color="auto" w:fill="auto"/>
            <w:noWrap/>
            <w:vAlign w:val="center"/>
          </w:tcPr>
          <w:p w14:paraId="2B0AAFB4">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540360E9">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20A9A04A">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267701F6">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3E93145B">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2B80C6AB">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06525F4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AG</w:t>
            </w:r>
          </w:p>
        </w:tc>
        <w:tc>
          <w:tcPr>
            <w:tcW w:w="900" w:type="dxa"/>
            <w:tcBorders>
              <w:top w:val="nil"/>
              <w:left w:val="nil"/>
              <w:bottom w:val="nil"/>
              <w:right w:val="nil"/>
            </w:tcBorders>
            <w:shd w:val="clear" w:color="auto" w:fill="auto"/>
            <w:noWrap/>
            <w:vAlign w:val="center"/>
          </w:tcPr>
          <w:p w14:paraId="211DA90B">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0.448</w:t>
            </w:r>
          </w:p>
        </w:tc>
        <w:tc>
          <w:tcPr>
            <w:tcW w:w="799" w:type="dxa"/>
            <w:vMerge w:val="continue"/>
            <w:tcBorders>
              <w:left w:val="nil"/>
              <w:right w:val="nil"/>
            </w:tcBorders>
            <w:shd w:val="clear" w:color="auto" w:fill="auto"/>
            <w:noWrap/>
            <w:vAlign w:val="center"/>
          </w:tcPr>
          <w:p w14:paraId="09EACFB5">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right w:val="nil"/>
            </w:tcBorders>
            <w:shd w:val="clear" w:color="auto" w:fill="auto"/>
            <w:vAlign w:val="center"/>
          </w:tcPr>
          <w:p w14:paraId="102F1BE3">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nil"/>
              <w:right w:val="nil"/>
            </w:tcBorders>
            <w:shd w:val="clear" w:color="auto" w:fill="auto"/>
            <w:vAlign w:val="center"/>
          </w:tcPr>
          <w:p w14:paraId="7A4D91BA">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right w:val="nil"/>
            </w:tcBorders>
            <w:shd w:val="clear" w:color="auto" w:fill="auto"/>
            <w:vAlign w:val="center"/>
          </w:tcPr>
          <w:p w14:paraId="0CDC8A9A">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0434F118">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nil"/>
              <w:right w:val="nil"/>
            </w:tcBorders>
            <w:shd w:val="clear" w:color="auto" w:fill="auto"/>
            <w:noWrap/>
            <w:vAlign w:val="center"/>
          </w:tcPr>
          <w:p w14:paraId="2AB30340">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nil"/>
              <w:right w:val="nil"/>
            </w:tcBorders>
            <w:shd w:val="clear" w:color="auto" w:fill="auto"/>
            <w:noWrap/>
            <w:vAlign w:val="center"/>
          </w:tcPr>
          <w:p w14:paraId="3090695F">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nil"/>
              <w:right w:val="nil"/>
            </w:tcBorders>
            <w:shd w:val="clear" w:color="auto" w:fill="auto"/>
            <w:noWrap/>
            <w:vAlign w:val="center"/>
          </w:tcPr>
          <w:p w14:paraId="2F27210D">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nil"/>
              <w:right w:val="nil"/>
            </w:tcBorders>
            <w:shd w:val="clear" w:color="auto" w:fill="auto"/>
            <w:noWrap/>
            <w:vAlign w:val="center"/>
          </w:tcPr>
          <w:p w14:paraId="0B2BCAC4">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nil"/>
              <w:right w:val="nil"/>
            </w:tcBorders>
            <w:shd w:val="clear" w:color="auto" w:fill="auto"/>
            <w:noWrap/>
            <w:vAlign w:val="center"/>
          </w:tcPr>
          <w:p w14:paraId="2A0E68EB">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nil"/>
              <w:right w:val="nil"/>
            </w:tcBorders>
            <w:shd w:val="clear" w:color="auto" w:fill="auto"/>
            <w:noWrap/>
            <w:vAlign w:val="center"/>
          </w:tcPr>
          <w:p w14:paraId="05DBBD31">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nil"/>
              <w:right w:val="nil"/>
            </w:tcBorders>
            <w:shd w:val="clear" w:color="auto" w:fill="auto"/>
            <w:noWrap/>
            <w:vAlign w:val="center"/>
          </w:tcPr>
          <w:p w14:paraId="59F5AEA8">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413A432A">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GG</w:t>
            </w:r>
          </w:p>
        </w:tc>
        <w:tc>
          <w:tcPr>
            <w:tcW w:w="900" w:type="dxa"/>
            <w:tcBorders>
              <w:top w:val="nil"/>
              <w:left w:val="nil"/>
              <w:bottom w:val="nil"/>
              <w:right w:val="nil"/>
            </w:tcBorders>
            <w:shd w:val="clear" w:color="auto" w:fill="auto"/>
            <w:noWrap/>
            <w:vAlign w:val="center"/>
          </w:tcPr>
          <w:p w14:paraId="732F7DD1">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0.414</w:t>
            </w:r>
          </w:p>
        </w:tc>
        <w:tc>
          <w:tcPr>
            <w:tcW w:w="799" w:type="dxa"/>
            <w:vMerge w:val="continue"/>
            <w:tcBorders>
              <w:left w:val="nil"/>
              <w:bottom w:val="nil"/>
              <w:right w:val="nil"/>
            </w:tcBorders>
            <w:shd w:val="clear" w:color="auto" w:fill="auto"/>
            <w:noWrap/>
            <w:vAlign w:val="center"/>
          </w:tcPr>
          <w:p w14:paraId="7FFAB9C7">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bottom w:val="nil"/>
              <w:right w:val="nil"/>
            </w:tcBorders>
            <w:shd w:val="clear" w:color="auto" w:fill="auto"/>
            <w:vAlign w:val="center"/>
          </w:tcPr>
          <w:p w14:paraId="50B5F510">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nil"/>
              <w:right w:val="nil"/>
            </w:tcBorders>
            <w:shd w:val="clear" w:color="auto" w:fill="auto"/>
            <w:vAlign w:val="center"/>
          </w:tcPr>
          <w:p w14:paraId="6F8744B2">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bottom w:val="nil"/>
              <w:right w:val="nil"/>
            </w:tcBorders>
            <w:shd w:val="clear" w:color="auto" w:fill="auto"/>
            <w:vAlign w:val="center"/>
          </w:tcPr>
          <w:p w14:paraId="3363515B">
            <w:pPr>
              <w:widowControl/>
              <w:spacing w:line="360" w:lineRule="auto"/>
              <w:jc w:val="center"/>
              <w:textAlignment w:val="center"/>
              <w:rPr>
                <w:rFonts w:ascii="Times New Roman" w:hAnsi="Times New Roman" w:eastAsia="宋体" w:cs="Times New Roman"/>
                <w:color w:val="000000"/>
                <w:kern w:val="0"/>
                <w:sz w:val="22"/>
                <w:szCs w:val="22"/>
                <w:lang w:bidi="ar"/>
              </w:rPr>
            </w:pPr>
          </w:p>
        </w:tc>
      </w:tr>
      <w:tr w14:paraId="041AC141">
        <w:tblPrEx>
          <w:tblCellMar>
            <w:top w:w="0" w:type="dxa"/>
            <w:left w:w="108" w:type="dxa"/>
            <w:bottom w:w="0" w:type="dxa"/>
            <w:right w:w="108" w:type="dxa"/>
          </w:tblCellMar>
        </w:tblPrEx>
        <w:trPr>
          <w:trHeight w:val="280" w:hRule="atLeast"/>
          <w:jc w:val="center"/>
        </w:trPr>
        <w:tc>
          <w:tcPr>
            <w:tcW w:w="474" w:type="dxa"/>
            <w:vMerge w:val="restart"/>
            <w:tcBorders>
              <w:top w:val="nil"/>
              <w:left w:val="nil"/>
              <w:bottom w:val="single" w:color="auto" w:sz="12" w:space="0"/>
              <w:right w:val="nil"/>
            </w:tcBorders>
            <w:shd w:val="clear" w:color="auto" w:fill="auto"/>
            <w:noWrap/>
            <w:vAlign w:val="center"/>
          </w:tcPr>
          <w:p w14:paraId="7E11E1C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LIFR</w:t>
            </w:r>
          </w:p>
        </w:tc>
        <w:tc>
          <w:tcPr>
            <w:tcW w:w="669" w:type="dxa"/>
            <w:vMerge w:val="continue"/>
            <w:tcBorders>
              <w:top w:val="nil"/>
              <w:left w:val="nil"/>
              <w:bottom w:val="single" w:color="auto" w:sz="12" w:space="0"/>
              <w:right w:val="nil"/>
            </w:tcBorders>
            <w:shd w:val="clear" w:color="auto" w:fill="auto"/>
            <w:noWrap/>
            <w:vAlign w:val="center"/>
          </w:tcPr>
          <w:p w14:paraId="0F10B5F7">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06" w:type="dxa"/>
            <w:vMerge w:val="restart"/>
            <w:tcBorders>
              <w:top w:val="nil"/>
              <w:left w:val="nil"/>
              <w:bottom w:val="single" w:color="auto" w:sz="12" w:space="0"/>
              <w:right w:val="nil"/>
            </w:tcBorders>
            <w:shd w:val="clear" w:color="auto" w:fill="auto"/>
            <w:noWrap/>
            <w:vAlign w:val="center"/>
          </w:tcPr>
          <w:p w14:paraId="0F2190A3">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c.3142G&gt;T</w:t>
            </w:r>
          </w:p>
        </w:tc>
        <w:tc>
          <w:tcPr>
            <w:tcW w:w="830" w:type="dxa"/>
            <w:vMerge w:val="restart"/>
            <w:tcBorders>
              <w:top w:val="nil"/>
              <w:left w:val="nil"/>
              <w:bottom w:val="single" w:color="auto" w:sz="12" w:space="0"/>
              <w:right w:val="nil"/>
            </w:tcBorders>
            <w:shd w:val="clear" w:color="auto" w:fill="auto"/>
            <w:noWrap/>
            <w:vAlign w:val="center"/>
          </w:tcPr>
          <w:p w14:paraId="15B670C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rs411119461</w:t>
            </w:r>
          </w:p>
        </w:tc>
        <w:tc>
          <w:tcPr>
            <w:tcW w:w="755" w:type="dxa"/>
            <w:vMerge w:val="restart"/>
            <w:tcBorders>
              <w:top w:val="nil"/>
              <w:left w:val="nil"/>
              <w:bottom w:val="single" w:color="auto" w:sz="12" w:space="0"/>
              <w:right w:val="nil"/>
            </w:tcBorders>
            <w:shd w:val="clear" w:color="auto" w:fill="auto"/>
            <w:noWrap/>
            <w:vAlign w:val="center"/>
          </w:tcPr>
          <w:p w14:paraId="1310E7D9">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1048</w:t>
            </w:r>
          </w:p>
        </w:tc>
        <w:tc>
          <w:tcPr>
            <w:tcW w:w="933" w:type="dxa"/>
            <w:vMerge w:val="restart"/>
            <w:tcBorders>
              <w:top w:val="nil"/>
              <w:left w:val="nil"/>
              <w:bottom w:val="single" w:color="auto" w:sz="12" w:space="0"/>
              <w:right w:val="nil"/>
            </w:tcBorders>
            <w:shd w:val="clear" w:color="auto" w:fill="auto"/>
            <w:noWrap/>
            <w:vAlign w:val="center"/>
          </w:tcPr>
          <w:p w14:paraId="0A9B1EBE">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G/C</w:t>
            </w:r>
          </w:p>
        </w:tc>
        <w:tc>
          <w:tcPr>
            <w:tcW w:w="440" w:type="dxa"/>
            <w:vMerge w:val="restart"/>
            <w:tcBorders>
              <w:top w:val="nil"/>
              <w:left w:val="nil"/>
              <w:bottom w:val="single" w:color="auto" w:sz="12" w:space="0"/>
              <w:right w:val="nil"/>
            </w:tcBorders>
            <w:shd w:val="clear" w:color="auto" w:fill="auto"/>
            <w:noWrap/>
            <w:vAlign w:val="center"/>
          </w:tcPr>
          <w:p w14:paraId="7BF70742">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G/T</w:t>
            </w:r>
          </w:p>
        </w:tc>
        <w:tc>
          <w:tcPr>
            <w:tcW w:w="542" w:type="dxa"/>
            <w:tcBorders>
              <w:top w:val="nil"/>
              <w:left w:val="nil"/>
              <w:bottom w:val="nil"/>
              <w:right w:val="nil"/>
            </w:tcBorders>
            <w:shd w:val="clear" w:color="auto" w:fill="auto"/>
            <w:noWrap/>
            <w:vAlign w:val="center"/>
          </w:tcPr>
          <w:p w14:paraId="4EDE5D92">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GG</w:t>
            </w:r>
          </w:p>
        </w:tc>
        <w:tc>
          <w:tcPr>
            <w:tcW w:w="900" w:type="dxa"/>
            <w:tcBorders>
              <w:top w:val="nil"/>
              <w:left w:val="nil"/>
              <w:bottom w:val="nil"/>
              <w:right w:val="nil"/>
            </w:tcBorders>
            <w:shd w:val="clear" w:color="auto" w:fill="auto"/>
            <w:noWrap/>
            <w:vAlign w:val="center"/>
          </w:tcPr>
          <w:p w14:paraId="43B887C6">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0.172</w:t>
            </w:r>
          </w:p>
        </w:tc>
        <w:tc>
          <w:tcPr>
            <w:tcW w:w="799" w:type="dxa"/>
            <w:vMerge w:val="restart"/>
            <w:tcBorders>
              <w:top w:val="nil"/>
              <w:left w:val="nil"/>
              <w:bottom w:val="single" w:color="auto" w:sz="12" w:space="0"/>
              <w:right w:val="nil"/>
            </w:tcBorders>
            <w:shd w:val="clear" w:color="auto" w:fill="auto"/>
            <w:noWrap/>
            <w:vAlign w:val="center"/>
          </w:tcPr>
          <w:p w14:paraId="193D99B0">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0.431/0.569</w:t>
            </w:r>
          </w:p>
          <w:p w14:paraId="6B3DB7D9">
            <w:pPr>
              <w:widowControl/>
              <w:spacing w:line="360" w:lineRule="auto"/>
              <w:jc w:val="center"/>
              <w:textAlignment w:val="center"/>
              <w:rPr>
                <w:rFonts w:ascii="Times New Roman" w:hAnsi="Times New Roman" w:eastAsia="宋体" w:cs="Times New Roman"/>
                <w:color w:val="000000"/>
                <w:kern w:val="0"/>
                <w:sz w:val="22"/>
                <w:szCs w:val="22"/>
                <w:lang w:bidi="ar"/>
              </w:rPr>
            </w:pPr>
          </w:p>
        </w:tc>
        <w:tc>
          <w:tcPr>
            <w:tcW w:w="672" w:type="dxa"/>
            <w:vMerge w:val="restart"/>
            <w:tcBorders>
              <w:top w:val="nil"/>
              <w:left w:val="nil"/>
              <w:right w:val="nil"/>
            </w:tcBorders>
            <w:shd w:val="clear" w:color="auto" w:fill="auto"/>
            <w:noWrap/>
            <w:vAlign w:val="center"/>
          </w:tcPr>
          <w:p w14:paraId="39C2E18A">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0.998/1.000</w:t>
            </w:r>
          </w:p>
        </w:tc>
        <w:tc>
          <w:tcPr>
            <w:tcW w:w="498" w:type="dxa"/>
            <w:vMerge w:val="restart"/>
            <w:tcBorders>
              <w:top w:val="nil"/>
              <w:left w:val="nil"/>
              <w:bottom w:val="single" w:color="auto" w:sz="12" w:space="0"/>
              <w:right w:val="nil"/>
            </w:tcBorders>
            <w:shd w:val="clear" w:color="auto" w:fill="auto"/>
            <w:noWrap/>
            <w:vAlign w:val="center"/>
          </w:tcPr>
          <w:p w14:paraId="04533F9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0.040</w:t>
            </w:r>
          </w:p>
        </w:tc>
        <w:tc>
          <w:tcPr>
            <w:tcW w:w="404" w:type="dxa"/>
            <w:vMerge w:val="restart"/>
            <w:tcBorders>
              <w:top w:val="nil"/>
              <w:left w:val="nil"/>
              <w:right w:val="nil"/>
            </w:tcBorders>
            <w:shd w:val="clear" w:color="auto" w:fill="auto"/>
            <w:noWrap/>
            <w:vAlign w:val="center"/>
          </w:tcPr>
          <w:p w14:paraId="08BADF72">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0.842</w:t>
            </w:r>
          </w:p>
        </w:tc>
      </w:tr>
      <w:tr w14:paraId="7AE6FE1F">
        <w:tblPrEx>
          <w:tblCellMar>
            <w:top w:w="0" w:type="dxa"/>
            <w:left w:w="108" w:type="dxa"/>
            <w:bottom w:w="0" w:type="dxa"/>
            <w:right w:w="108" w:type="dxa"/>
          </w:tblCellMar>
        </w:tblPrEx>
        <w:trPr>
          <w:trHeight w:val="280" w:hRule="atLeast"/>
          <w:jc w:val="center"/>
        </w:trPr>
        <w:tc>
          <w:tcPr>
            <w:tcW w:w="474" w:type="dxa"/>
            <w:vMerge w:val="continue"/>
            <w:tcBorders>
              <w:top w:val="single" w:color="auto" w:sz="12" w:space="0"/>
              <w:left w:val="nil"/>
              <w:bottom w:val="single" w:color="000000" w:sz="8" w:space="0"/>
              <w:right w:val="nil"/>
            </w:tcBorders>
            <w:shd w:val="clear" w:color="auto" w:fill="auto"/>
            <w:noWrap/>
            <w:vAlign w:val="center"/>
          </w:tcPr>
          <w:p w14:paraId="11748DDE">
            <w:pPr>
              <w:widowControl/>
              <w:spacing w:line="360" w:lineRule="auto"/>
              <w:textAlignment w:val="center"/>
              <w:rPr>
                <w:rFonts w:ascii="Times New Roman" w:hAnsi="Times New Roman" w:eastAsia="宋体" w:cs="Times New Roman"/>
                <w:color w:val="000000"/>
                <w:kern w:val="0"/>
                <w:sz w:val="22"/>
                <w:szCs w:val="22"/>
                <w:lang w:bidi="ar"/>
              </w:rPr>
            </w:pPr>
          </w:p>
        </w:tc>
        <w:tc>
          <w:tcPr>
            <w:tcW w:w="669" w:type="dxa"/>
            <w:vMerge w:val="continue"/>
            <w:tcBorders>
              <w:top w:val="single" w:color="auto" w:sz="12" w:space="0"/>
              <w:left w:val="nil"/>
              <w:bottom w:val="single" w:color="000000" w:sz="8" w:space="0"/>
              <w:right w:val="nil"/>
            </w:tcBorders>
            <w:shd w:val="clear" w:color="auto" w:fill="auto"/>
            <w:noWrap/>
            <w:vAlign w:val="center"/>
          </w:tcPr>
          <w:p w14:paraId="3F733A6A">
            <w:pPr>
              <w:widowControl/>
              <w:spacing w:line="360" w:lineRule="auto"/>
              <w:textAlignment w:val="center"/>
              <w:rPr>
                <w:rFonts w:ascii="Times New Roman" w:hAnsi="Times New Roman" w:eastAsia="宋体" w:cs="Times New Roman"/>
                <w:color w:val="000000"/>
                <w:kern w:val="0"/>
                <w:sz w:val="22"/>
                <w:szCs w:val="22"/>
                <w:lang w:bidi="ar"/>
              </w:rPr>
            </w:pPr>
          </w:p>
        </w:tc>
        <w:tc>
          <w:tcPr>
            <w:tcW w:w="606" w:type="dxa"/>
            <w:vMerge w:val="continue"/>
            <w:tcBorders>
              <w:top w:val="single" w:color="auto" w:sz="12" w:space="0"/>
              <w:left w:val="nil"/>
              <w:bottom w:val="single" w:color="000000" w:sz="8" w:space="0"/>
              <w:right w:val="nil"/>
            </w:tcBorders>
            <w:shd w:val="clear" w:color="auto" w:fill="auto"/>
            <w:noWrap/>
            <w:vAlign w:val="center"/>
          </w:tcPr>
          <w:p w14:paraId="4294DA43">
            <w:pPr>
              <w:widowControl/>
              <w:spacing w:line="360" w:lineRule="auto"/>
              <w:textAlignment w:val="center"/>
              <w:rPr>
                <w:rFonts w:ascii="Times New Roman" w:hAnsi="Times New Roman" w:eastAsia="宋体" w:cs="Times New Roman"/>
                <w:color w:val="000000"/>
                <w:kern w:val="0"/>
                <w:sz w:val="22"/>
                <w:szCs w:val="22"/>
                <w:lang w:bidi="ar"/>
              </w:rPr>
            </w:pPr>
          </w:p>
        </w:tc>
        <w:tc>
          <w:tcPr>
            <w:tcW w:w="830" w:type="dxa"/>
            <w:vMerge w:val="continue"/>
            <w:tcBorders>
              <w:top w:val="single" w:color="auto" w:sz="12" w:space="0"/>
              <w:left w:val="nil"/>
              <w:bottom w:val="single" w:color="000000" w:sz="8" w:space="0"/>
              <w:right w:val="nil"/>
            </w:tcBorders>
            <w:shd w:val="clear" w:color="auto" w:fill="auto"/>
            <w:noWrap/>
            <w:vAlign w:val="center"/>
          </w:tcPr>
          <w:p w14:paraId="63860970">
            <w:pPr>
              <w:widowControl/>
              <w:spacing w:line="360" w:lineRule="auto"/>
              <w:textAlignment w:val="center"/>
              <w:rPr>
                <w:rFonts w:ascii="Times New Roman" w:hAnsi="Times New Roman" w:eastAsia="宋体" w:cs="Times New Roman"/>
                <w:color w:val="000000"/>
                <w:kern w:val="0"/>
                <w:sz w:val="22"/>
                <w:szCs w:val="22"/>
                <w:lang w:bidi="ar"/>
              </w:rPr>
            </w:pPr>
          </w:p>
        </w:tc>
        <w:tc>
          <w:tcPr>
            <w:tcW w:w="755" w:type="dxa"/>
            <w:vMerge w:val="continue"/>
            <w:tcBorders>
              <w:top w:val="single" w:color="auto" w:sz="12" w:space="0"/>
              <w:left w:val="nil"/>
              <w:bottom w:val="single" w:color="000000" w:sz="8" w:space="0"/>
              <w:right w:val="nil"/>
            </w:tcBorders>
            <w:shd w:val="clear" w:color="auto" w:fill="auto"/>
            <w:noWrap/>
            <w:vAlign w:val="center"/>
          </w:tcPr>
          <w:p w14:paraId="28250A5F">
            <w:pPr>
              <w:widowControl/>
              <w:spacing w:line="360" w:lineRule="auto"/>
              <w:textAlignment w:val="center"/>
              <w:rPr>
                <w:rFonts w:ascii="Times New Roman" w:hAnsi="Times New Roman" w:eastAsia="宋体" w:cs="Times New Roman"/>
                <w:color w:val="000000"/>
                <w:kern w:val="0"/>
                <w:sz w:val="22"/>
                <w:szCs w:val="22"/>
                <w:lang w:bidi="ar"/>
              </w:rPr>
            </w:pPr>
          </w:p>
        </w:tc>
        <w:tc>
          <w:tcPr>
            <w:tcW w:w="933" w:type="dxa"/>
            <w:vMerge w:val="continue"/>
            <w:tcBorders>
              <w:top w:val="single" w:color="auto" w:sz="12" w:space="0"/>
              <w:left w:val="nil"/>
              <w:bottom w:val="single" w:color="000000" w:sz="8" w:space="0"/>
              <w:right w:val="nil"/>
            </w:tcBorders>
            <w:shd w:val="clear" w:color="auto" w:fill="auto"/>
            <w:noWrap/>
            <w:vAlign w:val="center"/>
          </w:tcPr>
          <w:p w14:paraId="300B9B94">
            <w:pPr>
              <w:widowControl/>
              <w:spacing w:line="360" w:lineRule="auto"/>
              <w:textAlignment w:val="center"/>
              <w:rPr>
                <w:rFonts w:ascii="Times New Roman" w:hAnsi="Times New Roman" w:eastAsia="宋体" w:cs="Times New Roman"/>
                <w:color w:val="000000"/>
                <w:kern w:val="0"/>
                <w:sz w:val="22"/>
                <w:szCs w:val="22"/>
                <w:lang w:bidi="ar"/>
              </w:rPr>
            </w:pPr>
          </w:p>
        </w:tc>
        <w:tc>
          <w:tcPr>
            <w:tcW w:w="440" w:type="dxa"/>
            <w:vMerge w:val="continue"/>
            <w:tcBorders>
              <w:top w:val="single" w:color="auto" w:sz="12" w:space="0"/>
              <w:left w:val="nil"/>
              <w:bottom w:val="single" w:color="000000" w:sz="8" w:space="0"/>
              <w:right w:val="nil"/>
            </w:tcBorders>
            <w:shd w:val="clear" w:color="auto" w:fill="auto"/>
            <w:noWrap/>
            <w:vAlign w:val="center"/>
          </w:tcPr>
          <w:p w14:paraId="485C5807">
            <w:pPr>
              <w:widowControl/>
              <w:spacing w:line="360" w:lineRule="auto"/>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nil"/>
              <w:right w:val="nil"/>
            </w:tcBorders>
            <w:shd w:val="clear" w:color="auto" w:fill="auto"/>
            <w:noWrap/>
            <w:vAlign w:val="center"/>
          </w:tcPr>
          <w:p w14:paraId="19A9E787">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GT</w:t>
            </w:r>
          </w:p>
        </w:tc>
        <w:tc>
          <w:tcPr>
            <w:tcW w:w="900" w:type="dxa"/>
            <w:tcBorders>
              <w:top w:val="nil"/>
              <w:left w:val="nil"/>
              <w:bottom w:val="nil"/>
              <w:right w:val="nil"/>
            </w:tcBorders>
            <w:shd w:val="clear" w:color="auto" w:fill="auto"/>
            <w:noWrap/>
            <w:vAlign w:val="center"/>
          </w:tcPr>
          <w:p w14:paraId="2623D77F">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0.517</w:t>
            </w:r>
          </w:p>
        </w:tc>
        <w:tc>
          <w:tcPr>
            <w:tcW w:w="799" w:type="dxa"/>
            <w:vMerge w:val="continue"/>
            <w:tcBorders>
              <w:top w:val="single" w:color="auto" w:sz="12" w:space="0"/>
              <w:left w:val="nil"/>
              <w:right w:val="nil"/>
            </w:tcBorders>
            <w:shd w:val="clear" w:color="auto" w:fill="auto"/>
            <w:noWrap/>
            <w:vAlign w:val="center"/>
          </w:tcPr>
          <w:p w14:paraId="480EF87B">
            <w:pPr>
              <w:widowControl/>
              <w:spacing w:line="360" w:lineRule="auto"/>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right w:val="nil"/>
            </w:tcBorders>
            <w:shd w:val="clear" w:color="auto" w:fill="auto"/>
            <w:noWrap/>
            <w:vAlign w:val="center"/>
          </w:tcPr>
          <w:p w14:paraId="015F5C41">
            <w:pPr>
              <w:widowControl/>
              <w:spacing w:line="360" w:lineRule="auto"/>
              <w:textAlignment w:val="center"/>
              <w:rPr>
                <w:rFonts w:ascii="Times New Roman" w:hAnsi="Times New Roman" w:eastAsia="宋体" w:cs="Times New Roman"/>
                <w:color w:val="000000"/>
                <w:kern w:val="0"/>
                <w:sz w:val="22"/>
                <w:szCs w:val="22"/>
                <w:lang w:bidi="ar"/>
              </w:rPr>
            </w:pPr>
          </w:p>
        </w:tc>
        <w:tc>
          <w:tcPr>
            <w:tcW w:w="498" w:type="dxa"/>
            <w:vMerge w:val="continue"/>
            <w:tcBorders>
              <w:top w:val="single" w:color="auto" w:sz="12" w:space="0"/>
              <w:left w:val="nil"/>
              <w:bottom w:val="single" w:color="000000" w:sz="8" w:space="0"/>
              <w:right w:val="nil"/>
            </w:tcBorders>
            <w:shd w:val="clear" w:color="auto" w:fill="auto"/>
            <w:noWrap/>
            <w:vAlign w:val="center"/>
          </w:tcPr>
          <w:p w14:paraId="4262EDB9">
            <w:pPr>
              <w:widowControl/>
              <w:spacing w:line="360" w:lineRule="auto"/>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right w:val="nil"/>
            </w:tcBorders>
            <w:shd w:val="clear" w:color="auto" w:fill="auto"/>
            <w:noWrap/>
            <w:vAlign w:val="center"/>
          </w:tcPr>
          <w:p w14:paraId="6846B051">
            <w:pPr>
              <w:widowControl/>
              <w:spacing w:line="360" w:lineRule="auto"/>
              <w:textAlignment w:val="center"/>
              <w:rPr>
                <w:rFonts w:ascii="Times New Roman" w:hAnsi="Times New Roman" w:eastAsia="宋体" w:cs="Times New Roman"/>
                <w:color w:val="000000"/>
                <w:kern w:val="0"/>
                <w:sz w:val="22"/>
                <w:szCs w:val="22"/>
                <w:lang w:bidi="ar"/>
              </w:rPr>
            </w:pPr>
          </w:p>
        </w:tc>
      </w:tr>
      <w:tr w14:paraId="55880470">
        <w:tblPrEx>
          <w:tblCellMar>
            <w:top w:w="0" w:type="dxa"/>
            <w:left w:w="108" w:type="dxa"/>
            <w:bottom w:w="0" w:type="dxa"/>
            <w:right w:w="108" w:type="dxa"/>
          </w:tblCellMar>
        </w:tblPrEx>
        <w:trPr>
          <w:trHeight w:val="280" w:hRule="atLeast"/>
          <w:jc w:val="center"/>
        </w:trPr>
        <w:tc>
          <w:tcPr>
            <w:tcW w:w="474" w:type="dxa"/>
            <w:vMerge w:val="continue"/>
            <w:tcBorders>
              <w:top w:val="nil"/>
              <w:left w:val="nil"/>
              <w:bottom w:val="single" w:color="000000" w:sz="12" w:space="0"/>
              <w:right w:val="nil"/>
            </w:tcBorders>
            <w:shd w:val="clear" w:color="auto" w:fill="auto"/>
            <w:noWrap/>
            <w:vAlign w:val="center"/>
          </w:tcPr>
          <w:p w14:paraId="0AAFDE48">
            <w:pPr>
              <w:widowControl/>
              <w:spacing w:line="360" w:lineRule="auto"/>
              <w:textAlignment w:val="center"/>
              <w:rPr>
                <w:rFonts w:ascii="Times New Roman" w:hAnsi="Times New Roman" w:eastAsia="宋体" w:cs="Times New Roman"/>
                <w:color w:val="000000"/>
                <w:kern w:val="0"/>
                <w:sz w:val="22"/>
                <w:szCs w:val="22"/>
                <w:lang w:bidi="ar"/>
              </w:rPr>
            </w:pPr>
          </w:p>
        </w:tc>
        <w:tc>
          <w:tcPr>
            <w:tcW w:w="669" w:type="dxa"/>
            <w:vMerge w:val="continue"/>
            <w:tcBorders>
              <w:top w:val="nil"/>
              <w:left w:val="nil"/>
              <w:bottom w:val="single" w:color="000000" w:sz="12" w:space="0"/>
              <w:right w:val="nil"/>
            </w:tcBorders>
            <w:shd w:val="clear" w:color="auto" w:fill="auto"/>
            <w:noWrap/>
            <w:vAlign w:val="center"/>
          </w:tcPr>
          <w:p w14:paraId="17EF1CBE">
            <w:pPr>
              <w:widowControl/>
              <w:spacing w:line="360" w:lineRule="auto"/>
              <w:textAlignment w:val="center"/>
              <w:rPr>
                <w:rFonts w:ascii="Times New Roman" w:hAnsi="Times New Roman" w:eastAsia="宋体" w:cs="Times New Roman"/>
                <w:color w:val="000000"/>
                <w:kern w:val="0"/>
                <w:sz w:val="22"/>
                <w:szCs w:val="22"/>
                <w:lang w:bidi="ar"/>
              </w:rPr>
            </w:pPr>
          </w:p>
        </w:tc>
        <w:tc>
          <w:tcPr>
            <w:tcW w:w="606" w:type="dxa"/>
            <w:vMerge w:val="continue"/>
            <w:tcBorders>
              <w:top w:val="nil"/>
              <w:left w:val="nil"/>
              <w:bottom w:val="single" w:color="000000" w:sz="12" w:space="0"/>
              <w:right w:val="nil"/>
            </w:tcBorders>
            <w:shd w:val="clear" w:color="auto" w:fill="auto"/>
            <w:noWrap/>
            <w:vAlign w:val="center"/>
          </w:tcPr>
          <w:p w14:paraId="4B2E5B6C">
            <w:pPr>
              <w:widowControl/>
              <w:spacing w:line="360" w:lineRule="auto"/>
              <w:textAlignment w:val="center"/>
              <w:rPr>
                <w:rFonts w:ascii="Times New Roman" w:hAnsi="Times New Roman" w:eastAsia="宋体" w:cs="Times New Roman"/>
                <w:color w:val="000000"/>
                <w:kern w:val="0"/>
                <w:sz w:val="22"/>
                <w:szCs w:val="22"/>
                <w:lang w:bidi="ar"/>
              </w:rPr>
            </w:pPr>
          </w:p>
        </w:tc>
        <w:tc>
          <w:tcPr>
            <w:tcW w:w="830" w:type="dxa"/>
            <w:vMerge w:val="continue"/>
            <w:tcBorders>
              <w:top w:val="nil"/>
              <w:left w:val="nil"/>
              <w:bottom w:val="single" w:color="000000" w:sz="12" w:space="0"/>
              <w:right w:val="nil"/>
            </w:tcBorders>
            <w:shd w:val="clear" w:color="auto" w:fill="auto"/>
            <w:noWrap/>
            <w:vAlign w:val="center"/>
          </w:tcPr>
          <w:p w14:paraId="4C761321">
            <w:pPr>
              <w:widowControl/>
              <w:spacing w:line="360" w:lineRule="auto"/>
              <w:textAlignment w:val="center"/>
              <w:rPr>
                <w:rFonts w:ascii="Times New Roman" w:hAnsi="Times New Roman" w:eastAsia="宋体" w:cs="Times New Roman"/>
                <w:color w:val="000000"/>
                <w:kern w:val="0"/>
                <w:sz w:val="22"/>
                <w:szCs w:val="22"/>
                <w:lang w:bidi="ar"/>
              </w:rPr>
            </w:pPr>
          </w:p>
        </w:tc>
        <w:tc>
          <w:tcPr>
            <w:tcW w:w="755" w:type="dxa"/>
            <w:vMerge w:val="continue"/>
            <w:tcBorders>
              <w:top w:val="nil"/>
              <w:left w:val="nil"/>
              <w:bottom w:val="single" w:color="000000" w:sz="12" w:space="0"/>
              <w:right w:val="nil"/>
            </w:tcBorders>
            <w:shd w:val="clear" w:color="auto" w:fill="auto"/>
            <w:noWrap/>
            <w:vAlign w:val="center"/>
          </w:tcPr>
          <w:p w14:paraId="68C8AB1C">
            <w:pPr>
              <w:widowControl/>
              <w:spacing w:line="360" w:lineRule="auto"/>
              <w:textAlignment w:val="center"/>
              <w:rPr>
                <w:rFonts w:ascii="Times New Roman" w:hAnsi="Times New Roman" w:eastAsia="宋体" w:cs="Times New Roman"/>
                <w:color w:val="000000"/>
                <w:kern w:val="0"/>
                <w:sz w:val="22"/>
                <w:szCs w:val="22"/>
                <w:lang w:bidi="ar"/>
              </w:rPr>
            </w:pPr>
          </w:p>
        </w:tc>
        <w:tc>
          <w:tcPr>
            <w:tcW w:w="933" w:type="dxa"/>
            <w:vMerge w:val="continue"/>
            <w:tcBorders>
              <w:top w:val="nil"/>
              <w:left w:val="nil"/>
              <w:bottom w:val="single" w:color="000000" w:sz="12" w:space="0"/>
              <w:right w:val="nil"/>
            </w:tcBorders>
            <w:shd w:val="clear" w:color="auto" w:fill="auto"/>
            <w:noWrap/>
            <w:vAlign w:val="center"/>
          </w:tcPr>
          <w:p w14:paraId="75592E01">
            <w:pPr>
              <w:widowControl/>
              <w:spacing w:line="360" w:lineRule="auto"/>
              <w:textAlignment w:val="center"/>
              <w:rPr>
                <w:rFonts w:ascii="Times New Roman" w:hAnsi="Times New Roman" w:eastAsia="宋体" w:cs="Times New Roman"/>
                <w:color w:val="000000"/>
                <w:kern w:val="0"/>
                <w:sz w:val="22"/>
                <w:szCs w:val="22"/>
                <w:lang w:bidi="ar"/>
              </w:rPr>
            </w:pPr>
          </w:p>
        </w:tc>
        <w:tc>
          <w:tcPr>
            <w:tcW w:w="440" w:type="dxa"/>
            <w:vMerge w:val="continue"/>
            <w:tcBorders>
              <w:top w:val="nil"/>
              <w:left w:val="nil"/>
              <w:bottom w:val="single" w:color="000000" w:sz="12" w:space="0"/>
              <w:right w:val="nil"/>
            </w:tcBorders>
            <w:shd w:val="clear" w:color="auto" w:fill="auto"/>
            <w:noWrap/>
            <w:vAlign w:val="center"/>
          </w:tcPr>
          <w:p w14:paraId="7946DE96">
            <w:pPr>
              <w:widowControl/>
              <w:spacing w:line="360" w:lineRule="auto"/>
              <w:textAlignment w:val="center"/>
              <w:rPr>
                <w:rFonts w:ascii="Times New Roman" w:hAnsi="Times New Roman" w:eastAsia="宋体" w:cs="Times New Roman"/>
                <w:color w:val="000000"/>
                <w:kern w:val="0"/>
                <w:sz w:val="22"/>
                <w:szCs w:val="22"/>
                <w:lang w:bidi="ar"/>
              </w:rPr>
            </w:pPr>
          </w:p>
        </w:tc>
        <w:tc>
          <w:tcPr>
            <w:tcW w:w="542" w:type="dxa"/>
            <w:tcBorders>
              <w:top w:val="nil"/>
              <w:left w:val="nil"/>
              <w:bottom w:val="single" w:color="000000" w:sz="12" w:space="0"/>
              <w:right w:val="nil"/>
            </w:tcBorders>
            <w:shd w:val="clear" w:color="auto" w:fill="auto"/>
            <w:noWrap/>
            <w:vAlign w:val="center"/>
          </w:tcPr>
          <w:p w14:paraId="2ED61502">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TT</w:t>
            </w:r>
          </w:p>
        </w:tc>
        <w:tc>
          <w:tcPr>
            <w:tcW w:w="900" w:type="dxa"/>
            <w:tcBorders>
              <w:top w:val="nil"/>
              <w:left w:val="nil"/>
              <w:bottom w:val="single" w:color="000000" w:sz="12" w:space="0"/>
              <w:right w:val="nil"/>
            </w:tcBorders>
            <w:shd w:val="clear" w:color="auto" w:fill="auto"/>
            <w:noWrap/>
            <w:vAlign w:val="center"/>
          </w:tcPr>
          <w:p w14:paraId="65F0B295">
            <w:pPr>
              <w:widowControl/>
              <w:spacing w:line="360" w:lineRule="auto"/>
              <w:jc w:val="center"/>
              <w:textAlignment w:val="center"/>
              <w:rPr>
                <w:rFonts w:ascii="Times New Roman" w:hAnsi="Times New Roman" w:eastAsia="宋体" w:cs="Times New Roman"/>
                <w:color w:val="000000"/>
                <w:kern w:val="0"/>
                <w:sz w:val="22"/>
                <w:szCs w:val="22"/>
                <w:lang w:bidi="ar"/>
              </w:rPr>
            </w:pPr>
            <w:r>
              <w:rPr>
                <w:rFonts w:ascii="Times New Roman" w:hAnsi="Times New Roman" w:eastAsia="宋体" w:cs="Times New Roman"/>
                <w:color w:val="000000"/>
                <w:kern w:val="0"/>
                <w:sz w:val="22"/>
                <w:szCs w:val="22"/>
                <w:lang w:bidi="ar"/>
              </w:rPr>
              <w:t>0.310</w:t>
            </w:r>
          </w:p>
        </w:tc>
        <w:tc>
          <w:tcPr>
            <w:tcW w:w="799" w:type="dxa"/>
            <w:vMerge w:val="continue"/>
            <w:tcBorders>
              <w:left w:val="nil"/>
              <w:bottom w:val="single" w:color="000000" w:sz="12" w:space="0"/>
              <w:right w:val="nil"/>
            </w:tcBorders>
            <w:shd w:val="clear" w:color="auto" w:fill="auto"/>
            <w:noWrap/>
            <w:vAlign w:val="center"/>
          </w:tcPr>
          <w:p w14:paraId="5DFFFB8F">
            <w:pPr>
              <w:widowControl/>
              <w:spacing w:line="360" w:lineRule="auto"/>
              <w:textAlignment w:val="center"/>
              <w:rPr>
                <w:rFonts w:ascii="Times New Roman" w:hAnsi="Times New Roman" w:eastAsia="宋体" w:cs="Times New Roman"/>
                <w:color w:val="000000"/>
                <w:kern w:val="0"/>
                <w:sz w:val="22"/>
                <w:szCs w:val="22"/>
                <w:lang w:bidi="ar"/>
              </w:rPr>
            </w:pPr>
          </w:p>
        </w:tc>
        <w:tc>
          <w:tcPr>
            <w:tcW w:w="672" w:type="dxa"/>
            <w:vMerge w:val="continue"/>
            <w:tcBorders>
              <w:left w:val="nil"/>
              <w:bottom w:val="single" w:color="000000" w:sz="12" w:space="0"/>
              <w:right w:val="nil"/>
            </w:tcBorders>
            <w:shd w:val="clear" w:color="auto" w:fill="auto"/>
            <w:noWrap/>
            <w:vAlign w:val="center"/>
          </w:tcPr>
          <w:p w14:paraId="40627956">
            <w:pPr>
              <w:widowControl/>
              <w:spacing w:line="360" w:lineRule="auto"/>
              <w:textAlignment w:val="center"/>
              <w:rPr>
                <w:rFonts w:ascii="Times New Roman" w:hAnsi="Times New Roman" w:eastAsia="宋体" w:cs="Times New Roman"/>
                <w:color w:val="000000"/>
                <w:kern w:val="0"/>
                <w:sz w:val="22"/>
                <w:szCs w:val="22"/>
                <w:lang w:bidi="ar"/>
              </w:rPr>
            </w:pPr>
          </w:p>
        </w:tc>
        <w:tc>
          <w:tcPr>
            <w:tcW w:w="498" w:type="dxa"/>
            <w:vMerge w:val="continue"/>
            <w:tcBorders>
              <w:top w:val="nil"/>
              <w:left w:val="nil"/>
              <w:bottom w:val="single" w:color="000000" w:sz="12" w:space="0"/>
              <w:right w:val="nil"/>
            </w:tcBorders>
            <w:shd w:val="clear" w:color="auto" w:fill="auto"/>
            <w:noWrap/>
            <w:vAlign w:val="center"/>
          </w:tcPr>
          <w:p w14:paraId="1CD5B0A9">
            <w:pPr>
              <w:widowControl/>
              <w:spacing w:line="360" w:lineRule="auto"/>
              <w:textAlignment w:val="center"/>
              <w:rPr>
                <w:rFonts w:ascii="Times New Roman" w:hAnsi="Times New Roman" w:eastAsia="宋体" w:cs="Times New Roman"/>
                <w:color w:val="000000"/>
                <w:kern w:val="0"/>
                <w:sz w:val="22"/>
                <w:szCs w:val="22"/>
                <w:lang w:bidi="ar"/>
              </w:rPr>
            </w:pPr>
          </w:p>
        </w:tc>
        <w:tc>
          <w:tcPr>
            <w:tcW w:w="404" w:type="dxa"/>
            <w:vMerge w:val="continue"/>
            <w:tcBorders>
              <w:left w:val="nil"/>
              <w:bottom w:val="single" w:color="000000" w:sz="12" w:space="0"/>
              <w:right w:val="nil"/>
            </w:tcBorders>
            <w:shd w:val="clear" w:color="auto" w:fill="auto"/>
            <w:noWrap/>
            <w:vAlign w:val="center"/>
          </w:tcPr>
          <w:p w14:paraId="4CE703C2">
            <w:pPr>
              <w:widowControl/>
              <w:spacing w:line="360" w:lineRule="auto"/>
              <w:textAlignment w:val="center"/>
              <w:rPr>
                <w:rFonts w:ascii="Times New Roman" w:hAnsi="Times New Roman" w:eastAsia="宋体" w:cs="Times New Roman"/>
                <w:color w:val="000000"/>
                <w:kern w:val="0"/>
                <w:sz w:val="22"/>
                <w:szCs w:val="22"/>
                <w:lang w:bidi="ar"/>
              </w:rPr>
            </w:pPr>
          </w:p>
        </w:tc>
      </w:tr>
    </w:tbl>
    <w:p w14:paraId="5E1F2A28">
      <w:pPr>
        <w:widowControl/>
        <w:spacing w:line="360" w:lineRule="auto"/>
        <w:textAlignment w:val="center"/>
        <w:rPr>
          <w:rFonts w:ascii="Times New Roman" w:hAnsi="Times New Roman" w:eastAsia="宋体" w:cs="Times New Roman"/>
          <w:color w:val="000000"/>
          <w:kern w:val="0"/>
          <w:sz w:val="22"/>
          <w:szCs w:val="22"/>
          <w:lang w:bidi="ar"/>
        </w:rPr>
      </w:pPr>
    </w:p>
    <w:p w14:paraId="6CA128D4">
      <w:pPr>
        <w:pStyle w:val="15"/>
        <w:widowControl/>
        <w:spacing w:beforeAutospacing="0" w:afterAutospacing="0" w:line="360" w:lineRule="auto"/>
        <w:jc w:val="both"/>
        <w:outlineLvl w:val="3"/>
        <w:rPr>
          <w:rFonts w:ascii="Times New Roman" w:hAnsi="Times New Roman"/>
          <w:b/>
          <w:bCs/>
          <w:spacing w:val="10"/>
          <w:sz w:val="21"/>
          <w:szCs w:val="21"/>
        </w:rPr>
      </w:pPr>
      <w:r>
        <w:rPr>
          <w:rFonts w:ascii="Times New Roman" w:hAnsi="Times New Roman"/>
          <w:b/>
          <w:bCs/>
          <w:spacing w:val="10"/>
          <w:sz w:val="21"/>
          <w:szCs w:val="21"/>
        </w:rPr>
        <w:t xml:space="preserve">Table 3 Different loci of </w:t>
      </w:r>
      <w:r>
        <w:rPr>
          <w:rFonts w:ascii="Times New Roman" w:hAnsi="Times New Roman"/>
          <w:b/>
          <w:bCs/>
          <w:i/>
          <w:spacing w:val="10"/>
          <w:sz w:val="21"/>
          <w:szCs w:val="21"/>
        </w:rPr>
        <w:t>LTF</w:t>
      </w:r>
      <w:r>
        <w:rPr>
          <w:rFonts w:ascii="Times New Roman" w:hAnsi="Times New Roman"/>
          <w:b/>
          <w:bCs/>
          <w:spacing w:val="10"/>
          <w:sz w:val="21"/>
          <w:szCs w:val="21"/>
        </w:rPr>
        <w:t xml:space="preserve">, </w:t>
      </w:r>
      <w:r>
        <w:rPr>
          <w:rFonts w:ascii="Times New Roman" w:hAnsi="Times New Roman"/>
          <w:b/>
          <w:bCs/>
          <w:i/>
          <w:spacing w:val="10"/>
          <w:sz w:val="21"/>
          <w:szCs w:val="21"/>
        </w:rPr>
        <w:t>PTPRK</w:t>
      </w:r>
      <w:r>
        <w:rPr>
          <w:rFonts w:ascii="Times New Roman" w:hAnsi="Times New Roman"/>
          <w:b/>
          <w:bCs/>
          <w:spacing w:val="10"/>
          <w:sz w:val="21"/>
          <w:szCs w:val="21"/>
        </w:rPr>
        <w:t xml:space="preserve">, and </w:t>
      </w:r>
      <w:r>
        <w:rPr>
          <w:rFonts w:ascii="Times New Roman" w:hAnsi="Times New Roman"/>
          <w:b/>
          <w:bCs/>
          <w:i/>
          <w:spacing w:val="10"/>
          <w:sz w:val="21"/>
          <w:szCs w:val="21"/>
        </w:rPr>
        <w:t>LIFR</w:t>
      </w:r>
      <w:r>
        <w:rPr>
          <w:rFonts w:ascii="Times New Roman" w:hAnsi="Times New Roman"/>
          <w:b/>
          <w:bCs/>
          <w:spacing w:val="10"/>
          <w:sz w:val="21"/>
          <w:szCs w:val="21"/>
        </w:rPr>
        <w:t xml:space="preserve"> genes and colostrum yield</w:t>
      </w:r>
      <w:r>
        <w:rPr>
          <w:rFonts w:hint="eastAsia" w:ascii="Times New Roman" w:hAnsi="Times New Roman"/>
          <w:b/>
          <w:bCs/>
          <w:spacing w:val="10"/>
          <w:sz w:val="21"/>
          <w:szCs w:val="21"/>
        </w:rPr>
        <w:t>.</w:t>
      </w:r>
    </w:p>
    <w:tbl>
      <w:tblPr>
        <w:tblStyle w:val="16"/>
        <w:tblW w:w="4998" w:type="pct"/>
        <w:jc w:val="center"/>
        <w:tblLayout w:type="autofit"/>
        <w:tblCellMar>
          <w:top w:w="0" w:type="dxa"/>
          <w:left w:w="108" w:type="dxa"/>
          <w:bottom w:w="0" w:type="dxa"/>
          <w:right w:w="108" w:type="dxa"/>
        </w:tblCellMar>
      </w:tblPr>
      <w:tblGrid>
        <w:gridCol w:w="1048"/>
        <w:gridCol w:w="1452"/>
        <w:gridCol w:w="1302"/>
        <w:gridCol w:w="2224"/>
        <w:gridCol w:w="2493"/>
      </w:tblGrid>
      <w:tr w14:paraId="68EE90B8">
        <w:tblPrEx>
          <w:tblCellMar>
            <w:top w:w="0" w:type="dxa"/>
            <w:left w:w="108" w:type="dxa"/>
            <w:bottom w:w="0" w:type="dxa"/>
            <w:right w:w="108" w:type="dxa"/>
          </w:tblCellMar>
        </w:tblPrEx>
        <w:trPr>
          <w:trHeight w:val="535" w:hRule="atLeast"/>
          <w:jc w:val="center"/>
        </w:trPr>
        <w:tc>
          <w:tcPr>
            <w:tcW w:w="615" w:type="pct"/>
            <w:tcBorders>
              <w:top w:val="single" w:color="000000" w:sz="12" w:space="0"/>
              <w:left w:val="nil"/>
              <w:bottom w:val="single" w:color="000000" w:sz="6" w:space="0"/>
              <w:right w:val="nil"/>
            </w:tcBorders>
            <w:shd w:val="clear" w:color="auto" w:fill="auto"/>
            <w:noWrap/>
            <w:vAlign w:val="center"/>
          </w:tcPr>
          <w:p w14:paraId="7DA84738">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Gene</w:t>
            </w:r>
          </w:p>
        </w:tc>
        <w:tc>
          <w:tcPr>
            <w:tcW w:w="852" w:type="pct"/>
            <w:tcBorders>
              <w:top w:val="single" w:color="000000" w:sz="12" w:space="0"/>
              <w:left w:val="nil"/>
              <w:bottom w:val="single" w:color="000000" w:sz="6" w:space="0"/>
              <w:right w:val="nil"/>
            </w:tcBorders>
            <w:shd w:val="clear" w:color="auto" w:fill="auto"/>
            <w:noWrap/>
            <w:vAlign w:val="center"/>
          </w:tcPr>
          <w:p w14:paraId="3BC13970">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SNP</w:t>
            </w:r>
          </w:p>
        </w:tc>
        <w:tc>
          <w:tcPr>
            <w:tcW w:w="764" w:type="pct"/>
            <w:tcBorders>
              <w:top w:val="single" w:color="000000" w:sz="12" w:space="0"/>
              <w:left w:val="nil"/>
              <w:bottom w:val="single" w:color="000000" w:sz="6" w:space="0"/>
              <w:right w:val="nil"/>
            </w:tcBorders>
            <w:shd w:val="clear" w:color="auto" w:fill="auto"/>
            <w:noWrap/>
            <w:vAlign w:val="center"/>
          </w:tcPr>
          <w:p w14:paraId="7EC54E88">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Genotype</w:t>
            </w:r>
          </w:p>
        </w:tc>
        <w:tc>
          <w:tcPr>
            <w:tcW w:w="1305" w:type="pct"/>
            <w:tcBorders>
              <w:top w:val="single" w:color="000000" w:sz="12" w:space="0"/>
              <w:left w:val="nil"/>
              <w:bottom w:val="single" w:color="000000" w:sz="6" w:space="0"/>
              <w:right w:val="nil"/>
            </w:tcBorders>
            <w:shd w:val="clear" w:color="auto" w:fill="auto"/>
            <w:noWrap/>
            <w:vAlign w:val="center"/>
          </w:tcPr>
          <w:p w14:paraId="7262B73B">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Observed number</w:t>
            </w:r>
          </w:p>
        </w:tc>
        <w:tc>
          <w:tcPr>
            <w:tcW w:w="1462" w:type="pct"/>
            <w:tcBorders>
              <w:top w:val="single" w:color="000000" w:sz="12" w:space="0"/>
              <w:left w:val="nil"/>
              <w:bottom w:val="single" w:color="000000" w:sz="6" w:space="0"/>
              <w:right w:val="nil"/>
            </w:tcBorders>
            <w:shd w:val="clear" w:color="auto" w:fill="auto"/>
            <w:noWrap/>
            <w:vAlign w:val="center"/>
          </w:tcPr>
          <w:p w14:paraId="501C4E24">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Colostrum yield</w:t>
            </w:r>
            <w:r>
              <w:rPr>
                <w:rFonts w:hint="eastAsia" w:ascii="Times New Roman" w:hAnsi="Times New Roman" w:eastAsia="宋体" w:cs="Times New Roman"/>
                <w:b/>
                <w:bCs/>
                <w:color w:val="000000"/>
                <w:kern w:val="0"/>
                <w:szCs w:val="21"/>
                <w:lang w:bidi="ar"/>
              </w:rPr>
              <w:t xml:space="preserve"> </w:t>
            </w:r>
            <w:r>
              <w:rPr>
                <w:rFonts w:ascii="Times New Roman" w:hAnsi="Times New Roman" w:eastAsia="宋体" w:cs="Times New Roman"/>
                <w:b/>
                <w:bCs/>
                <w:color w:val="000000"/>
                <w:kern w:val="0"/>
                <w:szCs w:val="21"/>
                <w:lang w:bidi="ar"/>
              </w:rPr>
              <w:t>(Kg)</w:t>
            </w:r>
          </w:p>
        </w:tc>
      </w:tr>
      <w:tr w14:paraId="79AB7AB1">
        <w:tblPrEx>
          <w:tblCellMar>
            <w:top w:w="0" w:type="dxa"/>
            <w:left w:w="108" w:type="dxa"/>
            <w:bottom w:w="0" w:type="dxa"/>
            <w:right w:w="108" w:type="dxa"/>
          </w:tblCellMar>
        </w:tblPrEx>
        <w:trPr>
          <w:trHeight w:val="290" w:hRule="atLeast"/>
          <w:jc w:val="center"/>
        </w:trPr>
        <w:tc>
          <w:tcPr>
            <w:tcW w:w="615" w:type="pct"/>
            <w:vMerge w:val="restart"/>
            <w:tcBorders>
              <w:top w:val="single" w:color="000000" w:sz="6" w:space="0"/>
              <w:left w:val="nil"/>
              <w:bottom w:val="nil"/>
              <w:right w:val="nil"/>
            </w:tcBorders>
            <w:shd w:val="clear" w:color="auto" w:fill="auto"/>
            <w:noWrap/>
            <w:vAlign w:val="center"/>
          </w:tcPr>
          <w:p w14:paraId="2332D44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LTF</w:t>
            </w:r>
          </w:p>
        </w:tc>
        <w:tc>
          <w:tcPr>
            <w:tcW w:w="852" w:type="pct"/>
            <w:vMerge w:val="restart"/>
            <w:tcBorders>
              <w:top w:val="single" w:color="000000" w:sz="6" w:space="0"/>
              <w:left w:val="nil"/>
              <w:bottom w:val="nil"/>
              <w:right w:val="nil"/>
            </w:tcBorders>
            <w:shd w:val="clear" w:color="auto" w:fill="auto"/>
            <w:noWrap/>
            <w:vAlign w:val="center"/>
          </w:tcPr>
          <w:p w14:paraId="7006CE8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c.407T&gt;C</w:t>
            </w:r>
          </w:p>
        </w:tc>
        <w:tc>
          <w:tcPr>
            <w:tcW w:w="764" w:type="pct"/>
            <w:tcBorders>
              <w:top w:val="single" w:color="000000" w:sz="6" w:space="0"/>
              <w:left w:val="nil"/>
              <w:bottom w:val="nil"/>
              <w:right w:val="nil"/>
            </w:tcBorders>
            <w:shd w:val="clear" w:color="auto" w:fill="auto"/>
            <w:noWrap/>
            <w:vAlign w:val="center"/>
          </w:tcPr>
          <w:p w14:paraId="502D30D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TT</w:t>
            </w:r>
          </w:p>
        </w:tc>
        <w:tc>
          <w:tcPr>
            <w:tcW w:w="1305" w:type="pct"/>
            <w:tcBorders>
              <w:top w:val="single" w:color="000000" w:sz="6" w:space="0"/>
              <w:left w:val="nil"/>
              <w:bottom w:val="nil"/>
              <w:right w:val="nil"/>
            </w:tcBorders>
            <w:shd w:val="clear" w:color="auto" w:fill="auto"/>
            <w:noWrap/>
            <w:vAlign w:val="center"/>
          </w:tcPr>
          <w:p w14:paraId="70B752E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w:t>
            </w:r>
          </w:p>
        </w:tc>
        <w:tc>
          <w:tcPr>
            <w:tcW w:w="1462" w:type="pct"/>
            <w:tcBorders>
              <w:top w:val="single" w:color="000000" w:sz="6" w:space="0"/>
              <w:left w:val="nil"/>
              <w:bottom w:val="nil"/>
              <w:right w:val="nil"/>
            </w:tcBorders>
            <w:shd w:val="clear" w:color="auto" w:fill="auto"/>
            <w:noWrap/>
            <w:vAlign w:val="center"/>
          </w:tcPr>
          <w:p w14:paraId="43F3C3CD">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1.409</w:t>
            </w:r>
            <w:r>
              <w:rPr>
                <w:rStyle w:val="47"/>
                <w:rFonts w:eastAsia="宋体"/>
                <w:b/>
                <w:bCs/>
                <w:lang w:bidi="ar"/>
              </w:rPr>
              <w:t>a</w:t>
            </w:r>
          </w:p>
        </w:tc>
      </w:tr>
      <w:tr w14:paraId="3E4DF769">
        <w:tblPrEx>
          <w:tblCellMar>
            <w:top w:w="0" w:type="dxa"/>
            <w:left w:w="108" w:type="dxa"/>
            <w:bottom w:w="0" w:type="dxa"/>
            <w:right w:w="108" w:type="dxa"/>
          </w:tblCellMar>
        </w:tblPrEx>
        <w:trPr>
          <w:trHeight w:val="290" w:hRule="atLeast"/>
          <w:jc w:val="center"/>
        </w:trPr>
        <w:tc>
          <w:tcPr>
            <w:tcW w:w="615" w:type="pct"/>
            <w:vMerge w:val="continue"/>
            <w:tcBorders>
              <w:top w:val="nil"/>
              <w:left w:val="nil"/>
              <w:bottom w:val="nil"/>
              <w:right w:val="nil"/>
            </w:tcBorders>
            <w:shd w:val="clear" w:color="auto" w:fill="auto"/>
            <w:noWrap/>
            <w:vAlign w:val="center"/>
          </w:tcPr>
          <w:p w14:paraId="428ED5BB">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7CAA4377">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2AEB38F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TC</w:t>
            </w:r>
          </w:p>
        </w:tc>
        <w:tc>
          <w:tcPr>
            <w:tcW w:w="1305" w:type="pct"/>
            <w:tcBorders>
              <w:top w:val="nil"/>
              <w:left w:val="nil"/>
              <w:bottom w:val="nil"/>
              <w:right w:val="nil"/>
            </w:tcBorders>
            <w:shd w:val="clear" w:color="auto" w:fill="auto"/>
            <w:noWrap/>
            <w:vAlign w:val="center"/>
          </w:tcPr>
          <w:p w14:paraId="1CF47A8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10</w:t>
            </w:r>
          </w:p>
        </w:tc>
        <w:tc>
          <w:tcPr>
            <w:tcW w:w="1462" w:type="pct"/>
            <w:tcBorders>
              <w:top w:val="nil"/>
              <w:left w:val="nil"/>
              <w:bottom w:val="nil"/>
              <w:right w:val="nil"/>
            </w:tcBorders>
            <w:shd w:val="clear" w:color="auto" w:fill="auto"/>
            <w:noWrap/>
            <w:vAlign w:val="center"/>
          </w:tcPr>
          <w:p w14:paraId="6A0E3682">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1.086</w:t>
            </w:r>
            <w:r>
              <w:rPr>
                <w:rStyle w:val="47"/>
                <w:rFonts w:eastAsia="宋体"/>
                <w:b/>
                <w:bCs/>
                <w:lang w:bidi="ar"/>
              </w:rPr>
              <w:t>ab</w:t>
            </w:r>
          </w:p>
        </w:tc>
      </w:tr>
      <w:tr w14:paraId="2A02F1A6">
        <w:tblPrEx>
          <w:tblCellMar>
            <w:top w:w="0" w:type="dxa"/>
            <w:left w:w="108" w:type="dxa"/>
            <w:bottom w:w="0" w:type="dxa"/>
            <w:right w:w="108" w:type="dxa"/>
          </w:tblCellMar>
        </w:tblPrEx>
        <w:trPr>
          <w:trHeight w:val="290" w:hRule="atLeast"/>
          <w:jc w:val="center"/>
        </w:trPr>
        <w:tc>
          <w:tcPr>
            <w:tcW w:w="615" w:type="pct"/>
            <w:vMerge w:val="continue"/>
            <w:tcBorders>
              <w:top w:val="nil"/>
              <w:left w:val="nil"/>
              <w:bottom w:val="nil"/>
              <w:right w:val="nil"/>
            </w:tcBorders>
            <w:shd w:val="clear" w:color="auto" w:fill="auto"/>
            <w:noWrap/>
            <w:vAlign w:val="center"/>
          </w:tcPr>
          <w:p w14:paraId="50195D59">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781EEFE0">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55E56EB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CC</w:t>
            </w:r>
          </w:p>
        </w:tc>
        <w:tc>
          <w:tcPr>
            <w:tcW w:w="1305" w:type="pct"/>
            <w:tcBorders>
              <w:top w:val="nil"/>
              <w:left w:val="nil"/>
              <w:bottom w:val="nil"/>
              <w:right w:val="nil"/>
            </w:tcBorders>
            <w:shd w:val="clear" w:color="auto" w:fill="auto"/>
            <w:noWrap/>
            <w:vAlign w:val="center"/>
          </w:tcPr>
          <w:p w14:paraId="5DD4622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6</w:t>
            </w:r>
          </w:p>
        </w:tc>
        <w:tc>
          <w:tcPr>
            <w:tcW w:w="1462" w:type="pct"/>
            <w:tcBorders>
              <w:top w:val="nil"/>
              <w:left w:val="nil"/>
              <w:bottom w:val="nil"/>
              <w:right w:val="nil"/>
            </w:tcBorders>
            <w:shd w:val="clear" w:color="auto" w:fill="auto"/>
            <w:noWrap/>
            <w:vAlign w:val="center"/>
          </w:tcPr>
          <w:p w14:paraId="37C5600F">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0.964</w:t>
            </w:r>
            <w:r>
              <w:rPr>
                <w:rStyle w:val="47"/>
                <w:rFonts w:eastAsia="宋体"/>
                <w:b/>
                <w:bCs/>
                <w:lang w:bidi="ar"/>
              </w:rPr>
              <w:t>b</w:t>
            </w:r>
          </w:p>
        </w:tc>
      </w:tr>
      <w:tr w14:paraId="21D6F0B8">
        <w:tblPrEx>
          <w:tblCellMar>
            <w:top w:w="0" w:type="dxa"/>
            <w:left w:w="108" w:type="dxa"/>
            <w:bottom w:w="0" w:type="dxa"/>
            <w:right w:w="108" w:type="dxa"/>
          </w:tblCellMar>
        </w:tblPrEx>
        <w:trPr>
          <w:trHeight w:val="300" w:hRule="atLeast"/>
          <w:jc w:val="center"/>
        </w:trPr>
        <w:tc>
          <w:tcPr>
            <w:tcW w:w="615" w:type="pct"/>
            <w:vMerge w:val="restart"/>
            <w:tcBorders>
              <w:top w:val="nil"/>
              <w:left w:val="nil"/>
              <w:bottom w:val="nil"/>
              <w:right w:val="nil"/>
            </w:tcBorders>
            <w:shd w:val="clear" w:color="auto" w:fill="auto"/>
            <w:noWrap/>
            <w:vAlign w:val="center"/>
          </w:tcPr>
          <w:p w14:paraId="4DFD2AB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PTPRK</w:t>
            </w:r>
          </w:p>
        </w:tc>
        <w:tc>
          <w:tcPr>
            <w:tcW w:w="852" w:type="pct"/>
            <w:vMerge w:val="restart"/>
            <w:tcBorders>
              <w:top w:val="nil"/>
              <w:left w:val="nil"/>
              <w:bottom w:val="nil"/>
              <w:right w:val="nil"/>
            </w:tcBorders>
            <w:shd w:val="clear" w:color="auto" w:fill="auto"/>
            <w:noWrap/>
            <w:vAlign w:val="center"/>
          </w:tcPr>
          <w:p w14:paraId="045DB92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c.1295C&gt;T</w:t>
            </w:r>
          </w:p>
        </w:tc>
        <w:tc>
          <w:tcPr>
            <w:tcW w:w="764" w:type="pct"/>
            <w:tcBorders>
              <w:top w:val="nil"/>
              <w:left w:val="nil"/>
              <w:bottom w:val="nil"/>
              <w:right w:val="nil"/>
            </w:tcBorders>
            <w:shd w:val="clear" w:color="auto" w:fill="auto"/>
            <w:noWrap/>
            <w:vAlign w:val="center"/>
          </w:tcPr>
          <w:p w14:paraId="1A93F55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TT</w:t>
            </w:r>
          </w:p>
        </w:tc>
        <w:tc>
          <w:tcPr>
            <w:tcW w:w="1305" w:type="pct"/>
            <w:tcBorders>
              <w:top w:val="nil"/>
              <w:left w:val="nil"/>
              <w:bottom w:val="nil"/>
              <w:right w:val="nil"/>
            </w:tcBorders>
            <w:shd w:val="clear" w:color="auto" w:fill="auto"/>
            <w:noWrap/>
            <w:vAlign w:val="center"/>
          </w:tcPr>
          <w:p w14:paraId="3938CA7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w:t>
            </w:r>
          </w:p>
        </w:tc>
        <w:tc>
          <w:tcPr>
            <w:tcW w:w="1462" w:type="pct"/>
            <w:tcBorders>
              <w:top w:val="nil"/>
              <w:left w:val="nil"/>
              <w:bottom w:val="nil"/>
              <w:right w:val="nil"/>
            </w:tcBorders>
            <w:shd w:val="clear" w:color="auto" w:fill="auto"/>
            <w:noWrap/>
            <w:vAlign w:val="center"/>
          </w:tcPr>
          <w:p w14:paraId="52BC6E0E">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1.523</w:t>
            </w:r>
            <w:r>
              <w:rPr>
                <w:rStyle w:val="47"/>
                <w:rFonts w:eastAsia="宋体"/>
                <w:b/>
                <w:bCs/>
                <w:lang w:bidi="ar"/>
              </w:rPr>
              <w:t>a</w:t>
            </w:r>
          </w:p>
        </w:tc>
      </w:tr>
      <w:tr w14:paraId="769F6773">
        <w:tblPrEx>
          <w:tblCellMar>
            <w:top w:w="0" w:type="dxa"/>
            <w:left w:w="108" w:type="dxa"/>
            <w:bottom w:w="0" w:type="dxa"/>
            <w:right w:w="108" w:type="dxa"/>
          </w:tblCellMar>
        </w:tblPrEx>
        <w:trPr>
          <w:trHeight w:val="290" w:hRule="atLeast"/>
          <w:jc w:val="center"/>
        </w:trPr>
        <w:tc>
          <w:tcPr>
            <w:tcW w:w="615" w:type="pct"/>
            <w:vMerge w:val="continue"/>
            <w:tcBorders>
              <w:top w:val="nil"/>
              <w:left w:val="nil"/>
              <w:bottom w:val="nil"/>
              <w:right w:val="nil"/>
            </w:tcBorders>
            <w:shd w:val="clear" w:color="auto" w:fill="auto"/>
            <w:noWrap/>
            <w:vAlign w:val="center"/>
          </w:tcPr>
          <w:p w14:paraId="4DDD9052">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47F66C96">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53B0855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CT</w:t>
            </w:r>
          </w:p>
        </w:tc>
        <w:tc>
          <w:tcPr>
            <w:tcW w:w="1305" w:type="pct"/>
            <w:tcBorders>
              <w:top w:val="nil"/>
              <w:left w:val="nil"/>
              <w:bottom w:val="nil"/>
              <w:right w:val="nil"/>
            </w:tcBorders>
            <w:shd w:val="clear" w:color="auto" w:fill="auto"/>
            <w:noWrap/>
            <w:vAlign w:val="center"/>
          </w:tcPr>
          <w:p w14:paraId="35F7519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w:t>
            </w:r>
          </w:p>
        </w:tc>
        <w:tc>
          <w:tcPr>
            <w:tcW w:w="1462" w:type="pct"/>
            <w:tcBorders>
              <w:top w:val="nil"/>
              <w:left w:val="nil"/>
              <w:bottom w:val="nil"/>
              <w:right w:val="nil"/>
            </w:tcBorders>
            <w:shd w:val="clear" w:color="auto" w:fill="auto"/>
            <w:noWrap/>
            <w:vAlign w:val="center"/>
          </w:tcPr>
          <w:p w14:paraId="6C00D2AF">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1.440</w:t>
            </w:r>
            <w:r>
              <w:rPr>
                <w:rStyle w:val="47"/>
                <w:rFonts w:eastAsia="宋体"/>
                <w:b/>
                <w:bCs/>
                <w:lang w:bidi="ar"/>
              </w:rPr>
              <w:t>a</w:t>
            </w:r>
          </w:p>
        </w:tc>
      </w:tr>
      <w:tr w14:paraId="793EF691">
        <w:tblPrEx>
          <w:tblCellMar>
            <w:top w:w="0" w:type="dxa"/>
            <w:left w:w="108" w:type="dxa"/>
            <w:bottom w:w="0" w:type="dxa"/>
            <w:right w:w="108" w:type="dxa"/>
          </w:tblCellMar>
        </w:tblPrEx>
        <w:trPr>
          <w:trHeight w:val="290" w:hRule="atLeast"/>
          <w:jc w:val="center"/>
        </w:trPr>
        <w:tc>
          <w:tcPr>
            <w:tcW w:w="615" w:type="pct"/>
            <w:vMerge w:val="continue"/>
            <w:tcBorders>
              <w:top w:val="nil"/>
              <w:left w:val="nil"/>
              <w:bottom w:val="nil"/>
              <w:right w:val="nil"/>
            </w:tcBorders>
            <w:shd w:val="clear" w:color="auto" w:fill="auto"/>
            <w:noWrap/>
            <w:vAlign w:val="center"/>
          </w:tcPr>
          <w:p w14:paraId="5C50ABEC">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1DE07466">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46DE239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CC</w:t>
            </w:r>
          </w:p>
        </w:tc>
        <w:tc>
          <w:tcPr>
            <w:tcW w:w="1305" w:type="pct"/>
            <w:tcBorders>
              <w:top w:val="nil"/>
              <w:left w:val="nil"/>
              <w:bottom w:val="nil"/>
              <w:right w:val="nil"/>
            </w:tcBorders>
            <w:shd w:val="clear" w:color="auto" w:fill="auto"/>
            <w:noWrap/>
            <w:vAlign w:val="center"/>
          </w:tcPr>
          <w:p w14:paraId="5308ADC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w:t>
            </w:r>
          </w:p>
        </w:tc>
        <w:tc>
          <w:tcPr>
            <w:tcW w:w="1462" w:type="pct"/>
            <w:tcBorders>
              <w:top w:val="nil"/>
              <w:left w:val="nil"/>
              <w:bottom w:val="nil"/>
              <w:right w:val="nil"/>
            </w:tcBorders>
            <w:shd w:val="clear" w:color="auto" w:fill="auto"/>
            <w:noWrap/>
            <w:vAlign w:val="center"/>
          </w:tcPr>
          <w:p w14:paraId="0EFF752D">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0.885</w:t>
            </w:r>
            <w:r>
              <w:rPr>
                <w:rStyle w:val="47"/>
                <w:rFonts w:eastAsia="宋体"/>
                <w:b/>
                <w:bCs/>
                <w:lang w:bidi="ar"/>
              </w:rPr>
              <w:t>b</w:t>
            </w:r>
          </w:p>
        </w:tc>
      </w:tr>
      <w:tr w14:paraId="013D06C8">
        <w:tblPrEx>
          <w:tblCellMar>
            <w:top w:w="0" w:type="dxa"/>
            <w:left w:w="108" w:type="dxa"/>
            <w:bottom w:w="0" w:type="dxa"/>
            <w:right w:w="108" w:type="dxa"/>
          </w:tblCellMar>
        </w:tblPrEx>
        <w:trPr>
          <w:trHeight w:val="290" w:hRule="atLeast"/>
          <w:jc w:val="center"/>
        </w:trPr>
        <w:tc>
          <w:tcPr>
            <w:tcW w:w="615" w:type="pct"/>
            <w:vMerge w:val="restart"/>
            <w:tcBorders>
              <w:top w:val="nil"/>
              <w:left w:val="nil"/>
              <w:bottom w:val="nil"/>
              <w:right w:val="nil"/>
            </w:tcBorders>
            <w:shd w:val="clear" w:color="auto" w:fill="auto"/>
            <w:noWrap/>
            <w:vAlign w:val="center"/>
          </w:tcPr>
          <w:p w14:paraId="7F8613D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852" w:type="pct"/>
            <w:vMerge w:val="restart"/>
            <w:tcBorders>
              <w:top w:val="nil"/>
              <w:left w:val="nil"/>
              <w:bottom w:val="nil"/>
              <w:right w:val="nil"/>
            </w:tcBorders>
            <w:shd w:val="clear" w:color="auto" w:fill="auto"/>
            <w:noWrap/>
            <w:vAlign w:val="center"/>
          </w:tcPr>
          <w:p w14:paraId="55B4AA1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c.1234G&gt;T</w:t>
            </w:r>
          </w:p>
        </w:tc>
        <w:tc>
          <w:tcPr>
            <w:tcW w:w="764" w:type="pct"/>
            <w:tcBorders>
              <w:top w:val="nil"/>
              <w:left w:val="nil"/>
              <w:bottom w:val="nil"/>
              <w:right w:val="nil"/>
            </w:tcBorders>
            <w:shd w:val="clear" w:color="auto" w:fill="auto"/>
            <w:noWrap/>
            <w:vAlign w:val="center"/>
          </w:tcPr>
          <w:p w14:paraId="0EED7BF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1305" w:type="pct"/>
            <w:tcBorders>
              <w:top w:val="nil"/>
              <w:left w:val="nil"/>
              <w:bottom w:val="nil"/>
              <w:right w:val="nil"/>
            </w:tcBorders>
            <w:shd w:val="clear" w:color="auto" w:fill="auto"/>
            <w:noWrap/>
            <w:vAlign w:val="center"/>
          </w:tcPr>
          <w:p w14:paraId="47B8624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23</w:t>
            </w:r>
          </w:p>
        </w:tc>
        <w:tc>
          <w:tcPr>
            <w:tcW w:w="1462" w:type="pct"/>
            <w:tcBorders>
              <w:top w:val="nil"/>
              <w:left w:val="nil"/>
              <w:bottom w:val="nil"/>
              <w:right w:val="nil"/>
            </w:tcBorders>
            <w:shd w:val="clear" w:color="auto" w:fill="auto"/>
            <w:noWrap/>
            <w:vAlign w:val="center"/>
          </w:tcPr>
          <w:p w14:paraId="079F3190">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1.315</w:t>
            </w:r>
            <w:r>
              <w:rPr>
                <w:rStyle w:val="47"/>
                <w:rFonts w:eastAsia="宋体"/>
                <w:b/>
                <w:bCs/>
                <w:lang w:bidi="ar"/>
              </w:rPr>
              <w:t>a</w:t>
            </w:r>
          </w:p>
        </w:tc>
      </w:tr>
      <w:tr w14:paraId="39DD1F29">
        <w:tblPrEx>
          <w:tblCellMar>
            <w:top w:w="0" w:type="dxa"/>
            <w:left w:w="108" w:type="dxa"/>
            <w:bottom w:w="0" w:type="dxa"/>
            <w:right w:w="108" w:type="dxa"/>
          </w:tblCellMar>
        </w:tblPrEx>
        <w:trPr>
          <w:trHeight w:val="300" w:hRule="atLeast"/>
          <w:jc w:val="center"/>
        </w:trPr>
        <w:tc>
          <w:tcPr>
            <w:tcW w:w="615" w:type="pct"/>
            <w:vMerge w:val="continue"/>
            <w:tcBorders>
              <w:top w:val="nil"/>
              <w:left w:val="nil"/>
              <w:bottom w:val="nil"/>
              <w:right w:val="nil"/>
            </w:tcBorders>
            <w:shd w:val="clear" w:color="auto" w:fill="auto"/>
            <w:noWrap/>
            <w:vAlign w:val="center"/>
          </w:tcPr>
          <w:p w14:paraId="1D39D33E">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4E69A7EC">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465BE92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GT</w:t>
            </w:r>
          </w:p>
        </w:tc>
        <w:tc>
          <w:tcPr>
            <w:tcW w:w="1305" w:type="pct"/>
            <w:tcBorders>
              <w:top w:val="nil"/>
              <w:left w:val="nil"/>
              <w:bottom w:val="nil"/>
              <w:right w:val="nil"/>
            </w:tcBorders>
            <w:shd w:val="clear" w:color="auto" w:fill="auto"/>
            <w:noWrap/>
            <w:vAlign w:val="center"/>
          </w:tcPr>
          <w:p w14:paraId="4F0B77CC">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6</w:t>
            </w:r>
          </w:p>
        </w:tc>
        <w:tc>
          <w:tcPr>
            <w:tcW w:w="1462" w:type="pct"/>
            <w:tcBorders>
              <w:top w:val="nil"/>
              <w:left w:val="nil"/>
              <w:bottom w:val="nil"/>
              <w:right w:val="nil"/>
            </w:tcBorders>
            <w:shd w:val="clear" w:color="auto" w:fill="auto"/>
            <w:noWrap/>
            <w:vAlign w:val="center"/>
          </w:tcPr>
          <w:p w14:paraId="05FF9AAA">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0.787</w:t>
            </w:r>
            <w:r>
              <w:rPr>
                <w:rStyle w:val="47"/>
                <w:rFonts w:eastAsia="宋体"/>
                <w:b/>
                <w:bCs/>
                <w:lang w:bidi="ar"/>
              </w:rPr>
              <w:t>b</w:t>
            </w:r>
          </w:p>
        </w:tc>
      </w:tr>
      <w:tr w14:paraId="0AE31507">
        <w:tblPrEx>
          <w:tblCellMar>
            <w:top w:w="0" w:type="dxa"/>
            <w:left w:w="108" w:type="dxa"/>
            <w:bottom w:w="0" w:type="dxa"/>
            <w:right w:w="108" w:type="dxa"/>
          </w:tblCellMar>
        </w:tblPrEx>
        <w:trPr>
          <w:trHeight w:val="280" w:hRule="atLeast"/>
          <w:jc w:val="center"/>
        </w:trPr>
        <w:tc>
          <w:tcPr>
            <w:tcW w:w="615" w:type="pct"/>
            <w:vMerge w:val="restart"/>
            <w:tcBorders>
              <w:top w:val="nil"/>
              <w:left w:val="nil"/>
              <w:bottom w:val="nil"/>
              <w:right w:val="nil"/>
            </w:tcBorders>
            <w:shd w:val="clear" w:color="auto" w:fill="auto"/>
            <w:noWrap/>
            <w:vAlign w:val="center"/>
          </w:tcPr>
          <w:p w14:paraId="7301329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852" w:type="pct"/>
            <w:vMerge w:val="restart"/>
            <w:tcBorders>
              <w:top w:val="nil"/>
              <w:left w:val="nil"/>
              <w:bottom w:val="nil"/>
              <w:right w:val="nil"/>
            </w:tcBorders>
            <w:shd w:val="clear" w:color="auto" w:fill="auto"/>
            <w:noWrap/>
            <w:vAlign w:val="center"/>
          </w:tcPr>
          <w:p w14:paraId="0FFEF519">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c.2132G&gt;A</w:t>
            </w:r>
          </w:p>
        </w:tc>
        <w:tc>
          <w:tcPr>
            <w:tcW w:w="764" w:type="pct"/>
            <w:tcBorders>
              <w:top w:val="nil"/>
              <w:left w:val="nil"/>
              <w:bottom w:val="nil"/>
              <w:right w:val="nil"/>
            </w:tcBorders>
            <w:shd w:val="clear" w:color="auto" w:fill="auto"/>
            <w:noWrap/>
            <w:vAlign w:val="center"/>
          </w:tcPr>
          <w:p w14:paraId="430D679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1305" w:type="pct"/>
            <w:tcBorders>
              <w:top w:val="nil"/>
              <w:left w:val="nil"/>
              <w:bottom w:val="nil"/>
              <w:right w:val="nil"/>
            </w:tcBorders>
            <w:shd w:val="clear" w:color="auto" w:fill="auto"/>
            <w:noWrap/>
            <w:vAlign w:val="center"/>
          </w:tcPr>
          <w:p w14:paraId="744B1B4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w:t>
            </w:r>
          </w:p>
        </w:tc>
        <w:tc>
          <w:tcPr>
            <w:tcW w:w="1462" w:type="pct"/>
            <w:tcBorders>
              <w:top w:val="nil"/>
              <w:left w:val="nil"/>
              <w:bottom w:val="nil"/>
              <w:right w:val="nil"/>
            </w:tcBorders>
            <w:shd w:val="clear" w:color="auto" w:fill="auto"/>
            <w:noWrap/>
            <w:vAlign w:val="center"/>
          </w:tcPr>
          <w:p w14:paraId="0063ACA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1.409</w:t>
            </w:r>
          </w:p>
        </w:tc>
      </w:tr>
      <w:tr w14:paraId="19F76B71">
        <w:tblPrEx>
          <w:tblCellMar>
            <w:top w:w="0" w:type="dxa"/>
            <w:left w:w="108" w:type="dxa"/>
            <w:bottom w:w="0" w:type="dxa"/>
            <w:right w:w="108" w:type="dxa"/>
          </w:tblCellMar>
        </w:tblPrEx>
        <w:trPr>
          <w:trHeight w:val="280" w:hRule="atLeast"/>
          <w:jc w:val="center"/>
        </w:trPr>
        <w:tc>
          <w:tcPr>
            <w:tcW w:w="615" w:type="pct"/>
            <w:vMerge w:val="continue"/>
            <w:tcBorders>
              <w:top w:val="nil"/>
              <w:left w:val="nil"/>
              <w:bottom w:val="nil"/>
              <w:right w:val="nil"/>
            </w:tcBorders>
            <w:shd w:val="clear" w:color="auto" w:fill="auto"/>
            <w:noWrap/>
            <w:vAlign w:val="center"/>
          </w:tcPr>
          <w:p w14:paraId="44AA7447">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5A3B9BA1">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3BCE43DC">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GA</w:t>
            </w:r>
          </w:p>
        </w:tc>
        <w:tc>
          <w:tcPr>
            <w:tcW w:w="1305" w:type="pct"/>
            <w:tcBorders>
              <w:top w:val="nil"/>
              <w:left w:val="nil"/>
              <w:bottom w:val="nil"/>
              <w:right w:val="nil"/>
            </w:tcBorders>
            <w:shd w:val="clear" w:color="auto" w:fill="auto"/>
            <w:noWrap/>
            <w:vAlign w:val="center"/>
          </w:tcPr>
          <w:p w14:paraId="730E16A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10</w:t>
            </w:r>
          </w:p>
        </w:tc>
        <w:tc>
          <w:tcPr>
            <w:tcW w:w="1462" w:type="pct"/>
            <w:tcBorders>
              <w:top w:val="nil"/>
              <w:left w:val="nil"/>
              <w:bottom w:val="nil"/>
              <w:right w:val="nil"/>
            </w:tcBorders>
            <w:shd w:val="clear" w:color="auto" w:fill="auto"/>
            <w:noWrap/>
            <w:vAlign w:val="center"/>
          </w:tcPr>
          <w:p w14:paraId="7E86F1C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w:t>
            </w:r>
          </w:p>
        </w:tc>
      </w:tr>
      <w:tr w14:paraId="45B6F6E5">
        <w:tblPrEx>
          <w:tblCellMar>
            <w:top w:w="0" w:type="dxa"/>
            <w:left w:w="108" w:type="dxa"/>
            <w:bottom w:w="0" w:type="dxa"/>
            <w:right w:w="108" w:type="dxa"/>
          </w:tblCellMar>
        </w:tblPrEx>
        <w:trPr>
          <w:trHeight w:val="280" w:hRule="atLeast"/>
          <w:jc w:val="center"/>
        </w:trPr>
        <w:tc>
          <w:tcPr>
            <w:tcW w:w="615" w:type="pct"/>
            <w:vMerge w:val="continue"/>
            <w:tcBorders>
              <w:top w:val="nil"/>
              <w:left w:val="nil"/>
              <w:bottom w:val="nil"/>
              <w:right w:val="nil"/>
            </w:tcBorders>
            <w:shd w:val="clear" w:color="auto" w:fill="auto"/>
            <w:noWrap/>
            <w:vAlign w:val="center"/>
          </w:tcPr>
          <w:p w14:paraId="43E18E6A">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3F215379">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7C8C101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AA</w:t>
            </w:r>
          </w:p>
        </w:tc>
        <w:tc>
          <w:tcPr>
            <w:tcW w:w="1305" w:type="pct"/>
            <w:tcBorders>
              <w:top w:val="nil"/>
              <w:left w:val="nil"/>
              <w:bottom w:val="nil"/>
              <w:right w:val="nil"/>
            </w:tcBorders>
            <w:shd w:val="clear" w:color="auto" w:fill="auto"/>
            <w:noWrap/>
            <w:vAlign w:val="center"/>
          </w:tcPr>
          <w:p w14:paraId="24511E1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w:t>
            </w:r>
          </w:p>
        </w:tc>
        <w:tc>
          <w:tcPr>
            <w:tcW w:w="1462" w:type="pct"/>
            <w:tcBorders>
              <w:top w:val="nil"/>
              <w:left w:val="nil"/>
              <w:bottom w:val="nil"/>
              <w:right w:val="nil"/>
            </w:tcBorders>
            <w:shd w:val="clear" w:color="auto" w:fill="auto"/>
            <w:noWrap/>
            <w:vAlign w:val="center"/>
          </w:tcPr>
          <w:p w14:paraId="56FD126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0.933</w:t>
            </w:r>
          </w:p>
        </w:tc>
      </w:tr>
      <w:tr w14:paraId="3252C36F">
        <w:tblPrEx>
          <w:tblCellMar>
            <w:top w:w="0" w:type="dxa"/>
            <w:left w:w="108" w:type="dxa"/>
            <w:bottom w:w="0" w:type="dxa"/>
            <w:right w:w="108" w:type="dxa"/>
          </w:tblCellMar>
        </w:tblPrEx>
        <w:trPr>
          <w:trHeight w:val="290" w:hRule="atLeast"/>
          <w:jc w:val="center"/>
        </w:trPr>
        <w:tc>
          <w:tcPr>
            <w:tcW w:w="615" w:type="pct"/>
            <w:vMerge w:val="restart"/>
            <w:tcBorders>
              <w:top w:val="nil"/>
              <w:left w:val="nil"/>
              <w:bottom w:val="nil"/>
              <w:right w:val="nil"/>
            </w:tcBorders>
            <w:shd w:val="clear" w:color="auto" w:fill="auto"/>
            <w:noWrap/>
            <w:vAlign w:val="center"/>
          </w:tcPr>
          <w:p w14:paraId="172A790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852" w:type="pct"/>
            <w:vMerge w:val="restart"/>
            <w:tcBorders>
              <w:top w:val="nil"/>
              <w:left w:val="nil"/>
              <w:bottom w:val="nil"/>
              <w:right w:val="nil"/>
            </w:tcBorders>
            <w:shd w:val="clear" w:color="auto" w:fill="auto"/>
            <w:noWrap/>
            <w:vAlign w:val="center"/>
          </w:tcPr>
          <w:p w14:paraId="5370A54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c.2571A&gt;G</w:t>
            </w:r>
          </w:p>
        </w:tc>
        <w:tc>
          <w:tcPr>
            <w:tcW w:w="764" w:type="pct"/>
            <w:tcBorders>
              <w:top w:val="nil"/>
              <w:left w:val="nil"/>
              <w:bottom w:val="nil"/>
              <w:right w:val="nil"/>
            </w:tcBorders>
            <w:shd w:val="clear" w:color="auto" w:fill="auto"/>
            <w:noWrap/>
            <w:vAlign w:val="center"/>
          </w:tcPr>
          <w:p w14:paraId="2380878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AA</w:t>
            </w:r>
          </w:p>
        </w:tc>
        <w:tc>
          <w:tcPr>
            <w:tcW w:w="1305" w:type="pct"/>
            <w:tcBorders>
              <w:top w:val="nil"/>
              <w:left w:val="nil"/>
              <w:bottom w:val="nil"/>
              <w:right w:val="nil"/>
            </w:tcBorders>
            <w:shd w:val="clear" w:color="auto" w:fill="auto"/>
            <w:noWrap/>
            <w:vAlign w:val="center"/>
          </w:tcPr>
          <w:p w14:paraId="14DD1D5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w:t>
            </w:r>
          </w:p>
        </w:tc>
        <w:tc>
          <w:tcPr>
            <w:tcW w:w="1462" w:type="pct"/>
            <w:tcBorders>
              <w:top w:val="nil"/>
              <w:left w:val="nil"/>
              <w:bottom w:val="nil"/>
              <w:right w:val="nil"/>
            </w:tcBorders>
            <w:shd w:val="clear" w:color="auto" w:fill="auto"/>
            <w:noWrap/>
            <w:vAlign w:val="center"/>
          </w:tcPr>
          <w:p w14:paraId="01BC5D45">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1.518</w:t>
            </w:r>
            <w:r>
              <w:rPr>
                <w:rStyle w:val="47"/>
                <w:rFonts w:eastAsia="宋体"/>
                <w:b/>
                <w:bCs/>
                <w:lang w:bidi="ar"/>
              </w:rPr>
              <w:t>a</w:t>
            </w:r>
          </w:p>
        </w:tc>
      </w:tr>
      <w:tr w14:paraId="2176860C">
        <w:tblPrEx>
          <w:tblCellMar>
            <w:top w:w="0" w:type="dxa"/>
            <w:left w:w="108" w:type="dxa"/>
            <w:bottom w:w="0" w:type="dxa"/>
            <w:right w:w="108" w:type="dxa"/>
          </w:tblCellMar>
        </w:tblPrEx>
        <w:trPr>
          <w:trHeight w:val="290" w:hRule="atLeast"/>
          <w:jc w:val="center"/>
        </w:trPr>
        <w:tc>
          <w:tcPr>
            <w:tcW w:w="615" w:type="pct"/>
            <w:vMerge w:val="continue"/>
            <w:tcBorders>
              <w:top w:val="nil"/>
              <w:left w:val="nil"/>
              <w:bottom w:val="nil"/>
              <w:right w:val="nil"/>
            </w:tcBorders>
            <w:shd w:val="clear" w:color="auto" w:fill="auto"/>
            <w:noWrap/>
            <w:vAlign w:val="center"/>
          </w:tcPr>
          <w:p w14:paraId="2C2048FA">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6D9C6C85">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24FC120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AG</w:t>
            </w:r>
          </w:p>
        </w:tc>
        <w:tc>
          <w:tcPr>
            <w:tcW w:w="1305" w:type="pct"/>
            <w:tcBorders>
              <w:top w:val="nil"/>
              <w:left w:val="nil"/>
              <w:bottom w:val="nil"/>
              <w:right w:val="nil"/>
            </w:tcBorders>
            <w:shd w:val="clear" w:color="auto" w:fill="auto"/>
            <w:noWrap/>
            <w:vAlign w:val="center"/>
          </w:tcPr>
          <w:p w14:paraId="754C0C4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w:t>
            </w:r>
          </w:p>
        </w:tc>
        <w:tc>
          <w:tcPr>
            <w:tcW w:w="1462" w:type="pct"/>
            <w:tcBorders>
              <w:top w:val="nil"/>
              <w:left w:val="nil"/>
              <w:bottom w:val="nil"/>
              <w:right w:val="nil"/>
            </w:tcBorders>
            <w:shd w:val="clear" w:color="auto" w:fill="auto"/>
            <w:noWrap/>
            <w:vAlign w:val="center"/>
          </w:tcPr>
          <w:p w14:paraId="017FDE0F">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1.308</w:t>
            </w:r>
            <w:r>
              <w:rPr>
                <w:rStyle w:val="47"/>
                <w:rFonts w:eastAsia="宋体"/>
                <w:b/>
                <w:bCs/>
                <w:lang w:bidi="ar"/>
              </w:rPr>
              <w:t>ab</w:t>
            </w:r>
          </w:p>
        </w:tc>
      </w:tr>
      <w:tr w14:paraId="2E73ABB6">
        <w:tblPrEx>
          <w:tblCellMar>
            <w:top w:w="0" w:type="dxa"/>
            <w:left w:w="108" w:type="dxa"/>
            <w:bottom w:w="0" w:type="dxa"/>
            <w:right w:w="108" w:type="dxa"/>
          </w:tblCellMar>
        </w:tblPrEx>
        <w:trPr>
          <w:trHeight w:val="290" w:hRule="atLeast"/>
          <w:jc w:val="center"/>
        </w:trPr>
        <w:tc>
          <w:tcPr>
            <w:tcW w:w="615" w:type="pct"/>
            <w:vMerge w:val="continue"/>
            <w:tcBorders>
              <w:top w:val="nil"/>
              <w:left w:val="nil"/>
              <w:bottom w:val="nil"/>
              <w:right w:val="nil"/>
            </w:tcBorders>
            <w:shd w:val="clear" w:color="auto" w:fill="auto"/>
            <w:noWrap/>
            <w:vAlign w:val="center"/>
          </w:tcPr>
          <w:p w14:paraId="5B012E5C">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575C6702">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0EE8A95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1305" w:type="pct"/>
            <w:tcBorders>
              <w:top w:val="nil"/>
              <w:left w:val="nil"/>
              <w:bottom w:val="nil"/>
              <w:right w:val="nil"/>
            </w:tcBorders>
            <w:shd w:val="clear" w:color="auto" w:fill="auto"/>
            <w:noWrap/>
            <w:vAlign w:val="center"/>
          </w:tcPr>
          <w:p w14:paraId="0EB4705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w:t>
            </w:r>
          </w:p>
        </w:tc>
        <w:tc>
          <w:tcPr>
            <w:tcW w:w="1462" w:type="pct"/>
            <w:tcBorders>
              <w:top w:val="nil"/>
              <w:left w:val="nil"/>
              <w:bottom w:val="nil"/>
              <w:right w:val="nil"/>
            </w:tcBorders>
            <w:shd w:val="clear" w:color="auto" w:fill="auto"/>
            <w:noWrap/>
            <w:vAlign w:val="center"/>
          </w:tcPr>
          <w:p w14:paraId="3B470410">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0.990</w:t>
            </w:r>
            <w:r>
              <w:rPr>
                <w:rStyle w:val="47"/>
                <w:rFonts w:eastAsia="宋体"/>
                <w:b/>
                <w:bCs/>
                <w:lang w:bidi="ar"/>
              </w:rPr>
              <w:t>b</w:t>
            </w:r>
          </w:p>
        </w:tc>
      </w:tr>
      <w:tr w14:paraId="2A42B32F">
        <w:tblPrEx>
          <w:tblCellMar>
            <w:top w:w="0" w:type="dxa"/>
            <w:left w:w="108" w:type="dxa"/>
            <w:bottom w:w="0" w:type="dxa"/>
            <w:right w:w="108" w:type="dxa"/>
          </w:tblCellMar>
        </w:tblPrEx>
        <w:trPr>
          <w:trHeight w:val="305" w:hRule="atLeast"/>
          <w:jc w:val="center"/>
        </w:trPr>
        <w:tc>
          <w:tcPr>
            <w:tcW w:w="615" w:type="pct"/>
            <w:vMerge w:val="restart"/>
            <w:tcBorders>
              <w:top w:val="nil"/>
              <w:left w:val="nil"/>
              <w:bottom w:val="nil"/>
              <w:right w:val="nil"/>
            </w:tcBorders>
            <w:shd w:val="clear" w:color="auto" w:fill="auto"/>
            <w:noWrap/>
            <w:vAlign w:val="center"/>
          </w:tcPr>
          <w:p w14:paraId="268F2D0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852" w:type="pct"/>
            <w:vMerge w:val="restart"/>
            <w:tcBorders>
              <w:top w:val="nil"/>
              <w:left w:val="nil"/>
              <w:bottom w:val="nil"/>
              <w:right w:val="nil"/>
            </w:tcBorders>
            <w:shd w:val="clear" w:color="auto" w:fill="auto"/>
            <w:noWrap/>
            <w:vAlign w:val="center"/>
          </w:tcPr>
          <w:p w14:paraId="5DC00D9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c.3142G&gt;T</w:t>
            </w:r>
          </w:p>
        </w:tc>
        <w:tc>
          <w:tcPr>
            <w:tcW w:w="764" w:type="pct"/>
            <w:tcBorders>
              <w:top w:val="nil"/>
              <w:left w:val="nil"/>
              <w:bottom w:val="nil"/>
              <w:right w:val="nil"/>
            </w:tcBorders>
            <w:shd w:val="clear" w:color="auto" w:fill="auto"/>
            <w:noWrap/>
            <w:vAlign w:val="center"/>
          </w:tcPr>
          <w:p w14:paraId="2BD6005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1305" w:type="pct"/>
            <w:tcBorders>
              <w:top w:val="nil"/>
              <w:left w:val="nil"/>
              <w:bottom w:val="nil"/>
              <w:right w:val="nil"/>
            </w:tcBorders>
            <w:shd w:val="clear" w:color="auto" w:fill="auto"/>
            <w:noWrap/>
            <w:vAlign w:val="center"/>
          </w:tcPr>
          <w:p w14:paraId="4BD8FDEC">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5</w:t>
            </w:r>
          </w:p>
        </w:tc>
        <w:tc>
          <w:tcPr>
            <w:tcW w:w="1462" w:type="pct"/>
            <w:tcBorders>
              <w:top w:val="nil"/>
              <w:left w:val="nil"/>
              <w:bottom w:val="nil"/>
              <w:right w:val="nil"/>
            </w:tcBorders>
            <w:shd w:val="clear" w:color="auto" w:fill="auto"/>
            <w:noWrap/>
            <w:vAlign w:val="center"/>
          </w:tcPr>
          <w:p w14:paraId="5E923687">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1.470</w:t>
            </w:r>
            <w:r>
              <w:rPr>
                <w:rStyle w:val="47"/>
                <w:rFonts w:eastAsia="宋体"/>
                <w:b/>
                <w:bCs/>
                <w:lang w:bidi="ar"/>
              </w:rPr>
              <w:t>a</w:t>
            </w:r>
          </w:p>
        </w:tc>
      </w:tr>
      <w:tr w14:paraId="716B20EE">
        <w:tblPrEx>
          <w:tblCellMar>
            <w:top w:w="0" w:type="dxa"/>
            <w:left w:w="108" w:type="dxa"/>
            <w:bottom w:w="0" w:type="dxa"/>
            <w:right w:w="108" w:type="dxa"/>
          </w:tblCellMar>
        </w:tblPrEx>
        <w:trPr>
          <w:trHeight w:val="305" w:hRule="atLeast"/>
          <w:jc w:val="center"/>
        </w:trPr>
        <w:tc>
          <w:tcPr>
            <w:tcW w:w="615" w:type="pct"/>
            <w:vMerge w:val="continue"/>
            <w:tcBorders>
              <w:top w:val="nil"/>
              <w:left w:val="nil"/>
              <w:bottom w:val="nil"/>
              <w:right w:val="nil"/>
            </w:tcBorders>
            <w:shd w:val="clear" w:color="auto" w:fill="auto"/>
            <w:noWrap/>
            <w:vAlign w:val="center"/>
          </w:tcPr>
          <w:p w14:paraId="5BE0D941">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nil"/>
              <w:right w:val="nil"/>
            </w:tcBorders>
            <w:shd w:val="clear" w:color="auto" w:fill="auto"/>
            <w:noWrap/>
            <w:vAlign w:val="center"/>
          </w:tcPr>
          <w:p w14:paraId="5BFB81E1">
            <w:pPr>
              <w:spacing w:line="360" w:lineRule="auto"/>
              <w:jc w:val="center"/>
              <w:rPr>
                <w:rFonts w:ascii="Times New Roman" w:hAnsi="Times New Roman" w:eastAsia="宋体" w:cs="Times New Roman"/>
                <w:color w:val="000000"/>
                <w:szCs w:val="21"/>
              </w:rPr>
            </w:pPr>
          </w:p>
        </w:tc>
        <w:tc>
          <w:tcPr>
            <w:tcW w:w="764" w:type="pct"/>
            <w:tcBorders>
              <w:top w:val="nil"/>
              <w:left w:val="nil"/>
              <w:bottom w:val="nil"/>
              <w:right w:val="nil"/>
            </w:tcBorders>
            <w:shd w:val="clear" w:color="auto" w:fill="auto"/>
            <w:noWrap/>
            <w:vAlign w:val="center"/>
          </w:tcPr>
          <w:p w14:paraId="5AB28AD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GT</w:t>
            </w:r>
          </w:p>
        </w:tc>
        <w:tc>
          <w:tcPr>
            <w:tcW w:w="1305" w:type="pct"/>
            <w:tcBorders>
              <w:top w:val="nil"/>
              <w:left w:val="nil"/>
              <w:bottom w:val="nil"/>
              <w:right w:val="nil"/>
            </w:tcBorders>
            <w:shd w:val="clear" w:color="auto" w:fill="auto"/>
            <w:noWrap/>
            <w:vAlign w:val="center"/>
          </w:tcPr>
          <w:p w14:paraId="0E84A4A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15</w:t>
            </w:r>
          </w:p>
        </w:tc>
        <w:tc>
          <w:tcPr>
            <w:tcW w:w="1462" w:type="pct"/>
            <w:tcBorders>
              <w:top w:val="nil"/>
              <w:left w:val="nil"/>
              <w:bottom w:val="nil"/>
              <w:right w:val="nil"/>
            </w:tcBorders>
            <w:shd w:val="clear" w:color="auto" w:fill="auto"/>
            <w:noWrap/>
            <w:vAlign w:val="center"/>
          </w:tcPr>
          <w:p w14:paraId="11AE93DC">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1.324</w:t>
            </w:r>
            <w:r>
              <w:rPr>
                <w:rStyle w:val="47"/>
                <w:rFonts w:eastAsia="宋体"/>
                <w:b/>
                <w:bCs/>
                <w:lang w:bidi="ar"/>
              </w:rPr>
              <w:t>a</w:t>
            </w:r>
          </w:p>
        </w:tc>
      </w:tr>
      <w:tr w14:paraId="5AF2522B">
        <w:tblPrEx>
          <w:tblCellMar>
            <w:top w:w="0" w:type="dxa"/>
            <w:left w:w="108" w:type="dxa"/>
            <w:bottom w:w="0" w:type="dxa"/>
            <w:right w:w="108" w:type="dxa"/>
          </w:tblCellMar>
        </w:tblPrEx>
        <w:trPr>
          <w:trHeight w:val="305" w:hRule="atLeast"/>
          <w:jc w:val="center"/>
        </w:trPr>
        <w:tc>
          <w:tcPr>
            <w:tcW w:w="615" w:type="pct"/>
            <w:vMerge w:val="continue"/>
            <w:tcBorders>
              <w:top w:val="nil"/>
              <w:left w:val="nil"/>
              <w:bottom w:val="single" w:color="000000" w:sz="12" w:space="0"/>
              <w:right w:val="nil"/>
            </w:tcBorders>
            <w:shd w:val="clear" w:color="auto" w:fill="auto"/>
            <w:noWrap/>
            <w:vAlign w:val="center"/>
          </w:tcPr>
          <w:p w14:paraId="35DB4BA3">
            <w:pPr>
              <w:spacing w:line="360" w:lineRule="auto"/>
              <w:jc w:val="center"/>
              <w:rPr>
                <w:rFonts w:ascii="Times New Roman" w:hAnsi="Times New Roman" w:eastAsia="宋体" w:cs="Times New Roman"/>
                <w:color w:val="000000"/>
                <w:szCs w:val="21"/>
              </w:rPr>
            </w:pPr>
          </w:p>
        </w:tc>
        <w:tc>
          <w:tcPr>
            <w:tcW w:w="852" w:type="pct"/>
            <w:vMerge w:val="continue"/>
            <w:tcBorders>
              <w:top w:val="nil"/>
              <w:left w:val="nil"/>
              <w:bottom w:val="single" w:color="000000" w:sz="12" w:space="0"/>
              <w:right w:val="nil"/>
            </w:tcBorders>
            <w:shd w:val="clear" w:color="auto" w:fill="auto"/>
            <w:noWrap/>
            <w:vAlign w:val="center"/>
          </w:tcPr>
          <w:p w14:paraId="38F18BC0">
            <w:pPr>
              <w:spacing w:line="360" w:lineRule="auto"/>
              <w:jc w:val="center"/>
              <w:rPr>
                <w:rFonts w:ascii="Times New Roman" w:hAnsi="Times New Roman" w:eastAsia="宋体" w:cs="Times New Roman"/>
                <w:color w:val="000000"/>
                <w:szCs w:val="21"/>
              </w:rPr>
            </w:pPr>
          </w:p>
        </w:tc>
        <w:tc>
          <w:tcPr>
            <w:tcW w:w="764" w:type="pct"/>
            <w:tcBorders>
              <w:top w:val="nil"/>
              <w:left w:val="nil"/>
              <w:bottom w:val="single" w:color="000000" w:sz="12" w:space="0"/>
              <w:right w:val="nil"/>
            </w:tcBorders>
            <w:shd w:val="clear" w:color="auto" w:fill="auto"/>
            <w:noWrap/>
            <w:vAlign w:val="center"/>
          </w:tcPr>
          <w:p w14:paraId="258B0EE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TT</w:t>
            </w:r>
          </w:p>
        </w:tc>
        <w:tc>
          <w:tcPr>
            <w:tcW w:w="1305" w:type="pct"/>
            <w:tcBorders>
              <w:top w:val="nil"/>
              <w:left w:val="nil"/>
              <w:bottom w:val="single" w:color="000000" w:sz="12" w:space="0"/>
              <w:right w:val="nil"/>
            </w:tcBorders>
            <w:shd w:val="clear" w:color="auto" w:fill="auto"/>
            <w:noWrap/>
            <w:vAlign w:val="center"/>
          </w:tcPr>
          <w:p w14:paraId="62C8938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9</w:t>
            </w:r>
          </w:p>
        </w:tc>
        <w:tc>
          <w:tcPr>
            <w:tcW w:w="1462" w:type="pct"/>
            <w:tcBorders>
              <w:top w:val="nil"/>
              <w:left w:val="nil"/>
              <w:bottom w:val="single" w:color="000000" w:sz="12" w:space="0"/>
              <w:right w:val="nil"/>
            </w:tcBorders>
            <w:shd w:val="clear" w:color="auto" w:fill="auto"/>
            <w:noWrap/>
            <w:vAlign w:val="center"/>
          </w:tcPr>
          <w:p w14:paraId="43D19949">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0.862</w:t>
            </w:r>
            <w:r>
              <w:rPr>
                <w:rStyle w:val="47"/>
                <w:rFonts w:eastAsia="宋体"/>
                <w:b/>
                <w:bCs/>
                <w:lang w:bidi="ar"/>
              </w:rPr>
              <w:t>b</w:t>
            </w:r>
          </w:p>
        </w:tc>
      </w:tr>
    </w:tbl>
    <w:p w14:paraId="1D4734DC">
      <w:pPr>
        <w:pStyle w:val="15"/>
        <w:widowControl/>
        <w:spacing w:beforeAutospacing="0" w:afterAutospacing="0" w:line="360" w:lineRule="auto"/>
        <w:jc w:val="both"/>
        <w:rPr>
          <w:rFonts w:ascii="Times New Roman" w:hAnsi="Times New Roman" w:eastAsia="宋体"/>
          <w:b/>
          <w:bCs/>
          <w:kern w:val="2"/>
          <w:sz w:val="21"/>
          <w:szCs w:val="21"/>
        </w:rPr>
      </w:pPr>
    </w:p>
    <w:p w14:paraId="4FC38B5A">
      <w:pPr>
        <w:pStyle w:val="15"/>
        <w:widowControl/>
        <w:spacing w:beforeAutospacing="0" w:afterAutospacing="0" w:line="360" w:lineRule="auto"/>
        <w:jc w:val="both"/>
        <w:outlineLvl w:val="3"/>
        <w:rPr>
          <w:rFonts w:ascii="Times New Roman" w:hAnsi="Times New Roman"/>
          <w:b/>
          <w:bCs/>
          <w:spacing w:val="10"/>
          <w:sz w:val="21"/>
          <w:szCs w:val="21"/>
        </w:rPr>
      </w:pPr>
      <w:r>
        <w:rPr>
          <w:rFonts w:ascii="Times New Roman" w:hAnsi="Times New Roman"/>
          <w:b/>
          <w:bCs/>
          <w:spacing w:val="10"/>
          <w:sz w:val="21"/>
          <w:szCs w:val="21"/>
        </w:rPr>
        <w:t>Table 4 Immunoglobulin concentrations in different sites of 4</w:t>
      </w:r>
      <w:r>
        <w:rPr>
          <w:rFonts w:ascii="Times New Roman" w:hAnsi="Times New Roman"/>
          <w:b/>
          <w:bCs/>
          <w:i/>
          <w:spacing w:val="10"/>
          <w:sz w:val="21"/>
          <w:szCs w:val="21"/>
        </w:rPr>
        <w:t>LTF</w:t>
      </w:r>
      <w:r>
        <w:rPr>
          <w:rFonts w:ascii="Times New Roman" w:hAnsi="Times New Roman"/>
          <w:b/>
          <w:bCs/>
          <w:spacing w:val="10"/>
          <w:sz w:val="21"/>
          <w:szCs w:val="21"/>
        </w:rPr>
        <w:t xml:space="preserve">, </w:t>
      </w:r>
      <w:r>
        <w:rPr>
          <w:rFonts w:ascii="Times New Roman" w:hAnsi="Times New Roman"/>
          <w:b/>
          <w:bCs/>
          <w:i/>
          <w:spacing w:val="10"/>
          <w:sz w:val="21"/>
          <w:szCs w:val="21"/>
        </w:rPr>
        <w:t>PTPRK</w:t>
      </w:r>
      <w:r>
        <w:rPr>
          <w:rFonts w:ascii="Times New Roman" w:hAnsi="Times New Roman"/>
          <w:b/>
          <w:bCs/>
          <w:spacing w:val="10"/>
          <w:sz w:val="21"/>
          <w:szCs w:val="21"/>
        </w:rPr>
        <w:t xml:space="preserve">, and </w:t>
      </w:r>
      <w:r>
        <w:rPr>
          <w:rFonts w:ascii="Times New Roman" w:hAnsi="Times New Roman"/>
          <w:b/>
          <w:bCs/>
          <w:i/>
          <w:spacing w:val="10"/>
          <w:sz w:val="21"/>
          <w:szCs w:val="21"/>
        </w:rPr>
        <w:t>LIFR</w:t>
      </w:r>
      <w:r>
        <w:rPr>
          <w:rFonts w:ascii="Times New Roman" w:hAnsi="Times New Roman"/>
          <w:b/>
          <w:bCs/>
          <w:spacing w:val="10"/>
          <w:sz w:val="21"/>
          <w:szCs w:val="21"/>
        </w:rPr>
        <w:t xml:space="preserve"> genes and colostrum</w:t>
      </w:r>
      <w:r>
        <w:rPr>
          <w:rFonts w:hint="eastAsia" w:ascii="Times New Roman" w:hAnsi="Times New Roman"/>
          <w:b/>
          <w:bCs/>
          <w:spacing w:val="10"/>
          <w:sz w:val="21"/>
          <w:szCs w:val="21"/>
        </w:rPr>
        <w:t>.</w:t>
      </w:r>
    </w:p>
    <w:tbl>
      <w:tblPr>
        <w:tblStyle w:val="16"/>
        <w:tblW w:w="5135" w:type="pct"/>
        <w:tblInd w:w="-153" w:type="dxa"/>
        <w:tblLayout w:type="fixed"/>
        <w:tblCellMar>
          <w:top w:w="0" w:type="dxa"/>
          <w:left w:w="108" w:type="dxa"/>
          <w:bottom w:w="0" w:type="dxa"/>
          <w:right w:w="108" w:type="dxa"/>
        </w:tblCellMar>
      </w:tblPr>
      <w:tblGrid>
        <w:gridCol w:w="886"/>
        <w:gridCol w:w="1263"/>
        <w:gridCol w:w="1102"/>
        <w:gridCol w:w="1493"/>
        <w:gridCol w:w="1309"/>
        <w:gridCol w:w="1384"/>
        <w:gridCol w:w="1314"/>
      </w:tblGrid>
      <w:tr w14:paraId="2D2FDAB2">
        <w:tblPrEx>
          <w:tblCellMar>
            <w:top w:w="0" w:type="dxa"/>
            <w:left w:w="108" w:type="dxa"/>
            <w:bottom w:w="0" w:type="dxa"/>
            <w:right w:w="108" w:type="dxa"/>
          </w:tblCellMar>
        </w:tblPrEx>
        <w:trPr>
          <w:trHeight w:val="535" w:hRule="atLeast"/>
        </w:trPr>
        <w:tc>
          <w:tcPr>
            <w:tcW w:w="506" w:type="pct"/>
            <w:tcBorders>
              <w:top w:val="single" w:color="000000" w:sz="12" w:space="0"/>
              <w:left w:val="nil"/>
              <w:bottom w:val="single" w:color="000000" w:sz="6" w:space="0"/>
              <w:right w:val="nil"/>
            </w:tcBorders>
            <w:shd w:val="clear" w:color="auto" w:fill="auto"/>
            <w:noWrap/>
            <w:vAlign w:val="center"/>
          </w:tcPr>
          <w:p w14:paraId="1BC5D4B6">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Gene</w:t>
            </w:r>
          </w:p>
        </w:tc>
        <w:tc>
          <w:tcPr>
            <w:tcW w:w="721" w:type="pct"/>
            <w:tcBorders>
              <w:top w:val="single" w:color="000000" w:sz="12" w:space="0"/>
              <w:left w:val="nil"/>
              <w:bottom w:val="single" w:color="000000" w:sz="6" w:space="0"/>
              <w:right w:val="nil"/>
            </w:tcBorders>
            <w:shd w:val="clear" w:color="auto" w:fill="auto"/>
            <w:noWrap/>
            <w:vAlign w:val="center"/>
          </w:tcPr>
          <w:p w14:paraId="0F7E1BDE">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SNP</w:t>
            </w:r>
          </w:p>
        </w:tc>
        <w:tc>
          <w:tcPr>
            <w:tcW w:w="629" w:type="pct"/>
            <w:tcBorders>
              <w:top w:val="single" w:color="000000" w:sz="12" w:space="0"/>
              <w:left w:val="nil"/>
              <w:bottom w:val="single" w:color="000000" w:sz="6" w:space="0"/>
              <w:right w:val="nil"/>
            </w:tcBorders>
            <w:shd w:val="clear" w:color="auto" w:fill="auto"/>
            <w:noWrap/>
            <w:vAlign w:val="center"/>
          </w:tcPr>
          <w:p w14:paraId="73FFCDA4">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Genotype</w:t>
            </w:r>
          </w:p>
        </w:tc>
        <w:tc>
          <w:tcPr>
            <w:tcW w:w="851" w:type="pct"/>
            <w:tcBorders>
              <w:top w:val="single" w:color="000000" w:sz="12" w:space="0"/>
              <w:left w:val="nil"/>
              <w:bottom w:val="single" w:color="000000" w:sz="6" w:space="0"/>
              <w:right w:val="nil"/>
            </w:tcBorders>
            <w:shd w:val="clear" w:color="auto" w:fill="auto"/>
            <w:noWrap/>
            <w:vAlign w:val="center"/>
          </w:tcPr>
          <w:p w14:paraId="3780FD0C">
            <w:pPr>
              <w:widowControl/>
              <w:spacing w:line="360" w:lineRule="auto"/>
              <w:jc w:val="center"/>
              <w:textAlignment w:val="center"/>
              <w:rPr>
                <w:rFonts w:ascii="Times New Roman" w:hAnsi="Times New Roman" w:eastAsia="宋体" w:cs="Times New Roman"/>
                <w:b/>
                <w:bCs/>
                <w:color w:val="000000"/>
                <w:szCs w:val="21"/>
              </w:rPr>
            </w:pPr>
            <w:r>
              <w:rPr>
                <w:rFonts w:ascii="Times New Roman" w:hAnsi="Times New Roman" w:eastAsia="宋体" w:cs="Times New Roman"/>
                <w:b/>
                <w:bCs/>
                <w:color w:val="000000"/>
                <w:kern w:val="0"/>
                <w:szCs w:val="21"/>
                <w:lang w:bidi="ar"/>
              </w:rPr>
              <w:t>Observed number</w:t>
            </w:r>
          </w:p>
        </w:tc>
        <w:tc>
          <w:tcPr>
            <w:tcW w:w="748" w:type="pct"/>
            <w:tcBorders>
              <w:top w:val="single" w:color="000000" w:sz="12" w:space="0"/>
              <w:left w:val="nil"/>
              <w:bottom w:val="single" w:color="000000" w:sz="6" w:space="0"/>
              <w:right w:val="nil"/>
            </w:tcBorders>
            <w:shd w:val="clear" w:color="auto" w:fill="auto"/>
            <w:vAlign w:val="center"/>
          </w:tcPr>
          <w:p w14:paraId="6A78818F">
            <w:pPr>
              <w:widowControl/>
              <w:spacing w:line="360" w:lineRule="auto"/>
              <w:jc w:val="center"/>
              <w:textAlignment w:val="center"/>
              <w:rPr>
                <w:rFonts w:ascii="Times New Roman" w:hAnsi="Times New Roman" w:eastAsia="宋体" w:cs="Times New Roman"/>
                <w:b/>
                <w:bCs/>
                <w:color w:val="000000"/>
                <w:sz w:val="20"/>
                <w:szCs w:val="20"/>
              </w:rPr>
            </w:pPr>
            <w:r>
              <w:rPr>
                <w:rFonts w:ascii="Times New Roman" w:hAnsi="Times New Roman" w:eastAsia="宋体" w:cs="Times New Roman"/>
                <w:b/>
                <w:bCs/>
                <w:color w:val="000000"/>
                <w:kern w:val="0"/>
                <w:sz w:val="20"/>
                <w:szCs w:val="20"/>
                <w:lang w:bidi="ar"/>
              </w:rPr>
              <w:t>IgG(mg/mL)</w:t>
            </w:r>
          </w:p>
        </w:tc>
        <w:tc>
          <w:tcPr>
            <w:tcW w:w="791" w:type="pct"/>
            <w:tcBorders>
              <w:top w:val="single" w:color="000000" w:sz="12" w:space="0"/>
              <w:left w:val="nil"/>
              <w:bottom w:val="single" w:color="000000" w:sz="6" w:space="0"/>
              <w:right w:val="nil"/>
            </w:tcBorders>
            <w:shd w:val="clear" w:color="auto" w:fill="auto"/>
            <w:vAlign w:val="center"/>
          </w:tcPr>
          <w:p w14:paraId="2C0F40BD">
            <w:pPr>
              <w:widowControl/>
              <w:spacing w:line="360" w:lineRule="auto"/>
              <w:jc w:val="center"/>
              <w:textAlignment w:val="center"/>
              <w:rPr>
                <w:rFonts w:ascii="Times New Roman" w:hAnsi="Times New Roman" w:eastAsia="宋体" w:cs="Times New Roman"/>
                <w:b/>
                <w:bCs/>
                <w:color w:val="000000"/>
                <w:sz w:val="20"/>
                <w:szCs w:val="20"/>
              </w:rPr>
            </w:pPr>
            <w:r>
              <w:rPr>
                <w:rFonts w:ascii="Times New Roman" w:hAnsi="Times New Roman" w:eastAsia="宋体" w:cs="Times New Roman"/>
                <w:b/>
                <w:bCs/>
                <w:color w:val="000000"/>
                <w:kern w:val="0"/>
                <w:sz w:val="20"/>
                <w:szCs w:val="20"/>
                <w:lang w:bidi="ar"/>
              </w:rPr>
              <w:t>IgM(mg/mL)</w:t>
            </w:r>
          </w:p>
        </w:tc>
        <w:tc>
          <w:tcPr>
            <w:tcW w:w="751" w:type="pct"/>
            <w:tcBorders>
              <w:top w:val="single" w:color="000000" w:sz="12" w:space="0"/>
              <w:left w:val="nil"/>
              <w:bottom w:val="single" w:color="000000" w:sz="6" w:space="0"/>
              <w:right w:val="nil"/>
            </w:tcBorders>
            <w:shd w:val="clear" w:color="auto" w:fill="auto"/>
            <w:vAlign w:val="center"/>
          </w:tcPr>
          <w:p w14:paraId="60335AD1">
            <w:pPr>
              <w:widowControl/>
              <w:spacing w:line="360" w:lineRule="auto"/>
              <w:jc w:val="center"/>
              <w:textAlignment w:val="center"/>
              <w:rPr>
                <w:rFonts w:ascii="Times New Roman" w:hAnsi="Times New Roman" w:eastAsia="宋体" w:cs="Times New Roman"/>
                <w:b/>
                <w:bCs/>
                <w:color w:val="000000"/>
                <w:sz w:val="20"/>
                <w:szCs w:val="20"/>
              </w:rPr>
            </w:pPr>
            <w:r>
              <w:rPr>
                <w:rFonts w:ascii="Times New Roman" w:hAnsi="Times New Roman" w:eastAsia="宋体" w:cs="Times New Roman"/>
                <w:b/>
                <w:bCs/>
                <w:color w:val="000000"/>
                <w:kern w:val="0"/>
                <w:sz w:val="20"/>
                <w:szCs w:val="20"/>
                <w:lang w:bidi="ar"/>
              </w:rPr>
              <w:t>IgA(mg/mL)</w:t>
            </w:r>
          </w:p>
        </w:tc>
      </w:tr>
      <w:tr w14:paraId="2A85CEFB">
        <w:tblPrEx>
          <w:tblCellMar>
            <w:top w:w="0" w:type="dxa"/>
            <w:left w:w="108" w:type="dxa"/>
            <w:bottom w:w="0" w:type="dxa"/>
            <w:right w:w="108" w:type="dxa"/>
          </w:tblCellMar>
        </w:tblPrEx>
        <w:trPr>
          <w:trHeight w:val="290" w:hRule="atLeast"/>
        </w:trPr>
        <w:tc>
          <w:tcPr>
            <w:tcW w:w="506" w:type="pct"/>
            <w:vMerge w:val="restart"/>
            <w:tcBorders>
              <w:top w:val="single" w:color="000000" w:sz="6" w:space="0"/>
              <w:left w:val="nil"/>
              <w:bottom w:val="nil"/>
              <w:right w:val="nil"/>
            </w:tcBorders>
            <w:shd w:val="clear" w:color="auto" w:fill="auto"/>
            <w:noWrap/>
            <w:vAlign w:val="center"/>
          </w:tcPr>
          <w:p w14:paraId="1FE59F2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LTF</w:t>
            </w:r>
          </w:p>
        </w:tc>
        <w:tc>
          <w:tcPr>
            <w:tcW w:w="721" w:type="pct"/>
            <w:vMerge w:val="restart"/>
            <w:tcBorders>
              <w:top w:val="single" w:color="000000" w:sz="6" w:space="0"/>
              <w:left w:val="nil"/>
              <w:bottom w:val="nil"/>
              <w:right w:val="nil"/>
            </w:tcBorders>
            <w:shd w:val="clear" w:color="auto" w:fill="auto"/>
            <w:noWrap/>
            <w:vAlign w:val="center"/>
          </w:tcPr>
          <w:p w14:paraId="47186A3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c.407T&gt;C</w:t>
            </w:r>
          </w:p>
        </w:tc>
        <w:tc>
          <w:tcPr>
            <w:tcW w:w="629" w:type="pct"/>
            <w:tcBorders>
              <w:top w:val="single" w:color="000000" w:sz="6" w:space="0"/>
              <w:left w:val="nil"/>
              <w:bottom w:val="nil"/>
              <w:right w:val="nil"/>
            </w:tcBorders>
            <w:shd w:val="clear" w:color="auto" w:fill="auto"/>
            <w:noWrap/>
            <w:vAlign w:val="center"/>
          </w:tcPr>
          <w:p w14:paraId="0EB0D81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TT</w:t>
            </w:r>
          </w:p>
        </w:tc>
        <w:tc>
          <w:tcPr>
            <w:tcW w:w="851" w:type="pct"/>
            <w:tcBorders>
              <w:top w:val="single" w:color="000000" w:sz="6" w:space="0"/>
              <w:left w:val="nil"/>
              <w:bottom w:val="nil"/>
              <w:right w:val="nil"/>
            </w:tcBorders>
            <w:shd w:val="clear" w:color="auto" w:fill="auto"/>
            <w:noWrap/>
            <w:vAlign w:val="center"/>
          </w:tcPr>
          <w:p w14:paraId="315FB99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w:t>
            </w:r>
          </w:p>
        </w:tc>
        <w:tc>
          <w:tcPr>
            <w:tcW w:w="748" w:type="pct"/>
            <w:tcBorders>
              <w:top w:val="single" w:color="000000" w:sz="6" w:space="0"/>
              <w:left w:val="nil"/>
              <w:bottom w:val="nil"/>
              <w:right w:val="nil"/>
            </w:tcBorders>
            <w:shd w:val="clear" w:color="auto" w:fill="auto"/>
            <w:noWrap/>
            <w:vAlign w:val="center"/>
          </w:tcPr>
          <w:p w14:paraId="405F7C4B">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88.403</w:t>
            </w:r>
          </w:p>
        </w:tc>
        <w:tc>
          <w:tcPr>
            <w:tcW w:w="791" w:type="pct"/>
            <w:tcBorders>
              <w:top w:val="single" w:color="000000" w:sz="6" w:space="0"/>
              <w:left w:val="nil"/>
              <w:bottom w:val="nil"/>
              <w:right w:val="nil"/>
            </w:tcBorders>
            <w:shd w:val="clear" w:color="auto" w:fill="auto"/>
            <w:noWrap/>
            <w:vAlign w:val="center"/>
          </w:tcPr>
          <w:p w14:paraId="2A302A0E">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3.256</w:t>
            </w:r>
          </w:p>
        </w:tc>
        <w:tc>
          <w:tcPr>
            <w:tcW w:w="751" w:type="pct"/>
            <w:tcBorders>
              <w:top w:val="single" w:color="000000" w:sz="6" w:space="0"/>
              <w:left w:val="nil"/>
              <w:bottom w:val="nil"/>
              <w:right w:val="nil"/>
            </w:tcBorders>
            <w:shd w:val="clear" w:color="auto" w:fill="auto"/>
            <w:noWrap/>
            <w:vAlign w:val="center"/>
          </w:tcPr>
          <w:p w14:paraId="14CA28A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0.371</w:t>
            </w:r>
          </w:p>
        </w:tc>
      </w:tr>
      <w:tr w14:paraId="66D7F140">
        <w:tblPrEx>
          <w:tblCellMar>
            <w:top w:w="0" w:type="dxa"/>
            <w:left w:w="108" w:type="dxa"/>
            <w:bottom w:w="0" w:type="dxa"/>
            <w:right w:w="108" w:type="dxa"/>
          </w:tblCellMar>
        </w:tblPrEx>
        <w:trPr>
          <w:trHeight w:val="290" w:hRule="atLeast"/>
        </w:trPr>
        <w:tc>
          <w:tcPr>
            <w:tcW w:w="506" w:type="pct"/>
            <w:vMerge w:val="continue"/>
            <w:tcBorders>
              <w:top w:val="nil"/>
              <w:left w:val="nil"/>
              <w:bottom w:val="nil"/>
              <w:right w:val="nil"/>
            </w:tcBorders>
            <w:shd w:val="clear" w:color="auto" w:fill="auto"/>
            <w:noWrap/>
            <w:vAlign w:val="center"/>
          </w:tcPr>
          <w:p w14:paraId="6A623DE3">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55ED0AF9">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01CAE6A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TC</w:t>
            </w:r>
          </w:p>
        </w:tc>
        <w:tc>
          <w:tcPr>
            <w:tcW w:w="851" w:type="pct"/>
            <w:tcBorders>
              <w:top w:val="nil"/>
              <w:left w:val="nil"/>
              <w:bottom w:val="nil"/>
              <w:right w:val="nil"/>
            </w:tcBorders>
            <w:shd w:val="clear" w:color="auto" w:fill="auto"/>
            <w:noWrap/>
            <w:vAlign w:val="center"/>
          </w:tcPr>
          <w:p w14:paraId="600023C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9</w:t>
            </w:r>
          </w:p>
        </w:tc>
        <w:tc>
          <w:tcPr>
            <w:tcW w:w="748" w:type="pct"/>
            <w:tcBorders>
              <w:top w:val="nil"/>
              <w:left w:val="nil"/>
              <w:bottom w:val="nil"/>
              <w:right w:val="nil"/>
            </w:tcBorders>
            <w:shd w:val="clear" w:color="auto" w:fill="auto"/>
            <w:noWrap/>
            <w:vAlign w:val="center"/>
          </w:tcPr>
          <w:p w14:paraId="0068AA11">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81.135</w:t>
            </w:r>
          </w:p>
        </w:tc>
        <w:tc>
          <w:tcPr>
            <w:tcW w:w="791" w:type="pct"/>
            <w:tcBorders>
              <w:top w:val="nil"/>
              <w:left w:val="nil"/>
              <w:bottom w:val="nil"/>
              <w:right w:val="nil"/>
            </w:tcBorders>
            <w:shd w:val="clear" w:color="auto" w:fill="auto"/>
            <w:noWrap/>
            <w:vAlign w:val="center"/>
          </w:tcPr>
          <w:p w14:paraId="4A50F776">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3.343</w:t>
            </w:r>
          </w:p>
        </w:tc>
        <w:tc>
          <w:tcPr>
            <w:tcW w:w="751" w:type="pct"/>
            <w:tcBorders>
              <w:top w:val="nil"/>
              <w:left w:val="nil"/>
              <w:bottom w:val="nil"/>
              <w:right w:val="nil"/>
            </w:tcBorders>
            <w:shd w:val="clear" w:color="auto" w:fill="auto"/>
            <w:noWrap/>
            <w:vAlign w:val="center"/>
          </w:tcPr>
          <w:p w14:paraId="1F3246EF">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0.376</w:t>
            </w:r>
          </w:p>
        </w:tc>
      </w:tr>
      <w:tr w14:paraId="0AFE6D8E">
        <w:tblPrEx>
          <w:tblCellMar>
            <w:top w:w="0" w:type="dxa"/>
            <w:left w:w="108" w:type="dxa"/>
            <w:bottom w:w="0" w:type="dxa"/>
            <w:right w:w="108" w:type="dxa"/>
          </w:tblCellMar>
        </w:tblPrEx>
        <w:trPr>
          <w:trHeight w:val="290" w:hRule="atLeast"/>
        </w:trPr>
        <w:tc>
          <w:tcPr>
            <w:tcW w:w="506" w:type="pct"/>
            <w:vMerge w:val="continue"/>
            <w:tcBorders>
              <w:top w:val="nil"/>
              <w:left w:val="nil"/>
              <w:bottom w:val="nil"/>
              <w:right w:val="nil"/>
            </w:tcBorders>
            <w:shd w:val="clear" w:color="auto" w:fill="auto"/>
            <w:noWrap/>
            <w:vAlign w:val="center"/>
          </w:tcPr>
          <w:p w14:paraId="054F0775">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43DDD9DD">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30FBBC4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CC</w:t>
            </w:r>
          </w:p>
        </w:tc>
        <w:tc>
          <w:tcPr>
            <w:tcW w:w="851" w:type="pct"/>
            <w:tcBorders>
              <w:top w:val="nil"/>
              <w:left w:val="nil"/>
              <w:bottom w:val="nil"/>
              <w:right w:val="nil"/>
            </w:tcBorders>
            <w:shd w:val="clear" w:color="auto" w:fill="auto"/>
            <w:noWrap/>
            <w:vAlign w:val="center"/>
          </w:tcPr>
          <w:p w14:paraId="4472536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6</w:t>
            </w:r>
          </w:p>
        </w:tc>
        <w:tc>
          <w:tcPr>
            <w:tcW w:w="748" w:type="pct"/>
            <w:tcBorders>
              <w:top w:val="nil"/>
              <w:left w:val="nil"/>
              <w:bottom w:val="nil"/>
              <w:right w:val="nil"/>
            </w:tcBorders>
            <w:shd w:val="clear" w:color="auto" w:fill="auto"/>
            <w:noWrap/>
            <w:vAlign w:val="center"/>
          </w:tcPr>
          <w:p w14:paraId="70F62999">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75.033</w:t>
            </w:r>
          </w:p>
        </w:tc>
        <w:tc>
          <w:tcPr>
            <w:tcW w:w="791" w:type="pct"/>
            <w:tcBorders>
              <w:top w:val="nil"/>
              <w:left w:val="nil"/>
              <w:bottom w:val="nil"/>
              <w:right w:val="nil"/>
            </w:tcBorders>
            <w:shd w:val="clear" w:color="auto" w:fill="auto"/>
            <w:noWrap/>
            <w:vAlign w:val="center"/>
          </w:tcPr>
          <w:p w14:paraId="2EA6BF9B">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3.195</w:t>
            </w:r>
          </w:p>
        </w:tc>
        <w:tc>
          <w:tcPr>
            <w:tcW w:w="751" w:type="pct"/>
            <w:tcBorders>
              <w:top w:val="nil"/>
              <w:left w:val="nil"/>
              <w:bottom w:val="nil"/>
              <w:right w:val="nil"/>
            </w:tcBorders>
            <w:shd w:val="clear" w:color="auto" w:fill="auto"/>
            <w:noWrap/>
            <w:vAlign w:val="center"/>
          </w:tcPr>
          <w:p w14:paraId="4E115BE0">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0.339</w:t>
            </w:r>
          </w:p>
        </w:tc>
      </w:tr>
      <w:tr w14:paraId="2697F597">
        <w:tblPrEx>
          <w:tblCellMar>
            <w:top w:w="0" w:type="dxa"/>
            <w:left w:w="108" w:type="dxa"/>
            <w:bottom w:w="0" w:type="dxa"/>
            <w:right w:w="108" w:type="dxa"/>
          </w:tblCellMar>
        </w:tblPrEx>
        <w:trPr>
          <w:trHeight w:val="300" w:hRule="atLeast"/>
        </w:trPr>
        <w:tc>
          <w:tcPr>
            <w:tcW w:w="506" w:type="pct"/>
            <w:vMerge w:val="restart"/>
            <w:tcBorders>
              <w:top w:val="nil"/>
              <w:left w:val="nil"/>
              <w:bottom w:val="nil"/>
              <w:right w:val="nil"/>
            </w:tcBorders>
            <w:shd w:val="clear" w:color="auto" w:fill="auto"/>
            <w:noWrap/>
            <w:vAlign w:val="center"/>
          </w:tcPr>
          <w:p w14:paraId="5DBD978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PTPRK</w:t>
            </w:r>
          </w:p>
        </w:tc>
        <w:tc>
          <w:tcPr>
            <w:tcW w:w="721" w:type="pct"/>
            <w:vMerge w:val="restart"/>
            <w:tcBorders>
              <w:top w:val="nil"/>
              <w:left w:val="nil"/>
              <w:bottom w:val="nil"/>
              <w:right w:val="nil"/>
            </w:tcBorders>
            <w:shd w:val="clear" w:color="auto" w:fill="auto"/>
            <w:noWrap/>
            <w:vAlign w:val="center"/>
          </w:tcPr>
          <w:p w14:paraId="4D6A3589">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c.1295C&gt;T</w:t>
            </w:r>
          </w:p>
        </w:tc>
        <w:tc>
          <w:tcPr>
            <w:tcW w:w="629" w:type="pct"/>
            <w:tcBorders>
              <w:top w:val="nil"/>
              <w:left w:val="nil"/>
              <w:bottom w:val="nil"/>
              <w:right w:val="nil"/>
            </w:tcBorders>
            <w:shd w:val="clear" w:color="auto" w:fill="auto"/>
            <w:noWrap/>
            <w:vAlign w:val="center"/>
          </w:tcPr>
          <w:p w14:paraId="7E94A46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TT</w:t>
            </w:r>
          </w:p>
        </w:tc>
        <w:tc>
          <w:tcPr>
            <w:tcW w:w="851" w:type="pct"/>
            <w:tcBorders>
              <w:top w:val="nil"/>
              <w:left w:val="nil"/>
              <w:bottom w:val="nil"/>
              <w:right w:val="nil"/>
            </w:tcBorders>
            <w:shd w:val="clear" w:color="auto" w:fill="auto"/>
            <w:noWrap/>
            <w:vAlign w:val="center"/>
          </w:tcPr>
          <w:p w14:paraId="2774093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w:t>
            </w:r>
          </w:p>
        </w:tc>
        <w:tc>
          <w:tcPr>
            <w:tcW w:w="748" w:type="pct"/>
            <w:tcBorders>
              <w:top w:val="nil"/>
              <w:left w:val="nil"/>
              <w:bottom w:val="nil"/>
              <w:right w:val="nil"/>
            </w:tcBorders>
            <w:shd w:val="clear" w:color="auto" w:fill="auto"/>
            <w:noWrap/>
            <w:vAlign w:val="center"/>
          </w:tcPr>
          <w:p w14:paraId="299352E3">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75.792</w:t>
            </w:r>
          </w:p>
        </w:tc>
        <w:tc>
          <w:tcPr>
            <w:tcW w:w="791" w:type="pct"/>
            <w:tcBorders>
              <w:top w:val="nil"/>
              <w:left w:val="nil"/>
              <w:bottom w:val="nil"/>
              <w:right w:val="nil"/>
            </w:tcBorders>
            <w:shd w:val="clear" w:color="auto" w:fill="auto"/>
            <w:noWrap/>
            <w:vAlign w:val="center"/>
          </w:tcPr>
          <w:p w14:paraId="13DF8D42">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3.205</w:t>
            </w:r>
            <w:r>
              <w:rPr>
                <w:rFonts w:ascii="Times New Roman" w:hAnsi="Times New Roman" w:eastAsia="宋体" w:cs="Times New Roman"/>
                <w:b/>
                <w:bCs/>
                <w:color w:val="000000"/>
                <w:kern w:val="0"/>
                <w:szCs w:val="21"/>
                <w:vertAlign w:val="superscript"/>
                <w:lang w:bidi="ar"/>
              </w:rPr>
              <w:t>a</w:t>
            </w:r>
          </w:p>
        </w:tc>
        <w:tc>
          <w:tcPr>
            <w:tcW w:w="751" w:type="pct"/>
            <w:tcBorders>
              <w:top w:val="nil"/>
              <w:left w:val="nil"/>
              <w:bottom w:val="nil"/>
              <w:right w:val="nil"/>
            </w:tcBorders>
            <w:shd w:val="clear" w:color="auto" w:fill="auto"/>
            <w:noWrap/>
            <w:vAlign w:val="center"/>
          </w:tcPr>
          <w:p w14:paraId="023AD8B3">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0.348</w:t>
            </w:r>
            <w:r>
              <w:rPr>
                <w:rFonts w:ascii="Times New Roman" w:hAnsi="Times New Roman" w:eastAsia="宋体" w:cs="Times New Roman"/>
                <w:b/>
                <w:bCs/>
                <w:color w:val="000000"/>
                <w:kern w:val="0"/>
                <w:szCs w:val="21"/>
                <w:vertAlign w:val="superscript"/>
                <w:lang w:bidi="ar"/>
              </w:rPr>
              <w:t>b</w:t>
            </w:r>
          </w:p>
        </w:tc>
      </w:tr>
      <w:tr w14:paraId="52EB4907">
        <w:tblPrEx>
          <w:tblCellMar>
            <w:top w:w="0" w:type="dxa"/>
            <w:left w:w="108" w:type="dxa"/>
            <w:bottom w:w="0" w:type="dxa"/>
            <w:right w:w="108" w:type="dxa"/>
          </w:tblCellMar>
        </w:tblPrEx>
        <w:trPr>
          <w:trHeight w:val="290" w:hRule="atLeast"/>
        </w:trPr>
        <w:tc>
          <w:tcPr>
            <w:tcW w:w="506" w:type="pct"/>
            <w:vMerge w:val="continue"/>
            <w:tcBorders>
              <w:top w:val="nil"/>
              <w:left w:val="nil"/>
              <w:bottom w:val="nil"/>
              <w:right w:val="nil"/>
            </w:tcBorders>
            <w:shd w:val="clear" w:color="auto" w:fill="auto"/>
            <w:noWrap/>
            <w:vAlign w:val="center"/>
          </w:tcPr>
          <w:p w14:paraId="2EB55BEE">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7E947B2B">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21462C4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CT</w:t>
            </w:r>
          </w:p>
        </w:tc>
        <w:tc>
          <w:tcPr>
            <w:tcW w:w="851" w:type="pct"/>
            <w:tcBorders>
              <w:top w:val="nil"/>
              <w:left w:val="nil"/>
              <w:bottom w:val="nil"/>
              <w:right w:val="nil"/>
            </w:tcBorders>
            <w:shd w:val="clear" w:color="auto" w:fill="auto"/>
            <w:noWrap/>
            <w:vAlign w:val="center"/>
          </w:tcPr>
          <w:p w14:paraId="1C1DDC8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w:t>
            </w:r>
          </w:p>
        </w:tc>
        <w:tc>
          <w:tcPr>
            <w:tcW w:w="748" w:type="pct"/>
            <w:tcBorders>
              <w:top w:val="nil"/>
              <w:left w:val="nil"/>
              <w:bottom w:val="nil"/>
              <w:right w:val="nil"/>
            </w:tcBorders>
            <w:shd w:val="clear" w:color="auto" w:fill="auto"/>
            <w:noWrap/>
            <w:vAlign w:val="center"/>
          </w:tcPr>
          <w:p w14:paraId="40A262D0">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91.205</w:t>
            </w:r>
          </w:p>
        </w:tc>
        <w:tc>
          <w:tcPr>
            <w:tcW w:w="791" w:type="pct"/>
            <w:tcBorders>
              <w:top w:val="nil"/>
              <w:left w:val="nil"/>
              <w:bottom w:val="nil"/>
              <w:right w:val="nil"/>
            </w:tcBorders>
            <w:shd w:val="clear" w:color="auto" w:fill="auto"/>
            <w:noWrap/>
            <w:vAlign w:val="center"/>
          </w:tcPr>
          <w:p w14:paraId="30B5A6BF">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3.392</w:t>
            </w:r>
            <w:r>
              <w:rPr>
                <w:rFonts w:ascii="Times New Roman" w:hAnsi="Times New Roman" w:eastAsia="宋体" w:cs="Times New Roman"/>
                <w:b/>
                <w:bCs/>
                <w:color w:val="000000"/>
                <w:kern w:val="0"/>
                <w:szCs w:val="21"/>
                <w:vertAlign w:val="superscript"/>
                <w:lang w:bidi="ar"/>
              </w:rPr>
              <w:t>a</w:t>
            </w:r>
          </w:p>
        </w:tc>
        <w:tc>
          <w:tcPr>
            <w:tcW w:w="751" w:type="pct"/>
            <w:tcBorders>
              <w:top w:val="nil"/>
              <w:left w:val="nil"/>
              <w:bottom w:val="nil"/>
              <w:right w:val="nil"/>
            </w:tcBorders>
            <w:shd w:val="clear" w:color="auto" w:fill="auto"/>
            <w:noWrap/>
            <w:vAlign w:val="center"/>
          </w:tcPr>
          <w:p w14:paraId="43CAB76A">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0.384</w:t>
            </w:r>
            <w:r>
              <w:rPr>
                <w:rFonts w:ascii="Times New Roman" w:hAnsi="Times New Roman" w:eastAsia="宋体" w:cs="Times New Roman"/>
                <w:b/>
                <w:bCs/>
                <w:color w:val="000000"/>
                <w:kern w:val="0"/>
                <w:szCs w:val="21"/>
                <w:vertAlign w:val="superscript"/>
                <w:lang w:bidi="ar"/>
              </w:rPr>
              <w:t>a</w:t>
            </w:r>
          </w:p>
        </w:tc>
      </w:tr>
      <w:tr w14:paraId="06F84FE7">
        <w:tblPrEx>
          <w:tblCellMar>
            <w:top w:w="0" w:type="dxa"/>
            <w:left w:w="108" w:type="dxa"/>
            <w:bottom w:w="0" w:type="dxa"/>
            <w:right w:w="108" w:type="dxa"/>
          </w:tblCellMar>
        </w:tblPrEx>
        <w:trPr>
          <w:trHeight w:val="290" w:hRule="atLeast"/>
        </w:trPr>
        <w:tc>
          <w:tcPr>
            <w:tcW w:w="506" w:type="pct"/>
            <w:vMerge w:val="continue"/>
            <w:tcBorders>
              <w:top w:val="nil"/>
              <w:left w:val="nil"/>
              <w:bottom w:val="nil"/>
              <w:right w:val="nil"/>
            </w:tcBorders>
            <w:shd w:val="clear" w:color="auto" w:fill="auto"/>
            <w:noWrap/>
            <w:vAlign w:val="center"/>
          </w:tcPr>
          <w:p w14:paraId="275D847C">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49B054F3">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0CB7C83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CC</w:t>
            </w:r>
          </w:p>
        </w:tc>
        <w:tc>
          <w:tcPr>
            <w:tcW w:w="851" w:type="pct"/>
            <w:tcBorders>
              <w:top w:val="nil"/>
              <w:left w:val="nil"/>
              <w:bottom w:val="nil"/>
              <w:right w:val="nil"/>
            </w:tcBorders>
            <w:shd w:val="clear" w:color="auto" w:fill="auto"/>
            <w:noWrap/>
            <w:vAlign w:val="center"/>
          </w:tcPr>
          <w:p w14:paraId="0187D87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w:t>
            </w:r>
          </w:p>
        </w:tc>
        <w:tc>
          <w:tcPr>
            <w:tcW w:w="748" w:type="pct"/>
            <w:tcBorders>
              <w:top w:val="nil"/>
              <w:left w:val="nil"/>
              <w:bottom w:val="nil"/>
              <w:right w:val="nil"/>
            </w:tcBorders>
            <w:shd w:val="clear" w:color="auto" w:fill="auto"/>
            <w:noWrap/>
            <w:vAlign w:val="center"/>
          </w:tcPr>
          <w:p w14:paraId="53873C51">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78.793</w:t>
            </w:r>
          </w:p>
        </w:tc>
        <w:tc>
          <w:tcPr>
            <w:tcW w:w="791" w:type="pct"/>
            <w:tcBorders>
              <w:top w:val="nil"/>
              <w:left w:val="nil"/>
              <w:bottom w:val="nil"/>
              <w:right w:val="nil"/>
            </w:tcBorders>
            <w:shd w:val="clear" w:color="auto" w:fill="auto"/>
            <w:noWrap/>
            <w:vAlign w:val="center"/>
          </w:tcPr>
          <w:p w14:paraId="0621E465">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3.160</w:t>
            </w:r>
            <w:r>
              <w:rPr>
                <w:rFonts w:ascii="Times New Roman" w:hAnsi="Times New Roman" w:eastAsia="宋体" w:cs="Times New Roman"/>
                <w:b/>
                <w:bCs/>
                <w:color w:val="000000"/>
                <w:kern w:val="0"/>
                <w:szCs w:val="21"/>
                <w:vertAlign w:val="superscript"/>
                <w:lang w:bidi="ar"/>
              </w:rPr>
              <w:t>b</w:t>
            </w:r>
          </w:p>
        </w:tc>
        <w:tc>
          <w:tcPr>
            <w:tcW w:w="751" w:type="pct"/>
            <w:tcBorders>
              <w:top w:val="nil"/>
              <w:left w:val="nil"/>
              <w:bottom w:val="nil"/>
              <w:right w:val="nil"/>
            </w:tcBorders>
            <w:shd w:val="clear" w:color="auto" w:fill="auto"/>
            <w:noWrap/>
            <w:vAlign w:val="center"/>
          </w:tcPr>
          <w:p w14:paraId="5D43A406">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0.356</w:t>
            </w:r>
            <w:r>
              <w:rPr>
                <w:rFonts w:ascii="Times New Roman" w:hAnsi="Times New Roman" w:eastAsia="宋体" w:cs="Times New Roman"/>
                <w:b/>
                <w:bCs/>
                <w:color w:val="000000"/>
                <w:kern w:val="0"/>
                <w:szCs w:val="21"/>
                <w:vertAlign w:val="superscript"/>
                <w:lang w:bidi="ar"/>
              </w:rPr>
              <w:t>b</w:t>
            </w:r>
          </w:p>
        </w:tc>
      </w:tr>
      <w:tr w14:paraId="7CAFFA7F">
        <w:tblPrEx>
          <w:tblCellMar>
            <w:top w:w="0" w:type="dxa"/>
            <w:left w:w="108" w:type="dxa"/>
            <w:bottom w:w="0" w:type="dxa"/>
            <w:right w:w="108" w:type="dxa"/>
          </w:tblCellMar>
        </w:tblPrEx>
        <w:trPr>
          <w:trHeight w:val="290" w:hRule="atLeast"/>
        </w:trPr>
        <w:tc>
          <w:tcPr>
            <w:tcW w:w="506" w:type="pct"/>
            <w:vMerge w:val="restart"/>
            <w:tcBorders>
              <w:top w:val="nil"/>
              <w:left w:val="nil"/>
              <w:bottom w:val="nil"/>
              <w:right w:val="nil"/>
            </w:tcBorders>
            <w:shd w:val="clear" w:color="auto" w:fill="auto"/>
            <w:noWrap/>
            <w:vAlign w:val="center"/>
          </w:tcPr>
          <w:p w14:paraId="7F1DFC99">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721" w:type="pct"/>
            <w:vMerge w:val="restart"/>
            <w:tcBorders>
              <w:top w:val="nil"/>
              <w:left w:val="nil"/>
              <w:bottom w:val="nil"/>
              <w:right w:val="nil"/>
            </w:tcBorders>
            <w:shd w:val="clear" w:color="auto" w:fill="auto"/>
            <w:noWrap/>
            <w:vAlign w:val="center"/>
          </w:tcPr>
          <w:p w14:paraId="3C7075D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c.1234G&gt;T</w:t>
            </w:r>
          </w:p>
        </w:tc>
        <w:tc>
          <w:tcPr>
            <w:tcW w:w="629" w:type="pct"/>
            <w:tcBorders>
              <w:top w:val="nil"/>
              <w:left w:val="nil"/>
              <w:bottom w:val="nil"/>
              <w:right w:val="nil"/>
            </w:tcBorders>
            <w:shd w:val="clear" w:color="auto" w:fill="auto"/>
            <w:noWrap/>
            <w:vAlign w:val="center"/>
          </w:tcPr>
          <w:p w14:paraId="41648CB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851" w:type="pct"/>
            <w:tcBorders>
              <w:top w:val="nil"/>
              <w:left w:val="nil"/>
              <w:bottom w:val="nil"/>
              <w:right w:val="nil"/>
            </w:tcBorders>
            <w:shd w:val="clear" w:color="auto" w:fill="auto"/>
            <w:noWrap/>
            <w:vAlign w:val="center"/>
          </w:tcPr>
          <w:p w14:paraId="4976643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22</w:t>
            </w:r>
          </w:p>
        </w:tc>
        <w:tc>
          <w:tcPr>
            <w:tcW w:w="748" w:type="pct"/>
            <w:tcBorders>
              <w:top w:val="nil"/>
              <w:left w:val="nil"/>
              <w:bottom w:val="nil"/>
              <w:right w:val="nil"/>
            </w:tcBorders>
            <w:shd w:val="clear" w:color="auto" w:fill="auto"/>
            <w:noWrap/>
            <w:vAlign w:val="center"/>
          </w:tcPr>
          <w:p w14:paraId="5DEFDD8F">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83.440</w:t>
            </w:r>
          </w:p>
        </w:tc>
        <w:tc>
          <w:tcPr>
            <w:tcW w:w="791" w:type="pct"/>
            <w:tcBorders>
              <w:top w:val="nil"/>
              <w:left w:val="nil"/>
              <w:bottom w:val="nil"/>
              <w:right w:val="nil"/>
            </w:tcBorders>
            <w:shd w:val="clear" w:color="auto" w:fill="auto"/>
            <w:noWrap/>
            <w:vAlign w:val="center"/>
          </w:tcPr>
          <w:p w14:paraId="5613A4A5">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3.323</w:t>
            </w:r>
          </w:p>
        </w:tc>
        <w:tc>
          <w:tcPr>
            <w:tcW w:w="751" w:type="pct"/>
            <w:tcBorders>
              <w:top w:val="nil"/>
              <w:left w:val="nil"/>
              <w:bottom w:val="nil"/>
              <w:right w:val="nil"/>
            </w:tcBorders>
            <w:shd w:val="clear" w:color="auto" w:fill="auto"/>
            <w:noWrap/>
            <w:vAlign w:val="center"/>
          </w:tcPr>
          <w:p w14:paraId="4AA024C8">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0.365</w:t>
            </w:r>
            <w:r>
              <w:rPr>
                <w:rFonts w:ascii="Times New Roman" w:hAnsi="Times New Roman" w:eastAsia="宋体" w:cs="Times New Roman"/>
                <w:b/>
                <w:bCs/>
                <w:color w:val="000000"/>
                <w:kern w:val="0"/>
                <w:szCs w:val="21"/>
                <w:vertAlign w:val="superscript"/>
                <w:lang w:bidi="ar"/>
              </w:rPr>
              <w:t>b</w:t>
            </w:r>
          </w:p>
        </w:tc>
      </w:tr>
      <w:tr w14:paraId="2BFD1AAF">
        <w:tblPrEx>
          <w:tblCellMar>
            <w:top w:w="0" w:type="dxa"/>
            <w:left w:w="108" w:type="dxa"/>
            <w:bottom w:w="0" w:type="dxa"/>
            <w:right w:w="108" w:type="dxa"/>
          </w:tblCellMar>
        </w:tblPrEx>
        <w:trPr>
          <w:trHeight w:val="300" w:hRule="atLeast"/>
        </w:trPr>
        <w:tc>
          <w:tcPr>
            <w:tcW w:w="506" w:type="pct"/>
            <w:vMerge w:val="continue"/>
            <w:tcBorders>
              <w:top w:val="nil"/>
              <w:left w:val="nil"/>
              <w:bottom w:val="nil"/>
              <w:right w:val="nil"/>
            </w:tcBorders>
            <w:shd w:val="clear" w:color="auto" w:fill="auto"/>
            <w:noWrap/>
            <w:vAlign w:val="center"/>
          </w:tcPr>
          <w:p w14:paraId="0629E548">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104DBA79">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10F77A1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GT</w:t>
            </w:r>
          </w:p>
        </w:tc>
        <w:tc>
          <w:tcPr>
            <w:tcW w:w="851" w:type="pct"/>
            <w:tcBorders>
              <w:top w:val="nil"/>
              <w:left w:val="nil"/>
              <w:bottom w:val="nil"/>
              <w:right w:val="nil"/>
            </w:tcBorders>
            <w:shd w:val="clear" w:color="auto" w:fill="auto"/>
            <w:noWrap/>
            <w:vAlign w:val="center"/>
          </w:tcPr>
          <w:p w14:paraId="01139ECC">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6</w:t>
            </w:r>
          </w:p>
        </w:tc>
        <w:tc>
          <w:tcPr>
            <w:tcW w:w="748" w:type="pct"/>
            <w:tcBorders>
              <w:top w:val="nil"/>
              <w:left w:val="nil"/>
              <w:bottom w:val="nil"/>
              <w:right w:val="nil"/>
            </w:tcBorders>
            <w:shd w:val="clear" w:color="auto" w:fill="auto"/>
            <w:noWrap/>
            <w:vAlign w:val="center"/>
          </w:tcPr>
          <w:p w14:paraId="68BFB4CD">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82.749</w:t>
            </w:r>
          </w:p>
        </w:tc>
        <w:tc>
          <w:tcPr>
            <w:tcW w:w="791" w:type="pct"/>
            <w:tcBorders>
              <w:top w:val="nil"/>
              <w:left w:val="nil"/>
              <w:bottom w:val="nil"/>
              <w:right w:val="nil"/>
            </w:tcBorders>
            <w:shd w:val="clear" w:color="auto" w:fill="auto"/>
            <w:noWrap/>
            <w:vAlign w:val="center"/>
          </w:tcPr>
          <w:p w14:paraId="1D87FB43">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3.014</w:t>
            </w:r>
          </w:p>
        </w:tc>
        <w:tc>
          <w:tcPr>
            <w:tcW w:w="751" w:type="pct"/>
            <w:tcBorders>
              <w:top w:val="nil"/>
              <w:left w:val="nil"/>
              <w:bottom w:val="nil"/>
              <w:right w:val="nil"/>
            </w:tcBorders>
            <w:shd w:val="clear" w:color="auto" w:fill="auto"/>
            <w:noWrap/>
            <w:vAlign w:val="center"/>
          </w:tcPr>
          <w:p w14:paraId="04BEEFAB">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0.379</w:t>
            </w:r>
            <w:r>
              <w:rPr>
                <w:rFonts w:ascii="Times New Roman" w:hAnsi="Times New Roman" w:eastAsia="宋体" w:cs="Times New Roman"/>
                <w:b/>
                <w:bCs/>
                <w:color w:val="000000"/>
                <w:kern w:val="0"/>
                <w:szCs w:val="21"/>
                <w:vertAlign w:val="superscript"/>
                <w:lang w:bidi="ar"/>
              </w:rPr>
              <w:t>a</w:t>
            </w:r>
          </w:p>
        </w:tc>
      </w:tr>
      <w:tr w14:paraId="014F68CC">
        <w:tblPrEx>
          <w:tblCellMar>
            <w:top w:w="0" w:type="dxa"/>
            <w:left w:w="108" w:type="dxa"/>
            <w:bottom w:w="0" w:type="dxa"/>
            <w:right w:w="108" w:type="dxa"/>
          </w:tblCellMar>
        </w:tblPrEx>
        <w:trPr>
          <w:trHeight w:val="280" w:hRule="atLeast"/>
        </w:trPr>
        <w:tc>
          <w:tcPr>
            <w:tcW w:w="506" w:type="pct"/>
            <w:vMerge w:val="restart"/>
            <w:tcBorders>
              <w:top w:val="nil"/>
              <w:left w:val="nil"/>
              <w:bottom w:val="nil"/>
              <w:right w:val="nil"/>
            </w:tcBorders>
            <w:shd w:val="clear" w:color="auto" w:fill="auto"/>
            <w:noWrap/>
            <w:vAlign w:val="center"/>
          </w:tcPr>
          <w:p w14:paraId="27F581D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721" w:type="pct"/>
            <w:vMerge w:val="restart"/>
            <w:tcBorders>
              <w:top w:val="nil"/>
              <w:left w:val="nil"/>
              <w:bottom w:val="nil"/>
              <w:right w:val="nil"/>
            </w:tcBorders>
            <w:shd w:val="clear" w:color="auto" w:fill="auto"/>
            <w:noWrap/>
            <w:vAlign w:val="center"/>
          </w:tcPr>
          <w:p w14:paraId="10820B6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c.2132G&gt;A</w:t>
            </w:r>
          </w:p>
        </w:tc>
        <w:tc>
          <w:tcPr>
            <w:tcW w:w="629" w:type="pct"/>
            <w:tcBorders>
              <w:top w:val="nil"/>
              <w:left w:val="nil"/>
              <w:bottom w:val="nil"/>
              <w:right w:val="nil"/>
            </w:tcBorders>
            <w:shd w:val="clear" w:color="auto" w:fill="auto"/>
            <w:noWrap/>
            <w:vAlign w:val="center"/>
          </w:tcPr>
          <w:p w14:paraId="67FBB459">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851" w:type="pct"/>
            <w:tcBorders>
              <w:top w:val="nil"/>
              <w:left w:val="nil"/>
              <w:bottom w:val="nil"/>
              <w:right w:val="nil"/>
            </w:tcBorders>
            <w:shd w:val="clear" w:color="auto" w:fill="auto"/>
            <w:noWrap/>
            <w:vAlign w:val="center"/>
          </w:tcPr>
          <w:p w14:paraId="3E429CF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10</w:t>
            </w:r>
          </w:p>
        </w:tc>
        <w:tc>
          <w:tcPr>
            <w:tcW w:w="748" w:type="pct"/>
            <w:tcBorders>
              <w:top w:val="nil"/>
              <w:left w:val="nil"/>
              <w:bottom w:val="nil"/>
              <w:right w:val="nil"/>
            </w:tcBorders>
            <w:shd w:val="clear" w:color="auto" w:fill="auto"/>
            <w:noWrap/>
            <w:vAlign w:val="center"/>
          </w:tcPr>
          <w:p w14:paraId="1C8B7E87">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77.559</w:t>
            </w:r>
          </w:p>
        </w:tc>
        <w:tc>
          <w:tcPr>
            <w:tcW w:w="791" w:type="pct"/>
            <w:tcBorders>
              <w:top w:val="nil"/>
              <w:left w:val="nil"/>
              <w:bottom w:val="nil"/>
              <w:right w:val="nil"/>
            </w:tcBorders>
            <w:shd w:val="clear" w:color="auto" w:fill="auto"/>
            <w:noWrap/>
            <w:vAlign w:val="center"/>
          </w:tcPr>
          <w:p w14:paraId="2E81C4A1">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3.510</w:t>
            </w:r>
          </w:p>
        </w:tc>
        <w:tc>
          <w:tcPr>
            <w:tcW w:w="751" w:type="pct"/>
            <w:tcBorders>
              <w:top w:val="nil"/>
              <w:left w:val="nil"/>
              <w:bottom w:val="nil"/>
              <w:right w:val="nil"/>
            </w:tcBorders>
            <w:shd w:val="clear" w:color="auto" w:fill="auto"/>
            <w:noWrap/>
            <w:vAlign w:val="center"/>
          </w:tcPr>
          <w:p w14:paraId="4361282F">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0.406</w:t>
            </w:r>
            <w:r>
              <w:rPr>
                <w:rFonts w:ascii="Times New Roman" w:hAnsi="Times New Roman" w:eastAsia="宋体" w:cs="Times New Roman"/>
                <w:b/>
                <w:bCs/>
                <w:color w:val="000000"/>
                <w:kern w:val="0"/>
                <w:szCs w:val="21"/>
                <w:vertAlign w:val="superscript"/>
                <w:lang w:bidi="ar"/>
              </w:rPr>
              <w:t>a</w:t>
            </w:r>
          </w:p>
        </w:tc>
      </w:tr>
      <w:tr w14:paraId="04B2A19A">
        <w:tblPrEx>
          <w:tblCellMar>
            <w:top w:w="0" w:type="dxa"/>
            <w:left w:w="108" w:type="dxa"/>
            <w:bottom w:w="0" w:type="dxa"/>
            <w:right w:w="108" w:type="dxa"/>
          </w:tblCellMar>
        </w:tblPrEx>
        <w:trPr>
          <w:trHeight w:val="280" w:hRule="atLeast"/>
        </w:trPr>
        <w:tc>
          <w:tcPr>
            <w:tcW w:w="506" w:type="pct"/>
            <w:vMerge w:val="continue"/>
            <w:tcBorders>
              <w:top w:val="nil"/>
              <w:left w:val="nil"/>
              <w:bottom w:val="nil"/>
              <w:right w:val="nil"/>
            </w:tcBorders>
            <w:shd w:val="clear" w:color="auto" w:fill="auto"/>
            <w:noWrap/>
            <w:vAlign w:val="center"/>
          </w:tcPr>
          <w:p w14:paraId="5E7405CB">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240F129E">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7149FC7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GA</w:t>
            </w:r>
          </w:p>
        </w:tc>
        <w:tc>
          <w:tcPr>
            <w:tcW w:w="851" w:type="pct"/>
            <w:tcBorders>
              <w:top w:val="nil"/>
              <w:left w:val="nil"/>
              <w:bottom w:val="nil"/>
              <w:right w:val="nil"/>
            </w:tcBorders>
            <w:shd w:val="clear" w:color="auto" w:fill="auto"/>
            <w:noWrap/>
            <w:vAlign w:val="center"/>
          </w:tcPr>
          <w:p w14:paraId="3E67E6A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10</w:t>
            </w:r>
          </w:p>
        </w:tc>
        <w:tc>
          <w:tcPr>
            <w:tcW w:w="748" w:type="pct"/>
            <w:tcBorders>
              <w:top w:val="nil"/>
              <w:left w:val="nil"/>
              <w:bottom w:val="nil"/>
              <w:right w:val="nil"/>
            </w:tcBorders>
            <w:shd w:val="clear" w:color="auto" w:fill="auto"/>
            <w:noWrap/>
            <w:vAlign w:val="center"/>
          </w:tcPr>
          <w:p w14:paraId="33088B21">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88.784</w:t>
            </w:r>
          </w:p>
        </w:tc>
        <w:tc>
          <w:tcPr>
            <w:tcW w:w="791" w:type="pct"/>
            <w:tcBorders>
              <w:top w:val="nil"/>
              <w:left w:val="nil"/>
              <w:bottom w:val="nil"/>
              <w:right w:val="nil"/>
            </w:tcBorders>
            <w:shd w:val="clear" w:color="auto" w:fill="auto"/>
            <w:noWrap/>
            <w:vAlign w:val="center"/>
          </w:tcPr>
          <w:p w14:paraId="69CE517E">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3.071</w:t>
            </w:r>
          </w:p>
        </w:tc>
        <w:tc>
          <w:tcPr>
            <w:tcW w:w="751" w:type="pct"/>
            <w:tcBorders>
              <w:top w:val="nil"/>
              <w:left w:val="nil"/>
              <w:bottom w:val="nil"/>
              <w:right w:val="nil"/>
            </w:tcBorders>
            <w:shd w:val="clear" w:color="auto" w:fill="auto"/>
            <w:noWrap/>
            <w:vAlign w:val="center"/>
          </w:tcPr>
          <w:p w14:paraId="2B194D2E">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0.337</w:t>
            </w:r>
            <w:r>
              <w:rPr>
                <w:rFonts w:ascii="Times New Roman" w:hAnsi="Times New Roman" w:eastAsia="宋体" w:cs="Times New Roman"/>
                <w:b/>
                <w:bCs/>
                <w:color w:val="000000"/>
                <w:kern w:val="0"/>
                <w:szCs w:val="21"/>
                <w:vertAlign w:val="superscript"/>
                <w:lang w:bidi="ar"/>
              </w:rPr>
              <w:t>b</w:t>
            </w:r>
          </w:p>
        </w:tc>
      </w:tr>
      <w:tr w14:paraId="34A200B5">
        <w:tblPrEx>
          <w:tblCellMar>
            <w:top w:w="0" w:type="dxa"/>
            <w:left w:w="108" w:type="dxa"/>
            <w:bottom w:w="0" w:type="dxa"/>
            <w:right w:w="108" w:type="dxa"/>
          </w:tblCellMar>
        </w:tblPrEx>
        <w:trPr>
          <w:trHeight w:val="280" w:hRule="atLeast"/>
        </w:trPr>
        <w:tc>
          <w:tcPr>
            <w:tcW w:w="506" w:type="pct"/>
            <w:vMerge w:val="continue"/>
            <w:tcBorders>
              <w:top w:val="nil"/>
              <w:left w:val="nil"/>
              <w:bottom w:val="nil"/>
              <w:right w:val="nil"/>
            </w:tcBorders>
            <w:shd w:val="clear" w:color="auto" w:fill="auto"/>
            <w:noWrap/>
            <w:vAlign w:val="center"/>
          </w:tcPr>
          <w:p w14:paraId="53EE33C9">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7445919D">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2BF02DF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AA</w:t>
            </w:r>
          </w:p>
        </w:tc>
        <w:tc>
          <w:tcPr>
            <w:tcW w:w="851" w:type="pct"/>
            <w:tcBorders>
              <w:top w:val="nil"/>
              <w:left w:val="nil"/>
              <w:bottom w:val="nil"/>
              <w:right w:val="nil"/>
            </w:tcBorders>
            <w:shd w:val="clear" w:color="auto" w:fill="auto"/>
            <w:noWrap/>
            <w:vAlign w:val="center"/>
          </w:tcPr>
          <w:p w14:paraId="381F64C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w:t>
            </w:r>
          </w:p>
        </w:tc>
        <w:tc>
          <w:tcPr>
            <w:tcW w:w="748" w:type="pct"/>
            <w:tcBorders>
              <w:top w:val="nil"/>
              <w:left w:val="nil"/>
              <w:bottom w:val="nil"/>
              <w:right w:val="nil"/>
            </w:tcBorders>
            <w:shd w:val="clear" w:color="auto" w:fill="auto"/>
            <w:noWrap/>
            <w:vAlign w:val="center"/>
          </w:tcPr>
          <w:p w14:paraId="2769BAD3">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85.167</w:t>
            </w:r>
          </w:p>
        </w:tc>
        <w:tc>
          <w:tcPr>
            <w:tcW w:w="791" w:type="pct"/>
            <w:tcBorders>
              <w:top w:val="nil"/>
              <w:left w:val="nil"/>
              <w:bottom w:val="nil"/>
              <w:right w:val="nil"/>
            </w:tcBorders>
            <w:shd w:val="clear" w:color="auto" w:fill="auto"/>
            <w:noWrap/>
            <w:vAlign w:val="center"/>
          </w:tcPr>
          <w:p w14:paraId="1E3101A7">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3.249</w:t>
            </w:r>
          </w:p>
        </w:tc>
        <w:tc>
          <w:tcPr>
            <w:tcW w:w="751" w:type="pct"/>
            <w:tcBorders>
              <w:top w:val="nil"/>
              <w:left w:val="nil"/>
              <w:bottom w:val="nil"/>
              <w:right w:val="nil"/>
            </w:tcBorders>
            <w:shd w:val="clear" w:color="auto" w:fill="auto"/>
            <w:noWrap/>
            <w:vAlign w:val="center"/>
          </w:tcPr>
          <w:p w14:paraId="591924B4">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0.346</w:t>
            </w:r>
            <w:r>
              <w:rPr>
                <w:rFonts w:ascii="Times New Roman" w:hAnsi="Times New Roman" w:eastAsia="宋体" w:cs="Times New Roman"/>
                <w:b/>
                <w:bCs/>
                <w:color w:val="000000"/>
                <w:kern w:val="0"/>
                <w:szCs w:val="21"/>
                <w:vertAlign w:val="superscript"/>
                <w:lang w:bidi="ar"/>
              </w:rPr>
              <w:t>b</w:t>
            </w:r>
          </w:p>
        </w:tc>
      </w:tr>
      <w:tr w14:paraId="06DB2BCC">
        <w:tblPrEx>
          <w:tblCellMar>
            <w:top w:w="0" w:type="dxa"/>
            <w:left w:w="108" w:type="dxa"/>
            <w:bottom w:w="0" w:type="dxa"/>
            <w:right w:w="108" w:type="dxa"/>
          </w:tblCellMar>
        </w:tblPrEx>
        <w:trPr>
          <w:trHeight w:val="290" w:hRule="atLeast"/>
        </w:trPr>
        <w:tc>
          <w:tcPr>
            <w:tcW w:w="506" w:type="pct"/>
            <w:vMerge w:val="restart"/>
            <w:tcBorders>
              <w:top w:val="nil"/>
              <w:left w:val="nil"/>
              <w:bottom w:val="nil"/>
              <w:right w:val="nil"/>
            </w:tcBorders>
            <w:shd w:val="clear" w:color="auto" w:fill="auto"/>
            <w:noWrap/>
            <w:vAlign w:val="center"/>
          </w:tcPr>
          <w:p w14:paraId="4601E82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721" w:type="pct"/>
            <w:vMerge w:val="restart"/>
            <w:tcBorders>
              <w:top w:val="nil"/>
              <w:left w:val="nil"/>
              <w:bottom w:val="nil"/>
              <w:right w:val="nil"/>
            </w:tcBorders>
            <w:shd w:val="clear" w:color="auto" w:fill="auto"/>
            <w:noWrap/>
            <w:vAlign w:val="center"/>
          </w:tcPr>
          <w:p w14:paraId="52334C0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c.2571A&gt;G</w:t>
            </w:r>
          </w:p>
        </w:tc>
        <w:tc>
          <w:tcPr>
            <w:tcW w:w="629" w:type="pct"/>
            <w:tcBorders>
              <w:top w:val="nil"/>
              <w:left w:val="nil"/>
              <w:bottom w:val="nil"/>
              <w:right w:val="nil"/>
            </w:tcBorders>
            <w:shd w:val="clear" w:color="auto" w:fill="auto"/>
            <w:noWrap/>
            <w:vAlign w:val="center"/>
          </w:tcPr>
          <w:p w14:paraId="14F85CB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AA</w:t>
            </w:r>
          </w:p>
        </w:tc>
        <w:tc>
          <w:tcPr>
            <w:tcW w:w="851" w:type="pct"/>
            <w:tcBorders>
              <w:top w:val="nil"/>
              <w:left w:val="nil"/>
              <w:bottom w:val="nil"/>
              <w:right w:val="nil"/>
            </w:tcBorders>
            <w:shd w:val="clear" w:color="auto" w:fill="auto"/>
            <w:noWrap/>
            <w:vAlign w:val="center"/>
          </w:tcPr>
          <w:p w14:paraId="1708DC5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w:t>
            </w:r>
          </w:p>
        </w:tc>
        <w:tc>
          <w:tcPr>
            <w:tcW w:w="748" w:type="pct"/>
            <w:tcBorders>
              <w:top w:val="nil"/>
              <w:left w:val="nil"/>
              <w:bottom w:val="nil"/>
              <w:right w:val="nil"/>
            </w:tcBorders>
            <w:shd w:val="clear" w:color="auto" w:fill="auto"/>
            <w:noWrap/>
            <w:vAlign w:val="center"/>
          </w:tcPr>
          <w:p w14:paraId="49F936D1">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103.824</w:t>
            </w:r>
          </w:p>
        </w:tc>
        <w:tc>
          <w:tcPr>
            <w:tcW w:w="791" w:type="pct"/>
            <w:tcBorders>
              <w:top w:val="nil"/>
              <w:left w:val="nil"/>
              <w:bottom w:val="nil"/>
              <w:right w:val="nil"/>
            </w:tcBorders>
            <w:shd w:val="clear" w:color="auto" w:fill="auto"/>
            <w:noWrap/>
            <w:vAlign w:val="center"/>
          </w:tcPr>
          <w:p w14:paraId="78B8C185">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3.137</w:t>
            </w:r>
          </w:p>
        </w:tc>
        <w:tc>
          <w:tcPr>
            <w:tcW w:w="751" w:type="pct"/>
            <w:tcBorders>
              <w:top w:val="nil"/>
              <w:left w:val="nil"/>
              <w:bottom w:val="nil"/>
              <w:right w:val="nil"/>
            </w:tcBorders>
            <w:shd w:val="clear" w:color="auto" w:fill="auto"/>
            <w:noWrap/>
            <w:vAlign w:val="center"/>
          </w:tcPr>
          <w:p w14:paraId="62E50419">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0.376</w:t>
            </w:r>
            <w:r>
              <w:rPr>
                <w:rFonts w:ascii="Times New Roman" w:hAnsi="Times New Roman" w:eastAsia="宋体" w:cs="Times New Roman"/>
                <w:b/>
                <w:bCs/>
                <w:color w:val="000000"/>
                <w:kern w:val="0"/>
                <w:szCs w:val="21"/>
                <w:vertAlign w:val="superscript"/>
                <w:lang w:bidi="ar"/>
              </w:rPr>
              <w:t>b</w:t>
            </w:r>
          </w:p>
        </w:tc>
      </w:tr>
      <w:tr w14:paraId="5842D98D">
        <w:tblPrEx>
          <w:tblCellMar>
            <w:top w:w="0" w:type="dxa"/>
            <w:left w:w="108" w:type="dxa"/>
            <w:bottom w:w="0" w:type="dxa"/>
            <w:right w:w="108" w:type="dxa"/>
          </w:tblCellMar>
        </w:tblPrEx>
        <w:trPr>
          <w:trHeight w:val="290" w:hRule="atLeast"/>
        </w:trPr>
        <w:tc>
          <w:tcPr>
            <w:tcW w:w="506" w:type="pct"/>
            <w:vMerge w:val="continue"/>
            <w:tcBorders>
              <w:top w:val="nil"/>
              <w:left w:val="nil"/>
              <w:bottom w:val="nil"/>
              <w:right w:val="nil"/>
            </w:tcBorders>
            <w:shd w:val="clear" w:color="auto" w:fill="auto"/>
            <w:noWrap/>
            <w:vAlign w:val="center"/>
          </w:tcPr>
          <w:p w14:paraId="212BD620">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29C25920">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1FE1EFC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AG</w:t>
            </w:r>
          </w:p>
        </w:tc>
        <w:tc>
          <w:tcPr>
            <w:tcW w:w="851" w:type="pct"/>
            <w:tcBorders>
              <w:top w:val="nil"/>
              <w:left w:val="nil"/>
              <w:bottom w:val="nil"/>
              <w:right w:val="nil"/>
            </w:tcBorders>
            <w:shd w:val="clear" w:color="auto" w:fill="auto"/>
            <w:noWrap/>
            <w:vAlign w:val="center"/>
          </w:tcPr>
          <w:p w14:paraId="39B76B6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w:t>
            </w:r>
          </w:p>
        </w:tc>
        <w:tc>
          <w:tcPr>
            <w:tcW w:w="748" w:type="pct"/>
            <w:tcBorders>
              <w:top w:val="nil"/>
              <w:left w:val="nil"/>
              <w:bottom w:val="nil"/>
              <w:right w:val="nil"/>
            </w:tcBorders>
            <w:shd w:val="clear" w:color="auto" w:fill="auto"/>
            <w:noWrap/>
            <w:vAlign w:val="center"/>
          </w:tcPr>
          <w:p w14:paraId="4C9FE8F1">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79.215</w:t>
            </w:r>
          </w:p>
        </w:tc>
        <w:tc>
          <w:tcPr>
            <w:tcW w:w="791" w:type="pct"/>
            <w:tcBorders>
              <w:top w:val="nil"/>
              <w:left w:val="nil"/>
              <w:bottom w:val="nil"/>
              <w:right w:val="nil"/>
            </w:tcBorders>
            <w:shd w:val="clear" w:color="auto" w:fill="auto"/>
            <w:noWrap/>
            <w:vAlign w:val="center"/>
          </w:tcPr>
          <w:p w14:paraId="2DB84AEE">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3.261</w:t>
            </w:r>
          </w:p>
        </w:tc>
        <w:tc>
          <w:tcPr>
            <w:tcW w:w="751" w:type="pct"/>
            <w:tcBorders>
              <w:top w:val="nil"/>
              <w:left w:val="nil"/>
              <w:bottom w:val="nil"/>
              <w:right w:val="nil"/>
            </w:tcBorders>
            <w:shd w:val="clear" w:color="auto" w:fill="auto"/>
            <w:noWrap/>
            <w:vAlign w:val="center"/>
          </w:tcPr>
          <w:p w14:paraId="121F5D16">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0.348</w:t>
            </w:r>
            <w:r>
              <w:rPr>
                <w:rFonts w:ascii="Times New Roman" w:hAnsi="Times New Roman" w:eastAsia="宋体" w:cs="Times New Roman"/>
                <w:b/>
                <w:bCs/>
                <w:color w:val="000000"/>
                <w:kern w:val="0"/>
                <w:szCs w:val="21"/>
                <w:vertAlign w:val="superscript"/>
                <w:lang w:bidi="ar"/>
              </w:rPr>
              <w:t>b</w:t>
            </w:r>
          </w:p>
        </w:tc>
      </w:tr>
      <w:tr w14:paraId="123195BB">
        <w:tblPrEx>
          <w:tblCellMar>
            <w:top w:w="0" w:type="dxa"/>
            <w:left w:w="108" w:type="dxa"/>
            <w:bottom w:w="0" w:type="dxa"/>
            <w:right w:w="108" w:type="dxa"/>
          </w:tblCellMar>
        </w:tblPrEx>
        <w:trPr>
          <w:trHeight w:val="290" w:hRule="atLeast"/>
        </w:trPr>
        <w:tc>
          <w:tcPr>
            <w:tcW w:w="506" w:type="pct"/>
            <w:vMerge w:val="continue"/>
            <w:tcBorders>
              <w:top w:val="nil"/>
              <w:left w:val="nil"/>
              <w:bottom w:val="nil"/>
              <w:right w:val="nil"/>
            </w:tcBorders>
            <w:shd w:val="clear" w:color="auto" w:fill="auto"/>
            <w:noWrap/>
            <w:vAlign w:val="center"/>
          </w:tcPr>
          <w:p w14:paraId="17A0D7C8">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1082DA2B">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06F8542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851" w:type="pct"/>
            <w:tcBorders>
              <w:top w:val="nil"/>
              <w:left w:val="nil"/>
              <w:bottom w:val="nil"/>
              <w:right w:val="nil"/>
            </w:tcBorders>
            <w:shd w:val="clear" w:color="auto" w:fill="auto"/>
            <w:noWrap/>
            <w:vAlign w:val="center"/>
          </w:tcPr>
          <w:p w14:paraId="7FC210C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w:t>
            </w:r>
          </w:p>
        </w:tc>
        <w:tc>
          <w:tcPr>
            <w:tcW w:w="748" w:type="pct"/>
            <w:tcBorders>
              <w:top w:val="nil"/>
              <w:left w:val="nil"/>
              <w:bottom w:val="nil"/>
              <w:right w:val="nil"/>
            </w:tcBorders>
            <w:shd w:val="clear" w:color="auto" w:fill="auto"/>
            <w:noWrap/>
            <w:vAlign w:val="center"/>
          </w:tcPr>
          <w:p w14:paraId="530B42C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81.211</w:t>
            </w:r>
          </w:p>
        </w:tc>
        <w:tc>
          <w:tcPr>
            <w:tcW w:w="791" w:type="pct"/>
            <w:tcBorders>
              <w:top w:val="nil"/>
              <w:left w:val="nil"/>
              <w:bottom w:val="nil"/>
              <w:right w:val="nil"/>
            </w:tcBorders>
            <w:shd w:val="clear" w:color="auto" w:fill="auto"/>
            <w:noWrap/>
            <w:vAlign w:val="center"/>
          </w:tcPr>
          <w:p w14:paraId="720D3F5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3.330</w:t>
            </w:r>
          </w:p>
        </w:tc>
        <w:tc>
          <w:tcPr>
            <w:tcW w:w="751" w:type="pct"/>
            <w:tcBorders>
              <w:top w:val="nil"/>
              <w:left w:val="nil"/>
              <w:bottom w:val="nil"/>
              <w:right w:val="nil"/>
            </w:tcBorders>
            <w:shd w:val="clear" w:color="auto" w:fill="auto"/>
            <w:noWrap/>
            <w:vAlign w:val="center"/>
          </w:tcPr>
          <w:p w14:paraId="01436976">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0.390</w:t>
            </w:r>
            <w:r>
              <w:rPr>
                <w:rFonts w:ascii="Times New Roman" w:hAnsi="Times New Roman" w:eastAsia="宋体" w:cs="Times New Roman"/>
                <w:b/>
                <w:bCs/>
                <w:color w:val="000000"/>
                <w:kern w:val="0"/>
                <w:szCs w:val="21"/>
                <w:vertAlign w:val="superscript"/>
                <w:lang w:bidi="ar"/>
              </w:rPr>
              <w:t>a</w:t>
            </w:r>
          </w:p>
        </w:tc>
      </w:tr>
      <w:tr w14:paraId="3A7B3E75">
        <w:tblPrEx>
          <w:tblCellMar>
            <w:top w:w="0" w:type="dxa"/>
            <w:left w:w="108" w:type="dxa"/>
            <w:bottom w:w="0" w:type="dxa"/>
            <w:right w:w="108" w:type="dxa"/>
          </w:tblCellMar>
        </w:tblPrEx>
        <w:trPr>
          <w:trHeight w:val="305" w:hRule="atLeast"/>
        </w:trPr>
        <w:tc>
          <w:tcPr>
            <w:tcW w:w="506" w:type="pct"/>
            <w:vMerge w:val="restart"/>
            <w:tcBorders>
              <w:top w:val="nil"/>
              <w:left w:val="nil"/>
              <w:bottom w:val="nil"/>
              <w:right w:val="nil"/>
            </w:tcBorders>
            <w:shd w:val="clear" w:color="auto" w:fill="auto"/>
            <w:noWrap/>
            <w:vAlign w:val="center"/>
          </w:tcPr>
          <w:p w14:paraId="1349F3D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c>
          <w:tcPr>
            <w:tcW w:w="721" w:type="pct"/>
            <w:vMerge w:val="restart"/>
            <w:tcBorders>
              <w:top w:val="nil"/>
              <w:left w:val="nil"/>
              <w:bottom w:val="nil"/>
              <w:right w:val="nil"/>
            </w:tcBorders>
            <w:shd w:val="clear" w:color="auto" w:fill="auto"/>
            <w:noWrap/>
            <w:vAlign w:val="center"/>
          </w:tcPr>
          <w:p w14:paraId="171B3F7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c.3142G&gt;T</w:t>
            </w:r>
          </w:p>
        </w:tc>
        <w:tc>
          <w:tcPr>
            <w:tcW w:w="629" w:type="pct"/>
            <w:tcBorders>
              <w:top w:val="nil"/>
              <w:left w:val="nil"/>
              <w:bottom w:val="nil"/>
              <w:right w:val="nil"/>
            </w:tcBorders>
            <w:shd w:val="clear" w:color="auto" w:fill="auto"/>
            <w:noWrap/>
            <w:vAlign w:val="center"/>
          </w:tcPr>
          <w:p w14:paraId="0B5F036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GG</w:t>
            </w:r>
          </w:p>
        </w:tc>
        <w:tc>
          <w:tcPr>
            <w:tcW w:w="851" w:type="pct"/>
            <w:tcBorders>
              <w:top w:val="nil"/>
              <w:left w:val="nil"/>
              <w:bottom w:val="nil"/>
              <w:right w:val="nil"/>
            </w:tcBorders>
            <w:shd w:val="clear" w:color="auto" w:fill="auto"/>
            <w:noWrap/>
            <w:vAlign w:val="center"/>
          </w:tcPr>
          <w:p w14:paraId="57123A9B">
            <w:pPr>
              <w:widowControl/>
              <w:spacing w:line="360" w:lineRule="auto"/>
              <w:jc w:val="center"/>
              <w:textAlignment w:val="center"/>
              <w:rPr>
                <w:rFonts w:ascii="Times New Roman" w:hAnsi="Times New Roman" w:eastAsia="宋体" w:cs="Times New Roman"/>
                <w:color w:val="000000"/>
                <w:sz w:val="22"/>
                <w:szCs w:val="22"/>
              </w:rPr>
            </w:pPr>
            <w:r>
              <w:rPr>
                <w:rFonts w:ascii="Times New Roman" w:hAnsi="Times New Roman" w:eastAsia="宋体" w:cs="Times New Roman"/>
                <w:color w:val="000000"/>
                <w:kern w:val="0"/>
                <w:sz w:val="22"/>
                <w:szCs w:val="22"/>
                <w:lang w:bidi="ar"/>
              </w:rPr>
              <w:t>5</w:t>
            </w:r>
          </w:p>
        </w:tc>
        <w:tc>
          <w:tcPr>
            <w:tcW w:w="748" w:type="pct"/>
            <w:tcBorders>
              <w:top w:val="nil"/>
              <w:left w:val="nil"/>
              <w:bottom w:val="nil"/>
              <w:right w:val="nil"/>
            </w:tcBorders>
            <w:shd w:val="clear" w:color="auto" w:fill="auto"/>
            <w:noWrap/>
            <w:vAlign w:val="center"/>
          </w:tcPr>
          <w:p w14:paraId="715F26A2">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95.343</w:t>
            </w:r>
          </w:p>
        </w:tc>
        <w:tc>
          <w:tcPr>
            <w:tcW w:w="791" w:type="pct"/>
            <w:tcBorders>
              <w:top w:val="nil"/>
              <w:left w:val="nil"/>
              <w:bottom w:val="nil"/>
              <w:right w:val="nil"/>
            </w:tcBorders>
            <w:shd w:val="clear" w:color="auto" w:fill="auto"/>
            <w:noWrap/>
            <w:vAlign w:val="center"/>
          </w:tcPr>
          <w:p w14:paraId="6A5A0099">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3.313</w:t>
            </w:r>
          </w:p>
        </w:tc>
        <w:tc>
          <w:tcPr>
            <w:tcW w:w="751" w:type="pct"/>
            <w:tcBorders>
              <w:top w:val="nil"/>
              <w:left w:val="nil"/>
              <w:bottom w:val="nil"/>
              <w:right w:val="nil"/>
            </w:tcBorders>
            <w:shd w:val="clear" w:color="auto" w:fill="auto"/>
            <w:noWrap/>
            <w:vAlign w:val="center"/>
          </w:tcPr>
          <w:p w14:paraId="19D5CF37">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0.361</w:t>
            </w:r>
            <w:r>
              <w:rPr>
                <w:rFonts w:ascii="Times New Roman" w:hAnsi="Times New Roman" w:eastAsia="宋体" w:cs="Times New Roman"/>
                <w:b/>
                <w:bCs/>
                <w:color w:val="000000"/>
                <w:kern w:val="0"/>
                <w:szCs w:val="21"/>
                <w:vertAlign w:val="superscript"/>
                <w:lang w:bidi="ar"/>
              </w:rPr>
              <w:t>b</w:t>
            </w:r>
          </w:p>
        </w:tc>
      </w:tr>
      <w:tr w14:paraId="79D7E5ED">
        <w:tblPrEx>
          <w:tblCellMar>
            <w:top w:w="0" w:type="dxa"/>
            <w:left w:w="108" w:type="dxa"/>
            <w:bottom w:w="0" w:type="dxa"/>
            <w:right w:w="108" w:type="dxa"/>
          </w:tblCellMar>
        </w:tblPrEx>
        <w:trPr>
          <w:trHeight w:val="305" w:hRule="atLeast"/>
        </w:trPr>
        <w:tc>
          <w:tcPr>
            <w:tcW w:w="506" w:type="pct"/>
            <w:vMerge w:val="continue"/>
            <w:tcBorders>
              <w:top w:val="nil"/>
              <w:left w:val="nil"/>
              <w:bottom w:val="nil"/>
              <w:right w:val="nil"/>
            </w:tcBorders>
            <w:shd w:val="clear" w:color="auto" w:fill="auto"/>
            <w:noWrap/>
            <w:vAlign w:val="center"/>
          </w:tcPr>
          <w:p w14:paraId="2517E14D">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nil"/>
              <w:right w:val="nil"/>
            </w:tcBorders>
            <w:shd w:val="clear" w:color="auto" w:fill="auto"/>
            <w:noWrap/>
            <w:vAlign w:val="center"/>
          </w:tcPr>
          <w:p w14:paraId="202B15CD">
            <w:pPr>
              <w:spacing w:line="360" w:lineRule="auto"/>
              <w:jc w:val="center"/>
              <w:rPr>
                <w:rFonts w:ascii="Times New Roman" w:hAnsi="Times New Roman" w:eastAsia="宋体" w:cs="Times New Roman"/>
                <w:color w:val="000000"/>
                <w:szCs w:val="21"/>
              </w:rPr>
            </w:pPr>
          </w:p>
        </w:tc>
        <w:tc>
          <w:tcPr>
            <w:tcW w:w="629" w:type="pct"/>
            <w:tcBorders>
              <w:top w:val="nil"/>
              <w:left w:val="nil"/>
              <w:bottom w:val="nil"/>
              <w:right w:val="nil"/>
            </w:tcBorders>
            <w:shd w:val="clear" w:color="auto" w:fill="auto"/>
            <w:noWrap/>
            <w:vAlign w:val="center"/>
          </w:tcPr>
          <w:p w14:paraId="2FF0103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GT</w:t>
            </w:r>
          </w:p>
        </w:tc>
        <w:tc>
          <w:tcPr>
            <w:tcW w:w="851" w:type="pct"/>
            <w:tcBorders>
              <w:top w:val="nil"/>
              <w:left w:val="nil"/>
              <w:bottom w:val="nil"/>
              <w:right w:val="nil"/>
            </w:tcBorders>
            <w:shd w:val="clear" w:color="auto" w:fill="auto"/>
            <w:noWrap/>
            <w:vAlign w:val="center"/>
          </w:tcPr>
          <w:p w14:paraId="27AC124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w:t>
            </w:r>
          </w:p>
        </w:tc>
        <w:tc>
          <w:tcPr>
            <w:tcW w:w="748" w:type="pct"/>
            <w:tcBorders>
              <w:top w:val="nil"/>
              <w:left w:val="nil"/>
              <w:bottom w:val="nil"/>
              <w:right w:val="nil"/>
            </w:tcBorders>
            <w:shd w:val="clear" w:color="auto" w:fill="auto"/>
            <w:noWrap/>
            <w:vAlign w:val="center"/>
          </w:tcPr>
          <w:p w14:paraId="0F4551DC">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80.431</w:t>
            </w:r>
          </w:p>
        </w:tc>
        <w:tc>
          <w:tcPr>
            <w:tcW w:w="791" w:type="pct"/>
            <w:tcBorders>
              <w:top w:val="nil"/>
              <w:left w:val="nil"/>
              <w:bottom w:val="nil"/>
              <w:right w:val="nil"/>
            </w:tcBorders>
            <w:shd w:val="clear" w:color="auto" w:fill="auto"/>
            <w:noWrap/>
            <w:vAlign w:val="center"/>
          </w:tcPr>
          <w:p w14:paraId="71621D4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3.310</w:t>
            </w:r>
          </w:p>
        </w:tc>
        <w:tc>
          <w:tcPr>
            <w:tcW w:w="751" w:type="pct"/>
            <w:tcBorders>
              <w:top w:val="nil"/>
              <w:left w:val="nil"/>
              <w:bottom w:val="nil"/>
              <w:right w:val="nil"/>
            </w:tcBorders>
            <w:shd w:val="clear" w:color="auto" w:fill="auto"/>
            <w:noWrap/>
            <w:vAlign w:val="center"/>
          </w:tcPr>
          <w:p w14:paraId="5C09AA52">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0.365</w:t>
            </w:r>
            <w:r>
              <w:rPr>
                <w:rFonts w:ascii="Times New Roman" w:hAnsi="Times New Roman" w:eastAsia="宋体" w:cs="Times New Roman"/>
                <w:b/>
                <w:bCs/>
                <w:color w:val="000000"/>
                <w:kern w:val="0"/>
                <w:szCs w:val="21"/>
                <w:vertAlign w:val="superscript"/>
                <w:lang w:bidi="ar"/>
              </w:rPr>
              <w:t>b</w:t>
            </w:r>
          </w:p>
        </w:tc>
      </w:tr>
      <w:tr w14:paraId="64281E2D">
        <w:tblPrEx>
          <w:tblCellMar>
            <w:top w:w="0" w:type="dxa"/>
            <w:left w:w="108" w:type="dxa"/>
            <w:bottom w:w="0" w:type="dxa"/>
            <w:right w:w="108" w:type="dxa"/>
          </w:tblCellMar>
        </w:tblPrEx>
        <w:trPr>
          <w:trHeight w:val="305" w:hRule="atLeast"/>
        </w:trPr>
        <w:tc>
          <w:tcPr>
            <w:tcW w:w="506" w:type="pct"/>
            <w:vMerge w:val="continue"/>
            <w:tcBorders>
              <w:top w:val="nil"/>
              <w:left w:val="nil"/>
              <w:bottom w:val="single" w:color="000000" w:sz="12" w:space="0"/>
              <w:right w:val="nil"/>
            </w:tcBorders>
            <w:shd w:val="clear" w:color="auto" w:fill="auto"/>
            <w:noWrap/>
            <w:vAlign w:val="center"/>
          </w:tcPr>
          <w:p w14:paraId="6A9CA2A4">
            <w:pPr>
              <w:spacing w:line="360" w:lineRule="auto"/>
              <w:jc w:val="center"/>
              <w:rPr>
                <w:rFonts w:ascii="Times New Roman" w:hAnsi="Times New Roman" w:eastAsia="宋体" w:cs="Times New Roman"/>
                <w:color w:val="000000"/>
                <w:szCs w:val="21"/>
              </w:rPr>
            </w:pPr>
          </w:p>
        </w:tc>
        <w:tc>
          <w:tcPr>
            <w:tcW w:w="721" w:type="pct"/>
            <w:vMerge w:val="continue"/>
            <w:tcBorders>
              <w:top w:val="nil"/>
              <w:left w:val="nil"/>
              <w:bottom w:val="single" w:color="000000" w:sz="12" w:space="0"/>
              <w:right w:val="nil"/>
            </w:tcBorders>
            <w:shd w:val="clear" w:color="auto" w:fill="auto"/>
            <w:noWrap/>
            <w:vAlign w:val="center"/>
          </w:tcPr>
          <w:p w14:paraId="16185D00">
            <w:pPr>
              <w:spacing w:line="360" w:lineRule="auto"/>
              <w:jc w:val="center"/>
              <w:rPr>
                <w:rFonts w:ascii="Times New Roman" w:hAnsi="Times New Roman" w:eastAsia="宋体" w:cs="Times New Roman"/>
                <w:color w:val="000000"/>
                <w:szCs w:val="21"/>
              </w:rPr>
            </w:pPr>
          </w:p>
        </w:tc>
        <w:tc>
          <w:tcPr>
            <w:tcW w:w="629" w:type="pct"/>
            <w:tcBorders>
              <w:top w:val="nil"/>
              <w:left w:val="nil"/>
              <w:bottom w:val="single" w:color="000000" w:sz="12" w:space="0"/>
              <w:right w:val="nil"/>
            </w:tcBorders>
            <w:shd w:val="clear" w:color="auto" w:fill="auto"/>
            <w:noWrap/>
            <w:vAlign w:val="center"/>
          </w:tcPr>
          <w:p w14:paraId="3FB4804C">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TT</w:t>
            </w:r>
          </w:p>
        </w:tc>
        <w:tc>
          <w:tcPr>
            <w:tcW w:w="851" w:type="pct"/>
            <w:tcBorders>
              <w:top w:val="nil"/>
              <w:left w:val="nil"/>
              <w:bottom w:val="single" w:color="000000" w:sz="12" w:space="0"/>
              <w:right w:val="nil"/>
            </w:tcBorders>
            <w:shd w:val="clear" w:color="auto" w:fill="auto"/>
            <w:noWrap/>
            <w:vAlign w:val="center"/>
          </w:tcPr>
          <w:p w14:paraId="0AAABF6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9</w:t>
            </w:r>
          </w:p>
        </w:tc>
        <w:tc>
          <w:tcPr>
            <w:tcW w:w="748" w:type="pct"/>
            <w:tcBorders>
              <w:top w:val="nil"/>
              <w:left w:val="nil"/>
              <w:bottom w:val="single" w:color="000000" w:sz="12" w:space="0"/>
              <w:right w:val="nil"/>
            </w:tcBorders>
            <w:shd w:val="clear" w:color="auto" w:fill="auto"/>
            <w:noWrap/>
            <w:vAlign w:val="center"/>
          </w:tcPr>
          <w:p w14:paraId="537D7316">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81.029</w:t>
            </w:r>
          </w:p>
        </w:tc>
        <w:tc>
          <w:tcPr>
            <w:tcW w:w="791" w:type="pct"/>
            <w:tcBorders>
              <w:top w:val="nil"/>
              <w:left w:val="nil"/>
              <w:bottom w:val="single" w:color="000000" w:sz="12" w:space="0"/>
              <w:right w:val="nil"/>
            </w:tcBorders>
            <w:shd w:val="clear" w:color="auto" w:fill="auto"/>
            <w:noWrap/>
            <w:vAlign w:val="center"/>
          </w:tcPr>
          <w:p w14:paraId="0EB4F454">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3.145</w:t>
            </w:r>
          </w:p>
        </w:tc>
        <w:tc>
          <w:tcPr>
            <w:tcW w:w="751" w:type="pct"/>
            <w:tcBorders>
              <w:top w:val="nil"/>
              <w:left w:val="nil"/>
              <w:bottom w:val="single" w:color="000000" w:sz="12" w:space="0"/>
              <w:right w:val="nil"/>
            </w:tcBorders>
            <w:shd w:val="clear" w:color="auto" w:fill="auto"/>
            <w:noWrap/>
            <w:vAlign w:val="center"/>
          </w:tcPr>
          <w:p w14:paraId="4F0DEC1E">
            <w:pPr>
              <w:widowControl/>
              <w:spacing w:line="360" w:lineRule="auto"/>
              <w:jc w:val="center"/>
              <w:textAlignment w:val="center"/>
              <w:rPr>
                <w:rFonts w:ascii="Times New Roman" w:hAnsi="Times New Roman" w:eastAsia="宋体" w:cs="Times New Roman"/>
                <w:b/>
                <w:bCs/>
                <w:color w:val="000000"/>
                <w:kern w:val="0"/>
                <w:szCs w:val="21"/>
                <w:lang w:bidi="ar"/>
              </w:rPr>
            </w:pPr>
            <w:r>
              <w:rPr>
                <w:rFonts w:ascii="Times New Roman" w:hAnsi="Times New Roman" w:eastAsia="宋体" w:cs="Times New Roman"/>
                <w:b/>
                <w:bCs/>
                <w:color w:val="000000"/>
                <w:kern w:val="0"/>
                <w:szCs w:val="21"/>
                <w:lang w:bidi="ar"/>
              </w:rPr>
              <w:t>0.371</w:t>
            </w:r>
            <w:r>
              <w:rPr>
                <w:rFonts w:ascii="Times New Roman" w:hAnsi="Times New Roman" w:eastAsia="宋体" w:cs="Times New Roman"/>
                <w:b/>
                <w:bCs/>
                <w:color w:val="000000"/>
                <w:kern w:val="0"/>
                <w:szCs w:val="21"/>
                <w:vertAlign w:val="superscript"/>
                <w:lang w:bidi="ar"/>
              </w:rPr>
              <w:t>a</w:t>
            </w:r>
          </w:p>
        </w:tc>
      </w:tr>
    </w:tbl>
    <w:p w14:paraId="721A9809">
      <w:pPr>
        <w:pStyle w:val="15"/>
        <w:widowControl/>
        <w:spacing w:beforeAutospacing="0" w:afterAutospacing="0" w:line="360" w:lineRule="auto"/>
        <w:jc w:val="both"/>
        <w:rPr>
          <w:rFonts w:ascii="Times New Roman" w:hAnsi="Times New Roman" w:eastAsia="宋体"/>
          <w:b/>
          <w:bCs/>
          <w:sz w:val="21"/>
          <w:szCs w:val="21"/>
        </w:rPr>
      </w:pPr>
    </w:p>
    <w:bookmarkEnd w:id="9"/>
    <w:bookmarkEnd w:id="10"/>
    <w:bookmarkEnd w:id="11"/>
    <w:bookmarkEnd w:id="12"/>
    <w:bookmarkEnd w:id="13"/>
    <w:p w14:paraId="01477C7F">
      <w:pPr>
        <w:pStyle w:val="3"/>
        <w:numPr>
          <w:ilvl w:val="1"/>
          <w:numId w:val="4"/>
        </w:numPr>
        <w:spacing w:before="0" w:after="0" w:line="360" w:lineRule="auto"/>
        <w:ind w:left="0" w:firstLine="0"/>
        <w:rPr>
          <w:rFonts w:ascii="Times New Roman" w:hAnsi="Times New Roman" w:cs="Times New Roman"/>
          <w:sz w:val="30"/>
          <w:szCs w:val="30"/>
        </w:rPr>
      </w:pPr>
      <w:r>
        <w:rPr>
          <w:rFonts w:ascii="Times New Roman" w:hAnsi="Times New Roman" w:cs="Times New Roman"/>
          <w:sz w:val="30"/>
          <w:szCs w:val="30"/>
        </w:rPr>
        <w:t xml:space="preserve">Variant sites in the </w:t>
      </w:r>
      <w:r>
        <w:rPr>
          <w:rFonts w:ascii="Times New Roman" w:hAnsi="Times New Roman" w:cs="Times New Roman"/>
          <w:i/>
          <w:sz w:val="30"/>
          <w:szCs w:val="30"/>
        </w:rPr>
        <w:t>LTF</w:t>
      </w:r>
      <w:r>
        <w:rPr>
          <w:rFonts w:ascii="Times New Roman" w:hAnsi="Times New Roman" w:cs="Times New Roman"/>
          <w:sz w:val="30"/>
          <w:szCs w:val="30"/>
        </w:rPr>
        <w:t xml:space="preserve">, </w:t>
      </w:r>
      <w:r>
        <w:rPr>
          <w:rFonts w:ascii="Times New Roman" w:hAnsi="Times New Roman" w:cs="Times New Roman"/>
          <w:i/>
          <w:sz w:val="30"/>
          <w:szCs w:val="30"/>
        </w:rPr>
        <w:t>PTPRK</w:t>
      </w:r>
      <w:r>
        <w:rPr>
          <w:rFonts w:ascii="Times New Roman" w:hAnsi="Times New Roman" w:cs="Times New Roman"/>
          <w:sz w:val="30"/>
          <w:szCs w:val="30"/>
        </w:rPr>
        <w:t xml:space="preserve">, and </w:t>
      </w:r>
      <w:r>
        <w:rPr>
          <w:rFonts w:ascii="Times New Roman" w:hAnsi="Times New Roman" w:cs="Times New Roman"/>
          <w:i/>
          <w:sz w:val="30"/>
          <w:szCs w:val="30"/>
        </w:rPr>
        <w:t>LIFR</w:t>
      </w:r>
      <w:r>
        <w:rPr>
          <w:rFonts w:ascii="Times New Roman" w:hAnsi="Times New Roman" w:cs="Times New Roman"/>
          <w:sz w:val="30"/>
          <w:szCs w:val="30"/>
        </w:rPr>
        <w:t xml:space="preserve"> genes</w:t>
      </w:r>
    </w:p>
    <w:p w14:paraId="2E7FC4EB">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The physical and chemical properties of </w:t>
      </w:r>
      <w:r>
        <w:rPr>
          <w:rFonts w:ascii="Times New Roman" w:hAnsi="Times New Roman" w:eastAsia="宋体"/>
          <w:i/>
        </w:rPr>
        <w:t>LTF</w:t>
      </w:r>
      <w:r>
        <w:rPr>
          <w:rFonts w:ascii="Times New Roman" w:hAnsi="Times New Roman" w:eastAsia="宋体"/>
        </w:rPr>
        <w:t xml:space="preserve">, </w:t>
      </w:r>
      <w:r>
        <w:rPr>
          <w:rFonts w:ascii="Times New Roman" w:hAnsi="Times New Roman" w:eastAsia="宋体"/>
          <w:i/>
        </w:rPr>
        <w:t>PTPRK</w:t>
      </w:r>
      <w:r>
        <w:rPr>
          <w:rFonts w:ascii="Times New Roman" w:hAnsi="Times New Roman" w:eastAsia="宋体"/>
        </w:rPr>
        <w:t xml:space="preserve">, and </w:t>
      </w:r>
      <w:r>
        <w:rPr>
          <w:rFonts w:ascii="Times New Roman" w:hAnsi="Times New Roman" w:eastAsia="宋体"/>
          <w:i/>
        </w:rPr>
        <w:t>LIFR</w:t>
      </w:r>
      <w:r>
        <w:rPr>
          <w:rFonts w:ascii="Times New Roman" w:hAnsi="Times New Roman" w:eastAsia="宋体"/>
        </w:rPr>
        <w:t xml:space="preserve"> are shown in </w:t>
      </w:r>
      <w:r>
        <w:rPr>
          <w:rFonts w:ascii="Times New Roman" w:hAnsi="Times New Roman" w:eastAsia="宋体"/>
          <w:b/>
          <w:bCs/>
        </w:rPr>
        <w:t xml:space="preserve">Table </w:t>
      </w:r>
      <w:r>
        <w:rPr>
          <w:rFonts w:hint="eastAsia" w:ascii="Times New Roman" w:hAnsi="Times New Roman" w:eastAsia="宋体"/>
          <w:b/>
          <w:bCs/>
        </w:rPr>
        <w:t>5</w:t>
      </w:r>
      <w:r>
        <w:rPr>
          <w:rFonts w:ascii="Times New Roman" w:hAnsi="Times New Roman" w:eastAsia="宋体"/>
        </w:rPr>
        <w:t xml:space="preserve">. The </w:t>
      </w:r>
      <w:r>
        <w:rPr>
          <w:rFonts w:ascii="Times New Roman" w:hAnsi="Times New Roman" w:eastAsia="宋体"/>
          <w:i/>
        </w:rPr>
        <w:t>LTF</w:t>
      </w:r>
      <w:r>
        <w:rPr>
          <w:rFonts w:ascii="Times New Roman" w:hAnsi="Times New Roman" w:eastAsia="宋体"/>
        </w:rPr>
        <w:t xml:space="preserve"> protein of rs422619216 mutant changed from Met to Thr, and the </w:t>
      </w:r>
      <w:r>
        <w:rPr>
          <w:rFonts w:ascii="Times New Roman" w:hAnsi="Times New Roman" w:eastAsia="宋体"/>
          <w:i/>
        </w:rPr>
        <w:t>PTPRK</w:t>
      </w:r>
      <w:r>
        <w:rPr>
          <w:rFonts w:ascii="Times New Roman" w:hAnsi="Times New Roman" w:eastAsia="宋体"/>
        </w:rPr>
        <w:t xml:space="preserve"> protein of rs429528738 mutant changed from Arg to His, leading to a decreased molecular weight of </w:t>
      </w:r>
      <w:r>
        <w:rPr>
          <w:rFonts w:ascii="Times New Roman" w:hAnsi="Times New Roman" w:eastAsia="宋体"/>
          <w:i/>
        </w:rPr>
        <w:t>LTF</w:t>
      </w:r>
      <w:r>
        <w:rPr>
          <w:rFonts w:ascii="Times New Roman" w:hAnsi="Times New Roman" w:eastAsia="宋体"/>
        </w:rPr>
        <w:t xml:space="preserve"> and </w:t>
      </w:r>
      <w:r>
        <w:rPr>
          <w:rFonts w:ascii="Times New Roman" w:hAnsi="Times New Roman" w:eastAsia="宋体"/>
          <w:i/>
        </w:rPr>
        <w:t>PTPRK</w:t>
      </w:r>
      <w:r>
        <w:rPr>
          <w:rFonts w:ascii="Times New Roman" w:hAnsi="Times New Roman" w:eastAsia="宋体"/>
        </w:rPr>
        <w:t xml:space="preserve"> proteins. However, the </w:t>
      </w:r>
      <w:r>
        <w:rPr>
          <w:rFonts w:ascii="Times New Roman" w:hAnsi="Times New Roman" w:eastAsia="宋体"/>
          <w:i/>
        </w:rPr>
        <w:t>LIFR</w:t>
      </w:r>
      <w:r>
        <w:rPr>
          <w:rFonts w:ascii="Times New Roman" w:hAnsi="Times New Roman" w:eastAsia="宋体"/>
        </w:rPr>
        <w:t xml:space="preserve"> protein of the mutants of rs408968100, rs162154352, rs161149074, and rs411119461 changed from Ala to Ser, Ser to Asn, Ile to Met, and Gly to Cys. These changes lead to the increase of molecular weight of </w:t>
      </w:r>
      <w:r>
        <w:rPr>
          <w:rFonts w:ascii="Times New Roman" w:hAnsi="Times New Roman" w:eastAsia="宋体"/>
          <w:i/>
        </w:rPr>
        <w:t>LIFR</w:t>
      </w:r>
      <w:r>
        <w:rPr>
          <w:rFonts w:ascii="Times New Roman" w:hAnsi="Times New Roman" w:eastAsia="宋体"/>
        </w:rPr>
        <w:t xml:space="preserve"> protein. In addition, the </w:t>
      </w:r>
      <w:r>
        <w:rPr>
          <w:rFonts w:ascii="Times New Roman" w:hAnsi="Times New Roman" w:eastAsia="宋体"/>
          <w:i/>
        </w:rPr>
        <w:t>LTF</w:t>
      </w:r>
      <w:r>
        <w:rPr>
          <w:rFonts w:ascii="Times New Roman" w:hAnsi="Times New Roman" w:eastAsia="宋体"/>
        </w:rPr>
        <w:t xml:space="preserve">, </w:t>
      </w:r>
      <w:r>
        <w:rPr>
          <w:rFonts w:ascii="Times New Roman" w:hAnsi="Times New Roman" w:eastAsia="宋体"/>
          <w:i/>
        </w:rPr>
        <w:t>PTPRK</w:t>
      </w:r>
      <w:r>
        <w:rPr>
          <w:rFonts w:ascii="Times New Roman" w:hAnsi="Times New Roman" w:eastAsia="宋体"/>
        </w:rPr>
        <w:t xml:space="preserve"> and </w:t>
      </w:r>
      <w:r>
        <w:rPr>
          <w:rFonts w:ascii="Times New Roman" w:hAnsi="Times New Roman" w:eastAsia="宋体"/>
          <w:i/>
        </w:rPr>
        <w:t>LIFR</w:t>
      </w:r>
      <w:r>
        <w:rPr>
          <w:rFonts w:ascii="Times New Roman" w:hAnsi="Times New Roman" w:eastAsia="宋体"/>
        </w:rPr>
        <w:t xml:space="preserve"> proteins of the mutants of rs422619216, rs429528738 and rs162154352 decreased the instability index (II), respectively, while the </w:t>
      </w:r>
      <w:r>
        <w:rPr>
          <w:rFonts w:ascii="Times New Roman" w:hAnsi="Times New Roman" w:eastAsia="宋体"/>
          <w:i/>
        </w:rPr>
        <w:t>LIFR</w:t>
      </w:r>
      <w:r>
        <w:rPr>
          <w:rFonts w:ascii="Times New Roman" w:hAnsi="Times New Roman" w:eastAsia="宋体"/>
        </w:rPr>
        <w:t xml:space="preserve"> protein of the mutant of rs411119461 increased the instability index, while the </w:t>
      </w:r>
      <w:r>
        <w:rPr>
          <w:rFonts w:ascii="Times New Roman" w:hAnsi="Times New Roman" w:eastAsia="宋体"/>
          <w:i/>
        </w:rPr>
        <w:t>LIFR</w:t>
      </w:r>
      <w:r>
        <w:rPr>
          <w:rFonts w:ascii="Times New Roman" w:hAnsi="Times New Roman" w:eastAsia="宋体"/>
        </w:rPr>
        <w:t xml:space="preserve"> protein instability index of the mutants of rs408968100 and rs161149074 remained. Furthermore, mutations in </w:t>
      </w:r>
      <w:r>
        <w:rPr>
          <w:rFonts w:ascii="Times New Roman" w:hAnsi="Times New Roman" w:eastAsia="宋体"/>
          <w:i/>
        </w:rPr>
        <w:t>LTF</w:t>
      </w:r>
      <w:r>
        <w:rPr>
          <w:rFonts w:ascii="Times New Roman" w:hAnsi="Times New Roman" w:eastAsia="宋体"/>
        </w:rPr>
        <w:t xml:space="preserve">, </w:t>
      </w:r>
      <w:r>
        <w:rPr>
          <w:rFonts w:ascii="Times New Roman" w:hAnsi="Times New Roman" w:eastAsia="宋体"/>
          <w:i/>
        </w:rPr>
        <w:t>PTPRK</w:t>
      </w:r>
      <w:r>
        <w:rPr>
          <w:rFonts w:ascii="Times New Roman" w:hAnsi="Times New Roman" w:eastAsia="宋体"/>
        </w:rPr>
        <w:t xml:space="preserve">, and </w:t>
      </w:r>
      <w:r>
        <w:rPr>
          <w:rFonts w:ascii="Times New Roman" w:hAnsi="Times New Roman" w:eastAsia="宋体"/>
          <w:i/>
        </w:rPr>
        <w:t>LIFR</w:t>
      </w:r>
      <w:r>
        <w:rPr>
          <w:rFonts w:ascii="Times New Roman" w:hAnsi="Times New Roman" w:eastAsia="宋体"/>
        </w:rPr>
        <w:t xml:space="preserve"> loci all changed the overall average value of protein hydrophilicity.</w:t>
      </w:r>
    </w:p>
    <w:p w14:paraId="76B2285C">
      <w:pPr>
        <w:pStyle w:val="15"/>
        <w:widowControl/>
        <w:spacing w:beforeAutospacing="0" w:afterAutospacing="0" w:line="360" w:lineRule="auto"/>
        <w:jc w:val="both"/>
        <w:outlineLvl w:val="3"/>
        <w:rPr>
          <w:rFonts w:ascii="Times New Roman" w:hAnsi="Times New Roman"/>
          <w:b/>
          <w:bCs/>
          <w:spacing w:val="10"/>
          <w:sz w:val="21"/>
          <w:szCs w:val="21"/>
        </w:rPr>
      </w:pPr>
      <w:r>
        <w:rPr>
          <w:rFonts w:ascii="Times New Roman" w:hAnsi="Times New Roman"/>
          <w:b/>
          <w:bCs/>
          <w:spacing w:val="10"/>
          <w:sz w:val="21"/>
          <w:szCs w:val="21"/>
        </w:rPr>
        <w:t xml:space="preserve">Table </w:t>
      </w:r>
      <w:r>
        <w:rPr>
          <w:rFonts w:hint="eastAsia" w:ascii="Times New Roman" w:hAnsi="Times New Roman"/>
          <w:b/>
          <w:bCs/>
          <w:spacing w:val="10"/>
          <w:sz w:val="21"/>
          <w:szCs w:val="21"/>
        </w:rPr>
        <w:t>5</w:t>
      </w:r>
      <w:r>
        <w:rPr>
          <w:rFonts w:ascii="Times New Roman" w:hAnsi="Times New Roman"/>
          <w:b/>
          <w:bCs/>
          <w:spacing w:val="10"/>
          <w:sz w:val="21"/>
          <w:szCs w:val="21"/>
        </w:rPr>
        <w:t xml:space="preserve"> </w:t>
      </w:r>
      <w:r>
        <w:rPr>
          <w:rFonts w:hint="eastAsia" w:ascii="Times New Roman" w:hAnsi="Times New Roman"/>
          <w:b/>
          <w:bCs/>
          <w:spacing w:val="10"/>
          <w:sz w:val="21"/>
          <w:szCs w:val="21"/>
        </w:rPr>
        <w:t>P</w:t>
      </w:r>
      <w:r>
        <w:rPr>
          <w:rFonts w:ascii="Times New Roman" w:hAnsi="Times New Roman"/>
          <w:b/>
          <w:bCs/>
          <w:spacing w:val="10"/>
          <w:sz w:val="21"/>
          <w:szCs w:val="21"/>
        </w:rPr>
        <w:t xml:space="preserve">redicts the effects of </w:t>
      </w:r>
      <w:r>
        <w:rPr>
          <w:rFonts w:ascii="Times New Roman" w:hAnsi="Times New Roman"/>
          <w:b/>
          <w:bCs/>
          <w:i/>
          <w:spacing w:val="10"/>
          <w:sz w:val="21"/>
          <w:szCs w:val="21"/>
        </w:rPr>
        <w:t>LTF</w:t>
      </w:r>
      <w:r>
        <w:rPr>
          <w:rFonts w:ascii="Times New Roman" w:hAnsi="Times New Roman"/>
          <w:b/>
          <w:bCs/>
          <w:spacing w:val="10"/>
          <w:sz w:val="21"/>
          <w:szCs w:val="21"/>
        </w:rPr>
        <w:t xml:space="preserve">, </w:t>
      </w:r>
      <w:r>
        <w:rPr>
          <w:rFonts w:ascii="Times New Roman" w:hAnsi="Times New Roman"/>
          <w:b/>
          <w:bCs/>
          <w:i/>
          <w:spacing w:val="10"/>
          <w:sz w:val="21"/>
          <w:szCs w:val="21"/>
        </w:rPr>
        <w:t>PTPRK</w:t>
      </w:r>
      <w:r>
        <w:rPr>
          <w:rFonts w:ascii="Times New Roman" w:hAnsi="Times New Roman"/>
          <w:b/>
          <w:bCs/>
          <w:spacing w:val="10"/>
          <w:sz w:val="21"/>
          <w:szCs w:val="21"/>
        </w:rPr>
        <w:t xml:space="preserve">, and </w:t>
      </w:r>
      <w:r>
        <w:rPr>
          <w:rFonts w:ascii="Times New Roman" w:hAnsi="Times New Roman"/>
          <w:b/>
          <w:bCs/>
          <w:i/>
          <w:spacing w:val="10"/>
          <w:sz w:val="21"/>
          <w:szCs w:val="21"/>
        </w:rPr>
        <w:t>LIFR</w:t>
      </w:r>
      <w:r>
        <w:rPr>
          <w:rFonts w:ascii="Times New Roman" w:hAnsi="Times New Roman"/>
          <w:b/>
          <w:bCs/>
          <w:spacing w:val="10"/>
          <w:sz w:val="21"/>
          <w:szCs w:val="21"/>
        </w:rPr>
        <w:t xml:space="preserve"> gene variations on proteins' physical and chemical properties.</w:t>
      </w:r>
    </w:p>
    <w:tbl>
      <w:tblPr>
        <w:tblStyle w:val="16"/>
        <w:tblW w:w="0" w:type="auto"/>
        <w:tblInd w:w="0" w:type="dxa"/>
        <w:tblLayout w:type="fixed"/>
        <w:tblCellMar>
          <w:top w:w="0" w:type="dxa"/>
          <w:left w:w="108" w:type="dxa"/>
          <w:bottom w:w="0" w:type="dxa"/>
          <w:right w:w="108" w:type="dxa"/>
        </w:tblCellMar>
      </w:tblPr>
      <w:tblGrid>
        <w:gridCol w:w="2411"/>
        <w:gridCol w:w="621"/>
        <w:gridCol w:w="692"/>
        <w:gridCol w:w="669"/>
        <w:gridCol w:w="692"/>
        <w:gridCol w:w="669"/>
        <w:gridCol w:w="692"/>
        <w:gridCol w:w="692"/>
        <w:gridCol w:w="692"/>
        <w:gridCol w:w="692"/>
      </w:tblGrid>
      <w:tr w14:paraId="4886BA49">
        <w:tblPrEx>
          <w:tblCellMar>
            <w:top w:w="0" w:type="dxa"/>
            <w:left w:w="108" w:type="dxa"/>
            <w:bottom w:w="0" w:type="dxa"/>
            <w:right w:w="108" w:type="dxa"/>
          </w:tblCellMar>
        </w:tblPrEx>
        <w:trPr>
          <w:trHeight w:val="280" w:hRule="atLeast"/>
        </w:trPr>
        <w:tc>
          <w:tcPr>
            <w:tcW w:w="2411" w:type="dxa"/>
            <w:tcBorders>
              <w:top w:val="single" w:color="000000" w:sz="12" w:space="0"/>
              <w:left w:val="nil"/>
              <w:bottom w:val="nil"/>
              <w:right w:val="nil"/>
            </w:tcBorders>
            <w:shd w:val="clear" w:color="auto" w:fill="auto"/>
            <w:noWrap/>
            <w:vAlign w:val="center"/>
          </w:tcPr>
          <w:p w14:paraId="2BC35795">
            <w:pPr>
              <w:spacing w:line="360" w:lineRule="auto"/>
              <w:jc w:val="center"/>
              <w:rPr>
                <w:rFonts w:ascii="Times New Roman" w:hAnsi="Times New Roman" w:eastAsia="宋体" w:cs="Times New Roman"/>
                <w:color w:val="000000"/>
                <w:szCs w:val="21"/>
              </w:rPr>
            </w:pPr>
          </w:p>
        </w:tc>
        <w:tc>
          <w:tcPr>
            <w:tcW w:w="1313" w:type="dxa"/>
            <w:gridSpan w:val="2"/>
            <w:tcBorders>
              <w:top w:val="single" w:color="000000" w:sz="12" w:space="0"/>
              <w:left w:val="nil"/>
              <w:bottom w:val="single" w:color="000000" w:sz="6" w:space="0"/>
              <w:right w:val="nil"/>
            </w:tcBorders>
            <w:shd w:val="clear" w:color="auto" w:fill="auto"/>
            <w:noWrap/>
            <w:vAlign w:val="center"/>
          </w:tcPr>
          <w:p w14:paraId="0003BEA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LTF</w:t>
            </w:r>
          </w:p>
        </w:tc>
        <w:tc>
          <w:tcPr>
            <w:tcW w:w="1361" w:type="dxa"/>
            <w:gridSpan w:val="2"/>
            <w:tcBorders>
              <w:top w:val="single" w:color="000000" w:sz="12" w:space="0"/>
              <w:left w:val="nil"/>
              <w:bottom w:val="single" w:color="000000" w:sz="6" w:space="0"/>
              <w:right w:val="nil"/>
            </w:tcBorders>
            <w:shd w:val="clear" w:color="auto" w:fill="auto"/>
            <w:noWrap/>
            <w:vAlign w:val="center"/>
          </w:tcPr>
          <w:p w14:paraId="2AB4F59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PTPRK</w:t>
            </w:r>
          </w:p>
        </w:tc>
        <w:tc>
          <w:tcPr>
            <w:tcW w:w="3437" w:type="dxa"/>
            <w:gridSpan w:val="5"/>
            <w:tcBorders>
              <w:top w:val="single" w:color="000000" w:sz="12" w:space="0"/>
              <w:left w:val="nil"/>
              <w:bottom w:val="single" w:color="000000" w:sz="6" w:space="0"/>
              <w:right w:val="nil"/>
            </w:tcBorders>
            <w:shd w:val="clear" w:color="auto" w:fill="auto"/>
            <w:noWrap/>
            <w:vAlign w:val="center"/>
          </w:tcPr>
          <w:p w14:paraId="7B3F5AA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LIFR</w:t>
            </w:r>
          </w:p>
        </w:tc>
      </w:tr>
      <w:tr w14:paraId="2CF79FC8">
        <w:tblPrEx>
          <w:tblCellMar>
            <w:top w:w="0" w:type="dxa"/>
            <w:left w:w="108" w:type="dxa"/>
            <w:bottom w:w="0" w:type="dxa"/>
            <w:right w:w="108" w:type="dxa"/>
          </w:tblCellMar>
        </w:tblPrEx>
        <w:trPr>
          <w:trHeight w:val="280" w:hRule="atLeast"/>
        </w:trPr>
        <w:tc>
          <w:tcPr>
            <w:tcW w:w="2411" w:type="dxa"/>
            <w:tcBorders>
              <w:top w:val="nil"/>
              <w:left w:val="nil"/>
              <w:bottom w:val="single" w:color="auto" w:sz="6" w:space="0"/>
              <w:right w:val="nil"/>
            </w:tcBorders>
            <w:shd w:val="clear" w:color="auto" w:fill="auto"/>
            <w:noWrap/>
            <w:vAlign w:val="center"/>
          </w:tcPr>
          <w:p w14:paraId="73A5687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Item</w:t>
            </w:r>
          </w:p>
        </w:tc>
        <w:tc>
          <w:tcPr>
            <w:tcW w:w="621" w:type="dxa"/>
            <w:tcBorders>
              <w:top w:val="single" w:color="000000" w:sz="6" w:space="0"/>
              <w:left w:val="nil"/>
              <w:bottom w:val="single" w:color="auto" w:sz="6" w:space="0"/>
              <w:right w:val="nil"/>
            </w:tcBorders>
            <w:shd w:val="clear" w:color="auto" w:fill="auto"/>
            <w:noWrap/>
            <w:vAlign w:val="center"/>
          </w:tcPr>
          <w:p w14:paraId="2BA6B22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Wild</w:t>
            </w:r>
          </w:p>
        </w:tc>
        <w:tc>
          <w:tcPr>
            <w:tcW w:w="692" w:type="dxa"/>
            <w:tcBorders>
              <w:top w:val="single" w:color="000000" w:sz="6" w:space="0"/>
              <w:left w:val="nil"/>
              <w:bottom w:val="single" w:color="auto" w:sz="6" w:space="0"/>
              <w:right w:val="nil"/>
            </w:tcBorders>
            <w:shd w:val="clear" w:color="auto" w:fill="auto"/>
            <w:noWrap/>
            <w:vAlign w:val="center"/>
          </w:tcPr>
          <w:p w14:paraId="350CFF6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Mutation-1</w:t>
            </w:r>
          </w:p>
        </w:tc>
        <w:tc>
          <w:tcPr>
            <w:tcW w:w="669" w:type="dxa"/>
            <w:tcBorders>
              <w:top w:val="single" w:color="000000" w:sz="6" w:space="0"/>
              <w:left w:val="nil"/>
              <w:bottom w:val="single" w:color="auto" w:sz="6" w:space="0"/>
              <w:right w:val="nil"/>
            </w:tcBorders>
            <w:shd w:val="clear" w:color="auto" w:fill="auto"/>
            <w:noWrap/>
            <w:vAlign w:val="center"/>
          </w:tcPr>
          <w:p w14:paraId="4EAEAA3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Wild</w:t>
            </w:r>
          </w:p>
        </w:tc>
        <w:tc>
          <w:tcPr>
            <w:tcW w:w="692" w:type="dxa"/>
            <w:tcBorders>
              <w:top w:val="single" w:color="000000" w:sz="6" w:space="0"/>
              <w:left w:val="nil"/>
              <w:bottom w:val="single" w:color="auto" w:sz="6" w:space="0"/>
              <w:right w:val="nil"/>
            </w:tcBorders>
            <w:shd w:val="clear" w:color="auto" w:fill="auto"/>
            <w:noWrap/>
            <w:vAlign w:val="center"/>
          </w:tcPr>
          <w:p w14:paraId="1DC6039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Mutation-1</w:t>
            </w:r>
          </w:p>
        </w:tc>
        <w:tc>
          <w:tcPr>
            <w:tcW w:w="669" w:type="dxa"/>
            <w:tcBorders>
              <w:top w:val="single" w:color="000000" w:sz="6" w:space="0"/>
              <w:left w:val="nil"/>
              <w:bottom w:val="single" w:color="auto" w:sz="6" w:space="0"/>
              <w:right w:val="nil"/>
            </w:tcBorders>
            <w:shd w:val="clear" w:color="auto" w:fill="auto"/>
            <w:noWrap/>
            <w:vAlign w:val="center"/>
          </w:tcPr>
          <w:p w14:paraId="50845D0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Wild</w:t>
            </w:r>
          </w:p>
        </w:tc>
        <w:tc>
          <w:tcPr>
            <w:tcW w:w="692" w:type="dxa"/>
            <w:tcBorders>
              <w:top w:val="single" w:color="000000" w:sz="6" w:space="0"/>
              <w:left w:val="nil"/>
              <w:bottom w:val="single" w:color="auto" w:sz="6" w:space="0"/>
              <w:right w:val="nil"/>
            </w:tcBorders>
            <w:shd w:val="clear" w:color="auto" w:fill="auto"/>
            <w:noWrap/>
            <w:vAlign w:val="center"/>
          </w:tcPr>
          <w:p w14:paraId="00F1664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Mutation-1</w:t>
            </w:r>
          </w:p>
        </w:tc>
        <w:tc>
          <w:tcPr>
            <w:tcW w:w="692" w:type="dxa"/>
            <w:tcBorders>
              <w:top w:val="single" w:color="000000" w:sz="6" w:space="0"/>
              <w:left w:val="nil"/>
              <w:bottom w:val="single" w:color="auto" w:sz="6" w:space="0"/>
              <w:right w:val="nil"/>
            </w:tcBorders>
            <w:shd w:val="clear" w:color="auto" w:fill="auto"/>
            <w:noWrap/>
            <w:vAlign w:val="center"/>
          </w:tcPr>
          <w:p w14:paraId="47EC927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Mutation-2</w:t>
            </w:r>
          </w:p>
        </w:tc>
        <w:tc>
          <w:tcPr>
            <w:tcW w:w="692" w:type="dxa"/>
            <w:tcBorders>
              <w:top w:val="single" w:color="000000" w:sz="6" w:space="0"/>
              <w:left w:val="nil"/>
              <w:bottom w:val="single" w:color="auto" w:sz="6" w:space="0"/>
              <w:right w:val="nil"/>
            </w:tcBorders>
            <w:shd w:val="clear" w:color="auto" w:fill="auto"/>
            <w:noWrap/>
            <w:vAlign w:val="center"/>
          </w:tcPr>
          <w:p w14:paraId="59BCE58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Mutation-3</w:t>
            </w:r>
          </w:p>
        </w:tc>
        <w:tc>
          <w:tcPr>
            <w:tcW w:w="692" w:type="dxa"/>
            <w:tcBorders>
              <w:top w:val="single" w:color="000000" w:sz="6" w:space="0"/>
              <w:left w:val="nil"/>
              <w:bottom w:val="single" w:color="auto" w:sz="6" w:space="0"/>
              <w:right w:val="nil"/>
            </w:tcBorders>
            <w:shd w:val="clear" w:color="auto" w:fill="auto"/>
            <w:noWrap/>
            <w:vAlign w:val="center"/>
          </w:tcPr>
          <w:p w14:paraId="3EBE7E1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Mutation-4</w:t>
            </w:r>
          </w:p>
        </w:tc>
      </w:tr>
      <w:tr w14:paraId="0CB23F1D">
        <w:tblPrEx>
          <w:tblCellMar>
            <w:top w:w="0" w:type="dxa"/>
            <w:left w:w="108" w:type="dxa"/>
            <w:bottom w:w="0" w:type="dxa"/>
            <w:right w:w="108" w:type="dxa"/>
          </w:tblCellMar>
        </w:tblPrEx>
        <w:trPr>
          <w:trHeight w:val="280" w:hRule="atLeast"/>
        </w:trPr>
        <w:tc>
          <w:tcPr>
            <w:tcW w:w="2411" w:type="dxa"/>
            <w:tcBorders>
              <w:top w:val="single" w:color="auto" w:sz="6" w:space="0"/>
              <w:left w:val="nil"/>
              <w:bottom w:val="nil"/>
              <w:right w:val="nil"/>
            </w:tcBorders>
            <w:shd w:val="clear" w:color="auto" w:fill="auto"/>
            <w:noWrap/>
            <w:vAlign w:val="center"/>
          </w:tcPr>
          <w:p w14:paraId="32B97F5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Number of amino acids</w:t>
            </w:r>
          </w:p>
        </w:tc>
        <w:tc>
          <w:tcPr>
            <w:tcW w:w="621" w:type="dxa"/>
            <w:tcBorders>
              <w:top w:val="single" w:color="auto" w:sz="6" w:space="0"/>
              <w:left w:val="nil"/>
              <w:bottom w:val="nil"/>
              <w:right w:val="nil"/>
            </w:tcBorders>
            <w:shd w:val="clear" w:color="auto" w:fill="auto"/>
            <w:noWrap/>
            <w:vAlign w:val="center"/>
          </w:tcPr>
          <w:p w14:paraId="1156211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708</w:t>
            </w:r>
          </w:p>
        </w:tc>
        <w:tc>
          <w:tcPr>
            <w:tcW w:w="692" w:type="dxa"/>
            <w:tcBorders>
              <w:top w:val="single" w:color="auto" w:sz="6" w:space="0"/>
              <w:left w:val="nil"/>
              <w:bottom w:val="nil"/>
              <w:right w:val="nil"/>
            </w:tcBorders>
            <w:shd w:val="clear" w:color="auto" w:fill="auto"/>
            <w:noWrap/>
            <w:vAlign w:val="center"/>
          </w:tcPr>
          <w:p w14:paraId="304040F4">
            <w:pPr>
              <w:widowControl/>
              <w:spacing w:line="360" w:lineRule="auto"/>
              <w:jc w:val="center"/>
              <w:textAlignment w:val="center"/>
              <w:rPr>
                <w:rFonts w:ascii="Times New Roman" w:hAnsi="Times New Roman" w:eastAsia="宋体" w:cs="Times New Roman"/>
                <w:color w:val="313233"/>
                <w:szCs w:val="21"/>
              </w:rPr>
            </w:pPr>
            <w:r>
              <w:rPr>
                <w:rFonts w:ascii="Times New Roman" w:hAnsi="Times New Roman" w:eastAsia="宋体" w:cs="Times New Roman"/>
                <w:color w:val="313233"/>
                <w:kern w:val="0"/>
                <w:szCs w:val="21"/>
                <w:lang w:bidi="ar"/>
              </w:rPr>
              <w:t>708</w:t>
            </w:r>
          </w:p>
        </w:tc>
        <w:tc>
          <w:tcPr>
            <w:tcW w:w="669" w:type="dxa"/>
            <w:tcBorders>
              <w:top w:val="single" w:color="auto" w:sz="6" w:space="0"/>
              <w:left w:val="nil"/>
              <w:bottom w:val="nil"/>
              <w:right w:val="nil"/>
            </w:tcBorders>
            <w:shd w:val="clear" w:color="auto" w:fill="auto"/>
            <w:noWrap/>
            <w:vAlign w:val="center"/>
          </w:tcPr>
          <w:p w14:paraId="2C08A31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1479</w:t>
            </w:r>
          </w:p>
        </w:tc>
        <w:tc>
          <w:tcPr>
            <w:tcW w:w="692" w:type="dxa"/>
            <w:tcBorders>
              <w:top w:val="single" w:color="auto" w:sz="6" w:space="0"/>
              <w:left w:val="nil"/>
              <w:bottom w:val="nil"/>
              <w:right w:val="nil"/>
            </w:tcBorders>
            <w:shd w:val="clear" w:color="auto" w:fill="auto"/>
            <w:noWrap/>
            <w:vAlign w:val="center"/>
          </w:tcPr>
          <w:p w14:paraId="62646F2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1479</w:t>
            </w:r>
          </w:p>
        </w:tc>
        <w:tc>
          <w:tcPr>
            <w:tcW w:w="669" w:type="dxa"/>
            <w:tcBorders>
              <w:top w:val="single" w:color="auto" w:sz="6" w:space="0"/>
              <w:left w:val="nil"/>
              <w:bottom w:val="nil"/>
              <w:right w:val="nil"/>
            </w:tcBorders>
            <w:shd w:val="clear" w:color="auto" w:fill="auto"/>
            <w:noWrap/>
            <w:vAlign w:val="center"/>
          </w:tcPr>
          <w:p w14:paraId="4209434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1179</w:t>
            </w:r>
          </w:p>
        </w:tc>
        <w:tc>
          <w:tcPr>
            <w:tcW w:w="692" w:type="dxa"/>
            <w:tcBorders>
              <w:top w:val="single" w:color="auto" w:sz="6" w:space="0"/>
              <w:left w:val="nil"/>
              <w:bottom w:val="nil"/>
              <w:right w:val="nil"/>
            </w:tcBorders>
            <w:shd w:val="clear" w:color="auto" w:fill="auto"/>
            <w:noWrap/>
            <w:vAlign w:val="center"/>
          </w:tcPr>
          <w:p w14:paraId="7866A3E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1179</w:t>
            </w:r>
          </w:p>
        </w:tc>
        <w:tc>
          <w:tcPr>
            <w:tcW w:w="692" w:type="dxa"/>
            <w:tcBorders>
              <w:top w:val="single" w:color="auto" w:sz="6" w:space="0"/>
              <w:left w:val="nil"/>
              <w:bottom w:val="nil"/>
              <w:right w:val="nil"/>
            </w:tcBorders>
            <w:shd w:val="clear" w:color="auto" w:fill="auto"/>
            <w:noWrap/>
            <w:vAlign w:val="center"/>
          </w:tcPr>
          <w:p w14:paraId="14ABB09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1179</w:t>
            </w:r>
          </w:p>
        </w:tc>
        <w:tc>
          <w:tcPr>
            <w:tcW w:w="692" w:type="dxa"/>
            <w:tcBorders>
              <w:top w:val="single" w:color="auto" w:sz="6" w:space="0"/>
              <w:left w:val="nil"/>
              <w:bottom w:val="nil"/>
              <w:right w:val="nil"/>
            </w:tcBorders>
            <w:shd w:val="clear" w:color="auto" w:fill="auto"/>
            <w:noWrap/>
            <w:vAlign w:val="center"/>
          </w:tcPr>
          <w:p w14:paraId="19A23D2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1179</w:t>
            </w:r>
          </w:p>
        </w:tc>
        <w:tc>
          <w:tcPr>
            <w:tcW w:w="692" w:type="dxa"/>
            <w:tcBorders>
              <w:top w:val="single" w:color="auto" w:sz="6" w:space="0"/>
              <w:left w:val="nil"/>
              <w:bottom w:val="nil"/>
              <w:right w:val="nil"/>
            </w:tcBorders>
            <w:shd w:val="clear" w:color="auto" w:fill="auto"/>
            <w:noWrap/>
            <w:vAlign w:val="center"/>
          </w:tcPr>
          <w:p w14:paraId="00104EF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1179</w:t>
            </w:r>
          </w:p>
        </w:tc>
      </w:tr>
      <w:tr w14:paraId="71C78081">
        <w:tblPrEx>
          <w:tblCellMar>
            <w:top w:w="0" w:type="dxa"/>
            <w:left w:w="108" w:type="dxa"/>
            <w:bottom w:w="0" w:type="dxa"/>
            <w:right w:w="108" w:type="dxa"/>
          </w:tblCellMar>
        </w:tblPrEx>
        <w:trPr>
          <w:trHeight w:val="280" w:hRule="atLeast"/>
        </w:trPr>
        <w:tc>
          <w:tcPr>
            <w:tcW w:w="2411" w:type="dxa"/>
            <w:tcBorders>
              <w:top w:val="nil"/>
              <w:left w:val="nil"/>
              <w:bottom w:val="nil"/>
              <w:right w:val="nil"/>
            </w:tcBorders>
            <w:shd w:val="clear" w:color="auto" w:fill="auto"/>
            <w:noWrap/>
            <w:vAlign w:val="center"/>
          </w:tcPr>
          <w:p w14:paraId="2D2BE5CC">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Molecular weight</w:t>
            </w:r>
          </w:p>
        </w:tc>
        <w:tc>
          <w:tcPr>
            <w:tcW w:w="621" w:type="dxa"/>
            <w:tcBorders>
              <w:top w:val="nil"/>
              <w:left w:val="nil"/>
              <w:bottom w:val="nil"/>
              <w:right w:val="nil"/>
            </w:tcBorders>
            <w:shd w:val="clear" w:color="auto" w:fill="auto"/>
            <w:noWrap/>
            <w:vAlign w:val="center"/>
          </w:tcPr>
          <w:p w14:paraId="081B955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77252.22</w:t>
            </w:r>
          </w:p>
        </w:tc>
        <w:tc>
          <w:tcPr>
            <w:tcW w:w="692" w:type="dxa"/>
            <w:tcBorders>
              <w:top w:val="nil"/>
              <w:left w:val="nil"/>
              <w:bottom w:val="nil"/>
              <w:right w:val="nil"/>
            </w:tcBorders>
            <w:shd w:val="clear" w:color="auto" w:fill="auto"/>
            <w:noWrap/>
            <w:vAlign w:val="center"/>
          </w:tcPr>
          <w:p w14:paraId="253C6D1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77222.13</w:t>
            </w:r>
          </w:p>
        </w:tc>
        <w:tc>
          <w:tcPr>
            <w:tcW w:w="669" w:type="dxa"/>
            <w:tcBorders>
              <w:top w:val="nil"/>
              <w:left w:val="nil"/>
              <w:bottom w:val="nil"/>
              <w:right w:val="nil"/>
            </w:tcBorders>
            <w:shd w:val="clear" w:color="auto" w:fill="auto"/>
            <w:noWrap/>
            <w:vAlign w:val="center"/>
          </w:tcPr>
          <w:p w14:paraId="1A31E05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166943.72</w:t>
            </w:r>
          </w:p>
        </w:tc>
        <w:tc>
          <w:tcPr>
            <w:tcW w:w="692" w:type="dxa"/>
            <w:tcBorders>
              <w:top w:val="nil"/>
              <w:left w:val="nil"/>
              <w:bottom w:val="nil"/>
              <w:right w:val="nil"/>
            </w:tcBorders>
            <w:shd w:val="clear" w:color="auto" w:fill="auto"/>
            <w:noWrap/>
            <w:vAlign w:val="center"/>
          </w:tcPr>
          <w:p w14:paraId="0677A93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166924.67</w:t>
            </w:r>
          </w:p>
        </w:tc>
        <w:tc>
          <w:tcPr>
            <w:tcW w:w="669" w:type="dxa"/>
            <w:tcBorders>
              <w:top w:val="nil"/>
              <w:left w:val="nil"/>
              <w:bottom w:val="nil"/>
              <w:right w:val="nil"/>
            </w:tcBorders>
            <w:shd w:val="clear" w:color="auto" w:fill="auto"/>
            <w:noWrap/>
            <w:vAlign w:val="center"/>
          </w:tcPr>
          <w:p w14:paraId="37A4883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132710.77</w:t>
            </w:r>
          </w:p>
        </w:tc>
        <w:tc>
          <w:tcPr>
            <w:tcW w:w="692" w:type="dxa"/>
            <w:tcBorders>
              <w:top w:val="nil"/>
              <w:left w:val="nil"/>
              <w:bottom w:val="nil"/>
              <w:right w:val="nil"/>
            </w:tcBorders>
            <w:shd w:val="clear" w:color="auto" w:fill="auto"/>
            <w:noWrap/>
            <w:vAlign w:val="center"/>
          </w:tcPr>
          <w:p w14:paraId="3E0B686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132726.77</w:t>
            </w:r>
          </w:p>
        </w:tc>
        <w:tc>
          <w:tcPr>
            <w:tcW w:w="692" w:type="dxa"/>
            <w:tcBorders>
              <w:top w:val="nil"/>
              <w:left w:val="nil"/>
              <w:bottom w:val="nil"/>
              <w:right w:val="nil"/>
            </w:tcBorders>
            <w:shd w:val="clear" w:color="auto" w:fill="auto"/>
            <w:noWrap/>
            <w:vAlign w:val="center"/>
          </w:tcPr>
          <w:p w14:paraId="56B0DB8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132737.8</w:t>
            </w:r>
          </w:p>
        </w:tc>
        <w:tc>
          <w:tcPr>
            <w:tcW w:w="692" w:type="dxa"/>
            <w:tcBorders>
              <w:top w:val="nil"/>
              <w:left w:val="nil"/>
              <w:bottom w:val="nil"/>
              <w:right w:val="nil"/>
            </w:tcBorders>
            <w:shd w:val="clear" w:color="auto" w:fill="auto"/>
            <w:noWrap/>
            <w:vAlign w:val="center"/>
          </w:tcPr>
          <w:p w14:paraId="59E2DF6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132728.8</w:t>
            </w:r>
          </w:p>
        </w:tc>
        <w:tc>
          <w:tcPr>
            <w:tcW w:w="692" w:type="dxa"/>
            <w:tcBorders>
              <w:top w:val="nil"/>
              <w:left w:val="nil"/>
              <w:bottom w:val="nil"/>
              <w:right w:val="nil"/>
            </w:tcBorders>
            <w:shd w:val="clear" w:color="auto" w:fill="auto"/>
            <w:noWrap/>
            <w:vAlign w:val="center"/>
          </w:tcPr>
          <w:p w14:paraId="6FA0401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132756.86</w:t>
            </w:r>
          </w:p>
        </w:tc>
      </w:tr>
      <w:tr w14:paraId="62C54490">
        <w:tblPrEx>
          <w:tblCellMar>
            <w:top w:w="0" w:type="dxa"/>
            <w:left w:w="108" w:type="dxa"/>
            <w:bottom w:w="0" w:type="dxa"/>
            <w:right w:w="108" w:type="dxa"/>
          </w:tblCellMar>
        </w:tblPrEx>
        <w:trPr>
          <w:trHeight w:val="280" w:hRule="atLeast"/>
        </w:trPr>
        <w:tc>
          <w:tcPr>
            <w:tcW w:w="2411" w:type="dxa"/>
            <w:tcBorders>
              <w:top w:val="nil"/>
              <w:left w:val="nil"/>
              <w:bottom w:val="nil"/>
              <w:right w:val="nil"/>
            </w:tcBorders>
            <w:shd w:val="clear" w:color="auto" w:fill="auto"/>
            <w:noWrap/>
            <w:vAlign w:val="center"/>
          </w:tcPr>
          <w:p w14:paraId="0D99C01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Theoretical pI</w:t>
            </w:r>
          </w:p>
        </w:tc>
        <w:tc>
          <w:tcPr>
            <w:tcW w:w="621" w:type="dxa"/>
            <w:tcBorders>
              <w:top w:val="nil"/>
              <w:left w:val="nil"/>
              <w:bottom w:val="nil"/>
              <w:right w:val="nil"/>
            </w:tcBorders>
            <w:shd w:val="clear" w:color="auto" w:fill="auto"/>
            <w:noWrap/>
            <w:vAlign w:val="center"/>
          </w:tcPr>
          <w:p w14:paraId="5E6AE32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8.4</w:t>
            </w:r>
          </w:p>
        </w:tc>
        <w:tc>
          <w:tcPr>
            <w:tcW w:w="692" w:type="dxa"/>
            <w:tcBorders>
              <w:top w:val="nil"/>
              <w:left w:val="nil"/>
              <w:bottom w:val="nil"/>
              <w:right w:val="nil"/>
            </w:tcBorders>
            <w:shd w:val="clear" w:color="auto" w:fill="auto"/>
            <w:noWrap/>
            <w:vAlign w:val="center"/>
          </w:tcPr>
          <w:p w14:paraId="459872B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8.4</w:t>
            </w:r>
          </w:p>
        </w:tc>
        <w:tc>
          <w:tcPr>
            <w:tcW w:w="669" w:type="dxa"/>
            <w:tcBorders>
              <w:top w:val="nil"/>
              <w:left w:val="nil"/>
              <w:bottom w:val="nil"/>
              <w:right w:val="nil"/>
            </w:tcBorders>
            <w:shd w:val="clear" w:color="auto" w:fill="auto"/>
            <w:noWrap/>
            <w:vAlign w:val="center"/>
          </w:tcPr>
          <w:p w14:paraId="04755E0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5.69</w:t>
            </w:r>
          </w:p>
        </w:tc>
        <w:tc>
          <w:tcPr>
            <w:tcW w:w="692" w:type="dxa"/>
            <w:tcBorders>
              <w:top w:val="nil"/>
              <w:left w:val="nil"/>
              <w:bottom w:val="nil"/>
              <w:right w:val="nil"/>
            </w:tcBorders>
            <w:shd w:val="clear" w:color="auto" w:fill="auto"/>
            <w:noWrap/>
            <w:vAlign w:val="center"/>
          </w:tcPr>
          <w:p w14:paraId="25A5D97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5.68</w:t>
            </w:r>
          </w:p>
        </w:tc>
        <w:tc>
          <w:tcPr>
            <w:tcW w:w="669" w:type="dxa"/>
            <w:tcBorders>
              <w:top w:val="nil"/>
              <w:left w:val="nil"/>
              <w:bottom w:val="nil"/>
              <w:right w:val="nil"/>
            </w:tcBorders>
            <w:shd w:val="clear" w:color="auto" w:fill="auto"/>
            <w:noWrap/>
            <w:vAlign w:val="center"/>
          </w:tcPr>
          <w:p w14:paraId="66945B4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5.72</w:t>
            </w:r>
          </w:p>
        </w:tc>
        <w:tc>
          <w:tcPr>
            <w:tcW w:w="692" w:type="dxa"/>
            <w:tcBorders>
              <w:top w:val="nil"/>
              <w:left w:val="nil"/>
              <w:bottom w:val="nil"/>
              <w:right w:val="nil"/>
            </w:tcBorders>
            <w:shd w:val="clear" w:color="auto" w:fill="auto"/>
            <w:noWrap/>
            <w:vAlign w:val="center"/>
          </w:tcPr>
          <w:p w14:paraId="647FBE9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5.72</w:t>
            </w:r>
          </w:p>
        </w:tc>
        <w:tc>
          <w:tcPr>
            <w:tcW w:w="692" w:type="dxa"/>
            <w:tcBorders>
              <w:top w:val="nil"/>
              <w:left w:val="nil"/>
              <w:bottom w:val="nil"/>
              <w:right w:val="nil"/>
            </w:tcBorders>
            <w:shd w:val="clear" w:color="auto" w:fill="auto"/>
            <w:noWrap/>
            <w:vAlign w:val="center"/>
          </w:tcPr>
          <w:p w14:paraId="13BE847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5.72</w:t>
            </w:r>
          </w:p>
        </w:tc>
        <w:tc>
          <w:tcPr>
            <w:tcW w:w="692" w:type="dxa"/>
            <w:tcBorders>
              <w:top w:val="nil"/>
              <w:left w:val="nil"/>
              <w:bottom w:val="nil"/>
              <w:right w:val="nil"/>
            </w:tcBorders>
            <w:shd w:val="clear" w:color="auto" w:fill="auto"/>
            <w:noWrap/>
            <w:vAlign w:val="center"/>
          </w:tcPr>
          <w:p w14:paraId="0EED71A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5.72</w:t>
            </w:r>
          </w:p>
        </w:tc>
        <w:tc>
          <w:tcPr>
            <w:tcW w:w="692" w:type="dxa"/>
            <w:tcBorders>
              <w:top w:val="nil"/>
              <w:left w:val="nil"/>
              <w:bottom w:val="nil"/>
              <w:right w:val="nil"/>
            </w:tcBorders>
            <w:shd w:val="clear" w:color="auto" w:fill="auto"/>
            <w:noWrap/>
            <w:vAlign w:val="center"/>
          </w:tcPr>
          <w:p w14:paraId="462DB6A9">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5.72</w:t>
            </w:r>
          </w:p>
        </w:tc>
      </w:tr>
      <w:tr w14:paraId="1E735135">
        <w:tblPrEx>
          <w:tblCellMar>
            <w:top w:w="0" w:type="dxa"/>
            <w:left w:w="108" w:type="dxa"/>
            <w:bottom w:w="0" w:type="dxa"/>
            <w:right w:w="108" w:type="dxa"/>
          </w:tblCellMar>
        </w:tblPrEx>
        <w:trPr>
          <w:trHeight w:val="280" w:hRule="atLeast"/>
        </w:trPr>
        <w:tc>
          <w:tcPr>
            <w:tcW w:w="2411" w:type="dxa"/>
            <w:tcBorders>
              <w:top w:val="nil"/>
              <w:left w:val="nil"/>
              <w:bottom w:val="nil"/>
              <w:right w:val="nil"/>
            </w:tcBorders>
            <w:shd w:val="clear" w:color="auto" w:fill="auto"/>
            <w:noWrap/>
            <w:vAlign w:val="center"/>
          </w:tcPr>
          <w:p w14:paraId="44E439F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Total number of negatively charged residues</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(Asp+Glu)</w:t>
            </w:r>
          </w:p>
        </w:tc>
        <w:tc>
          <w:tcPr>
            <w:tcW w:w="621" w:type="dxa"/>
            <w:tcBorders>
              <w:top w:val="nil"/>
              <w:left w:val="nil"/>
              <w:bottom w:val="nil"/>
              <w:right w:val="nil"/>
            </w:tcBorders>
            <w:shd w:val="clear" w:color="auto" w:fill="auto"/>
            <w:noWrap/>
            <w:vAlign w:val="center"/>
          </w:tcPr>
          <w:p w14:paraId="02911AB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74</w:t>
            </w:r>
          </w:p>
        </w:tc>
        <w:tc>
          <w:tcPr>
            <w:tcW w:w="692" w:type="dxa"/>
            <w:tcBorders>
              <w:top w:val="nil"/>
              <w:left w:val="nil"/>
              <w:bottom w:val="nil"/>
              <w:right w:val="nil"/>
            </w:tcBorders>
            <w:shd w:val="clear" w:color="auto" w:fill="auto"/>
            <w:noWrap/>
            <w:vAlign w:val="center"/>
          </w:tcPr>
          <w:p w14:paraId="13BAB1B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74</w:t>
            </w:r>
          </w:p>
        </w:tc>
        <w:tc>
          <w:tcPr>
            <w:tcW w:w="669" w:type="dxa"/>
            <w:tcBorders>
              <w:top w:val="nil"/>
              <w:left w:val="nil"/>
              <w:bottom w:val="nil"/>
              <w:right w:val="nil"/>
            </w:tcBorders>
            <w:shd w:val="clear" w:color="auto" w:fill="auto"/>
            <w:noWrap/>
            <w:vAlign w:val="center"/>
          </w:tcPr>
          <w:p w14:paraId="7C40FED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172</w:t>
            </w:r>
          </w:p>
        </w:tc>
        <w:tc>
          <w:tcPr>
            <w:tcW w:w="692" w:type="dxa"/>
            <w:tcBorders>
              <w:top w:val="nil"/>
              <w:left w:val="nil"/>
              <w:bottom w:val="nil"/>
              <w:right w:val="nil"/>
            </w:tcBorders>
            <w:shd w:val="clear" w:color="auto" w:fill="auto"/>
            <w:noWrap/>
            <w:vAlign w:val="center"/>
          </w:tcPr>
          <w:p w14:paraId="647D7FE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172</w:t>
            </w:r>
          </w:p>
        </w:tc>
        <w:tc>
          <w:tcPr>
            <w:tcW w:w="669" w:type="dxa"/>
            <w:tcBorders>
              <w:top w:val="nil"/>
              <w:left w:val="nil"/>
              <w:bottom w:val="nil"/>
              <w:right w:val="nil"/>
            </w:tcBorders>
            <w:shd w:val="clear" w:color="auto" w:fill="auto"/>
            <w:noWrap/>
            <w:vAlign w:val="center"/>
          </w:tcPr>
          <w:p w14:paraId="3D9FCBA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140</w:t>
            </w:r>
          </w:p>
        </w:tc>
        <w:tc>
          <w:tcPr>
            <w:tcW w:w="692" w:type="dxa"/>
            <w:tcBorders>
              <w:top w:val="nil"/>
              <w:left w:val="nil"/>
              <w:bottom w:val="nil"/>
              <w:right w:val="nil"/>
            </w:tcBorders>
            <w:shd w:val="clear" w:color="auto" w:fill="auto"/>
            <w:noWrap/>
            <w:vAlign w:val="center"/>
          </w:tcPr>
          <w:p w14:paraId="3654BB9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140</w:t>
            </w:r>
          </w:p>
        </w:tc>
        <w:tc>
          <w:tcPr>
            <w:tcW w:w="692" w:type="dxa"/>
            <w:tcBorders>
              <w:top w:val="nil"/>
              <w:left w:val="nil"/>
              <w:bottom w:val="nil"/>
              <w:right w:val="nil"/>
            </w:tcBorders>
            <w:shd w:val="clear" w:color="auto" w:fill="auto"/>
            <w:noWrap/>
            <w:vAlign w:val="center"/>
          </w:tcPr>
          <w:p w14:paraId="6BADFF6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140</w:t>
            </w:r>
          </w:p>
        </w:tc>
        <w:tc>
          <w:tcPr>
            <w:tcW w:w="692" w:type="dxa"/>
            <w:tcBorders>
              <w:top w:val="nil"/>
              <w:left w:val="nil"/>
              <w:bottom w:val="nil"/>
              <w:right w:val="nil"/>
            </w:tcBorders>
            <w:shd w:val="clear" w:color="auto" w:fill="auto"/>
            <w:noWrap/>
            <w:vAlign w:val="center"/>
          </w:tcPr>
          <w:p w14:paraId="0D2BE0F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140</w:t>
            </w:r>
          </w:p>
        </w:tc>
        <w:tc>
          <w:tcPr>
            <w:tcW w:w="692" w:type="dxa"/>
            <w:tcBorders>
              <w:top w:val="nil"/>
              <w:left w:val="nil"/>
              <w:bottom w:val="nil"/>
              <w:right w:val="nil"/>
            </w:tcBorders>
            <w:shd w:val="clear" w:color="auto" w:fill="auto"/>
            <w:noWrap/>
            <w:vAlign w:val="center"/>
          </w:tcPr>
          <w:p w14:paraId="6761652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140</w:t>
            </w:r>
          </w:p>
        </w:tc>
      </w:tr>
      <w:tr w14:paraId="5D6C7184">
        <w:tblPrEx>
          <w:tblCellMar>
            <w:top w:w="0" w:type="dxa"/>
            <w:left w:w="108" w:type="dxa"/>
            <w:bottom w:w="0" w:type="dxa"/>
            <w:right w:w="108" w:type="dxa"/>
          </w:tblCellMar>
        </w:tblPrEx>
        <w:trPr>
          <w:trHeight w:val="280" w:hRule="atLeast"/>
        </w:trPr>
        <w:tc>
          <w:tcPr>
            <w:tcW w:w="2411" w:type="dxa"/>
            <w:tcBorders>
              <w:top w:val="nil"/>
              <w:left w:val="nil"/>
              <w:bottom w:val="nil"/>
              <w:right w:val="nil"/>
            </w:tcBorders>
            <w:shd w:val="clear" w:color="auto" w:fill="auto"/>
            <w:noWrap/>
            <w:vAlign w:val="center"/>
          </w:tcPr>
          <w:p w14:paraId="48FF1A45">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Total number of positively charged residues</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(Arg+Lys)</w:t>
            </w:r>
          </w:p>
        </w:tc>
        <w:tc>
          <w:tcPr>
            <w:tcW w:w="621" w:type="dxa"/>
            <w:tcBorders>
              <w:top w:val="nil"/>
              <w:left w:val="nil"/>
              <w:bottom w:val="nil"/>
              <w:right w:val="nil"/>
            </w:tcBorders>
            <w:shd w:val="clear" w:color="auto" w:fill="auto"/>
            <w:noWrap/>
            <w:vAlign w:val="center"/>
          </w:tcPr>
          <w:p w14:paraId="7D9FB5DC">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84</w:t>
            </w:r>
          </w:p>
        </w:tc>
        <w:tc>
          <w:tcPr>
            <w:tcW w:w="692" w:type="dxa"/>
            <w:tcBorders>
              <w:top w:val="nil"/>
              <w:left w:val="nil"/>
              <w:bottom w:val="nil"/>
              <w:right w:val="nil"/>
            </w:tcBorders>
            <w:shd w:val="clear" w:color="auto" w:fill="auto"/>
            <w:noWrap/>
            <w:vAlign w:val="center"/>
          </w:tcPr>
          <w:p w14:paraId="7310AF3B">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84</w:t>
            </w:r>
          </w:p>
        </w:tc>
        <w:tc>
          <w:tcPr>
            <w:tcW w:w="669" w:type="dxa"/>
            <w:tcBorders>
              <w:top w:val="nil"/>
              <w:left w:val="nil"/>
              <w:bottom w:val="nil"/>
              <w:right w:val="nil"/>
            </w:tcBorders>
            <w:shd w:val="clear" w:color="auto" w:fill="auto"/>
            <w:noWrap/>
            <w:vAlign w:val="center"/>
          </w:tcPr>
          <w:p w14:paraId="621F637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138</w:t>
            </w:r>
          </w:p>
        </w:tc>
        <w:tc>
          <w:tcPr>
            <w:tcW w:w="692" w:type="dxa"/>
            <w:tcBorders>
              <w:top w:val="nil"/>
              <w:left w:val="nil"/>
              <w:bottom w:val="nil"/>
              <w:right w:val="nil"/>
            </w:tcBorders>
            <w:shd w:val="clear" w:color="auto" w:fill="auto"/>
            <w:noWrap/>
            <w:vAlign w:val="center"/>
          </w:tcPr>
          <w:p w14:paraId="6936CD6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137</w:t>
            </w:r>
          </w:p>
        </w:tc>
        <w:tc>
          <w:tcPr>
            <w:tcW w:w="669" w:type="dxa"/>
            <w:tcBorders>
              <w:top w:val="nil"/>
              <w:left w:val="nil"/>
              <w:bottom w:val="nil"/>
              <w:right w:val="nil"/>
            </w:tcBorders>
            <w:shd w:val="clear" w:color="auto" w:fill="auto"/>
            <w:noWrap/>
            <w:vAlign w:val="center"/>
          </w:tcPr>
          <w:p w14:paraId="7671C838">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122</w:t>
            </w:r>
          </w:p>
        </w:tc>
        <w:tc>
          <w:tcPr>
            <w:tcW w:w="692" w:type="dxa"/>
            <w:tcBorders>
              <w:top w:val="nil"/>
              <w:left w:val="nil"/>
              <w:bottom w:val="nil"/>
              <w:right w:val="nil"/>
            </w:tcBorders>
            <w:shd w:val="clear" w:color="auto" w:fill="auto"/>
            <w:noWrap/>
            <w:vAlign w:val="center"/>
          </w:tcPr>
          <w:p w14:paraId="061AFF36">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122</w:t>
            </w:r>
          </w:p>
        </w:tc>
        <w:tc>
          <w:tcPr>
            <w:tcW w:w="692" w:type="dxa"/>
            <w:tcBorders>
              <w:top w:val="nil"/>
              <w:left w:val="nil"/>
              <w:bottom w:val="nil"/>
              <w:right w:val="nil"/>
            </w:tcBorders>
            <w:shd w:val="clear" w:color="auto" w:fill="auto"/>
            <w:noWrap/>
            <w:vAlign w:val="center"/>
          </w:tcPr>
          <w:p w14:paraId="54BD7FA0">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122</w:t>
            </w:r>
          </w:p>
        </w:tc>
        <w:tc>
          <w:tcPr>
            <w:tcW w:w="692" w:type="dxa"/>
            <w:tcBorders>
              <w:top w:val="nil"/>
              <w:left w:val="nil"/>
              <w:bottom w:val="nil"/>
              <w:right w:val="nil"/>
            </w:tcBorders>
            <w:shd w:val="clear" w:color="auto" w:fill="auto"/>
            <w:noWrap/>
            <w:vAlign w:val="center"/>
          </w:tcPr>
          <w:p w14:paraId="04D6022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122</w:t>
            </w:r>
          </w:p>
        </w:tc>
        <w:tc>
          <w:tcPr>
            <w:tcW w:w="692" w:type="dxa"/>
            <w:tcBorders>
              <w:top w:val="nil"/>
              <w:left w:val="nil"/>
              <w:bottom w:val="nil"/>
              <w:right w:val="nil"/>
            </w:tcBorders>
            <w:shd w:val="clear" w:color="auto" w:fill="auto"/>
            <w:noWrap/>
            <w:vAlign w:val="center"/>
          </w:tcPr>
          <w:p w14:paraId="211C802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122</w:t>
            </w:r>
          </w:p>
        </w:tc>
      </w:tr>
      <w:tr w14:paraId="6CFA5B01">
        <w:tblPrEx>
          <w:tblCellMar>
            <w:top w:w="0" w:type="dxa"/>
            <w:left w:w="108" w:type="dxa"/>
            <w:bottom w:w="0" w:type="dxa"/>
            <w:right w:w="108" w:type="dxa"/>
          </w:tblCellMar>
        </w:tblPrEx>
        <w:trPr>
          <w:trHeight w:val="616" w:hRule="atLeast"/>
        </w:trPr>
        <w:tc>
          <w:tcPr>
            <w:tcW w:w="2411" w:type="dxa"/>
            <w:tcBorders>
              <w:top w:val="nil"/>
              <w:left w:val="nil"/>
              <w:bottom w:val="nil"/>
              <w:right w:val="nil"/>
            </w:tcBorders>
            <w:shd w:val="clear" w:color="auto" w:fill="auto"/>
            <w:noWrap/>
            <w:vAlign w:val="center"/>
          </w:tcPr>
          <w:p w14:paraId="244BB4A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Instability index</w:t>
            </w:r>
            <w:r>
              <w:rPr>
                <w:rFonts w:hint="eastAsia" w:ascii="Times New Roman" w:hAnsi="Times New Roman" w:eastAsia="宋体" w:cs="Times New Roman"/>
                <w:color w:val="000000"/>
                <w:kern w:val="0"/>
                <w:szCs w:val="21"/>
                <w:lang w:bidi="ar"/>
              </w:rPr>
              <w:t xml:space="preserve"> </w:t>
            </w:r>
            <w:r>
              <w:rPr>
                <w:rFonts w:ascii="Times New Roman" w:hAnsi="Times New Roman" w:eastAsia="宋体" w:cs="Times New Roman"/>
                <w:color w:val="000000"/>
                <w:kern w:val="0"/>
                <w:szCs w:val="21"/>
                <w:lang w:bidi="ar"/>
              </w:rPr>
              <w:t>(II)</w:t>
            </w:r>
          </w:p>
        </w:tc>
        <w:tc>
          <w:tcPr>
            <w:tcW w:w="621" w:type="dxa"/>
            <w:tcBorders>
              <w:top w:val="nil"/>
              <w:left w:val="nil"/>
              <w:bottom w:val="nil"/>
              <w:right w:val="nil"/>
            </w:tcBorders>
            <w:shd w:val="clear" w:color="auto" w:fill="auto"/>
            <w:noWrap/>
            <w:vAlign w:val="center"/>
          </w:tcPr>
          <w:p w14:paraId="075DA956">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41.37</w:t>
            </w:r>
          </w:p>
        </w:tc>
        <w:tc>
          <w:tcPr>
            <w:tcW w:w="692" w:type="dxa"/>
            <w:tcBorders>
              <w:top w:val="nil"/>
              <w:left w:val="nil"/>
              <w:bottom w:val="nil"/>
              <w:right w:val="nil"/>
            </w:tcBorders>
            <w:shd w:val="clear" w:color="auto" w:fill="auto"/>
            <w:noWrap/>
            <w:vAlign w:val="center"/>
          </w:tcPr>
          <w:p w14:paraId="2F35ECBC">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41.15</w:t>
            </w:r>
          </w:p>
        </w:tc>
        <w:tc>
          <w:tcPr>
            <w:tcW w:w="669" w:type="dxa"/>
            <w:tcBorders>
              <w:top w:val="nil"/>
              <w:left w:val="nil"/>
              <w:bottom w:val="nil"/>
              <w:right w:val="nil"/>
            </w:tcBorders>
            <w:shd w:val="clear" w:color="auto" w:fill="auto"/>
            <w:noWrap/>
            <w:vAlign w:val="center"/>
          </w:tcPr>
          <w:p w14:paraId="42C7AD6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46.58</w:t>
            </w:r>
          </w:p>
        </w:tc>
        <w:tc>
          <w:tcPr>
            <w:tcW w:w="692" w:type="dxa"/>
            <w:tcBorders>
              <w:top w:val="nil"/>
              <w:left w:val="nil"/>
              <w:bottom w:val="nil"/>
              <w:right w:val="nil"/>
            </w:tcBorders>
            <w:shd w:val="clear" w:color="auto" w:fill="auto"/>
            <w:noWrap/>
            <w:vAlign w:val="center"/>
          </w:tcPr>
          <w:p w14:paraId="01534E3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46.57</w:t>
            </w:r>
          </w:p>
        </w:tc>
        <w:tc>
          <w:tcPr>
            <w:tcW w:w="669" w:type="dxa"/>
            <w:tcBorders>
              <w:top w:val="nil"/>
              <w:left w:val="nil"/>
              <w:bottom w:val="nil"/>
              <w:right w:val="nil"/>
            </w:tcBorders>
            <w:shd w:val="clear" w:color="auto" w:fill="auto"/>
            <w:noWrap/>
            <w:vAlign w:val="center"/>
          </w:tcPr>
          <w:p w14:paraId="73EC3DA3">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40.38</w:t>
            </w:r>
          </w:p>
        </w:tc>
        <w:tc>
          <w:tcPr>
            <w:tcW w:w="692" w:type="dxa"/>
            <w:tcBorders>
              <w:top w:val="nil"/>
              <w:left w:val="nil"/>
              <w:bottom w:val="nil"/>
              <w:right w:val="nil"/>
            </w:tcBorders>
            <w:shd w:val="clear" w:color="auto" w:fill="auto"/>
            <w:noWrap/>
            <w:vAlign w:val="center"/>
          </w:tcPr>
          <w:p w14:paraId="4905961E">
            <w:pPr>
              <w:widowControl/>
              <w:spacing w:line="360" w:lineRule="auto"/>
              <w:jc w:val="center"/>
              <w:textAlignment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40.38</w:t>
            </w:r>
          </w:p>
        </w:tc>
        <w:tc>
          <w:tcPr>
            <w:tcW w:w="692" w:type="dxa"/>
            <w:tcBorders>
              <w:top w:val="nil"/>
              <w:left w:val="nil"/>
              <w:bottom w:val="nil"/>
              <w:right w:val="nil"/>
            </w:tcBorders>
            <w:shd w:val="clear" w:color="auto" w:fill="auto"/>
            <w:noWrap/>
            <w:vAlign w:val="center"/>
          </w:tcPr>
          <w:p w14:paraId="765CE4AC">
            <w:pPr>
              <w:widowControl/>
              <w:spacing w:line="360" w:lineRule="auto"/>
              <w:jc w:val="center"/>
              <w:textAlignment w:val="center"/>
              <w:rPr>
                <w:rFonts w:ascii="Times New Roman" w:hAnsi="Times New Roman" w:eastAsia="宋体" w:cs="Times New Roman"/>
                <w:color w:val="313233"/>
                <w:szCs w:val="21"/>
              </w:rPr>
            </w:pPr>
            <w:r>
              <w:rPr>
                <w:rFonts w:ascii="Times New Roman" w:hAnsi="Times New Roman" w:eastAsia="宋体" w:cs="Times New Roman"/>
                <w:color w:val="000000"/>
                <w:kern w:val="0"/>
                <w:szCs w:val="21"/>
                <w:lang w:bidi="ar"/>
              </w:rPr>
              <w:t>40.22</w:t>
            </w:r>
          </w:p>
        </w:tc>
        <w:tc>
          <w:tcPr>
            <w:tcW w:w="692" w:type="dxa"/>
            <w:tcBorders>
              <w:top w:val="nil"/>
              <w:left w:val="nil"/>
              <w:bottom w:val="nil"/>
              <w:right w:val="nil"/>
            </w:tcBorders>
            <w:shd w:val="clear" w:color="auto" w:fill="auto"/>
            <w:noWrap/>
            <w:vAlign w:val="center"/>
          </w:tcPr>
          <w:p w14:paraId="64BD8A4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40.38</w:t>
            </w:r>
          </w:p>
        </w:tc>
        <w:tc>
          <w:tcPr>
            <w:tcW w:w="692" w:type="dxa"/>
            <w:tcBorders>
              <w:top w:val="nil"/>
              <w:left w:val="nil"/>
              <w:bottom w:val="nil"/>
              <w:right w:val="nil"/>
            </w:tcBorders>
            <w:shd w:val="clear" w:color="auto" w:fill="auto"/>
            <w:noWrap/>
            <w:vAlign w:val="center"/>
          </w:tcPr>
          <w:p w14:paraId="566E9FEE">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40.65</w:t>
            </w:r>
          </w:p>
        </w:tc>
      </w:tr>
      <w:tr w14:paraId="0223F6C5">
        <w:tblPrEx>
          <w:tblCellMar>
            <w:top w:w="0" w:type="dxa"/>
            <w:left w:w="108" w:type="dxa"/>
            <w:bottom w:w="0" w:type="dxa"/>
            <w:right w:w="108" w:type="dxa"/>
          </w:tblCellMar>
        </w:tblPrEx>
        <w:trPr>
          <w:trHeight w:val="280" w:hRule="atLeast"/>
        </w:trPr>
        <w:tc>
          <w:tcPr>
            <w:tcW w:w="2411" w:type="dxa"/>
            <w:tcBorders>
              <w:top w:val="nil"/>
              <w:left w:val="nil"/>
              <w:bottom w:val="single" w:color="auto" w:sz="12" w:space="0"/>
              <w:right w:val="nil"/>
            </w:tcBorders>
            <w:shd w:val="clear" w:color="auto" w:fill="auto"/>
            <w:noWrap/>
            <w:vAlign w:val="center"/>
          </w:tcPr>
          <w:p w14:paraId="5B8224A1">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Grand average of hydropathicity</w:t>
            </w:r>
          </w:p>
        </w:tc>
        <w:tc>
          <w:tcPr>
            <w:tcW w:w="621" w:type="dxa"/>
            <w:tcBorders>
              <w:top w:val="nil"/>
              <w:left w:val="nil"/>
              <w:bottom w:val="single" w:color="auto" w:sz="12" w:space="0"/>
              <w:right w:val="nil"/>
            </w:tcBorders>
            <w:shd w:val="clear" w:color="auto" w:fill="auto"/>
            <w:vAlign w:val="center"/>
          </w:tcPr>
          <w:p w14:paraId="2AC42AA7">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-0.248</w:t>
            </w:r>
          </w:p>
        </w:tc>
        <w:tc>
          <w:tcPr>
            <w:tcW w:w="692" w:type="dxa"/>
            <w:tcBorders>
              <w:top w:val="nil"/>
              <w:left w:val="nil"/>
              <w:bottom w:val="single" w:color="auto" w:sz="12" w:space="0"/>
              <w:right w:val="nil"/>
            </w:tcBorders>
            <w:shd w:val="clear" w:color="auto" w:fill="auto"/>
            <w:vAlign w:val="center"/>
          </w:tcPr>
          <w:p w14:paraId="42A50D4D">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-0.252</w:t>
            </w:r>
          </w:p>
        </w:tc>
        <w:tc>
          <w:tcPr>
            <w:tcW w:w="669" w:type="dxa"/>
            <w:tcBorders>
              <w:top w:val="nil"/>
              <w:left w:val="nil"/>
              <w:bottom w:val="single" w:color="auto" w:sz="12" w:space="0"/>
              <w:right w:val="nil"/>
            </w:tcBorders>
            <w:shd w:val="clear" w:color="auto" w:fill="auto"/>
            <w:noWrap/>
            <w:vAlign w:val="center"/>
          </w:tcPr>
          <w:p w14:paraId="50FC2B7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-0.31</w:t>
            </w:r>
          </w:p>
        </w:tc>
        <w:tc>
          <w:tcPr>
            <w:tcW w:w="692" w:type="dxa"/>
            <w:tcBorders>
              <w:top w:val="nil"/>
              <w:left w:val="nil"/>
              <w:bottom w:val="single" w:color="auto" w:sz="12" w:space="0"/>
              <w:right w:val="nil"/>
            </w:tcBorders>
            <w:shd w:val="clear" w:color="auto" w:fill="auto"/>
            <w:noWrap/>
            <w:vAlign w:val="center"/>
          </w:tcPr>
          <w:p w14:paraId="751D8FE2">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-0.309</w:t>
            </w:r>
          </w:p>
        </w:tc>
        <w:tc>
          <w:tcPr>
            <w:tcW w:w="669" w:type="dxa"/>
            <w:tcBorders>
              <w:top w:val="nil"/>
              <w:left w:val="nil"/>
              <w:bottom w:val="single" w:color="auto" w:sz="12" w:space="0"/>
              <w:right w:val="nil"/>
            </w:tcBorders>
            <w:shd w:val="clear" w:color="auto" w:fill="auto"/>
            <w:noWrap/>
            <w:vAlign w:val="center"/>
          </w:tcPr>
          <w:p w14:paraId="0A25CEC3">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-0.366</w:t>
            </w:r>
          </w:p>
        </w:tc>
        <w:tc>
          <w:tcPr>
            <w:tcW w:w="692" w:type="dxa"/>
            <w:tcBorders>
              <w:top w:val="nil"/>
              <w:left w:val="nil"/>
              <w:bottom w:val="single" w:color="auto" w:sz="12" w:space="0"/>
              <w:right w:val="nil"/>
            </w:tcBorders>
            <w:shd w:val="clear" w:color="auto" w:fill="auto"/>
            <w:noWrap/>
            <w:vAlign w:val="center"/>
          </w:tcPr>
          <w:p w14:paraId="6779B37A">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-0.368</w:t>
            </w:r>
          </w:p>
        </w:tc>
        <w:tc>
          <w:tcPr>
            <w:tcW w:w="692" w:type="dxa"/>
            <w:tcBorders>
              <w:top w:val="nil"/>
              <w:left w:val="nil"/>
              <w:bottom w:val="single" w:color="auto" w:sz="12" w:space="0"/>
              <w:right w:val="nil"/>
            </w:tcBorders>
            <w:shd w:val="clear" w:color="auto" w:fill="auto"/>
            <w:noWrap/>
            <w:vAlign w:val="center"/>
          </w:tcPr>
          <w:p w14:paraId="42E748B4">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-0.368</w:t>
            </w:r>
          </w:p>
        </w:tc>
        <w:tc>
          <w:tcPr>
            <w:tcW w:w="692" w:type="dxa"/>
            <w:tcBorders>
              <w:top w:val="nil"/>
              <w:left w:val="nil"/>
              <w:bottom w:val="single" w:color="auto" w:sz="12" w:space="0"/>
              <w:right w:val="nil"/>
            </w:tcBorders>
            <w:shd w:val="clear" w:color="auto" w:fill="auto"/>
            <w:noWrap/>
            <w:vAlign w:val="center"/>
          </w:tcPr>
          <w:p w14:paraId="3DDD051F">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-0.368</w:t>
            </w:r>
          </w:p>
        </w:tc>
        <w:tc>
          <w:tcPr>
            <w:tcW w:w="692" w:type="dxa"/>
            <w:tcBorders>
              <w:top w:val="nil"/>
              <w:left w:val="nil"/>
              <w:bottom w:val="single" w:color="auto" w:sz="12" w:space="0"/>
              <w:right w:val="nil"/>
            </w:tcBorders>
            <w:shd w:val="clear" w:color="auto" w:fill="auto"/>
            <w:noWrap/>
            <w:vAlign w:val="center"/>
          </w:tcPr>
          <w:p w14:paraId="631A4708">
            <w:pPr>
              <w:widowControl/>
              <w:spacing w:line="360" w:lineRule="auto"/>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-0.364</w:t>
            </w:r>
          </w:p>
        </w:tc>
      </w:tr>
      <w:tr w14:paraId="02A13394">
        <w:tblPrEx>
          <w:tblCellMar>
            <w:top w:w="0" w:type="dxa"/>
            <w:left w:w="108" w:type="dxa"/>
            <w:bottom w:w="0" w:type="dxa"/>
            <w:right w:w="108" w:type="dxa"/>
          </w:tblCellMar>
        </w:tblPrEx>
        <w:trPr>
          <w:trHeight w:val="280" w:hRule="atLeast"/>
        </w:trPr>
        <w:tc>
          <w:tcPr>
            <w:tcW w:w="8522" w:type="dxa"/>
            <w:gridSpan w:val="10"/>
            <w:tcBorders>
              <w:top w:val="single" w:color="auto" w:sz="12" w:space="0"/>
              <w:left w:val="nil"/>
              <w:bottom w:val="nil"/>
              <w:right w:val="nil"/>
            </w:tcBorders>
            <w:shd w:val="clear" w:color="auto" w:fill="auto"/>
            <w:noWrap/>
            <w:vAlign w:val="center"/>
          </w:tcPr>
          <w:p w14:paraId="38BE9685">
            <w:pPr>
              <w:pStyle w:val="15"/>
              <w:widowControl/>
              <w:spacing w:beforeAutospacing="0" w:afterAutospacing="0" w:line="360" w:lineRule="auto"/>
              <w:jc w:val="both"/>
              <w:rPr>
                <w:rFonts w:ascii="Times New Roman" w:hAnsi="Times New Roman" w:eastAsia="宋体"/>
                <w:color w:val="000000"/>
                <w:szCs w:val="21"/>
                <w:lang w:bidi="ar"/>
              </w:rPr>
            </w:pPr>
            <w:r>
              <w:rPr>
                <w:rFonts w:ascii="Times New Roman" w:hAnsi="Times New Roman"/>
                <w:spacing w:val="10"/>
                <w:sz w:val="21"/>
                <w:szCs w:val="21"/>
              </w:rPr>
              <w:t>Notes:</w:t>
            </w:r>
            <w:r>
              <w:rPr>
                <w:rFonts w:hint="eastAsia" w:ascii="Times New Roman" w:hAnsi="Times New Roman"/>
                <w:spacing w:val="10"/>
                <w:sz w:val="21"/>
                <w:szCs w:val="21"/>
              </w:rPr>
              <w:t xml:space="preserve"> </w:t>
            </w:r>
            <w:r>
              <w:rPr>
                <w:rFonts w:ascii="Times New Roman" w:hAnsi="Times New Roman"/>
                <w:i/>
                <w:spacing w:val="10"/>
                <w:sz w:val="21"/>
                <w:szCs w:val="21"/>
              </w:rPr>
              <w:t>LTF</w:t>
            </w:r>
            <w:r>
              <w:rPr>
                <w:rFonts w:ascii="Times New Roman" w:hAnsi="Times New Roman"/>
                <w:spacing w:val="10"/>
                <w:sz w:val="21"/>
                <w:szCs w:val="21"/>
              </w:rPr>
              <w:t xml:space="preserve">_wild represents the wild-type </w:t>
            </w:r>
            <w:r>
              <w:rPr>
                <w:rFonts w:ascii="Times New Roman" w:hAnsi="Times New Roman"/>
                <w:i/>
                <w:spacing w:val="10"/>
                <w:sz w:val="21"/>
                <w:szCs w:val="21"/>
              </w:rPr>
              <w:t>LTF</w:t>
            </w:r>
            <w:r>
              <w:rPr>
                <w:rFonts w:ascii="Times New Roman" w:hAnsi="Times New Roman"/>
                <w:spacing w:val="10"/>
                <w:sz w:val="21"/>
                <w:szCs w:val="21"/>
              </w:rPr>
              <w:t xml:space="preserve"> protein at rs422619216, and </w:t>
            </w:r>
            <w:r>
              <w:rPr>
                <w:rFonts w:ascii="Times New Roman" w:hAnsi="Times New Roman"/>
                <w:i/>
                <w:spacing w:val="10"/>
                <w:sz w:val="21"/>
                <w:szCs w:val="21"/>
              </w:rPr>
              <w:t>LTF</w:t>
            </w:r>
            <w:r>
              <w:rPr>
                <w:rFonts w:ascii="Times New Roman" w:hAnsi="Times New Roman"/>
                <w:spacing w:val="10"/>
                <w:sz w:val="21"/>
                <w:szCs w:val="21"/>
              </w:rPr>
              <w:t xml:space="preserve">_mutation-1 represents the mutant </w:t>
            </w:r>
            <w:r>
              <w:rPr>
                <w:rFonts w:ascii="Times New Roman" w:hAnsi="Times New Roman"/>
                <w:i/>
                <w:spacing w:val="10"/>
                <w:sz w:val="21"/>
                <w:szCs w:val="21"/>
              </w:rPr>
              <w:t>LTF</w:t>
            </w:r>
            <w:r>
              <w:rPr>
                <w:rFonts w:ascii="Times New Roman" w:hAnsi="Times New Roman"/>
                <w:spacing w:val="10"/>
                <w:sz w:val="21"/>
                <w:szCs w:val="21"/>
              </w:rPr>
              <w:t xml:space="preserve"> protein at rs422619216. </w:t>
            </w:r>
            <w:r>
              <w:rPr>
                <w:rFonts w:ascii="Times New Roman" w:hAnsi="Times New Roman"/>
                <w:i/>
                <w:spacing w:val="10"/>
                <w:sz w:val="21"/>
                <w:szCs w:val="21"/>
              </w:rPr>
              <w:t>PTPRK</w:t>
            </w:r>
            <w:r>
              <w:rPr>
                <w:rFonts w:ascii="Times New Roman" w:hAnsi="Times New Roman"/>
                <w:spacing w:val="10"/>
                <w:sz w:val="21"/>
                <w:szCs w:val="21"/>
              </w:rPr>
              <w:t xml:space="preserve">_wild represents the wild-type </w:t>
            </w:r>
            <w:r>
              <w:rPr>
                <w:rFonts w:ascii="Times New Roman" w:hAnsi="Times New Roman"/>
                <w:i/>
                <w:spacing w:val="10"/>
                <w:sz w:val="21"/>
                <w:szCs w:val="21"/>
              </w:rPr>
              <w:t>PTPRK</w:t>
            </w:r>
            <w:r>
              <w:rPr>
                <w:rFonts w:ascii="Times New Roman" w:hAnsi="Times New Roman"/>
                <w:spacing w:val="10"/>
                <w:sz w:val="21"/>
                <w:szCs w:val="21"/>
              </w:rPr>
              <w:t xml:space="preserve"> protein at rs429528738, and </w:t>
            </w:r>
            <w:r>
              <w:rPr>
                <w:rFonts w:ascii="Times New Roman" w:hAnsi="Times New Roman"/>
                <w:i/>
                <w:spacing w:val="10"/>
                <w:sz w:val="21"/>
                <w:szCs w:val="21"/>
              </w:rPr>
              <w:t>PTPRK</w:t>
            </w:r>
            <w:r>
              <w:rPr>
                <w:rFonts w:ascii="Times New Roman" w:hAnsi="Times New Roman"/>
                <w:spacing w:val="10"/>
                <w:sz w:val="21"/>
                <w:szCs w:val="21"/>
              </w:rPr>
              <w:t xml:space="preserve">_mutation-1 represents the mutant </w:t>
            </w:r>
            <w:r>
              <w:rPr>
                <w:rFonts w:ascii="Times New Roman" w:hAnsi="Times New Roman"/>
                <w:i/>
                <w:spacing w:val="10"/>
                <w:sz w:val="21"/>
                <w:szCs w:val="21"/>
              </w:rPr>
              <w:t>PTPRK</w:t>
            </w:r>
            <w:r>
              <w:rPr>
                <w:rFonts w:ascii="Times New Roman" w:hAnsi="Times New Roman"/>
                <w:spacing w:val="10"/>
                <w:sz w:val="21"/>
                <w:szCs w:val="21"/>
              </w:rPr>
              <w:t xml:space="preserve"> protein at rs429528738. </w:t>
            </w:r>
            <w:r>
              <w:rPr>
                <w:rFonts w:ascii="Times New Roman" w:hAnsi="Times New Roman"/>
                <w:i/>
                <w:spacing w:val="10"/>
                <w:sz w:val="21"/>
                <w:szCs w:val="21"/>
              </w:rPr>
              <w:t>LIFR</w:t>
            </w:r>
            <w:r>
              <w:rPr>
                <w:rFonts w:ascii="Times New Roman" w:hAnsi="Times New Roman"/>
                <w:spacing w:val="10"/>
                <w:sz w:val="21"/>
                <w:szCs w:val="21"/>
              </w:rPr>
              <w:t xml:space="preserve">_wild represents the wild-type </w:t>
            </w:r>
            <w:r>
              <w:rPr>
                <w:rFonts w:ascii="Times New Roman" w:hAnsi="Times New Roman"/>
                <w:i/>
                <w:spacing w:val="10"/>
                <w:sz w:val="21"/>
                <w:szCs w:val="21"/>
              </w:rPr>
              <w:t>LIFR</w:t>
            </w:r>
            <w:r>
              <w:rPr>
                <w:rFonts w:ascii="Times New Roman" w:hAnsi="Times New Roman"/>
                <w:spacing w:val="10"/>
                <w:sz w:val="21"/>
                <w:szCs w:val="21"/>
              </w:rPr>
              <w:t xml:space="preserve"> protein at rs411119461, and </w:t>
            </w:r>
            <w:r>
              <w:rPr>
                <w:rFonts w:ascii="Times New Roman" w:hAnsi="Times New Roman"/>
                <w:i/>
                <w:spacing w:val="10"/>
                <w:sz w:val="21"/>
                <w:szCs w:val="21"/>
              </w:rPr>
              <w:t>LIFR</w:t>
            </w:r>
            <w:r>
              <w:rPr>
                <w:rFonts w:ascii="Times New Roman" w:hAnsi="Times New Roman"/>
                <w:spacing w:val="10"/>
                <w:sz w:val="21"/>
                <w:szCs w:val="21"/>
              </w:rPr>
              <w:t xml:space="preserve">_mutation-1 represents the mutant </w:t>
            </w:r>
            <w:r>
              <w:rPr>
                <w:rFonts w:ascii="Times New Roman" w:hAnsi="Times New Roman"/>
                <w:i/>
                <w:spacing w:val="10"/>
                <w:sz w:val="21"/>
                <w:szCs w:val="21"/>
              </w:rPr>
              <w:t>LIFR</w:t>
            </w:r>
            <w:r>
              <w:rPr>
                <w:rFonts w:ascii="Times New Roman" w:hAnsi="Times New Roman"/>
                <w:spacing w:val="10"/>
                <w:sz w:val="21"/>
                <w:szCs w:val="21"/>
              </w:rPr>
              <w:t xml:space="preserve"> protein at rs408968100; </w:t>
            </w:r>
            <w:r>
              <w:rPr>
                <w:rFonts w:ascii="Times New Roman" w:hAnsi="Times New Roman"/>
                <w:i/>
                <w:spacing w:val="10"/>
                <w:sz w:val="21"/>
                <w:szCs w:val="21"/>
              </w:rPr>
              <w:t>LIFR</w:t>
            </w:r>
            <w:r>
              <w:rPr>
                <w:rFonts w:ascii="Times New Roman" w:hAnsi="Times New Roman"/>
                <w:spacing w:val="10"/>
                <w:sz w:val="21"/>
                <w:szCs w:val="21"/>
              </w:rPr>
              <w:t xml:space="preserve">_mutation-2 represents </w:t>
            </w:r>
            <w:r>
              <w:rPr>
                <w:rFonts w:ascii="Times New Roman" w:hAnsi="Times New Roman"/>
                <w:i/>
                <w:spacing w:val="10"/>
                <w:sz w:val="21"/>
                <w:szCs w:val="21"/>
              </w:rPr>
              <w:t>LIFR</w:t>
            </w:r>
            <w:r>
              <w:rPr>
                <w:rFonts w:ascii="Times New Roman" w:hAnsi="Times New Roman"/>
                <w:spacing w:val="10"/>
                <w:sz w:val="21"/>
                <w:szCs w:val="21"/>
              </w:rPr>
              <w:t xml:space="preserve"> protein with mutation at rs162154352 site; </w:t>
            </w:r>
            <w:r>
              <w:rPr>
                <w:rFonts w:ascii="Times New Roman" w:hAnsi="Times New Roman"/>
                <w:i/>
                <w:spacing w:val="10"/>
                <w:sz w:val="21"/>
                <w:szCs w:val="21"/>
              </w:rPr>
              <w:t>LIFR</w:t>
            </w:r>
            <w:r>
              <w:rPr>
                <w:rFonts w:ascii="Times New Roman" w:hAnsi="Times New Roman"/>
                <w:spacing w:val="10"/>
                <w:sz w:val="21"/>
                <w:szCs w:val="21"/>
              </w:rPr>
              <w:t xml:space="preserve">_mutation-3 represents the mutant </w:t>
            </w:r>
            <w:r>
              <w:rPr>
                <w:rFonts w:ascii="Times New Roman" w:hAnsi="Times New Roman"/>
                <w:i/>
                <w:spacing w:val="10"/>
                <w:sz w:val="21"/>
                <w:szCs w:val="21"/>
              </w:rPr>
              <w:t>LIFR</w:t>
            </w:r>
            <w:r>
              <w:rPr>
                <w:rFonts w:ascii="Times New Roman" w:hAnsi="Times New Roman"/>
                <w:spacing w:val="10"/>
                <w:sz w:val="21"/>
                <w:szCs w:val="21"/>
              </w:rPr>
              <w:t xml:space="preserve"> protein of rs161149074 site; </w:t>
            </w:r>
            <w:r>
              <w:rPr>
                <w:rFonts w:ascii="Times New Roman" w:hAnsi="Times New Roman"/>
                <w:i/>
                <w:spacing w:val="10"/>
                <w:sz w:val="21"/>
                <w:szCs w:val="21"/>
              </w:rPr>
              <w:t>LIFR</w:t>
            </w:r>
            <w:r>
              <w:rPr>
                <w:rFonts w:ascii="Times New Roman" w:hAnsi="Times New Roman"/>
                <w:spacing w:val="10"/>
                <w:sz w:val="21"/>
                <w:szCs w:val="21"/>
              </w:rPr>
              <w:t xml:space="preserve">_mutation-4 represents the mutant </w:t>
            </w:r>
            <w:r>
              <w:rPr>
                <w:rFonts w:ascii="Times New Roman" w:hAnsi="Times New Roman"/>
                <w:i/>
                <w:spacing w:val="10"/>
                <w:sz w:val="21"/>
                <w:szCs w:val="21"/>
              </w:rPr>
              <w:t>LIFR</w:t>
            </w:r>
            <w:r>
              <w:rPr>
                <w:rFonts w:ascii="Times New Roman" w:hAnsi="Times New Roman"/>
                <w:spacing w:val="10"/>
                <w:sz w:val="21"/>
                <w:szCs w:val="21"/>
              </w:rPr>
              <w:t xml:space="preserve"> protein at rs411119461 site.</w:t>
            </w:r>
          </w:p>
        </w:tc>
      </w:tr>
    </w:tbl>
    <w:p w14:paraId="7D447547">
      <w:pPr>
        <w:pStyle w:val="15"/>
        <w:widowControl/>
        <w:spacing w:beforeAutospacing="0" w:afterAutospacing="0" w:line="360" w:lineRule="auto"/>
        <w:jc w:val="both"/>
        <w:rPr>
          <w:rFonts w:ascii="Times New Roman" w:hAnsi="Times New Roman"/>
          <w:b/>
          <w:bCs/>
          <w:spacing w:val="10"/>
          <w:sz w:val="21"/>
          <w:szCs w:val="21"/>
        </w:rPr>
      </w:pPr>
    </w:p>
    <w:p w14:paraId="46540DB2">
      <w:pPr>
        <w:pStyle w:val="3"/>
        <w:numPr>
          <w:ilvl w:val="1"/>
          <w:numId w:val="4"/>
        </w:numPr>
        <w:spacing w:before="0" w:after="0" w:line="360" w:lineRule="auto"/>
        <w:ind w:left="0" w:firstLine="0"/>
        <w:rPr>
          <w:rFonts w:ascii="Times New Roman" w:hAnsi="Times New Roman" w:cs="Times New Roman"/>
          <w:spacing w:val="10"/>
          <w:sz w:val="30"/>
          <w:szCs w:val="30"/>
        </w:rPr>
      </w:pPr>
      <w:r>
        <w:rPr>
          <w:rFonts w:ascii="Times New Roman" w:hAnsi="Times New Roman" w:cs="Times New Roman"/>
          <w:sz w:val="30"/>
          <w:szCs w:val="30"/>
          <w:lang w:bidi="ar"/>
        </w:rPr>
        <w:t xml:space="preserve">Mutation of positive selection site of </w:t>
      </w:r>
      <w:r>
        <w:rPr>
          <w:rFonts w:ascii="Times New Roman" w:hAnsi="Times New Roman" w:cs="Times New Roman"/>
          <w:i/>
          <w:sz w:val="30"/>
          <w:szCs w:val="30"/>
          <w:lang w:bidi="ar"/>
        </w:rPr>
        <w:t>LTF</w:t>
      </w:r>
      <w:r>
        <w:rPr>
          <w:rFonts w:ascii="Times New Roman" w:hAnsi="Times New Roman" w:cs="Times New Roman"/>
          <w:sz w:val="30"/>
          <w:szCs w:val="30"/>
          <w:lang w:bidi="ar"/>
        </w:rPr>
        <w:t xml:space="preserve"> gene and prediction of protein structure</w:t>
      </w:r>
    </w:p>
    <w:p w14:paraId="219E3B9C">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A missense mutation at a positive selection site was detected in the </w:t>
      </w:r>
      <w:r>
        <w:rPr>
          <w:rFonts w:ascii="Times New Roman" w:hAnsi="Times New Roman" w:eastAsia="宋体"/>
          <w:i/>
        </w:rPr>
        <w:t>LTF</w:t>
      </w:r>
      <w:r>
        <w:rPr>
          <w:rFonts w:ascii="Times New Roman" w:hAnsi="Times New Roman" w:eastAsia="宋体"/>
        </w:rPr>
        <w:t xml:space="preserve"> gene, and the mutation at the fourth exon is shown in </w:t>
      </w:r>
      <w:r>
        <w:rPr>
          <w:rFonts w:ascii="Times New Roman" w:hAnsi="Times New Roman" w:eastAsia="宋体"/>
          <w:b/>
          <w:bCs/>
        </w:rPr>
        <w:t xml:space="preserve">Figure </w:t>
      </w:r>
      <w:r>
        <w:rPr>
          <w:rFonts w:hint="eastAsia" w:ascii="Times New Roman" w:hAnsi="Times New Roman" w:eastAsia="宋体"/>
          <w:b/>
          <w:bCs/>
        </w:rPr>
        <w:t>4</w:t>
      </w:r>
      <w:r>
        <w:rPr>
          <w:rFonts w:ascii="Times New Roman" w:hAnsi="Times New Roman" w:eastAsia="宋体"/>
          <w:b/>
          <w:bCs/>
        </w:rPr>
        <w:t>a</w:t>
      </w:r>
      <w:r>
        <w:rPr>
          <w:rFonts w:ascii="Times New Roman" w:hAnsi="Times New Roman" w:eastAsia="宋体"/>
        </w:rPr>
        <w:t xml:space="preserve">. To further study the influence of selection signal on gene function, we predicted the influence of c.407T&gt;C mutation of </w:t>
      </w:r>
      <w:r>
        <w:rPr>
          <w:rFonts w:ascii="Times New Roman" w:hAnsi="Times New Roman" w:eastAsia="宋体"/>
          <w:i/>
        </w:rPr>
        <w:t>LTF</w:t>
      </w:r>
      <w:r>
        <w:rPr>
          <w:rFonts w:ascii="Times New Roman" w:hAnsi="Times New Roman" w:eastAsia="宋体"/>
        </w:rPr>
        <w:t xml:space="preserve"> on protein tertiary structure and hydrophilicity of amino acid residues. The results showed that the mutation shortened the α -helix in the region of 145-155 (</w:t>
      </w:r>
      <w:r>
        <w:rPr>
          <w:rFonts w:ascii="Times New Roman" w:hAnsi="Times New Roman" w:eastAsia="宋体"/>
          <w:b/>
          <w:bCs/>
        </w:rPr>
        <w:t xml:space="preserve">Figure </w:t>
      </w:r>
      <w:r>
        <w:rPr>
          <w:rFonts w:hint="eastAsia" w:ascii="Times New Roman" w:hAnsi="Times New Roman" w:eastAsia="宋体"/>
          <w:b/>
          <w:bCs/>
        </w:rPr>
        <w:t>4</w:t>
      </w:r>
      <w:r>
        <w:rPr>
          <w:rFonts w:ascii="Times New Roman" w:hAnsi="Times New Roman" w:eastAsia="宋体"/>
          <w:b/>
          <w:bCs/>
        </w:rPr>
        <w:t>c</w:t>
      </w:r>
      <w:r>
        <w:rPr>
          <w:rFonts w:ascii="Times New Roman" w:hAnsi="Times New Roman" w:eastAsia="宋体"/>
        </w:rPr>
        <w:t>). At the same time, it also caused the hydrophilic coefficient of amino acid residues to decrease from -0.248 to -0.252, which led to a decrease in hydrophilicity nearby (</w:t>
      </w:r>
      <w:r>
        <w:rPr>
          <w:rFonts w:ascii="Times New Roman" w:hAnsi="Times New Roman" w:eastAsia="宋体"/>
          <w:b/>
          <w:bCs/>
        </w:rPr>
        <w:t xml:space="preserve">Figure </w:t>
      </w:r>
      <w:r>
        <w:rPr>
          <w:rFonts w:hint="eastAsia" w:ascii="Times New Roman" w:hAnsi="Times New Roman" w:eastAsia="宋体"/>
          <w:b/>
          <w:bCs/>
        </w:rPr>
        <w:t>4</w:t>
      </w:r>
      <w:r>
        <w:rPr>
          <w:rFonts w:ascii="Times New Roman" w:hAnsi="Times New Roman" w:eastAsia="宋体"/>
          <w:b/>
          <w:bCs/>
        </w:rPr>
        <w:t>b</w:t>
      </w:r>
      <w:r>
        <w:rPr>
          <w:rFonts w:ascii="Times New Roman" w:hAnsi="Times New Roman" w:eastAsia="宋体"/>
        </w:rPr>
        <w:t>).</w:t>
      </w:r>
    </w:p>
    <w:p w14:paraId="4E619042">
      <w:pPr>
        <w:pStyle w:val="15"/>
        <w:widowControl/>
        <w:spacing w:beforeAutospacing="0" w:afterAutospacing="0" w:line="360" w:lineRule="auto"/>
        <w:ind w:firstLine="480" w:firstLineChars="200"/>
        <w:jc w:val="both"/>
        <w:rPr>
          <w:rFonts w:ascii="Times New Roman" w:hAnsi="Times New Roman" w:eastAsia="宋体"/>
        </w:rPr>
      </w:pPr>
    </w:p>
    <w:p w14:paraId="0FE823D9">
      <w:pPr>
        <w:pStyle w:val="15"/>
        <w:widowControl/>
        <w:spacing w:beforeAutospacing="0" w:afterAutospacing="0" w:line="360" w:lineRule="auto"/>
        <w:ind w:firstLine="480" w:firstLineChars="200"/>
        <w:jc w:val="both"/>
        <w:rPr>
          <w:rFonts w:ascii="Times New Roman" w:hAnsi="Times New Roman" w:eastAsia="宋体"/>
        </w:rPr>
      </w:pPr>
    </w:p>
    <w:p w14:paraId="57B3F693">
      <w:pPr>
        <w:spacing w:line="360" w:lineRule="auto"/>
        <w:ind w:firstLine="420" w:firstLineChars="200"/>
        <w:rPr>
          <w:rFonts w:ascii="Times New Roman" w:hAnsi="Times New Roman" w:eastAsia="宋体" w:cs="Times New Roman"/>
        </w:rPr>
      </w:pPr>
      <w:r>
        <w:rPr>
          <w:rFonts w:ascii="Times New Roman" w:hAnsi="Times New Roman" w:eastAsia="宋体" w:cs="Times New Roman"/>
        </w:rPr>
        <w:drawing>
          <wp:inline distT="0" distB="0" distL="114300" distR="114300">
            <wp:extent cx="5266690" cy="3800475"/>
            <wp:effectExtent l="0" t="0" r="3810" b="9525"/>
            <wp:docPr id="8" name="图片 8" descr="LTF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LTF总"/>
                    <pic:cNvPicPr>
                      <a:picLocks noChangeAspect="1"/>
                    </pic:cNvPicPr>
                  </pic:nvPicPr>
                  <pic:blipFill>
                    <a:blip r:embed="rId7"/>
                    <a:stretch>
                      <a:fillRect/>
                    </a:stretch>
                  </pic:blipFill>
                  <pic:spPr>
                    <a:xfrm>
                      <a:off x="0" y="0"/>
                      <a:ext cx="5266690" cy="3800475"/>
                    </a:xfrm>
                    <a:prstGeom prst="rect">
                      <a:avLst/>
                    </a:prstGeom>
                  </pic:spPr>
                </pic:pic>
              </a:graphicData>
            </a:graphic>
          </wp:inline>
        </w:drawing>
      </w:r>
    </w:p>
    <w:p w14:paraId="2E074ED4">
      <w:pPr>
        <w:pStyle w:val="15"/>
        <w:widowControl/>
        <w:spacing w:beforeAutospacing="0" w:afterAutospacing="0" w:line="360" w:lineRule="auto"/>
        <w:jc w:val="both"/>
        <w:outlineLvl w:val="3"/>
        <w:rPr>
          <w:rFonts w:ascii="Times New Roman" w:hAnsi="Times New Roman"/>
          <w:b/>
          <w:bCs/>
          <w:spacing w:val="10"/>
          <w:sz w:val="21"/>
          <w:szCs w:val="21"/>
        </w:rPr>
      </w:pPr>
      <w:r>
        <w:rPr>
          <w:rFonts w:ascii="Times New Roman" w:hAnsi="Times New Roman"/>
          <w:b/>
          <w:bCs/>
          <w:spacing w:val="10"/>
          <w:sz w:val="21"/>
          <w:szCs w:val="21"/>
        </w:rPr>
        <w:t xml:space="preserve">Fig. 4 Selection signal detection and protein structure prediction of sheep </w:t>
      </w:r>
      <w:r>
        <w:rPr>
          <w:rFonts w:ascii="Times New Roman" w:hAnsi="Times New Roman"/>
          <w:b/>
          <w:bCs/>
          <w:i/>
          <w:spacing w:val="10"/>
          <w:sz w:val="21"/>
          <w:szCs w:val="21"/>
        </w:rPr>
        <w:t>LTF</w:t>
      </w:r>
      <w:r>
        <w:rPr>
          <w:rFonts w:ascii="Times New Roman" w:hAnsi="Times New Roman"/>
          <w:b/>
          <w:bCs/>
          <w:spacing w:val="10"/>
          <w:sz w:val="21"/>
          <w:szCs w:val="21"/>
        </w:rPr>
        <w:t xml:space="preserve"> gene. </w:t>
      </w:r>
    </w:p>
    <w:p w14:paraId="6967E44B">
      <w:pPr>
        <w:pStyle w:val="15"/>
        <w:widowControl/>
        <w:spacing w:beforeAutospacing="0" w:afterAutospacing="0" w:line="360" w:lineRule="auto"/>
        <w:jc w:val="both"/>
        <w:rPr>
          <w:rFonts w:ascii="Times New Roman" w:hAnsi="Times New Roman"/>
          <w:spacing w:val="10"/>
          <w:sz w:val="21"/>
          <w:szCs w:val="21"/>
        </w:rPr>
      </w:pPr>
      <w:r>
        <w:rPr>
          <w:rFonts w:ascii="Times New Roman" w:hAnsi="Times New Roman"/>
          <w:spacing w:val="10"/>
          <w:sz w:val="21"/>
          <w:szCs w:val="21"/>
        </w:rPr>
        <w:t xml:space="preserve">(a) the result of the </w:t>
      </w:r>
      <w:r>
        <w:rPr>
          <w:rFonts w:ascii="Times New Roman" w:hAnsi="Times New Roman"/>
          <w:i/>
          <w:spacing w:val="10"/>
          <w:sz w:val="21"/>
          <w:szCs w:val="21"/>
        </w:rPr>
        <w:t>LTF</w:t>
      </w:r>
      <w:r>
        <w:rPr>
          <w:rFonts w:ascii="Times New Roman" w:hAnsi="Times New Roman"/>
          <w:spacing w:val="10"/>
          <w:sz w:val="21"/>
          <w:szCs w:val="21"/>
        </w:rPr>
        <w:t xml:space="preserve"> gene selection signal. The red dot represents the missense mutation site. The solid black line represents the selection signal screening threshold (Z(FST)&gt;2.326). (b) The influence of C.407T&gt;C locus variation on the hydrophilicity of amino acid loci in </w:t>
      </w:r>
      <w:r>
        <w:rPr>
          <w:rFonts w:ascii="Times New Roman" w:hAnsi="Times New Roman"/>
          <w:i/>
          <w:spacing w:val="10"/>
          <w:sz w:val="21"/>
          <w:szCs w:val="21"/>
        </w:rPr>
        <w:t>LTF</w:t>
      </w:r>
      <w:r>
        <w:rPr>
          <w:rFonts w:ascii="Times New Roman" w:hAnsi="Times New Roman"/>
          <w:spacing w:val="10"/>
          <w:sz w:val="21"/>
          <w:szCs w:val="21"/>
        </w:rPr>
        <w:t xml:space="preserve">. The black and red lines represent wild-type and mutant </w:t>
      </w:r>
      <w:r>
        <w:rPr>
          <w:rFonts w:ascii="Times New Roman" w:hAnsi="Times New Roman"/>
          <w:i/>
          <w:spacing w:val="10"/>
          <w:sz w:val="21"/>
          <w:szCs w:val="21"/>
        </w:rPr>
        <w:t>LTF</w:t>
      </w:r>
      <w:r>
        <w:rPr>
          <w:rFonts w:ascii="Times New Roman" w:hAnsi="Times New Roman"/>
          <w:spacing w:val="10"/>
          <w:sz w:val="21"/>
          <w:szCs w:val="21"/>
        </w:rPr>
        <w:t xml:space="preserve"> proteins, respectively. (c) The influence of mutation of C.407T&gt;C locus on the global and local schematic 3D structure of wild-type and mutant </w:t>
      </w:r>
      <w:r>
        <w:rPr>
          <w:rFonts w:ascii="Times New Roman" w:hAnsi="Times New Roman"/>
          <w:i/>
          <w:spacing w:val="10"/>
          <w:sz w:val="21"/>
          <w:szCs w:val="21"/>
        </w:rPr>
        <w:t>LTF</w:t>
      </w:r>
      <w:r>
        <w:rPr>
          <w:rFonts w:ascii="Times New Roman" w:hAnsi="Times New Roman"/>
          <w:spacing w:val="10"/>
          <w:sz w:val="21"/>
          <w:szCs w:val="21"/>
        </w:rPr>
        <w:t xml:space="preserve"> proteins.</w:t>
      </w:r>
    </w:p>
    <w:p w14:paraId="51AE03D0">
      <w:pPr>
        <w:pStyle w:val="3"/>
        <w:numPr>
          <w:ilvl w:val="1"/>
          <w:numId w:val="4"/>
        </w:numPr>
        <w:spacing w:before="0" w:after="0" w:line="360" w:lineRule="auto"/>
        <w:ind w:left="0" w:firstLine="0"/>
        <w:rPr>
          <w:rFonts w:ascii="Times New Roman" w:hAnsi="Times New Roman" w:cs="Times New Roman"/>
          <w:sz w:val="30"/>
          <w:szCs w:val="30"/>
          <w:lang w:bidi="ar"/>
        </w:rPr>
      </w:pPr>
      <w:r>
        <w:rPr>
          <w:rFonts w:ascii="Times New Roman" w:hAnsi="Times New Roman" w:cs="Times New Roman"/>
          <w:sz w:val="30"/>
          <w:szCs w:val="30"/>
          <w:lang w:bidi="ar"/>
        </w:rPr>
        <w:t xml:space="preserve">Positive selection site mutation and protein structure prediction of </w:t>
      </w:r>
      <w:r>
        <w:rPr>
          <w:rFonts w:ascii="Times New Roman" w:hAnsi="Times New Roman" w:cs="Times New Roman"/>
          <w:i/>
          <w:sz w:val="30"/>
          <w:szCs w:val="30"/>
          <w:lang w:bidi="ar"/>
        </w:rPr>
        <w:t>PTPRK</w:t>
      </w:r>
      <w:r>
        <w:rPr>
          <w:rFonts w:ascii="Times New Roman" w:hAnsi="Times New Roman" w:cs="Times New Roman"/>
          <w:sz w:val="30"/>
          <w:szCs w:val="30"/>
          <w:lang w:bidi="ar"/>
        </w:rPr>
        <w:t xml:space="preserve"> gene</w:t>
      </w:r>
    </w:p>
    <w:p w14:paraId="1BD511FD">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A missense mutation at a positive selection site was detected in the </w:t>
      </w:r>
      <w:r>
        <w:rPr>
          <w:rFonts w:ascii="Times New Roman" w:hAnsi="Times New Roman" w:eastAsia="宋体"/>
          <w:i/>
        </w:rPr>
        <w:t>PTPRK</w:t>
      </w:r>
      <w:r>
        <w:rPr>
          <w:rFonts w:ascii="Times New Roman" w:hAnsi="Times New Roman" w:eastAsia="宋体"/>
        </w:rPr>
        <w:t xml:space="preserve"> gene, and the mutation at the eighth exon is shown in </w:t>
      </w:r>
      <w:r>
        <w:rPr>
          <w:rFonts w:ascii="Times New Roman" w:hAnsi="Times New Roman" w:eastAsia="宋体"/>
          <w:b/>
          <w:bCs/>
        </w:rPr>
        <w:t xml:space="preserve">Figure </w:t>
      </w:r>
      <w:r>
        <w:rPr>
          <w:rFonts w:hint="eastAsia" w:ascii="Times New Roman" w:hAnsi="Times New Roman" w:eastAsia="宋体"/>
          <w:b/>
          <w:bCs/>
        </w:rPr>
        <w:t>5</w:t>
      </w:r>
      <w:r>
        <w:rPr>
          <w:rFonts w:ascii="Times New Roman" w:hAnsi="Times New Roman" w:eastAsia="宋体"/>
          <w:b/>
          <w:bCs/>
        </w:rPr>
        <w:t>a</w:t>
      </w:r>
      <w:r>
        <w:rPr>
          <w:rFonts w:ascii="Times New Roman" w:hAnsi="Times New Roman" w:eastAsia="宋体"/>
        </w:rPr>
        <w:t>. The mutation indicates that the c.1295</w:t>
      </w:r>
      <w:r>
        <w:rPr>
          <w:rFonts w:hint="eastAsia" w:ascii="Times New Roman" w:hAnsi="Times New Roman" w:eastAsia="宋体"/>
        </w:rPr>
        <w:t>G</w:t>
      </w:r>
      <w:r>
        <w:rPr>
          <w:rFonts w:ascii="Times New Roman" w:hAnsi="Times New Roman" w:eastAsia="宋体"/>
        </w:rPr>
        <w:t>&gt;</w:t>
      </w:r>
      <w:r>
        <w:rPr>
          <w:rFonts w:hint="eastAsia" w:ascii="Times New Roman" w:hAnsi="Times New Roman" w:eastAsia="宋体"/>
        </w:rPr>
        <w:t>A</w:t>
      </w:r>
      <w:r>
        <w:rPr>
          <w:rFonts w:ascii="Times New Roman" w:hAnsi="Times New Roman" w:eastAsia="宋体"/>
        </w:rPr>
        <w:t xml:space="preserve"> variation site only slightly increases the hydrophobicity of the site and its adjacent spatial structure (</w:t>
      </w:r>
      <w:r>
        <w:rPr>
          <w:rFonts w:ascii="Times New Roman" w:hAnsi="Times New Roman" w:eastAsia="宋体"/>
          <w:b/>
          <w:bCs/>
        </w:rPr>
        <w:t xml:space="preserve">Figure </w:t>
      </w:r>
      <w:r>
        <w:rPr>
          <w:rFonts w:hint="eastAsia" w:ascii="Times New Roman" w:hAnsi="Times New Roman" w:eastAsia="宋体"/>
          <w:b/>
          <w:bCs/>
        </w:rPr>
        <w:t>5</w:t>
      </w:r>
      <w:r>
        <w:rPr>
          <w:rFonts w:ascii="Times New Roman" w:hAnsi="Times New Roman" w:eastAsia="宋体"/>
          <w:b/>
          <w:bCs/>
        </w:rPr>
        <w:t>b</w:t>
      </w:r>
      <w:r>
        <w:rPr>
          <w:rFonts w:ascii="Times New Roman" w:hAnsi="Times New Roman" w:eastAsia="宋体"/>
        </w:rPr>
        <w:t xml:space="preserve">) and leads to the formation of an α helix instead of an irregular curl at 414-417 and the β-fold becomes an irregular curl at </w:t>
      </w:r>
      <w:r>
        <w:rPr>
          <w:rFonts w:hint="eastAsia" w:ascii="Times New Roman" w:hAnsi="Times New Roman" w:eastAsia="宋体"/>
        </w:rPr>
        <w:t xml:space="preserve">positions </w:t>
      </w:r>
      <w:r>
        <w:rPr>
          <w:rFonts w:ascii="Times New Roman" w:hAnsi="Times New Roman" w:eastAsia="宋体"/>
        </w:rPr>
        <w:t>450-454 (</w:t>
      </w:r>
      <w:r>
        <w:rPr>
          <w:rFonts w:ascii="Times New Roman" w:hAnsi="Times New Roman" w:eastAsia="宋体"/>
          <w:b/>
          <w:bCs/>
        </w:rPr>
        <w:t xml:space="preserve">Figure </w:t>
      </w:r>
      <w:r>
        <w:rPr>
          <w:rFonts w:hint="eastAsia" w:ascii="Times New Roman" w:hAnsi="Times New Roman" w:eastAsia="宋体"/>
          <w:b/>
          <w:bCs/>
        </w:rPr>
        <w:t>5</w:t>
      </w:r>
      <w:r>
        <w:rPr>
          <w:rFonts w:ascii="Times New Roman" w:hAnsi="Times New Roman" w:eastAsia="宋体"/>
          <w:b/>
          <w:bCs/>
        </w:rPr>
        <w:t>c</w:t>
      </w:r>
      <w:r>
        <w:rPr>
          <w:rFonts w:ascii="Times New Roman" w:hAnsi="Times New Roman" w:eastAsia="宋体"/>
        </w:rPr>
        <w:t>).</w:t>
      </w:r>
    </w:p>
    <w:p w14:paraId="581FDF11">
      <w:pPr>
        <w:pStyle w:val="15"/>
        <w:widowControl/>
        <w:spacing w:beforeAutospacing="0" w:afterAutospacing="0" w:line="360" w:lineRule="auto"/>
        <w:ind w:firstLine="480" w:firstLineChars="200"/>
        <w:jc w:val="both"/>
        <w:rPr>
          <w:rFonts w:ascii="Times New Roman" w:hAnsi="Times New Roman" w:eastAsia="宋体"/>
        </w:rPr>
      </w:pPr>
    </w:p>
    <w:p w14:paraId="59BD65F1">
      <w:pPr>
        <w:spacing w:line="360" w:lineRule="auto"/>
        <w:ind w:firstLine="420" w:firstLineChars="200"/>
        <w:rPr>
          <w:rFonts w:ascii="Times New Roman" w:hAnsi="Times New Roman" w:eastAsia="宋体" w:cs="Times New Roman"/>
          <w:lang w:bidi="ar"/>
        </w:rPr>
      </w:pPr>
      <w:r>
        <w:rPr>
          <w:rFonts w:ascii="Times New Roman" w:hAnsi="Times New Roman" w:eastAsia="宋体" w:cs="Times New Roman"/>
          <w:lang w:bidi="ar"/>
        </w:rPr>
        <w:drawing>
          <wp:inline distT="0" distB="0" distL="114300" distR="114300">
            <wp:extent cx="5272405" cy="3783330"/>
            <wp:effectExtent l="0" t="0" r="10795" b="1270"/>
            <wp:docPr id="9" name="图片 9" descr="PTPRK 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PTPRK 总"/>
                    <pic:cNvPicPr>
                      <a:picLocks noChangeAspect="1"/>
                    </pic:cNvPicPr>
                  </pic:nvPicPr>
                  <pic:blipFill>
                    <a:blip r:embed="rId8"/>
                    <a:stretch>
                      <a:fillRect/>
                    </a:stretch>
                  </pic:blipFill>
                  <pic:spPr>
                    <a:xfrm>
                      <a:off x="0" y="0"/>
                      <a:ext cx="5272405" cy="3783330"/>
                    </a:xfrm>
                    <a:prstGeom prst="rect">
                      <a:avLst/>
                    </a:prstGeom>
                  </pic:spPr>
                </pic:pic>
              </a:graphicData>
            </a:graphic>
          </wp:inline>
        </w:drawing>
      </w:r>
    </w:p>
    <w:p w14:paraId="51FCB56D">
      <w:pPr>
        <w:adjustRightInd w:val="0"/>
        <w:spacing w:line="360" w:lineRule="auto"/>
        <w:textAlignment w:val="baseline"/>
        <w:outlineLvl w:val="3"/>
        <w:rPr>
          <w:rFonts w:ascii="Times New Roman" w:hAnsi="Times New Roman" w:eastAsia="宋体" w:cs="Times New Roman"/>
          <w:b/>
          <w:bCs/>
          <w:szCs w:val="21"/>
        </w:rPr>
      </w:pPr>
      <w:r>
        <w:rPr>
          <w:rFonts w:ascii="Times New Roman" w:hAnsi="Times New Roman" w:eastAsia="宋体" w:cs="Times New Roman"/>
          <w:b/>
          <w:bCs/>
          <w:szCs w:val="21"/>
        </w:rPr>
        <w:t xml:space="preserve">Fig. 5 Selection signal detection and protein structure prediction of sheep </w:t>
      </w:r>
      <w:r>
        <w:rPr>
          <w:rFonts w:ascii="Times New Roman" w:hAnsi="Times New Roman" w:eastAsia="宋体" w:cs="Times New Roman"/>
          <w:b/>
          <w:bCs/>
          <w:i/>
          <w:szCs w:val="21"/>
        </w:rPr>
        <w:t>PTPRK</w:t>
      </w:r>
      <w:r>
        <w:rPr>
          <w:rFonts w:ascii="Times New Roman" w:hAnsi="Times New Roman" w:eastAsia="宋体" w:cs="Times New Roman"/>
          <w:b/>
          <w:bCs/>
          <w:szCs w:val="21"/>
        </w:rPr>
        <w:t xml:space="preserve"> gene. </w:t>
      </w:r>
    </w:p>
    <w:p w14:paraId="66C8FF7F">
      <w:pPr>
        <w:adjustRightInd w:val="0"/>
        <w:spacing w:line="360" w:lineRule="auto"/>
        <w:textAlignment w:val="baseline"/>
        <w:rPr>
          <w:rFonts w:ascii="Times New Roman" w:hAnsi="Times New Roman" w:eastAsia="宋体" w:cs="Times New Roman"/>
          <w:szCs w:val="21"/>
        </w:rPr>
      </w:pPr>
      <w:r>
        <w:rPr>
          <w:rFonts w:ascii="Times New Roman" w:hAnsi="Times New Roman" w:eastAsia="宋体" w:cs="Times New Roman"/>
          <w:szCs w:val="21"/>
        </w:rPr>
        <w:t xml:space="preserve">(a) the result of the </w:t>
      </w:r>
      <w:r>
        <w:rPr>
          <w:rFonts w:ascii="Times New Roman" w:hAnsi="Times New Roman" w:eastAsia="宋体" w:cs="Times New Roman"/>
          <w:i/>
          <w:szCs w:val="21"/>
        </w:rPr>
        <w:t>PTPRK</w:t>
      </w:r>
      <w:r>
        <w:rPr>
          <w:rFonts w:ascii="Times New Roman" w:hAnsi="Times New Roman" w:eastAsia="宋体" w:cs="Times New Roman"/>
          <w:szCs w:val="21"/>
        </w:rPr>
        <w:t xml:space="preserve"> gene selection signal. The red dot represents the missense mutation site. The solid black line represents the selection signal screening threshold (Z(FST)&gt;2.326). (b) The influence of </w:t>
      </w:r>
      <w:r>
        <w:rPr>
          <w:rFonts w:hint="eastAsia" w:ascii="Times New Roman" w:hAnsi="Times New Roman" w:eastAsia="宋体" w:cs="Times New Roman"/>
          <w:szCs w:val="21"/>
        </w:rPr>
        <w:t>c</w:t>
      </w:r>
      <w:r>
        <w:rPr>
          <w:rFonts w:ascii="Times New Roman" w:hAnsi="Times New Roman" w:eastAsia="宋体" w:cs="Times New Roman"/>
          <w:szCs w:val="21"/>
        </w:rPr>
        <w:t>.1295</w:t>
      </w:r>
      <w:r>
        <w:rPr>
          <w:rFonts w:hint="eastAsia" w:ascii="Times New Roman" w:hAnsi="Times New Roman" w:eastAsia="宋体" w:cs="Times New Roman"/>
          <w:szCs w:val="21"/>
        </w:rPr>
        <w:t>G</w:t>
      </w:r>
      <w:r>
        <w:rPr>
          <w:rFonts w:ascii="Times New Roman" w:hAnsi="Times New Roman" w:eastAsia="宋体" w:cs="Times New Roman"/>
          <w:szCs w:val="21"/>
        </w:rPr>
        <w:t xml:space="preserve"> &gt; </w:t>
      </w:r>
      <w:r>
        <w:rPr>
          <w:rFonts w:hint="eastAsia" w:ascii="Times New Roman" w:hAnsi="Times New Roman" w:eastAsia="宋体" w:cs="Times New Roman"/>
          <w:szCs w:val="21"/>
        </w:rPr>
        <w:t>A</w:t>
      </w:r>
      <w:r>
        <w:rPr>
          <w:rFonts w:ascii="Times New Roman" w:hAnsi="Times New Roman" w:eastAsia="宋体" w:cs="Times New Roman"/>
          <w:szCs w:val="21"/>
        </w:rPr>
        <w:t xml:space="preserve"> locus variation on the hydrophilicity of amino acid sites in </w:t>
      </w:r>
      <w:r>
        <w:rPr>
          <w:rFonts w:ascii="Times New Roman" w:hAnsi="Times New Roman" w:eastAsia="宋体" w:cs="Times New Roman"/>
          <w:i/>
          <w:szCs w:val="21"/>
        </w:rPr>
        <w:t>PTPRK</w:t>
      </w:r>
      <w:r>
        <w:rPr>
          <w:rFonts w:ascii="Times New Roman" w:hAnsi="Times New Roman" w:eastAsia="宋体" w:cs="Times New Roman"/>
          <w:szCs w:val="21"/>
        </w:rPr>
        <w:t xml:space="preserve">. The black line and the red line represent wild-type and mutant </w:t>
      </w:r>
      <w:r>
        <w:rPr>
          <w:rFonts w:ascii="Times New Roman" w:hAnsi="Times New Roman" w:eastAsia="宋体" w:cs="Times New Roman"/>
          <w:i/>
          <w:szCs w:val="21"/>
        </w:rPr>
        <w:t>PTPRK</w:t>
      </w:r>
      <w:r>
        <w:rPr>
          <w:rFonts w:ascii="Times New Roman" w:hAnsi="Times New Roman" w:eastAsia="宋体" w:cs="Times New Roman"/>
          <w:szCs w:val="21"/>
        </w:rPr>
        <w:t xml:space="preserve"> proteins, respectively. (c) the influence of mutation of c.1295</w:t>
      </w:r>
      <w:r>
        <w:rPr>
          <w:rFonts w:hint="eastAsia" w:ascii="Times New Roman" w:hAnsi="Times New Roman" w:eastAsia="宋体" w:cs="Times New Roman"/>
          <w:szCs w:val="21"/>
        </w:rPr>
        <w:t>G</w:t>
      </w:r>
      <w:r>
        <w:rPr>
          <w:rFonts w:ascii="Times New Roman" w:hAnsi="Times New Roman" w:eastAsia="宋体" w:cs="Times New Roman"/>
          <w:szCs w:val="21"/>
        </w:rPr>
        <w:t xml:space="preserve"> &gt; </w:t>
      </w:r>
      <w:r>
        <w:rPr>
          <w:rFonts w:hint="eastAsia" w:ascii="Times New Roman" w:hAnsi="Times New Roman" w:eastAsia="宋体" w:cs="Times New Roman"/>
          <w:szCs w:val="21"/>
        </w:rPr>
        <w:t>A</w:t>
      </w:r>
      <w:r>
        <w:rPr>
          <w:rFonts w:ascii="Times New Roman" w:hAnsi="Times New Roman" w:eastAsia="宋体" w:cs="Times New Roman"/>
          <w:szCs w:val="21"/>
        </w:rPr>
        <w:t xml:space="preserve"> locus on the global and local schematic 3D structure of wild-type and mutant </w:t>
      </w:r>
      <w:r>
        <w:rPr>
          <w:rFonts w:ascii="Times New Roman" w:hAnsi="Times New Roman" w:eastAsia="宋体" w:cs="Times New Roman"/>
          <w:i/>
          <w:szCs w:val="21"/>
        </w:rPr>
        <w:t>PTPRK</w:t>
      </w:r>
      <w:r>
        <w:rPr>
          <w:rFonts w:ascii="Times New Roman" w:hAnsi="Times New Roman" w:eastAsia="宋体" w:cs="Times New Roman"/>
          <w:szCs w:val="21"/>
        </w:rPr>
        <w:t xml:space="preserve"> proteins.</w:t>
      </w:r>
    </w:p>
    <w:p w14:paraId="47FE905D">
      <w:pPr>
        <w:pStyle w:val="3"/>
        <w:numPr>
          <w:ilvl w:val="1"/>
          <w:numId w:val="4"/>
        </w:numPr>
        <w:spacing w:before="0" w:after="0" w:line="360" w:lineRule="auto"/>
        <w:ind w:left="0" w:firstLine="0"/>
        <w:rPr>
          <w:rFonts w:ascii="Times New Roman" w:hAnsi="Times New Roman" w:cs="Times New Roman"/>
          <w:sz w:val="30"/>
          <w:szCs w:val="30"/>
          <w:lang w:bidi="ar"/>
        </w:rPr>
      </w:pPr>
      <w:r>
        <w:rPr>
          <w:rFonts w:ascii="Times New Roman" w:hAnsi="Times New Roman" w:cs="Times New Roman"/>
          <w:sz w:val="30"/>
          <w:szCs w:val="30"/>
          <w:lang w:bidi="ar"/>
        </w:rPr>
        <w:t xml:space="preserve">Mutation of positive selection site of </w:t>
      </w:r>
      <w:r>
        <w:rPr>
          <w:rFonts w:ascii="Times New Roman" w:hAnsi="Times New Roman" w:cs="Times New Roman"/>
          <w:i/>
          <w:sz w:val="30"/>
          <w:szCs w:val="30"/>
          <w:lang w:bidi="ar"/>
        </w:rPr>
        <w:t>LIFR</w:t>
      </w:r>
      <w:r>
        <w:rPr>
          <w:rFonts w:ascii="Times New Roman" w:hAnsi="Times New Roman" w:cs="Times New Roman"/>
          <w:sz w:val="30"/>
          <w:szCs w:val="30"/>
          <w:lang w:bidi="ar"/>
        </w:rPr>
        <w:t xml:space="preserve"> gene and prediction of protein structure</w:t>
      </w:r>
    </w:p>
    <w:p w14:paraId="0BF528D7">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By selective signal detection, four missense mutations were identified at positively selected sites of the LIFR gene (located at exon 7, exon 13, exon 16, and exon 20, respectively; </w:t>
      </w:r>
      <w:r>
        <w:rPr>
          <w:rFonts w:ascii="Times New Roman" w:hAnsi="Times New Roman" w:eastAsia="宋体"/>
          <w:b/>
          <w:bCs/>
        </w:rPr>
        <w:t>Fig. 6a</w:t>
      </w:r>
      <w:r>
        <w:rPr>
          <w:rFonts w:ascii="Times New Roman" w:hAnsi="Times New Roman" w:eastAsia="宋体"/>
        </w:rPr>
        <w:t xml:space="preserve">), and no significant LD-linked signals were detected for the missense mutations </w:t>
      </w:r>
      <w:r>
        <w:rPr>
          <w:rFonts w:ascii="Times New Roman" w:hAnsi="Times New Roman" w:eastAsia="宋体"/>
          <w:b/>
          <w:bCs/>
        </w:rPr>
        <w:t>(Fig. 6b</w:t>
      </w:r>
      <w:r>
        <w:rPr>
          <w:rFonts w:ascii="Times New Roman" w:hAnsi="Times New Roman" w:eastAsia="宋体"/>
        </w:rPr>
        <w:t>). The effects of the mutations on the hydrophilicity coefficients of the amino acid sites and the three-dimensional structure were analyzed. The results showed that the mutation at the c.1234G&gt;T site caused the β-fold to become irregularly curled at positions 397-399 and 402-405 (</w:t>
      </w:r>
      <w:r>
        <w:rPr>
          <w:rFonts w:ascii="Times New Roman" w:hAnsi="Times New Roman" w:eastAsia="宋体"/>
          <w:b/>
          <w:bCs/>
        </w:rPr>
        <w:t>Fig. 6d</w:t>
      </w:r>
      <w:r>
        <w:rPr>
          <w:rFonts w:ascii="Times New Roman" w:hAnsi="Times New Roman" w:eastAsia="宋体"/>
        </w:rPr>
        <w:t>), mutations at the c.2132G&gt;A locus lengthened the β-fold at 702-706 and formed a β-fold and α-helix at 791-793 and 802-805, respectively (</w:t>
      </w:r>
      <w:r>
        <w:rPr>
          <w:rFonts w:ascii="Times New Roman" w:hAnsi="Times New Roman" w:eastAsia="宋体"/>
          <w:b/>
          <w:bCs/>
        </w:rPr>
        <w:t>Fig. 6f</w:t>
      </w:r>
      <w:r>
        <w:rPr>
          <w:rFonts w:ascii="Times New Roman" w:hAnsi="Times New Roman" w:eastAsia="宋体"/>
        </w:rPr>
        <w:t>), and the c.2571A&gt;G site was mutated such that a β-fold was formed at positions 878-881 and 902-904 instead of an irregular curl becoming (</w:t>
      </w:r>
      <w:r>
        <w:rPr>
          <w:rFonts w:ascii="Times New Roman" w:hAnsi="Times New Roman" w:eastAsia="宋体"/>
          <w:b/>
          <w:bCs/>
        </w:rPr>
        <w:t>Fig. 6h</w:t>
      </w:r>
      <w:r>
        <w:rPr>
          <w:rFonts w:ascii="Times New Roman" w:hAnsi="Times New Roman" w:eastAsia="宋体"/>
        </w:rPr>
        <w:t>). In addition, mutations at the c.1234G&gt;T, c.2132G&gt;A, and c.2571A&gt;G loci all reduced hydrophilicity at and near the loci (</w:t>
      </w:r>
      <w:r>
        <w:rPr>
          <w:rFonts w:ascii="Times New Roman" w:hAnsi="Times New Roman" w:eastAsia="宋体"/>
          <w:b/>
          <w:bCs/>
        </w:rPr>
        <w:t>Fig. 6c, e, and g</w:t>
      </w:r>
      <w:r>
        <w:rPr>
          <w:rFonts w:ascii="Times New Roman" w:hAnsi="Times New Roman" w:eastAsia="宋体"/>
        </w:rPr>
        <w:t>). Meanwhile, the c.3142G&gt;T mutation site caused the change of an irregular curl to an α-helix at positions 1023-1025 and an α-helix to an irregular curl at positions 1034-1037 (</w:t>
      </w:r>
      <w:r>
        <w:rPr>
          <w:rFonts w:ascii="Times New Roman" w:hAnsi="Times New Roman" w:eastAsia="宋体"/>
          <w:b/>
          <w:bCs/>
        </w:rPr>
        <w:t>Fig. 6j</w:t>
      </w:r>
      <w:r>
        <w:rPr>
          <w:rFonts w:ascii="Times New Roman" w:hAnsi="Times New Roman" w:eastAsia="宋体"/>
        </w:rPr>
        <w:t>), and the hydrophilicity of the site and its vicinity increased (</w:t>
      </w:r>
      <w:r>
        <w:rPr>
          <w:rFonts w:ascii="Times New Roman" w:hAnsi="Times New Roman" w:eastAsia="宋体"/>
          <w:b/>
          <w:bCs/>
        </w:rPr>
        <w:t>Fig. 6i</w:t>
      </w:r>
      <w:r>
        <w:rPr>
          <w:rFonts w:ascii="Times New Roman" w:hAnsi="Times New Roman" w:eastAsia="宋体"/>
        </w:rPr>
        <w:t>).</w:t>
      </w:r>
    </w:p>
    <w:p w14:paraId="572C668B">
      <w:pPr>
        <w:pStyle w:val="15"/>
        <w:widowControl/>
        <w:spacing w:beforeAutospacing="0" w:afterAutospacing="0" w:line="360" w:lineRule="auto"/>
        <w:ind w:firstLine="480" w:firstLineChars="200"/>
        <w:jc w:val="both"/>
        <w:rPr>
          <w:rFonts w:ascii="Times New Roman" w:hAnsi="Times New Roman" w:eastAsia="宋体"/>
        </w:rPr>
      </w:pPr>
    </w:p>
    <w:p w14:paraId="5D66C34D">
      <w:pPr>
        <w:pStyle w:val="15"/>
        <w:widowControl/>
        <w:spacing w:beforeAutospacing="0" w:afterAutospacing="0" w:line="360" w:lineRule="auto"/>
        <w:ind w:firstLine="480" w:firstLineChars="200"/>
        <w:jc w:val="both"/>
        <w:rPr>
          <w:rFonts w:ascii="Times New Roman" w:hAnsi="Times New Roman" w:eastAsia="宋体"/>
        </w:rPr>
      </w:pPr>
    </w:p>
    <w:p w14:paraId="4A5F54E3">
      <w:pPr>
        <w:pStyle w:val="15"/>
        <w:widowControl/>
        <w:spacing w:beforeAutospacing="0" w:afterAutospacing="0" w:line="360" w:lineRule="auto"/>
        <w:ind w:firstLine="480" w:firstLineChars="200"/>
        <w:jc w:val="both"/>
        <w:rPr>
          <w:rFonts w:ascii="Times New Roman" w:hAnsi="Times New Roman" w:eastAsia="宋体"/>
        </w:rPr>
      </w:pPr>
    </w:p>
    <w:p w14:paraId="4648623B">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drawing>
          <wp:inline distT="0" distB="0" distL="114300" distR="114300">
            <wp:extent cx="5638165" cy="7863840"/>
            <wp:effectExtent l="0" t="0" r="635" b="10160"/>
            <wp:docPr id="3" name="图片 3" descr="LIFR 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LIFR 总"/>
                    <pic:cNvPicPr>
                      <a:picLocks noChangeAspect="1"/>
                    </pic:cNvPicPr>
                  </pic:nvPicPr>
                  <pic:blipFill>
                    <a:blip r:embed="rId9"/>
                    <a:stretch>
                      <a:fillRect/>
                    </a:stretch>
                  </pic:blipFill>
                  <pic:spPr>
                    <a:xfrm>
                      <a:off x="0" y="0"/>
                      <a:ext cx="5638165" cy="7863840"/>
                    </a:xfrm>
                    <a:prstGeom prst="rect">
                      <a:avLst/>
                    </a:prstGeom>
                  </pic:spPr>
                </pic:pic>
              </a:graphicData>
            </a:graphic>
          </wp:inline>
        </w:drawing>
      </w:r>
    </w:p>
    <w:p w14:paraId="61ED3C23">
      <w:pPr>
        <w:spacing w:line="360" w:lineRule="auto"/>
        <w:ind w:firstLine="420" w:firstLineChars="200"/>
        <w:rPr>
          <w:rFonts w:ascii="Times New Roman" w:hAnsi="Times New Roman" w:eastAsia="宋体" w:cs="Times New Roman"/>
          <w:lang w:bidi="ar"/>
        </w:rPr>
      </w:pPr>
    </w:p>
    <w:p w14:paraId="6528E839">
      <w:pPr>
        <w:pStyle w:val="15"/>
        <w:widowControl/>
        <w:spacing w:beforeAutospacing="0" w:afterAutospacing="0" w:line="360" w:lineRule="auto"/>
        <w:jc w:val="both"/>
        <w:outlineLvl w:val="3"/>
        <w:rPr>
          <w:rFonts w:ascii="Times New Roman" w:hAnsi="Times New Roman" w:eastAsia="宋体"/>
          <w:kern w:val="2"/>
          <w:sz w:val="21"/>
          <w:szCs w:val="21"/>
        </w:rPr>
      </w:pPr>
      <w:r>
        <w:rPr>
          <w:rFonts w:ascii="Times New Roman" w:hAnsi="Times New Roman" w:eastAsia="宋体"/>
          <w:b/>
          <w:bCs/>
          <w:kern w:val="2"/>
          <w:sz w:val="21"/>
          <w:szCs w:val="21"/>
        </w:rPr>
        <w:t xml:space="preserve">Fig. 6 Selection signal detection and protein structure prediction of </w:t>
      </w:r>
      <w:r>
        <w:rPr>
          <w:rFonts w:ascii="Times New Roman" w:hAnsi="Times New Roman" w:eastAsia="宋体"/>
          <w:b/>
          <w:bCs/>
          <w:i/>
          <w:kern w:val="2"/>
          <w:sz w:val="21"/>
          <w:szCs w:val="21"/>
        </w:rPr>
        <w:t>LIFR</w:t>
      </w:r>
      <w:r>
        <w:rPr>
          <w:rFonts w:ascii="Times New Roman" w:hAnsi="Times New Roman" w:eastAsia="宋体"/>
          <w:b/>
          <w:bCs/>
          <w:kern w:val="2"/>
          <w:sz w:val="21"/>
          <w:szCs w:val="21"/>
        </w:rPr>
        <w:t xml:space="preserve"> gene in sheep.</w:t>
      </w:r>
      <w:r>
        <w:rPr>
          <w:rFonts w:ascii="Times New Roman" w:hAnsi="Times New Roman" w:eastAsia="宋体"/>
          <w:kern w:val="2"/>
          <w:sz w:val="21"/>
          <w:szCs w:val="21"/>
        </w:rPr>
        <w:t xml:space="preserve"> </w:t>
      </w:r>
    </w:p>
    <w:p w14:paraId="6D61C6EB">
      <w:pPr>
        <w:pStyle w:val="15"/>
        <w:widowControl/>
        <w:spacing w:beforeAutospacing="0" w:afterAutospacing="0" w:line="360" w:lineRule="auto"/>
        <w:jc w:val="both"/>
        <w:rPr>
          <w:rFonts w:ascii="Times New Roman" w:hAnsi="Times New Roman" w:eastAsia="宋体"/>
          <w:kern w:val="2"/>
          <w:sz w:val="21"/>
          <w:szCs w:val="21"/>
        </w:rPr>
      </w:pPr>
      <w:r>
        <w:rPr>
          <w:rFonts w:ascii="Times New Roman" w:hAnsi="Times New Roman" w:eastAsia="宋体"/>
          <w:kern w:val="2"/>
          <w:sz w:val="21"/>
          <w:szCs w:val="21"/>
        </w:rPr>
        <w:t xml:space="preserve">(a) The result of the </w:t>
      </w:r>
      <w:r>
        <w:rPr>
          <w:rFonts w:ascii="Times New Roman" w:hAnsi="Times New Roman" w:eastAsia="宋体"/>
          <w:i/>
          <w:kern w:val="2"/>
          <w:sz w:val="21"/>
          <w:szCs w:val="21"/>
        </w:rPr>
        <w:t>LIFR</w:t>
      </w:r>
      <w:r>
        <w:rPr>
          <w:rFonts w:ascii="Times New Roman" w:hAnsi="Times New Roman" w:eastAsia="宋体"/>
          <w:kern w:val="2"/>
          <w:sz w:val="21"/>
          <w:szCs w:val="21"/>
        </w:rPr>
        <w:t xml:space="preserve"> gene selection signal. The red dot represents the missense mutation site. The solid black line represents the selection signal screening threshold (Z(FST)&gt;2.326). (b) LD modules of all SNP loci of sheep </w:t>
      </w:r>
      <w:r>
        <w:rPr>
          <w:rFonts w:ascii="Times New Roman" w:hAnsi="Times New Roman" w:eastAsia="宋体"/>
          <w:i/>
          <w:kern w:val="2"/>
          <w:sz w:val="21"/>
          <w:szCs w:val="21"/>
        </w:rPr>
        <w:t>LIFR</w:t>
      </w:r>
      <w:r>
        <w:rPr>
          <w:rFonts w:ascii="Times New Roman" w:hAnsi="Times New Roman" w:eastAsia="宋体"/>
          <w:kern w:val="2"/>
          <w:sz w:val="21"/>
          <w:szCs w:val="21"/>
        </w:rPr>
        <w:t xml:space="preserve"> gene. Dark colors from yellow to red indicate the possibility of linkage variation pairs increases. (c) The influence of </w:t>
      </w:r>
      <w:r>
        <w:rPr>
          <w:rFonts w:hint="eastAsia" w:ascii="Times New Roman" w:hAnsi="Times New Roman" w:eastAsia="宋体"/>
          <w:kern w:val="2"/>
          <w:sz w:val="21"/>
          <w:szCs w:val="21"/>
        </w:rPr>
        <w:t>c</w:t>
      </w:r>
      <w:r>
        <w:rPr>
          <w:rFonts w:ascii="Times New Roman" w:hAnsi="Times New Roman" w:eastAsia="宋体"/>
          <w:kern w:val="2"/>
          <w:sz w:val="21"/>
          <w:szCs w:val="21"/>
        </w:rPr>
        <w:t>.1234</w:t>
      </w:r>
      <w:r>
        <w:rPr>
          <w:rFonts w:hint="eastAsia" w:ascii="Times New Roman" w:hAnsi="Times New Roman" w:eastAsia="宋体"/>
          <w:kern w:val="2"/>
          <w:sz w:val="21"/>
          <w:szCs w:val="21"/>
        </w:rPr>
        <w:t>G</w:t>
      </w:r>
      <w:r>
        <w:rPr>
          <w:rFonts w:ascii="Times New Roman" w:hAnsi="Times New Roman" w:eastAsia="宋体"/>
          <w:kern w:val="2"/>
          <w:sz w:val="21"/>
          <w:szCs w:val="21"/>
        </w:rPr>
        <w:t xml:space="preserve">&gt;T locus variation on the hydrophilicity of amino acid loci in </w:t>
      </w:r>
      <w:r>
        <w:rPr>
          <w:rFonts w:ascii="Times New Roman" w:hAnsi="Times New Roman" w:eastAsia="宋体"/>
          <w:i/>
          <w:kern w:val="2"/>
          <w:sz w:val="21"/>
          <w:szCs w:val="21"/>
        </w:rPr>
        <w:t>LIFR</w:t>
      </w:r>
      <w:r>
        <w:rPr>
          <w:rFonts w:ascii="Times New Roman" w:hAnsi="Times New Roman" w:eastAsia="宋体"/>
          <w:kern w:val="2"/>
          <w:sz w:val="21"/>
          <w:szCs w:val="21"/>
        </w:rPr>
        <w:t xml:space="preserve">. The black line and the red line represent wild-type and mutant </w:t>
      </w:r>
      <w:r>
        <w:rPr>
          <w:rFonts w:ascii="Times New Roman" w:hAnsi="Times New Roman" w:eastAsia="宋体"/>
          <w:i/>
          <w:kern w:val="2"/>
          <w:sz w:val="21"/>
          <w:szCs w:val="21"/>
        </w:rPr>
        <w:t>LIFR</w:t>
      </w:r>
      <w:r>
        <w:rPr>
          <w:rFonts w:ascii="Times New Roman" w:hAnsi="Times New Roman" w:eastAsia="宋体"/>
          <w:kern w:val="2"/>
          <w:sz w:val="21"/>
          <w:szCs w:val="21"/>
        </w:rPr>
        <w:t xml:space="preserve"> proteins, respectively. (d) The influence of </w:t>
      </w:r>
      <w:r>
        <w:rPr>
          <w:rFonts w:hint="eastAsia" w:ascii="Times New Roman" w:hAnsi="Times New Roman" w:eastAsia="宋体"/>
          <w:kern w:val="2"/>
          <w:sz w:val="21"/>
          <w:szCs w:val="21"/>
        </w:rPr>
        <w:t>c</w:t>
      </w:r>
      <w:r>
        <w:rPr>
          <w:rFonts w:ascii="Times New Roman" w:hAnsi="Times New Roman" w:eastAsia="宋体"/>
          <w:kern w:val="2"/>
          <w:sz w:val="21"/>
          <w:szCs w:val="21"/>
        </w:rPr>
        <w:t>.1234</w:t>
      </w:r>
      <w:r>
        <w:rPr>
          <w:rFonts w:hint="eastAsia" w:ascii="Times New Roman" w:hAnsi="Times New Roman" w:eastAsia="宋体"/>
          <w:kern w:val="2"/>
          <w:sz w:val="21"/>
          <w:szCs w:val="21"/>
        </w:rPr>
        <w:t>G</w:t>
      </w:r>
      <w:r>
        <w:rPr>
          <w:rFonts w:ascii="Times New Roman" w:hAnsi="Times New Roman" w:eastAsia="宋体"/>
          <w:kern w:val="2"/>
          <w:sz w:val="21"/>
          <w:szCs w:val="21"/>
        </w:rPr>
        <w:t xml:space="preserve">&gt;T locus mutation on the global and local schematic 3D structure of wild-type and mutant </w:t>
      </w:r>
      <w:r>
        <w:rPr>
          <w:rFonts w:ascii="Times New Roman" w:hAnsi="Times New Roman" w:eastAsia="宋体"/>
          <w:i/>
          <w:kern w:val="2"/>
          <w:sz w:val="21"/>
          <w:szCs w:val="21"/>
        </w:rPr>
        <w:t>PTPRK</w:t>
      </w:r>
      <w:r>
        <w:rPr>
          <w:rFonts w:ascii="Times New Roman" w:hAnsi="Times New Roman" w:eastAsia="宋体"/>
          <w:kern w:val="2"/>
          <w:sz w:val="21"/>
          <w:szCs w:val="21"/>
        </w:rPr>
        <w:t xml:space="preserve"> proteins. (e) The influence of </w:t>
      </w:r>
      <w:r>
        <w:rPr>
          <w:rFonts w:hint="eastAsia" w:ascii="Times New Roman" w:hAnsi="Times New Roman" w:eastAsia="宋体"/>
          <w:kern w:val="2"/>
          <w:sz w:val="21"/>
          <w:szCs w:val="21"/>
        </w:rPr>
        <w:t>c</w:t>
      </w:r>
      <w:r>
        <w:rPr>
          <w:rFonts w:ascii="Times New Roman" w:hAnsi="Times New Roman" w:eastAsia="宋体"/>
          <w:kern w:val="2"/>
          <w:sz w:val="21"/>
          <w:szCs w:val="21"/>
        </w:rPr>
        <w:t>.2132</w:t>
      </w:r>
      <w:r>
        <w:rPr>
          <w:rFonts w:hint="eastAsia" w:ascii="Times New Roman" w:hAnsi="Times New Roman" w:eastAsia="宋体"/>
          <w:kern w:val="2"/>
          <w:sz w:val="21"/>
          <w:szCs w:val="21"/>
        </w:rPr>
        <w:t>G</w:t>
      </w:r>
      <w:r>
        <w:rPr>
          <w:rFonts w:ascii="Times New Roman" w:hAnsi="Times New Roman" w:eastAsia="宋体"/>
          <w:kern w:val="2"/>
          <w:sz w:val="21"/>
          <w:szCs w:val="21"/>
        </w:rPr>
        <w:t xml:space="preserve">&gt;A locus variation on the hydrophilicity of amino acid sites in </w:t>
      </w:r>
      <w:r>
        <w:rPr>
          <w:rFonts w:ascii="Times New Roman" w:hAnsi="Times New Roman" w:eastAsia="宋体"/>
          <w:i/>
          <w:kern w:val="2"/>
          <w:sz w:val="21"/>
          <w:szCs w:val="21"/>
        </w:rPr>
        <w:t>LIFR</w:t>
      </w:r>
      <w:r>
        <w:rPr>
          <w:rFonts w:ascii="Times New Roman" w:hAnsi="Times New Roman" w:eastAsia="宋体"/>
          <w:kern w:val="2"/>
          <w:sz w:val="21"/>
          <w:szCs w:val="21"/>
        </w:rPr>
        <w:t xml:space="preserve">. The black and red lines represent wild-type and mutant </w:t>
      </w:r>
      <w:r>
        <w:rPr>
          <w:rFonts w:ascii="Times New Roman" w:hAnsi="Times New Roman" w:eastAsia="宋体"/>
          <w:i/>
          <w:kern w:val="2"/>
          <w:sz w:val="21"/>
          <w:szCs w:val="21"/>
        </w:rPr>
        <w:t>LIFR</w:t>
      </w:r>
      <w:r>
        <w:rPr>
          <w:rFonts w:ascii="Times New Roman" w:hAnsi="Times New Roman" w:eastAsia="宋体"/>
          <w:kern w:val="2"/>
          <w:sz w:val="21"/>
          <w:szCs w:val="21"/>
        </w:rPr>
        <w:t xml:space="preserve"> proteins, respectively. (f) The influence of mutation of </w:t>
      </w:r>
      <w:r>
        <w:rPr>
          <w:rFonts w:hint="eastAsia" w:ascii="Times New Roman" w:hAnsi="Times New Roman" w:eastAsia="宋体"/>
          <w:kern w:val="2"/>
          <w:sz w:val="21"/>
          <w:szCs w:val="21"/>
        </w:rPr>
        <w:t>c</w:t>
      </w:r>
      <w:r>
        <w:rPr>
          <w:rFonts w:ascii="Times New Roman" w:hAnsi="Times New Roman" w:eastAsia="宋体"/>
          <w:kern w:val="2"/>
          <w:sz w:val="21"/>
          <w:szCs w:val="21"/>
        </w:rPr>
        <w:t>.2132</w:t>
      </w:r>
      <w:r>
        <w:rPr>
          <w:rFonts w:hint="eastAsia" w:ascii="Times New Roman" w:hAnsi="Times New Roman" w:eastAsia="宋体"/>
          <w:kern w:val="2"/>
          <w:sz w:val="21"/>
          <w:szCs w:val="21"/>
        </w:rPr>
        <w:t>G</w:t>
      </w:r>
      <w:r>
        <w:rPr>
          <w:rFonts w:ascii="Times New Roman" w:hAnsi="Times New Roman" w:eastAsia="宋体"/>
          <w:kern w:val="2"/>
          <w:sz w:val="21"/>
          <w:szCs w:val="21"/>
        </w:rPr>
        <w:t xml:space="preserve">&gt;A locus on the global and local schematic 3D structure of wild-type and mutant </w:t>
      </w:r>
      <w:r>
        <w:rPr>
          <w:rFonts w:ascii="Times New Roman" w:hAnsi="Times New Roman" w:eastAsia="宋体"/>
          <w:i/>
          <w:kern w:val="2"/>
          <w:sz w:val="21"/>
          <w:szCs w:val="21"/>
        </w:rPr>
        <w:t>PTPRK</w:t>
      </w:r>
      <w:r>
        <w:rPr>
          <w:rFonts w:ascii="Times New Roman" w:hAnsi="Times New Roman" w:eastAsia="宋体"/>
          <w:kern w:val="2"/>
          <w:sz w:val="21"/>
          <w:szCs w:val="21"/>
        </w:rPr>
        <w:t xml:space="preserve"> proteins. (g) The influence of </w:t>
      </w:r>
      <w:r>
        <w:rPr>
          <w:rFonts w:hint="eastAsia" w:ascii="Times New Roman" w:hAnsi="Times New Roman" w:eastAsia="宋体"/>
          <w:kern w:val="2"/>
          <w:sz w:val="21"/>
          <w:szCs w:val="21"/>
        </w:rPr>
        <w:t>c</w:t>
      </w:r>
      <w:r>
        <w:rPr>
          <w:rFonts w:ascii="Times New Roman" w:hAnsi="Times New Roman" w:eastAsia="宋体"/>
          <w:kern w:val="2"/>
          <w:sz w:val="21"/>
          <w:szCs w:val="21"/>
        </w:rPr>
        <w:t>.2571</w:t>
      </w:r>
      <w:r>
        <w:rPr>
          <w:rFonts w:hint="eastAsia" w:ascii="Times New Roman" w:hAnsi="Times New Roman" w:eastAsia="宋体"/>
          <w:kern w:val="2"/>
          <w:sz w:val="21"/>
          <w:szCs w:val="21"/>
        </w:rPr>
        <w:t>A</w:t>
      </w:r>
      <w:r>
        <w:rPr>
          <w:rFonts w:ascii="Times New Roman" w:hAnsi="Times New Roman" w:eastAsia="宋体"/>
          <w:kern w:val="2"/>
          <w:sz w:val="21"/>
          <w:szCs w:val="21"/>
        </w:rPr>
        <w:t xml:space="preserve">&gt;G locus variation on the hydrophilicity of amino acid sites in </w:t>
      </w:r>
      <w:r>
        <w:rPr>
          <w:rFonts w:ascii="Times New Roman" w:hAnsi="Times New Roman" w:eastAsia="宋体"/>
          <w:i/>
          <w:kern w:val="2"/>
          <w:sz w:val="21"/>
          <w:szCs w:val="21"/>
        </w:rPr>
        <w:t>LIFR</w:t>
      </w:r>
      <w:r>
        <w:rPr>
          <w:rFonts w:ascii="Times New Roman" w:hAnsi="Times New Roman" w:eastAsia="宋体"/>
          <w:kern w:val="2"/>
          <w:sz w:val="21"/>
          <w:szCs w:val="21"/>
        </w:rPr>
        <w:t xml:space="preserve">. The black and red lines represent wild-type and mutant </w:t>
      </w:r>
      <w:r>
        <w:rPr>
          <w:rFonts w:ascii="Times New Roman" w:hAnsi="Times New Roman" w:eastAsia="宋体"/>
          <w:i/>
          <w:kern w:val="2"/>
          <w:sz w:val="21"/>
          <w:szCs w:val="21"/>
        </w:rPr>
        <w:t>LIFR</w:t>
      </w:r>
      <w:r>
        <w:rPr>
          <w:rFonts w:ascii="Times New Roman" w:hAnsi="Times New Roman" w:eastAsia="宋体"/>
          <w:kern w:val="2"/>
          <w:sz w:val="21"/>
          <w:szCs w:val="21"/>
        </w:rPr>
        <w:t xml:space="preserve"> proteins, respectively. (h) The influence of </w:t>
      </w:r>
      <w:r>
        <w:rPr>
          <w:rFonts w:hint="eastAsia" w:ascii="Times New Roman" w:hAnsi="Times New Roman" w:eastAsia="宋体"/>
          <w:kern w:val="2"/>
          <w:sz w:val="21"/>
          <w:szCs w:val="21"/>
        </w:rPr>
        <w:t>c</w:t>
      </w:r>
      <w:r>
        <w:rPr>
          <w:rFonts w:ascii="Times New Roman" w:hAnsi="Times New Roman" w:eastAsia="宋体"/>
          <w:kern w:val="2"/>
          <w:sz w:val="21"/>
          <w:szCs w:val="21"/>
        </w:rPr>
        <w:t>.2571</w:t>
      </w:r>
      <w:r>
        <w:rPr>
          <w:rFonts w:hint="eastAsia" w:ascii="Times New Roman" w:hAnsi="Times New Roman" w:eastAsia="宋体"/>
          <w:kern w:val="2"/>
          <w:sz w:val="21"/>
          <w:szCs w:val="21"/>
        </w:rPr>
        <w:t>A</w:t>
      </w:r>
      <w:r>
        <w:rPr>
          <w:rFonts w:ascii="Times New Roman" w:hAnsi="Times New Roman" w:eastAsia="宋体"/>
          <w:kern w:val="2"/>
          <w:sz w:val="21"/>
          <w:szCs w:val="21"/>
        </w:rPr>
        <w:t xml:space="preserve">&gt;G locus mutation on the global and local schematic 3D structure of wild-type and mutant </w:t>
      </w:r>
      <w:r>
        <w:rPr>
          <w:rFonts w:ascii="Times New Roman" w:hAnsi="Times New Roman" w:eastAsia="宋体"/>
          <w:i/>
          <w:kern w:val="2"/>
          <w:sz w:val="21"/>
          <w:szCs w:val="21"/>
        </w:rPr>
        <w:t>PTPRK</w:t>
      </w:r>
      <w:r>
        <w:rPr>
          <w:rFonts w:ascii="Times New Roman" w:hAnsi="Times New Roman" w:eastAsia="宋体"/>
          <w:kern w:val="2"/>
          <w:sz w:val="21"/>
          <w:szCs w:val="21"/>
        </w:rPr>
        <w:t xml:space="preserve"> proteins. (i.) The influence of </w:t>
      </w:r>
      <w:r>
        <w:rPr>
          <w:rFonts w:hint="eastAsia" w:ascii="Times New Roman" w:hAnsi="Times New Roman" w:eastAsia="宋体"/>
          <w:kern w:val="2"/>
          <w:sz w:val="21"/>
          <w:szCs w:val="21"/>
        </w:rPr>
        <w:t>c</w:t>
      </w:r>
      <w:r>
        <w:rPr>
          <w:rFonts w:ascii="Times New Roman" w:hAnsi="Times New Roman" w:eastAsia="宋体"/>
          <w:kern w:val="2"/>
          <w:sz w:val="21"/>
          <w:szCs w:val="21"/>
        </w:rPr>
        <w:t>.3142</w:t>
      </w:r>
      <w:r>
        <w:rPr>
          <w:rFonts w:hint="eastAsia" w:ascii="Times New Roman" w:hAnsi="Times New Roman" w:eastAsia="宋体"/>
          <w:kern w:val="2"/>
          <w:sz w:val="21"/>
          <w:szCs w:val="21"/>
        </w:rPr>
        <w:t>G</w:t>
      </w:r>
      <w:r>
        <w:rPr>
          <w:rFonts w:ascii="Times New Roman" w:hAnsi="Times New Roman" w:eastAsia="宋体"/>
          <w:kern w:val="2"/>
          <w:sz w:val="21"/>
          <w:szCs w:val="21"/>
        </w:rPr>
        <w:t xml:space="preserve">&gt;T locus variation on the hydrophilicity of amino acid loci in </w:t>
      </w:r>
      <w:r>
        <w:rPr>
          <w:rFonts w:ascii="Times New Roman" w:hAnsi="Times New Roman" w:eastAsia="宋体"/>
          <w:i/>
          <w:kern w:val="2"/>
          <w:sz w:val="21"/>
          <w:szCs w:val="21"/>
        </w:rPr>
        <w:t>LIFR</w:t>
      </w:r>
      <w:r>
        <w:rPr>
          <w:rFonts w:ascii="Times New Roman" w:hAnsi="Times New Roman" w:eastAsia="宋体"/>
          <w:kern w:val="2"/>
          <w:sz w:val="21"/>
          <w:szCs w:val="21"/>
        </w:rPr>
        <w:t xml:space="preserve">. The black and red lines represent wild-type and mutant </w:t>
      </w:r>
      <w:r>
        <w:rPr>
          <w:rFonts w:ascii="Times New Roman" w:hAnsi="Times New Roman" w:eastAsia="宋体"/>
          <w:i/>
          <w:kern w:val="2"/>
          <w:sz w:val="21"/>
          <w:szCs w:val="21"/>
        </w:rPr>
        <w:t>LIFR</w:t>
      </w:r>
      <w:r>
        <w:rPr>
          <w:rFonts w:ascii="Times New Roman" w:hAnsi="Times New Roman" w:eastAsia="宋体"/>
          <w:kern w:val="2"/>
          <w:sz w:val="21"/>
          <w:szCs w:val="21"/>
        </w:rPr>
        <w:t xml:space="preserve"> proteins, respectively. (j) The influence of </w:t>
      </w:r>
      <w:r>
        <w:rPr>
          <w:rFonts w:hint="eastAsia" w:ascii="Times New Roman" w:hAnsi="Times New Roman" w:eastAsia="宋体"/>
          <w:kern w:val="2"/>
          <w:sz w:val="21"/>
          <w:szCs w:val="21"/>
        </w:rPr>
        <w:t>c</w:t>
      </w:r>
      <w:r>
        <w:rPr>
          <w:rFonts w:ascii="Times New Roman" w:hAnsi="Times New Roman" w:eastAsia="宋体"/>
          <w:kern w:val="2"/>
          <w:sz w:val="21"/>
          <w:szCs w:val="21"/>
        </w:rPr>
        <w:t>.3142</w:t>
      </w:r>
      <w:r>
        <w:rPr>
          <w:rFonts w:hint="eastAsia" w:ascii="Times New Roman" w:hAnsi="Times New Roman" w:eastAsia="宋体"/>
          <w:kern w:val="2"/>
          <w:sz w:val="21"/>
          <w:szCs w:val="21"/>
        </w:rPr>
        <w:t>G</w:t>
      </w:r>
      <w:r>
        <w:rPr>
          <w:rFonts w:ascii="Times New Roman" w:hAnsi="Times New Roman" w:eastAsia="宋体"/>
          <w:kern w:val="2"/>
          <w:sz w:val="21"/>
          <w:szCs w:val="21"/>
        </w:rPr>
        <w:t xml:space="preserve">&gt;T locus mutation on the global and local schematic 3D structure of wild-type and mutant </w:t>
      </w:r>
      <w:r>
        <w:rPr>
          <w:rFonts w:ascii="Times New Roman" w:hAnsi="Times New Roman" w:eastAsia="宋体"/>
          <w:i/>
          <w:kern w:val="2"/>
          <w:sz w:val="21"/>
          <w:szCs w:val="21"/>
        </w:rPr>
        <w:t>PTPRK</w:t>
      </w:r>
      <w:r>
        <w:rPr>
          <w:rFonts w:ascii="Times New Roman" w:hAnsi="Times New Roman" w:eastAsia="宋体"/>
          <w:kern w:val="2"/>
          <w:sz w:val="21"/>
          <w:szCs w:val="21"/>
        </w:rPr>
        <w:t xml:space="preserve"> proteins.</w:t>
      </w:r>
    </w:p>
    <w:p w14:paraId="5B191B02">
      <w:pPr>
        <w:pStyle w:val="2"/>
        <w:keepNext/>
        <w:keepLines/>
        <w:numPr>
          <w:ilvl w:val="0"/>
          <w:numId w:val="3"/>
        </w:numPr>
        <w:adjustRightInd w:val="0"/>
        <w:spacing w:beforeAutospacing="0" w:afterAutospacing="0" w:line="360" w:lineRule="auto"/>
        <w:ind w:left="0" w:firstLine="0"/>
        <w:jc w:val="both"/>
        <w:rPr>
          <w:rFonts w:hint="default" w:ascii="Times New Roman" w:hAnsi="Times New Roman" w:eastAsia="黑体"/>
          <w:sz w:val="32"/>
          <w:szCs w:val="32"/>
        </w:rPr>
      </w:pPr>
      <w:r>
        <w:rPr>
          <w:rFonts w:hint="default" w:ascii="Times New Roman" w:hAnsi="Times New Roman" w:eastAsia="黑体"/>
          <w:sz w:val="32"/>
          <w:szCs w:val="32"/>
        </w:rPr>
        <w:t>Discussion</w:t>
      </w:r>
    </w:p>
    <w:p w14:paraId="6D2DFC75">
      <w:pPr>
        <w:pStyle w:val="3"/>
        <w:widowControl/>
        <w:numPr>
          <w:ilvl w:val="1"/>
          <w:numId w:val="5"/>
        </w:numPr>
        <w:adjustRightInd w:val="0"/>
        <w:spacing w:before="0" w:after="0" w:line="360" w:lineRule="auto"/>
        <w:ind w:left="0" w:firstLine="0"/>
        <w:rPr>
          <w:rFonts w:ascii="Times New Roman" w:hAnsi="Times New Roman" w:cs="Times New Roman"/>
          <w:sz w:val="30"/>
          <w:szCs w:val="30"/>
          <w:lang w:bidi="ar"/>
        </w:rPr>
      </w:pPr>
      <w:r>
        <w:rPr>
          <w:rFonts w:ascii="Times New Roman" w:hAnsi="Times New Roman" w:cs="Times New Roman"/>
          <w:color w:val="000000"/>
          <w:sz w:val="30"/>
          <w:szCs w:val="30"/>
          <w:lang w:bidi="ar"/>
        </w:rPr>
        <w:t xml:space="preserve">Colostrum </w:t>
      </w:r>
      <w:r>
        <w:rPr>
          <w:rFonts w:hint="eastAsia" w:ascii="Times New Roman" w:hAnsi="Times New Roman" w:cs="Times New Roman"/>
          <w:color w:val="000000"/>
          <w:sz w:val="30"/>
          <w:szCs w:val="30"/>
          <w:lang w:bidi="ar"/>
        </w:rPr>
        <w:t>yield</w:t>
      </w:r>
      <w:r>
        <w:rPr>
          <w:rFonts w:ascii="Times New Roman" w:hAnsi="Times New Roman" w:cs="Times New Roman"/>
          <w:color w:val="000000"/>
          <w:sz w:val="30"/>
          <w:szCs w:val="30"/>
          <w:lang w:bidi="ar"/>
        </w:rPr>
        <w:t xml:space="preserve"> and immunoglobulin</w:t>
      </w:r>
    </w:p>
    <w:p w14:paraId="183B0174">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Colostrum </w:t>
      </w:r>
      <w:r>
        <w:rPr>
          <w:rFonts w:hint="eastAsia" w:ascii="Times New Roman" w:hAnsi="Times New Roman" w:eastAsia="宋体"/>
        </w:rPr>
        <w:t>yield</w:t>
      </w:r>
      <w:r>
        <w:rPr>
          <w:rFonts w:ascii="Times New Roman" w:hAnsi="Times New Roman" w:eastAsia="宋体"/>
        </w:rPr>
        <w:t xml:space="preserve"> is influenced by genetics, feeding management, age, season, health status, parity, and environment. The colostrum production was 1.027</w:t>
      </w:r>
      <w:r>
        <w:rPr>
          <w:rFonts w:hint="eastAsia" w:ascii="Times New Roman" w:hAnsi="Times New Roman" w:eastAsia="宋体"/>
        </w:rPr>
        <w:t xml:space="preserve"> </w:t>
      </w:r>
      <w:r>
        <w:rPr>
          <w:rFonts w:ascii="Times New Roman" w:hAnsi="Times New Roman" w:eastAsia="宋体"/>
        </w:rPr>
        <w:t>Kg within the first day after birth and increased with the increase of age, reaching 1.357</w:t>
      </w:r>
      <w:r>
        <w:rPr>
          <w:rFonts w:hint="eastAsia" w:ascii="Times New Roman" w:hAnsi="Times New Roman" w:eastAsia="宋体"/>
        </w:rPr>
        <w:t xml:space="preserve"> </w:t>
      </w:r>
      <w:r>
        <w:rPr>
          <w:rFonts w:ascii="Times New Roman" w:hAnsi="Times New Roman" w:eastAsia="宋体"/>
        </w:rPr>
        <w:t>Kg on the third day after birth, which was consistent with the changing colostrum production trend observed by Zhou et al. (15).</w:t>
      </w:r>
    </w:p>
    <w:p w14:paraId="2AB376D0">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Colostrum plays an indispensable role in immunity, and IgG, IgM, and IgA are the main immunoglobulin species in colostrum. Our research results show that the concentration of IgG is the highest at delivery, reaching 108.014</w:t>
      </w:r>
      <w:r>
        <w:rPr>
          <w:rFonts w:hint="eastAsia" w:ascii="Times New Roman" w:hAnsi="Times New Roman" w:eastAsia="宋体"/>
        </w:rPr>
        <w:t xml:space="preserve"> </w:t>
      </w:r>
      <w:r>
        <w:rPr>
          <w:rFonts w:ascii="Times New Roman" w:hAnsi="Times New Roman" w:eastAsia="宋体"/>
        </w:rPr>
        <w:t>mg/mL, then it drops sharply and tends to be stable after 12 hours. This may be related to mammary gland function and the lamb's immune system</w:t>
      </w:r>
      <w:r>
        <w:rPr>
          <w:rFonts w:hint="eastAsia" w:ascii="Times New Roman" w:hAnsi="Times New Roman" w:eastAsia="宋体"/>
        </w:rPr>
        <w:t xml:space="preserve"> </w:t>
      </w:r>
      <w:r>
        <w:rPr>
          <w:rFonts w:ascii="Times New Roman" w:hAnsi="Times New Roman" w:eastAsia="宋体"/>
        </w:rPr>
        <w:t xml:space="preserve">development. </w:t>
      </w:r>
      <w:r>
        <w:rPr>
          <w:rFonts w:hint="eastAsia" w:ascii="Times New Roman" w:hAnsi="Times New Roman" w:eastAsia="宋体"/>
        </w:rPr>
        <w:t>The s</w:t>
      </w:r>
      <w:r>
        <w:rPr>
          <w:rFonts w:ascii="Times New Roman" w:hAnsi="Times New Roman" w:eastAsia="宋体"/>
        </w:rPr>
        <w:t>heep placenta is a connective chorion layer, so immunoglobulin can't be transmitted from the placenta to the lamb</w:t>
      </w:r>
      <w:r>
        <w:rPr>
          <w:rFonts w:hint="eastAsia" w:ascii="Times New Roman" w:hAnsi="Times New Roman" w:eastAsia="宋体"/>
        </w:rPr>
        <w:t>.</w:t>
      </w:r>
      <w:r>
        <w:rPr>
          <w:rFonts w:ascii="Times New Roman" w:hAnsi="Times New Roman" w:eastAsia="宋体"/>
        </w:rPr>
        <w:t xml:space="preserve"> </w:t>
      </w:r>
      <w:r>
        <w:rPr>
          <w:rFonts w:hint="eastAsia" w:ascii="Times New Roman" w:hAnsi="Times New Roman" w:eastAsia="宋体"/>
        </w:rPr>
        <w:t>The immune system of newborn lamb is not fully developed, making colostrum the only means for them to obtain immune protection</w:t>
      </w:r>
      <w:r>
        <w:rPr>
          <w:rFonts w:ascii="Times New Roman" w:hAnsi="Times New Roman" w:eastAsia="宋体"/>
        </w:rPr>
        <w:t xml:space="preserve"> (16, 17). </w:t>
      </w:r>
      <w:r>
        <w:rPr>
          <w:rFonts w:hint="eastAsia" w:ascii="Times New Roman" w:hAnsi="Times New Roman" w:eastAsia="宋体"/>
        </w:rPr>
        <w:t>I</w:t>
      </w:r>
      <w:r>
        <w:rPr>
          <w:rFonts w:ascii="Times New Roman" w:hAnsi="Times New Roman" w:eastAsia="宋体"/>
        </w:rPr>
        <w:t xml:space="preserve">n the early lactation period, a large amount of IgG was transported from maternal blood to colostrum through the mammary barrier to ensure lambs could successfully obtain passive immune protection (18). In addition, studies have shown that the IgG concentration in ewes' colostrum significantly correlates positively with the serum IgG concentration of lambs (19). With the increase in lamb's age, its immune system is gradually established, the demand for immunity from colostrum is reduced, and the transfer of IgG in milk is significantly reduced until it stops completely(18). The colostrum introduction timing (within 0-12 hours after birth) is a determinant factor for the colostrum IgG absorption to obtain sufficient initial blood immunoglobulin concentration, which figure the lamb's immune performance (20).Further, </w:t>
      </w:r>
      <w:r>
        <w:rPr>
          <w:rFonts w:hint="eastAsia" w:ascii="Times New Roman" w:hAnsi="Times New Roman" w:eastAsia="宋体"/>
        </w:rPr>
        <w:t>m</w:t>
      </w:r>
      <w:r>
        <w:rPr>
          <w:rFonts w:ascii="Times New Roman" w:hAnsi="Times New Roman" w:eastAsia="宋体"/>
        </w:rPr>
        <w:t>any studies have found that the average IgG concentration of sheep colostrum is between 65 and 100</w:t>
      </w:r>
      <w:r>
        <w:rPr>
          <w:rFonts w:hint="eastAsia" w:ascii="Times New Roman" w:hAnsi="Times New Roman" w:eastAsia="宋体"/>
        </w:rPr>
        <w:t xml:space="preserve"> </w:t>
      </w:r>
      <w:r>
        <w:rPr>
          <w:rFonts w:ascii="Times New Roman" w:hAnsi="Times New Roman" w:eastAsia="宋体"/>
        </w:rPr>
        <w:t>mg/mL(21). Two different thresholds, 20</w:t>
      </w:r>
      <w:r>
        <w:rPr>
          <w:rFonts w:hint="eastAsia" w:ascii="Times New Roman" w:hAnsi="Times New Roman" w:eastAsia="宋体"/>
        </w:rPr>
        <w:t xml:space="preserve"> </w:t>
      </w:r>
      <w:r>
        <w:rPr>
          <w:rFonts w:ascii="Times New Roman" w:hAnsi="Times New Roman" w:eastAsia="宋体"/>
        </w:rPr>
        <w:t>g/L(22) and 50</w:t>
      </w:r>
      <w:r>
        <w:rPr>
          <w:rFonts w:hint="eastAsia" w:ascii="Times New Roman" w:hAnsi="Times New Roman" w:eastAsia="宋体"/>
        </w:rPr>
        <w:t xml:space="preserve"> </w:t>
      </w:r>
      <w:r>
        <w:rPr>
          <w:rFonts w:ascii="Times New Roman" w:hAnsi="Times New Roman" w:eastAsia="宋体"/>
        </w:rPr>
        <w:t>g/L(23), were suggested for the sufficient concentration of colostrum IgG in sheep to promote passive immune transfer to lambs. It is worth noting that the average IgG concentration of 108.014</w:t>
      </w:r>
      <w:r>
        <w:rPr>
          <w:rFonts w:hint="eastAsia" w:ascii="Times New Roman" w:hAnsi="Times New Roman" w:eastAsia="宋体"/>
        </w:rPr>
        <w:t xml:space="preserve"> </w:t>
      </w:r>
      <w:r>
        <w:rPr>
          <w:rFonts w:ascii="Times New Roman" w:hAnsi="Times New Roman" w:eastAsia="宋体"/>
        </w:rPr>
        <w:t xml:space="preserve">mg/mL found in this study is higher than the average level and far above the threshold line of IgG concentration required for lambs to obtain sufficient passive immunity. These IgG concentration differences in colostrum may be related to genetic, nutritional, and management factors. </w:t>
      </w:r>
    </w:p>
    <w:p w14:paraId="41E1E1D4">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There is little literature about IgA and IgM in colostrum. In this study, the concentrations of IgA and IgM followed a similar trend to that of IgG. The concentrations of IgA and IgM decreased from 4.139</w:t>
      </w:r>
      <w:r>
        <w:rPr>
          <w:rFonts w:hint="eastAsia" w:ascii="Times New Roman" w:hAnsi="Times New Roman" w:eastAsia="宋体"/>
        </w:rPr>
        <w:t xml:space="preserve"> </w:t>
      </w:r>
      <w:r>
        <w:rPr>
          <w:rFonts w:ascii="Times New Roman" w:hAnsi="Times New Roman" w:eastAsia="宋体"/>
        </w:rPr>
        <w:t>mg/mL and 0.447</w:t>
      </w:r>
      <w:r>
        <w:rPr>
          <w:rFonts w:hint="eastAsia" w:ascii="Times New Roman" w:hAnsi="Times New Roman" w:eastAsia="宋体"/>
        </w:rPr>
        <w:t xml:space="preserve"> </w:t>
      </w:r>
      <w:r>
        <w:rPr>
          <w:rFonts w:ascii="Times New Roman" w:hAnsi="Times New Roman" w:eastAsia="宋体"/>
        </w:rPr>
        <w:t xml:space="preserve">mg/mL, respectively, and stabilized at about 12 hours after delivery. </w:t>
      </w:r>
      <w:r>
        <w:rPr>
          <w:rFonts w:hint="eastAsia" w:ascii="Times New Roman" w:hAnsi="Times New Roman" w:eastAsia="宋体"/>
        </w:rPr>
        <w:t>W</w:t>
      </w:r>
      <w:r>
        <w:rPr>
          <w:rFonts w:ascii="Times New Roman" w:hAnsi="Times New Roman" w:eastAsia="宋体"/>
        </w:rPr>
        <w:t>e found that</w:t>
      </w:r>
      <w:r>
        <w:rPr>
          <w:rFonts w:hint="eastAsia" w:ascii="Times New Roman" w:hAnsi="Times New Roman" w:eastAsia="宋体"/>
        </w:rPr>
        <w:t xml:space="preserve"> a total of </w:t>
      </w:r>
      <w:r>
        <w:rPr>
          <w:rFonts w:ascii="Times New Roman" w:hAnsi="Times New Roman" w:eastAsia="宋体"/>
        </w:rPr>
        <w:t>296,448.396</w:t>
      </w:r>
      <w:r>
        <w:rPr>
          <w:rFonts w:hint="eastAsia" w:ascii="Times New Roman" w:hAnsi="Times New Roman" w:eastAsia="宋体"/>
        </w:rPr>
        <w:t xml:space="preserve"> </w:t>
      </w:r>
      <w:r>
        <w:rPr>
          <w:rFonts w:ascii="Times New Roman" w:hAnsi="Times New Roman" w:eastAsia="宋体"/>
        </w:rPr>
        <w:t xml:space="preserve">mg of immunoglobulins (IgG, IgM and IgA) were transferred to colostrum within 3 days after delivery, </w:t>
      </w:r>
      <w:r>
        <w:rPr>
          <w:rFonts w:hint="eastAsia" w:ascii="Times New Roman" w:hAnsi="Times New Roman" w:eastAsia="宋体"/>
        </w:rPr>
        <w:t xml:space="preserve">with </w:t>
      </w:r>
      <w:r>
        <w:rPr>
          <w:rFonts w:ascii="Times New Roman" w:hAnsi="Times New Roman" w:eastAsia="宋体"/>
        </w:rPr>
        <w:t>the content of IgG reach</w:t>
      </w:r>
      <w:r>
        <w:rPr>
          <w:rFonts w:hint="eastAsia" w:ascii="Times New Roman" w:hAnsi="Times New Roman" w:eastAsia="宋体"/>
        </w:rPr>
        <w:t>ing</w:t>
      </w:r>
      <w:r>
        <w:rPr>
          <w:rFonts w:ascii="Times New Roman" w:hAnsi="Times New Roman" w:eastAsia="宋体"/>
        </w:rPr>
        <w:t xml:space="preserve"> 283,148.753</w:t>
      </w:r>
      <w:r>
        <w:rPr>
          <w:rFonts w:hint="eastAsia" w:ascii="Times New Roman" w:hAnsi="Times New Roman" w:eastAsia="宋体"/>
        </w:rPr>
        <w:t xml:space="preserve"> </w:t>
      </w:r>
      <w:r>
        <w:rPr>
          <w:rFonts w:ascii="Times New Roman" w:hAnsi="Times New Roman" w:eastAsia="宋体"/>
        </w:rPr>
        <w:t xml:space="preserve">mg, </w:t>
      </w:r>
      <w:r>
        <w:rPr>
          <w:rFonts w:hint="eastAsia" w:ascii="Times New Roman" w:hAnsi="Times New Roman" w:eastAsia="宋体"/>
        </w:rPr>
        <w:t>which accounted for</w:t>
      </w:r>
      <w:r>
        <w:rPr>
          <w:rFonts w:ascii="Times New Roman" w:hAnsi="Times New Roman" w:eastAsia="宋体"/>
        </w:rPr>
        <w:t xml:space="preserve"> 95.514% of the total immunoglobulins, indicating that IgG was the main Igs in sheep colostrum. However, IgG, IgA, and IgM source, transport, and absorption mechanisms in colostrum remain to be studied.</w:t>
      </w:r>
    </w:p>
    <w:p w14:paraId="11A15ACF">
      <w:pPr>
        <w:pStyle w:val="3"/>
        <w:widowControl/>
        <w:numPr>
          <w:ilvl w:val="1"/>
          <w:numId w:val="5"/>
        </w:numPr>
        <w:spacing w:before="0" w:after="0" w:line="360" w:lineRule="auto"/>
        <w:ind w:left="0" w:firstLine="0"/>
        <w:rPr>
          <w:rFonts w:ascii="Times New Roman" w:hAnsi="Times New Roman" w:cs="Times New Roman"/>
          <w:b w:val="0"/>
          <w:bCs/>
          <w:color w:val="000000"/>
          <w:sz w:val="30"/>
          <w:szCs w:val="30"/>
          <w:lang w:bidi="ar"/>
        </w:rPr>
      </w:pPr>
      <w:r>
        <w:rPr>
          <w:rFonts w:ascii="Times New Roman" w:hAnsi="Times New Roman" w:cs="Times New Roman"/>
          <w:bCs/>
          <w:color w:val="000000" w:themeColor="text1"/>
          <w:spacing w:val="10"/>
          <w:sz w:val="30"/>
          <w:szCs w:val="30"/>
          <w14:textFill>
            <w14:solidFill>
              <w14:schemeClr w14:val="tx1"/>
            </w14:solidFill>
          </w14:textFill>
        </w:rPr>
        <w:t>Colostrum proximal composition</w:t>
      </w:r>
    </w:p>
    <w:p w14:paraId="7625740A">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The high protein content of colostrum provides a solid foundation for the construction of the newborn's immune system. In </w:t>
      </w:r>
      <w:r>
        <w:rPr>
          <w:rFonts w:hint="eastAsia" w:ascii="Times New Roman" w:hAnsi="Times New Roman" w:eastAsia="宋体"/>
        </w:rPr>
        <w:t>this</w:t>
      </w:r>
      <w:r>
        <w:rPr>
          <w:rFonts w:ascii="Times New Roman" w:hAnsi="Times New Roman" w:eastAsia="宋体"/>
        </w:rPr>
        <w:t xml:space="preserve"> study, the protein content of colostrum was up to 18.006% postpartum, which is in accordance with the range of 7.3% to 30.5% reported by Kessler et al.(6). Sheep colostrum contains a higher protein content than goat colostrum, and the protein content varies among different sheep breeds, with dairy sheep breeds having a lower protein content than meat ewes(6). The protein content decreases rapidly within 12 hours after parturition and then remains stable. A similar decrease in total protein content of colostrum has been observed in goats, buffaloes, and dairy cows(15). This may be due to the fact that newborn lambs have already acquired partial immunity from colostrum, and the need for colostrum immunity decreases as the immune system gradually becomes fully established.</w:t>
      </w:r>
    </w:p>
    <w:p w14:paraId="15E1905B">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The fat in colostrum is a key component that determines the quality of colostrum and serves as the main source of energy for newborn lambs(3). It not only promotes the absorption of nutrients and ensures rapid growth and immune establishment in the early period of lambs, but it also provides essential fatty acids, which play an important role in maintaining a constant body temperature in lambs(24). In the present study, the fat content of sheep colostrum was 12.796% after parturition, decreased to 8.004% at 12 hours after parturition, and remained stable thereafter. This may be because colostrum transitions into mature milk with a lower fat content as the lactation period extends and the lamb's intestinal tract becomes fully developed to absorb nutrients derived from feed.</w:t>
      </w:r>
    </w:p>
    <w:p w14:paraId="096BBC1E">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Lactose is broken down into monosaccharides and absorbed in the small intestine, where it plays an important role in the neurological and skeletal development of lambs. The low lactose content of colostrum in our samples, relative to other nutrients, agrees with Kessler et al.(6, 22). This may be due to the immature digestive function of newborns, as the level and activity of the lactase enzyme are not sufficient, leading to potential indigestion if excess lactose is present. </w:t>
      </w:r>
      <w:r>
        <w:rPr>
          <w:rFonts w:hint="eastAsia" w:ascii="Times New Roman" w:hAnsi="Times New Roman" w:eastAsia="宋体"/>
        </w:rPr>
        <w:t>Furthermore, t</w:t>
      </w:r>
      <w:r>
        <w:rPr>
          <w:rFonts w:ascii="Times New Roman" w:hAnsi="Times New Roman" w:eastAsia="宋体"/>
        </w:rPr>
        <w:t>he lactose content of colostrum increases and stabilizes over the course of lactation, which may be because as the newborn lamb grows and develops, it requires enough energy to maintain a constant postnatal body temperature.</w:t>
      </w:r>
    </w:p>
    <w:p w14:paraId="051C8233">
      <w:pPr>
        <w:pStyle w:val="3"/>
        <w:widowControl/>
        <w:numPr>
          <w:ilvl w:val="1"/>
          <w:numId w:val="5"/>
        </w:numPr>
        <w:spacing w:before="0" w:after="0" w:line="360" w:lineRule="auto"/>
        <w:ind w:left="0" w:firstLine="0"/>
        <w:rPr>
          <w:rFonts w:ascii="Times New Roman" w:hAnsi="Times New Roman" w:cs="Times New Roman"/>
          <w:b w:val="0"/>
          <w:bCs/>
          <w:color w:val="000000"/>
          <w:sz w:val="30"/>
          <w:szCs w:val="30"/>
          <w:lang w:bidi="ar"/>
        </w:rPr>
      </w:pPr>
      <w:r>
        <w:rPr>
          <w:rFonts w:ascii="Times New Roman" w:hAnsi="Times New Roman" w:cs="Times New Roman"/>
          <w:bCs/>
          <w:color w:val="000000"/>
          <w:sz w:val="30"/>
          <w:szCs w:val="30"/>
          <w:lang w:bidi="ar"/>
        </w:rPr>
        <w:t xml:space="preserve">Screening of candidate genes </w:t>
      </w:r>
      <w:r>
        <w:rPr>
          <w:rFonts w:hint="eastAsia" w:ascii="Times New Roman" w:hAnsi="Times New Roman" w:cs="Times New Roman"/>
          <w:bCs/>
          <w:color w:val="000000"/>
          <w:sz w:val="30"/>
          <w:szCs w:val="30"/>
          <w:lang w:bidi="ar"/>
        </w:rPr>
        <w:t>related to colostrum traits</w:t>
      </w:r>
    </w:p>
    <w:p w14:paraId="31BB93F4">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In this study, six missense variants in the </w:t>
      </w:r>
      <w:r>
        <w:rPr>
          <w:rFonts w:ascii="Times New Roman" w:hAnsi="Times New Roman" w:eastAsia="宋体"/>
          <w:i/>
        </w:rPr>
        <w:t>LTF</w:t>
      </w:r>
      <w:r>
        <w:rPr>
          <w:rFonts w:ascii="Times New Roman" w:hAnsi="Times New Roman" w:eastAsia="宋体"/>
        </w:rPr>
        <w:t xml:space="preserve">, </w:t>
      </w:r>
      <w:r>
        <w:rPr>
          <w:rFonts w:ascii="Times New Roman" w:hAnsi="Times New Roman" w:eastAsia="宋体"/>
          <w:i/>
        </w:rPr>
        <w:t>PTPRK</w:t>
      </w:r>
      <w:r>
        <w:rPr>
          <w:rFonts w:ascii="Times New Roman" w:hAnsi="Times New Roman" w:eastAsia="宋体"/>
        </w:rPr>
        <w:t xml:space="preserve">, and </w:t>
      </w:r>
      <w:r>
        <w:rPr>
          <w:rFonts w:ascii="Times New Roman" w:hAnsi="Times New Roman" w:eastAsia="宋体"/>
          <w:i/>
        </w:rPr>
        <w:t>LIFR</w:t>
      </w:r>
      <w:r>
        <w:rPr>
          <w:rFonts w:ascii="Times New Roman" w:hAnsi="Times New Roman" w:eastAsia="宋体"/>
        </w:rPr>
        <w:t xml:space="preserve"> genes were found to be potentially associated with colostrum yield and immunoglobulin concentration in sheep through whole-genome selection signal detection. In addition, the protein physicochemical properties and three-dimensional structures of </w:t>
      </w:r>
      <w:r>
        <w:rPr>
          <w:rFonts w:ascii="Times New Roman" w:hAnsi="Times New Roman" w:eastAsia="宋体"/>
          <w:i/>
        </w:rPr>
        <w:t>LTF</w:t>
      </w:r>
      <w:r>
        <w:rPr>
          <w:rFonts w:ascii="Times New Roman" w:hAnsi="Times New Roman" w:eastAsia="宋体"/>
        </w:rPr>
        <w:t xml:space="preserve">, </w:t>
      </w:r>
      <w:r>
        <w:rPr>
          <w:rFonts w:ascii="Times New Roman" w:hAnsi="Times New Roman" w:eastAsia="宋体"/>
          <w:i/>
        </w:rPr>
        <w:t>PTPRK</w:t>
      </w:r>
      <w:r>
        <w:rPr>
          <w:rFonts w:ascii="Times New Roman" w:hAnsi="Times New Roman" w:eastAsia="宋体"/>
        </w:rPr>
        <w:t xml:space="preserve">, and </w:t>
      </w:r>
      <w:r>
        <w:rPr>
          <w:rFonts w:ascii="Times New Roman" w:hAnsi="Times New Roman" w:eastAsia="宋体"/>
          <w:i/>
        </w:rPr>
        <w:t>LIFR</w:t>
      </w:r>
      <w:r>
        <w:rPr>
          <w:rFonts w:ascii="Times New Roman" w:hAnsi="Times New Roman" w:eastAsia="宋体"/>
        </w:rPr>
        <w:t xml:space="preserve"> were predicted</w:t>
      </w:r>
      <w:r>
        <w:rPr>
          <w:rFonts w:hint="eastAsia" w:ascii="Times New Roman" w:hAnsi="Times New Roman" w:eastAsia="宋体"/>
        </w:rPr>
        <w:t>.</w:t>
      </w:r>
    </w:p>
    <w:p w14:paraId="0427BEAD">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Lactoferrin (</w:t>
      </w:r>
      <w:r>
        <w:rPr>
          <w:rFonts w:ascii="Times New Roman" w:hAnsi="Times New Roman" w:eastAsia="宋体"/>
          <w:i/>
        </w:rPr>
        <w:t>LTF</w:t>
      </w:r>
      <w:r>
        <w:rPr>
          <w:rFonts w:ascii="Times New Roman" w:hAnsi="Times New Roman" w:eastAsia="宋体"/>
        </w:rPr>
        <w:t xml:space="preserve">) is a glycosylated protein primarily known for its antimicrobial and iron homeostatic properties(25). As a specific innate immune protein, it is present in neutrophil granules and a variety of secretions, including colostrum, milk, vaginal secretions, semen, tears, saliva, nasal secretions, bile, and gastrointestinal fluids (26). Many studies have reported associations between the </w:t>
      </w:r>
      <w:r>
        <w:rPr>
          <w:rFonts w:ascii="Times New Roman" w:hAnsi="Times New Roman" w:eastAsia="宋体"/>
          <w:i/>
        </w:rPr>
        <w:t>LTF</w:t>
      </w:r>
      <w:r>
        <w:rPr>
          <w:rFonts w:ascii="Times New Roman" w:hAnsi="Times New Roman" w:eastAsia="宋体"/>
        </w:rPr>
        <w:t xml:space="preserve"> gene and disease incidence, somatic cell scores, lactoferrin concentrations, and milk yield traits(25, 27-29). Two genotypes of LTF (AA genotype with a 301 bp band and AB genotype with bands at 301 bp, 201 bp, and 100 bp) were found to be significantly associated with milk production traits in Holstein cows. Meanwhile, a logistic regression model reveals the possibility of calculating and predicting dairy cows with high milk performance based on the </w:t>
      </w:r>
      <w:r>
        <w:rPr>
          <w:rFonts w:ascii="Times New Roman" w:hAnsi="Times New Roman" w:eastAsia="宋体"/>
          <w:i/>
        </w:rPr>
        <w:t>LTF</w:t>
      </w:r>
      <w:r>
        <w:rPr>
          <w:rFonts w:ascii="Times New Roman" w:hAnsi="Times New Roman" w:eastAsia="宋体"/>
        </w:rPr>
        <w:t xml:space="preserve"> genotype (25). Many polymorphisms have also been found in the bovine </w:t>
      </w:r>
      <w:r>
        <w:rPr>
          <w:rFonts w:ascii="Times New Roman" w:hAnsi="Times New Roman" w:eastAsia="宋体"/>
          <w:i/>
        </w:rPr>
        <w:t>LTF</w:t>
      </w:r>
      <w:r>
        <w:rPr>
          <w:rFonts w:ascii="Times New Roman" w:hAnsi="Times New Roman" w:eastAsia="宋体"/>
        </w:rPr>
        <w:t xml:space="preserve"> promoter, which plays an important role in mammary gland development, milk production, and milk protein secretion(30, 31). Our results indicate that mutations in the </w:t>
      </w:r>
      <w:r>
        <w:rPr>
          <w:rFonts w:ascii="Times New Roman" w:hAnsi="Times New Roman" w:eastAsia="宋体"/>
          <w:i/>
        </w:rPr>
        <w:t>LTF</w:t>
      </w:r>
      <w:r>
        <w:rPr>
          <w:rFonts w:ascii="Times New Roman" w:hAnsi="Times New Roman" w:eastAsia="宋体"/>
        </w:rPr>
        <w:t xml:space="preserve"> gene at the rs422619216 (c.407T&gt;C) locus are significantly associated with colostrum production. The specific function of a protein is determined by its specific conformation, which can be altered by changes in its spatial structure. It was found through prediction that mutations at this locus lead to changes in the secondary structure of the protein and the hydrophilicity of the nearby regions, which may account for the differences in colostrum yield.</w:t>
      </w:r>
    </w:p>
    <w:p w14:paraId="03CAADD2">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i/>
        </w:rPr>
        <w:t>PTPRK</w:t>
      </w:r>
      <w:r>
        <w:rPr>
          <w:rFonts w:ascii="Times New Roman" w:hAnsi="Times New Roman" w:eastAsia="宋体"/>
        </w:rPr>
        <w:t xml:space="preserve"> (encoded by </w:t>
      </w:r>
      <w:r>
        <w:rPr>
          <w:rFonts w:ascii="Times New Roman" w:hAnsi="Times New Roman" w:eastAsia="宋体"/>
          <w:i/>
        </w:rPr>
        <w:t>PTPRK</w:t>
      </w:r>
      <w:r>
        <w:rPr>
          <w:rFonts w:ascii="Times New Roman" w:hAnsi="Times New Roman" w:eastAsia="宋体"/>
        </w:rPr>
        <w:t xml:space="preserve">) is a member of the R2A subfamily with a PTPRT, which plays a role in homophilic binding through its extracellular structural domains (32). </w:t>
      </w:r>
      <w:r>
        <w:rPr>
          <w:rFonts w:ascii="Times New Roman" w:hAnsi="Times New Roman" w:eastAsia="宋体"/>
          <w:i/>
        </w:rPr>
        <w:t>PTPRK</w:t>
      </w:r>
      <w:r>
        <w:rPr>
          <w:rFonts w:ascii="Times New Roman" w:hAnsi="Times New Roman" w:eastAsia="宋体"/>
        </w:rPr>
        <w:t xml:space="preserve"> is expressed in the cytoplasm of different tissues and cell types (including the central nervous system and keratin-forming cells) and plays a role in cell migration, contact, and adhesion(33-36). In vitro studies have confirmed that knockdown of </w:t>
      </w:r>
      <w:r>
        <w:rPr>
          <w:rFonts w:ascii="Times New Roman" w:hAnsi="Times New Roman" w:eastAsia="宋体"/>
          <w:i/>
        </w:rPr>
        <w:t>PTPRK</w:t>
      </w:r>
      <w:r>
        <w:rPr>
          <w:rFonts w:ascii="Times New Roman" w:hAnsi="Times New Roman" w:eastAsia="宋体"/>
        </w:rPr>
        <w:t xml:space="preserve"> increases cell proliferation, adhesion, and invasion(37). </w:t>
      </w:r>
      <w:r>
        <w:rPr>
          <w:rFonts w:ascii="Times New Roman" w:hAnsi="Times New Roman" w:eastAsia="宋体"/>
          <w:i/>
        </w:rPr>
        <w:t>PTPRK</w:t>
      </w:r>
      <w:r>
        <w:rPr>
          <w:rFonts w:ascii="Times New Roman" w:hAnsi="Times New Roman" w:eastAsia="宋体"/>
        </w:rPr>
        <w:t xml:space="preserve"> is associated with breast cancer prognosis, but the molecular mechanism remains to be elucidated(37). To date, few functions of </w:t>
      </w:r>
      <w:r>
        <w:rPr>
          <w:rFonts w:ascii="Times New Roman" w:hAnsi="Times New Roman" w:eastAsia="宋体"/>
          <w:i/>
        </w:rPr>
        <w:t>PTPRK</w:t>
      </w:r>
      <w:r>
        <w:rPr>
          <w:rFonts w:ascii="Times New Roman" w:hAnsi="Times New Roman" w:eastAsia="宋体"/>
        </w:rPr>
        <w:t xml:space="preserve"> associated with colostrum production and immunoglobulin concentration have been reported. In the present study, a missense mutation in the </w:t>
      </w:r>
      <w:r>
        <w:rPr>
          <w:rFonts w:ascii="Times New Roman" w:hAnsi="Times New Roman" w:eastAsia="宋体"/>
          <w:i/>
        </w:rPr>
        <w:t>PTPRK</w:t>
      </w:r>
      <w:r>
        <w:rPr>
          <w:rFonts w:ascii="Times New Roman" w:hAnsi="Times New Roman" w:eastAsia="宋体"/>
        </w:rPr>
        <w:t xml:space="preserve"> gene was detected on chromosome 8, and the mutation was significantly associated with colostrum yield and immunoglobulin content (IgM and IgA). The rs429528738 (c.1295C&gt;T) locus mutants had a change in the </w:t>
      </w:r>
      <w:r>
        <w:rPr>
          <w:rFonts w:ascii="Times New Roman" w:hAnsi="Times New Roman" w:eastAsia="宋体"/>
          <w:i/>
        </w:rPr>
        <w:t>PTPRK</w:t>
      </w:r>
      <w:r>
        <w:rPr>
          <w:rFonts w:ascii="Times New Roman" w:hAnsi="Times New Roman" w:eastAsia="宋体"/>
        </w:rPr>
        <w:t xml:space="preserve"> protein from Arg to His, which resulted in the formation of an α-helix and altered the overall mean value of hydrophilicity. This suggests that the mutation at the locus may affect the expression activity of the </w:t>
      </w:r>
      <w:r>
        <w:rPr>
          <w:rFonts w:ascii="Times New Roman" w:hAnsi="Times New Roman" w:eastAsia="宋体"/>
          <w:i/>
        </w:rPr>
        <w:t>PTPRK</w:t>
      </w:r>
      <w:r>
        <w:rPr>
          <w:rFonts w:ascii="Times New Roman" w:hAnsi="Times New Roman" w:eastAsia="宋体"/>
        </w:rPr>
        <w:t xml:space="preserve"> gene, which regulates colostrum production traits in sheep. The </w:t>
      </w:r>
      <w:r>
        <w:rPr>
          <w:rFonts w:ascii="Times New Roman" w:hAnsi="Times New Roman" w:eastAsia="宋体"/>
          <w:i/>
        </w:rPr>
        <w:t>PTPRK</w:t>
      </w:r>
      <w:r>
        <w:rPr>
          <w:rFonts w:ascii="Times New Roman" w:hAnsi="Times New Roman" w:eastAsia="宋体"/>
        </w:rPr>
        <w:t xml:space="preserve"> gene contributes to linkage analyses and may be considered as a genetic marker for colostrum traits.</w:t>
      </w:r>
    </w:p>
    <w:p w14:paraId="117B02E5">
      <w:pPr>
        <w:pStyle w:val="15"/>
        <w:widowControl/>
        <w:spacing w:beforeAutospacing="0" w:afterAutospacing="0" w:line="360" w:lineRule="auto"/>
        <w:ind w:firstLine="480" w:firstLineChars="200"/>
        <w:jc w:val="both"/>
        <w:rPr>
          <w:rFonts w:ascii="Times New Roman" w:hAnsi="Times New Roman" w:eastAsia="宋体"/>
        </w:rPr>
      </w:pPr>
      <w:r>
        <w:rPr>
          <w:rFonts w:ascii="Times New Roman" w:hAnsi="Times New Roman" w:eastAsia="宋体"/>
        </w:rPr>
        <w:t xml:space="preserve">The </w:t>
      </w:r>
      <w:r>
        <w:rPr>
          <w:rFonts w:ascii="Times New Roman" w:hAnsi="Times New Roman" w:eastAsia="宋体"/>
          <w:i/>
        </w:rPr>
        <w:t>LIFR</w:t>
      </w:r>
      <w:r>
        <w:rPr>
          <w:rFonts w:ascii="Times New Roman" w:hAnsi="Times New Roman" w:eastAsia="宋体"/>
        </w:rPr>
        <w:t xml:space="preserve"> gene encodes a protein belonging to the type I cytokine receptor family, which binds to </w:t>
      </w:r>
      <w:r>
        <w:rPr>
          <w:rFonts w:ascii="Times New Roman" w:hAnsi="Times New Roman" w:eastAsia="宋体"/>
          <w:i/>
          <w:iCs/>
        </w:rPr>
        <w:t>LIF</w:t>
      </w:r>
      <w:r>
        <w:rPr>
          <w:rFonts w:ascii="Times New Roman" w:hAnsi="Times New Roman" w:eastAsia="宋体"/>
        </w:rPr>
        <w:t xml:space="preserve"> and subsequently to the co-receptor glycoprotein 130 (gp130) to activate signaling pathways such as PI3K/AKT, mTORC1/p70s6K, Hippo/YAP, and MAPK(38-40). Meanwhile, LIF is the only </w:t>
      </w:r>
      <w:r>
        <w:rPr>
          <w:rFonts w:ascii="Times New Roman" w:hAnsi="Times New Roman" w:eastAsia="宋体"/>
          <w:i/>
          <w:iCs/>
        </w:rPr>
        <w:t>STAT3</w:t>
      </w:r>
      <w:r>
        <w:rPr>
          <w:rFonts w:ascii="Times New Roman" w:hAnsi="Times New Roman" w:eastAsia="宋体"/>
        </w:rPr>
        <w:t xml:space="preserve"> activator in the mammary gland, consistent with its dual role as a physiological activator of STAT3-mediated apoptosis and ERK1/2-mediated branching morphogenesis in early mammary development during degeneration(41). Currently, there are very limited studies on the function of </w:t>
      </w:r>
      <w:r>
        <w:rPr>
          <w:rFonts w:ascii="Times New Roman" w:hAnsi="Times New Roman" w:eastAsia="宋体"/>
          <w:i/>
          <w:iCs/>
        </w:rPr>
        <w:t>LIFR</w:t>
      </w:r>
      <w:r>
        <w:rPr>
          <w:rFonts w:ascii="Times New Roman" w:hAnsi="Times New Roman" w:eastAsia="宋体"/>
        </w:rPr>
        <w:t xml:space="preserve"> in relation to colostral traits, and it holds great potential as a biomarker for colostral traits. </w:t>
      </w:r>
      <w:r>
        <w:rPr>
          <w:rFonts w:hint="eastAsia" w:ascii="Times New Roman" w:hAnsi="Times New Roman" w:eastAsia="宋体"/>
        </w:rPr>
        <w:t xml:space="preserve">Our results showed that there were four missense mutation loci in the </w:t>
      </w:r>
      <w:r>
        <w:rPr>
          <w:rFonts w:hint="eastAsia" w:ascii="Times New Roman" w:hAnsi="Times New Roman" w:eastAsia="宋体"/>
          <w:i/>
          <w:iCs/>
        </w:rPr>
        <w:t>LIFR</w:t>
      </w:r>
      <w:r>
        <w:rPr>
          <w:rFonts w:hint="eastAsia" w:ascii="Times New Roman" w:hAnsi="Times New Roman" w:eastAsia="宋体"/>
        </w:rPr>
        <w:t xml:space="preserve"> gene (c.1234G&gt;T, c.2132G&gt;A, c.2571A&gt;G, and c.3142G&gt;T) that were all significantly correlated with colostrum immunoglobulin concentration. Additionally, the c.1234G&gt;T, c.2571A&gt;G, and c.3142G&gt;T loci were also significantly correlated with colostrum yield. No significant linkage disequilibrium signals were detected between these four loci </w:t>
      </w:r>
      <w:r>
        <w:rPr>
          <w:rFonts w:hint="eastAsia" w:ascii="Times New Roman" w:hAnsi="Times New Roman" w:eastAsia="宋体"/>
          <w:b/>
          <w:bCs/>
        </w:rPr>
        <w:t>(Figure 6b)</w:t>
      </w:r>
      <w:r>
        <w:rPr>
          <w:rFonts w:hint="eastAsia" w:ascii="Times New Roman" w:hAnsi="Times New Roman" w:eastAsia="宋体"/>
        </w:rPr>
        <w:t xml:space="preserve">. Further studies on the protein conformation of amino acid transformations </w:t>
      </w:r>
      <w:r>
        <w:rPr>
          <w:rFonts w:hint="eastAsia" w:ascii="Times New Roman" w:hAnsi="Times New Roman" w:eastAsia="宋体"/>
          <w:b/>
          <w:bCs/>
        </w:rPr>
        <w:t>(Fig. 6d, f, h, and j)</w:t>
      </w:r>
      <w:r>
        <w:rPr>
          <w:rFonts w:hint="eastAsia" w:ascii="Times New Roman" w:hAnsi="Times New Roman" w:eastAsia="宋体"/>
        </w:rPr>
        <w:t xml:space="preserve"> revealed that the structure of the LIFR protein was significantly altered by the amino acid mutations, which may affect the protein function and consequently, the colostrum yield and immunoglobulin concentration in sheep. For example, amino acid 412 of LIFR was converted from alanine to serine by the mutation at the c.1234G&gt;T site. These two amino acids are often involved in protein phosphorylation, where threonine and serine are usually linked by a phosphate group and then activated by a kinase to regulate protein function and localization</w:t>
      </w:r>
      <w:r>
        <w:rPr>
          <w:rFonts w:ascii="Times New Roman" w:hAnsi="Times New Roman" w:eastAsia="宋体"/>
        </w:rPr>
        <w:t>(42).</w:t>
      </w:r>
    </w:p>
    <w:p w14:paraId="372AC81C">
      <w:pPr>
        <w:pStyle w:val="2"/>
        <w:keepNext/>
        <w:keepLines/>
        <w:numPr>
          <w:ilvl w:val="0"/>
          <w:numId w:val="3"/>
        </w:numPr>
        <w:spacing w:beforeAutospacing="0" w:afterAutospacing="0" w:line="360" w:lineRule="auto"/>
        <w:ind w:left="0" w:firstLine="0"/>
        <w:jc w:val="both"/>
        <w:rPr>
          <w:rFonts w:hint="default" w:ascii="Times New Roman" w:hAnsi="Times New Roman" w:eastAsia="黑体"/>
          <w:sz w:val="32"/>
          <w:szCs w:val="32"/>
        </w:rPr>
      </w:pPr>
      <w:r>
        <w:rPr>
          <w:rFonts w:ascii="Times New Roman" w:hAnsi="Times New Roman" w:eastAsia="黑体"/>
          <w:sz w:val="32"/>
          <w:szCs w:val="32"/>
        </w:rPr>
        <w:t>C</w:t>
      </w:r>
      <w:r>
        <w:rPr>
          <w:rFonts w:hint="default" w:ascii="Times New Roman" w:hAnsi="Times New Roman" w:eastAsia="黑体"/>
          <w:sz w:val="32"/>
          <w:szCs w:val="32"/>
        </w:rPr>
        <w:t>onclusion</w:t>
      </w:r>
    </w:p>
    <w:p w14:paraId="7F4BA77F">
      <w:pPr>
        <w:pStyle w:val="15"/>
        <w:widowControl/>
        <w:spacing w:beforeAutospacing="0" w:afterAutospacing="0" w:line="360" w:lineRule="auto"/>
        <w:ind w:firstLine="480" w:firstLineChars="200"/>
        <w:jc w:val="both"/>
        <w:rPr>
          <w:rFonts w:ascii="Times New Roman" w:hAnsi="Times New Roman" w:eastAsia="宋体"/>
          <w:kern w:val="2"/>
        </w:rPr>
      </w:pPr>
      <w:r>
        <w:rPr>
          <w:rFonts w:hint="eastAsia" w:ascii="Times New Roman" w:hAnsi="Times New Roman" w:eastAsia="宋体"/>
          <w:kern w:val="2"/>
        </w:rPr>
        <w:t xml:space="preserve">The yield of sheep colostrum increased significantly over time, while the concentrations of IgG, IgM, and IgA decreased markedly. The gradual reduction in fat and protein content, coupled with a steady increase in lactose content post-parturition, suggests an adaptive mechanism in ewes' colostrum composition to meet the evolving nutritional and metabolic requirements of lambs. These observations provide valuable insights into the dynamic nature of colostrum, which is essential for developing strategies to enhance colostrum management practices. Additionally, genetic analysis revealed significant correlations between polymorphisms in the </w:t>
      </w:r>
      <w:r>
        <w:rPr>
          <w:rFonts w:hint="eastAsia" w:ascii="Times New Roman" w:hAnsi="Times New Roman" w:eastAsia="宋体"/>
          <w:i/>
          <w:iCs/>
          <w:kern w:val="2"/>
        </w:rPr>
        <w:t>LTF</w:t>
      </w:r>
      <w:r>
        <w:rPr>
          <w:rFonts w:hint="eastAsia" w:ascii="Times New Roman" w:hAnsi="Times New Roman" w:eastAsia="宋体"/>
          <w:kern w:val="2"/>
        </w:rPr>
        <w:t xml:space="preserve">, </w:t>
      </w:r>
      <w:r>
        <w:rPr>
          <w:rFonts w:hint="eastAsia" w:ascii="Times New Roman" w:hAnsi="Times New Roman" w:eastAsia="宋体"/>
          <w:i/>
          <w:iCs/>
          <w:kern w:val="2"/>
        </w:rPr>
        <w:t>PTPRK</w:t>
      </w:r>
      <w:r>
        <w:rPr>
          <w:rFonts w:hint="eastAsia" w:ascii="Times New Roman" w:hAnsi="Times New Roman" w:eastAsia="宋体"/>
          <w:kern w:val="2"/>
        </w:rPr>
        <w:t xml:space="preserve">, and </w:t>
      </w:r>
      <w:r>
        <w:rPr>
          <w:rFonts w:hint="eastAsia" w:ascii="Times New Roman" w:hAnsi="Times New Roman" w:eastAsia="宋体"/>
          <w:i/>
          <w:iCs/>
          <w:kern w:val="2"/>
        </w:rPr>
        <w:t>LIFR</w:t>
      </w:r>
      <w:r>
        <w:rPr>
          <w:rFonts w:hint="eastAsia" w:ascii="Times New Roman" w:hAnsi="Times New Roman" w:eastAsia="宋体"/>
          <w:kern w:val="2"/>
        </w:rPr>
        <w:t xml:space="preserve"> genes and both colostrum production and immunoglobulin concentration. Mutations at these loci alter the structure and properties of the proteins involved. Specifically, six missense mutations involving three genes (</w:t>
      </w:r>
      <w:r>
        <w:rPr>
          <w:rFonts w:hint="eastAsia" w:ascii="Times New Roman" w:hAnsi="Times New Roman" w:eastAsia="宋体"/>
          <w:i/>
          <w:iCs/>
          <w:kern w:val="2"/>
        </w:rPr>
        <w:t>LTF</w:t>
      </w:r>
      <w:r>
        <w:rPr>
          <w:rFonts w:hint="eastAsia" w:ascii="Times New Roman" w:hAnsi="Times New Roman" w:eastAsia="宋体"/>
          <w:kern w:val="2"/>
        </w:rPr>
        <w:t xml:space="preserve"> gene (rs422619216), </w:t>
      </w:r>
      <w:r>
        <w:rPr>
          <w:rFonts w:hint="eastAsia" w:ascii="Times New Roman" w:hAnsi="Times New Roman" w:eastAsia="宋体"/>
          <w:i/>
          <w:iCs/>
          <w:kern w:val="2"/>
        </w:rPr>
        <w:t>PTPRK</w:t>
      </w:r>
      <w:r>
        <w:rPr>
          <w:rFonts w:hint="eastAsia" w:ascii="Times New Roman" w:hAnsi="Times New Roman" w:eastAsia="宋体"/>
          <w:kern w:val="2"/>
        </w:rPr>
        <w:t xml:space="preserve"> gene (rs429528738), and </w:t>
      </w:r>
      <w:r>
        <w:rPr>
          <w:rFonts w:hint="eastAsia" w:ascii="Times New Roman" w:hAnsi="Times New Roman" w:eastAsia="宋体"/>
          <w:i/>
          <w:iCs/>
          <w:kern w:val="2"/>
        </w:rPr>
        <w:t>LIFR</w:t>
      </w:r>
      <w:r>
        <w:rPr>
          <w:rFonts w:hint="eastAsia" w:ascii="Times New Roman" w:hAnsi="Times New Roman" w:eastAsia="宋体"/>
          <w:kern w:val="2"/>
        </w:rPr>
        <w:t xml:space="preserve"> gene (rs408968100, rs162154352, rs161149074, and </w:t>
      </w:r>
      <w:r>
        <w:rPr>
          <w:rFonts w:ascii="Times New Roman" w:hAnsi="Times New Roman" w:eastAsia="宋体"/>
          <w:color w:val="000000"/>
          <w:sz w:val="22"/>
          <w:szCs w:val="22"/>
          <w:lang w:bidi="ar"/>
        </w:rPr>
        <w:t>rs411119461</w:t>
      </w:r>
      <w:r>
        <w:rPr>
          <w:rFonts w:hint="eastAsia" w:ascii="Times New Roman" w:hAnsi="Times New Roman" w:eastAsia="宋体"/>
          <w:kern w:val="2"/>
        </w:rPr>
        <w:t>)) can serve as molecular genetic markers to regulate colostrum yield and immunoglobulin concentration in sheep, offering valuable guidance for improving these parameters. However, further field research is required to establish the link between genetic variation and colostrum production, and additional verification is urgently needed in larger populations and under different feeding conditions.</w:t>
      </w:r>
    </w:p>
    <w:p w14:paraId="14659E5D">
      <w:pPr>
        <w:keepNext/>
        <w:keepLines/>
        <w:widowControl/>
        <w:spacing w:line="360" w:lineRule="auto"/>
        <w:outlineLvl w:val="0"/>
        <w:rPr>
          <w:rFonts w:ascii="Times New Roman" w:hAnsi="Times New Roman" w:eastAsia="宋体" w:cs="Times New Roman"/>
          <w:b/>
          <w:bCs/>
          <w:kern w:val="0"/>
          <w:sz w:val="28"/>
          <w:szCs w:val="28"/>
        </w:rPr>
      </w:pPr>
      <w:r>
        <w:rPr>
          <w:rFonts w:ascii="Times New Roman" w:hAnsi="Times New Roman" w:eastAsia="宋体" w:cs="Times New Roman"/>
          <w:b/>
          <w:bCs/>
          <w:kern w:val="0"/>
          <w:sz w:val="28"/>
          <w:szCs w:val="28"/>
        </w:rPr>
        <w:t>Author Contribution</w:t>
      </w:r>
    </w:p>
    <w:p w14:paraId="19790691">
      <w:pPr>
        <w:spacing w:line="360" w:lineRule="auto"/>
        <w:rPr>
          <w:rFonts w:ascii="Times New Roman" w:hAnsi="Times New Roman" w:eastAsia="宋体" w:cs="Times New Roman"/>
          <w:b/>
          <w:bCs/>
          <w:kern w:val="0"/>
          <w:sz w:val="28"/>
          <w:szCs w:val="28"/>
        </w:rPr>
      </w:pPr>
      <w:r>
        <w:rPr>
          <w:rFonts w:ascii="Times New Roman" w:hAnsi="Times New Roman" w:eastAsia="宋体" w:cs="Times New Roman"/>
          <w:b/>
          <w:bCs/>
          <w:sz w:val="24"/>
        </w:rPr>
        <w:t>Conceptualization:</w:t>
      </w:r>
      <w:r>
        <w:rPr>
          <w:rFonts w:ascii="Times New Roman" w:hAnsi="Times New Roman" w:eastAsia="宋体" w:cs="Times New Roman"/>
          <w:sz w:val="24"/>
        </w:rPr>
        <w:t xml:space="preserve"> Xunping Jiang; </w:t>
      </w:r>
      <w:r>
        <w:rPr>
          <w:rFonts w:ascii="Times New Roman" w:hAnsi="Times New Roman" w:eastAsia="宋体" w:cs="Times New Roman"/>
          <w:b/>
          <w:bCs/>
          <w:sz w:val="24"/>
        </w:rPr>
        <w:t>Methodology:</w:t>
      </w:r>
      <w:r>
        <w:rPr>
          <w:rFonts w:ascii="Times New Roman" w:hAnsi="Times New Roman" w:eastAsia="宋体" w:cs="Times New Roman"/>
          <w:sz w:val="24"/>
        </w:rPr>
        <w:t xml:space="preserve"> Xunping Jiang; </w:t>
      </w:r>
      <w:r>
        <w:rPr>
          <w:rFonts w:ascii="Times New Roman" w:hAnsi="Times New Roman" w:eastAsia="宋体" w:cs="Times New Roman"/>
          <w:b/>
          <w:bCs/>
          <w:sz w:val="24"/>
        </w:rPr>
        <w:t>Formal analysis and investigation:</w:t>
      </w:r>
      <w:r>
        <w:rPr>
          <w:rFonts w:ascii="Times New Roman" w:hAnsi="Times New Roman" w:eastAsia="宋体" w:cs="Times New Roman"/>
          <w:sz w:val="24"/>
        </w:rPr>
        <w:t xml:space="preserve"> </w:t>
      </w:r>
      <w:r>
        <w:rPr>
          <w:rFonts w:hint="eastAsia" w:ascii="Times New Roman" w:hAnsi="Times New Roman" w:eastAsia="宋体" w:cs="Times New Roman"/>
          <w:sz w:val="24"/>
        </w:rPr>
        <w:t>Yiyu Sha</w:t>
      </w:r>
      <w:r>
        <w:rPr>
          <w:rFonts w:ascii="Times New Roman" w:hAnsi="Times New Roman" w:eastAsia="宋体" w:cs="Times New Roman"/>
          <w:sz w:val="24"/>
        </w:rPr>
        <w:t>;</w:t>
      </w:r>
      <w:r>
        <w:rPr>
          <w:rFonts w:hint="eastAsia" w:ascii="Times New Roman" w:hAnsi="Times New Roman" w:eastAsia="宋体" w:cs="Times New Roman"/>
          <w:sz w:val="24"/>
        </w:rPr>
        <w:t xml:space="preserve"> </w:t>
      </w:r>
      <w:r>
        <w:rPr>
          <w:rFonts w:ascii="Times New Roman" w:hAnsi="Times New Roman" w:eastAsia="宋体" w:cs="Times New Roman"/>
          <w:b/>
          <w:bCs/>
          <w:sz w:val="24"/>
        </w:rPr>
        <w:t xml:space="preserve">Writing - original draft preparation: </w:t>
      </w:r>
      <w:r>
        <w:rPr>
          <w:rFonts w:hint="eastAsia" w:ascii="Times New Roman" w:hAnsi="Times New Roman" w:eastAsia="宋体" w:cs="Times New Roman"/>
          <w:sz w:val="24"/>
        </w:rPr>
        <w:t>Yiyu Sha</w:t>
      </w:r>
      <w:r>
        <w:rPr>
          <w:rFonts w:ascii="Times New Roman" w:hAnsi="Times New Roman" w:eastAsia="宋体" w:cs="Times New Roman"/>
          <w:sz w:val="24"/>
        </w:rPr>
        <w:t>; Xunping Jiang</w:t>
      </w:r>
      <w:r>
        <w:rPr>
          <w:rFonts w:hint="eastAsia" w:ascii="Times New Roman" w:hAnsi="Times New Roman" w:eastAsia="宋体" w:cs="Times New Roman"/>
          <w:sz w:val="24"/>
        </w:rPr>
        <w:t xml:space="preserve">; </w:t>
      </w:r>
      <w:r>
        <w:rPr>
          <w:rFonts w:ascii="Times New Roman" w:hAnsi="Times New Roman" w:eastAsia="宋体" w:cs="Times New Roman"/>
          <w:b/>
          <w:bCs/>
          <w:sz w:val="24"/>
        </w:rPr>
        <w:t>Writing - review and editing:</w:t>
      </w:r>
      <w:r>
        <w:rPr>
          <w:rFonts w:ascii="Times New Roman" w:hAnsi="Times New Roman" w:eastAsia="宋体" w:cs="Times New Roman"/>
          <w:sz w:val="24"/>
        </w:rPr>
        <w:t xml:space="preserve"> all authors</w:t>
      </w:r>
      <w:r>
        <w:rPr>
          <w:rFonts w:hint="eastAsia" w:ascii="Times New Roman" w:hAnsi="Times New Roman" w:eastAsia="宋体" w:cs="Times New Roman"/>
          <w:sz w:val="24"/>
        </w:rPr>
        <w:t xml:space="preserve">; </w:t>
      </w:r>
      <w:r>
        <w:rPr>
          <w:rFonts w:ascii="Times New Roman" w:hAnsi="Times New Roman" w:eastAsia="宋体" w:cs="Times New Roman"/>
          <w:b/>
          <w:bCs/>
          <w:sz w:val="24"/>
        </w:rPr>
        <w:t>Resources:</w:t>
      </w:r>
      <w:r>
        <w:rPr>
          <w:rFonts w:ascii="Times New Roman" w:hAnsi="Times New Roman" w:eastAsia="宋体" w:cs="Times New Roman"/>
          <w:sz w:val="24"/>
        </w:rPr>
        <w:t xml:space="preserve"> Huiguo Yang; Fuqing Hou</w:t>
      </w:r>
      <w:r>
        <w:rPr>
          <w:rFonts w:hint="eastAsia" w:ascii="Times New Roman" w:hAnsi="Times New Roman" w:eastAsia="宋体" w:cs="Times New Roman"/>
          <w:sz w:val="24"/>
        </w:rPr>
        <w:t xml:space="preserve">; </w:t>
      </w:r>
      <w:r>
        <w:rPr>
          <w:rFonts w:ascii="Times New Roman" w:hAnsi="Times New Roman" w:eastAsia="宋体" w:cs="Times New Roman"/>
          <w:sz w:val="24"/>
        </w:rPr>
        <w:t>Yongbin Liu</w:t>
      </w:r>
      <w:r>
        <w:rPr>
          <w:rFonts w:hint="eastAsia" w:ascii="Times New Roman" w:hAnsi="Times New Roman" w:eastAsia="宋体" w:cs="Times New Roman"/>
          <w:sz w:val="24"/>
        </w:rPr>
        <w:t>; Jianping Ding;</w:t>
      </w:r>
      <w:r>
        <w:rPr>
          <w:rFonts w:ascii="Times New Roman" w:hAnsi="Times New Roman" w:eastAsia="宋体" w:cs="Times New Roman"/>
          <w:sz w:val="24"/>
        </w:rPr>
        <w:t xml:space="preserve"> </w:t>
      </w:r>
      <w:r>
        <w:rPr>
          <w:rFonts w:ascii="Times New Roman" w:hAnsi="Times New Roman" w:eastAsia="宋体" w:cs="Times New Roman"/>
          <w:b/>
          <w:bCs/>
          <w:sz w:val="24"/>
        </w:rPr>
        <w:t>Supervision:</w:t>
      </w:r>
      <w:r>
        <w:rPr>
          <w:rFonts w:ascii="Times New Roman" w:hAnsi="Times New Roman" w:eastAsia="宋体" w:cs="Times New Roman"/>
          <w:sz w:val="24"/>
        </w:rPr>
        <w:t xml:space="preserve"> Xunping Jiang. All the authors have read and approved the final manuscript.</w:t>
      </w:r>
    </w:p>
    <w:p w14:paraId="52FDA5AB">
      <w:pPr>
        <w:keepNext/>
        <w:keepLines/>
        <w:widowControl/>
        <w:spacing w:line="360" w:lineRule="auto"/>
        <w:outlineLvl w:val="0"/>
        <w:rPr>
          <w:rFonts w:ascii="Times New Roman" w:hAnsi="Times New Roman" w:eastAsia="宋体" w:cs="Times New Roman"/>
          <w:b/>
          <w:bCs/>
          <w:color w:val="1F1F1F"/>
          <w:kern w:val="0"/>
          <w:sz w:val="28"/>
          <w:szCs w:val="28"/>
        </w:rPr>
      </w:pPr>
      <w:r>
        <w:rPr>
          <w:rFonts w:ascii="Times New Roman" w:hAnsi="Times New Roman" w:eastAsia="宋体" w:cs="Times New Roman"/>
          <w:b/>
          <w:bCs/>
          <w:color w:val="1F1F1F"/>
          <w:kern w:val="0"/>
          <w:sz w:val="28"/>
          <w:szCs w:val="28"/>
        </w:rPr>
        <w:t>Declaration of Competing Interest</w:t>
      </w:r>
    </w:p>
    <w:p w14:paraId="67C9656A">
      <w:pPr>
        <w:keepNext/>
        <w:keepLines/>
        <w:widowControl/>
        <w:spacing w:line="360" w:lineRule="auto"/>
        <w:rPr>
          <w:rFonts w:ascii="Times New Roman" w:hAnsi="Times New Roman" w:cs="Times New Roman"/>
          <w:sz w:val="24"/>
        </w:rPr>
      </w:pPr>
      <w:r>
        <w:rPr>
          <w:rFonts w:ascii="Times New Roman" w:hAnsi="Times New Roman" w:cs="Times New Roman"/>
          <w:sz w:val="24"/>
        </w:rPr>
        <w:t>The authors declare that none of the experiments in this manuscript present a conflict</w:t>
      </w:r>
      <w:r>
        <w:rPr>
          <w:rFonts w:ascii="Times New Roman" w:hAnsi="Times New Roman" w:eastAsia="宋体" w:cs="Times New Roman"/>
          <w:sz w:val="24"/>
        </w:rPr>
        <w:t xml:space="preserve"> </w:t>
      </w:r>
      <w:r>
        <w:rPr>
          <w:rFonts w:ascii="Times New Roman" w:hAnsi="Times New Roman" w:cs="Times New Roman"/>
          <w:sz w:val="24"/>
        </w:rPr>
        <w:t>of interest.</w:t>
      </w:r>
    </w:p>
    <w:p w14:paraId="34447A9C">
      <w:pPr>
        <w:keepNext/>
        <w:keepLines/>
        <w:widowControl/>
        <w:spacing w:line="360" w:lineRule="auto"/>
        <w:outlineLvl w:val="0"/>
        <w:rPr>
          <w:rFonts w:ascii="Times New Roman" w:hAnsi="Times New Roman" w:eastAsia="宋体" w:cs="Times New Roman"/>
          <w:b/>
          <w:bCs/>
          <w:kern w:val="0"/>
          <w:sz w:val="28"/>
          <w:szCs w:val="28"/>
        </w:rPr>
      </w:pPr>
      <w:r>
        <w:rPr>
          <w:rFonts w:ascii="Times New Roman" w:hAnsi="Times New Roman" w:eastAsia="宋体" w:cs="Times New Roman"/>
          <w:b/>
          <w:bCs/>
          <w:kern w:val="0"/>
          <w:sz w:val="28"/>
          <w:szCs w:val="28"/>
        </w:rPr>
        <w:t>Acknowledgment</w:t>
      </w:r>
      <w:r>
        <w:rPr>
          <w:rFonts w:hint="eastAsia" w:ascii="Times New Roman" w:hAnsi="Times New Roman" w:eastAsia="宋体" w:cs="Times New Roman"/>
          <w:b/>
          <w:bCs/>
          <w:kern w:val="0"/>
          <w:sz w:val="28"/>
          <w:szCs w:val="28"/>
        </w:rPr>
        <w:t>s</w:t>
      </w:r>
      <w:r>
        <w:rPr>
          <w:rFonts w:ascii="Times New Roman" w:hAnsi="Times New Roman" w:eastAsia="宋体" w:cs="Times New Roman"/>
          <w:b/>
          <w:bCs/>
          <w:kern w:val="0"/>
          <w:sz w:val="28"/>
          <w:szCs w:val="28"/>
        </w:rPr>
        <w:t xml:space="preserve"> </w:t>
      </w:r>
    </w:p>
    <w:p w14:paraId="42208A1D">
      <w:pPr>
        <w:keepNext/>
        <w:keepLines/>
        <w:widowControl/>
        <w:spacing w:line="360" w:lineRule="auto"/>
        <w:rPr>
          <w:rFonts w:ascii="Times New Roman" w:hAnsi="Times New Roman" w:cs="Times New Roman"/>
          <w:sz w:val="24"/>
        </w:rPr>
      </w:pPr>
      <w:r>
        <w:rPr>
          <w:rFonts w:ascii="Times New Roman" w:hAnsi="Times New Roman" w:cs="Times New Roman"/>
          <w:sz w:val="24"/>
        </w:rPr>
        <w:t>The authors would like to express their gratitude to the following for their support: the Biological Breeding - National Science and Technology Major Project (No. 2022ZD0401403); the Germplasm Innovation Project of Prolificacy Sheep in Xinjiang Agricultural Region (2023A02004 - 1); the Breeding of High-Performance Meat Sheep in the Major Program (JD) of Hubei Province (2023BAA029); and the China Agriculture Research System of the Ministry of Finance and the Ministry of Agriculture and Rural Affairs (CARS - 38), as well as the "Tianchi Talent" &amp; "Tianshan Talent" Distinguished Expert Program.</w:t>
      </w:r>
    </w:p>
    <w:p w14:paraId="755F5366">
      <w:pPr>
        <w:keepNext/>
        <w:keepLines/>
        <w:widowControl/>
        <w:spacing w:line="360" w:lineRule="auto"/>
        <w:rPr>
          <w:rFonts w:ascii="Times New Roman" w:hAnsi="Times New Roman" w:cs="Times New Roman"/>
          <w:sz w:val="24"/>
        </w:rPr>
      </w:pPr>
      <w:r>
        <w:rPr>
          <w:rFonts w:ascii="Times New Roman" w:hAnsi="Times New Roman" w:cs="Times New Roman"/>
          <w:sz w:val="24"/>
        </w:rPr>
        <w:t>The authors are especially indebted to the workers at Zhiqinghe Farm for taking care of the experimental sheep. Additionally, the authors extend their appreciation to Han Yang for his assistance during data collection and to Dr. Assad for his meticulous proofreading.</w:t>
      </w:r>
    </w:p>
    <w:p w14:paraId="650F5A3A">
      <w:pPr>
        <w:keepNext/>
        <w:keepLines/>
        <w:widowControl/>
        <w:spacing w:line="360" w:lineRule="auto"/>
        <w:outlineLvl w:val="0"/>
        <w:rPr>
          <w:rFonts w:ascii="Times New Roman" w:hAnsi="Times New Roman" w:eastAsia="宋体" w:cs="Times New Roman"/>
          <w:b/>
          <w:bCs/>
          <w:kern w:val="0"/>
          <w:sz w:val="28"/>
          <w:szCs w:val="28"/>
        </w:rPr>
      </w:pPr>
      <w:r>
        <w:rPr>
          <w:rFonts w:ascii="Times New Roman" w:hAnsi="Times New Roman" w:eastAsia="宋体" w:cs="Times New Roman"/>
          <w:b/>
          <w:bCs/>
          <w:kern w:val="0"/>
          <w:sz w:val="28"/>
          <w:szCs w:val="28"/>
        </w:rPr>
        <w:t xml:space="preserve">Data availability </w:t>
      </w:r>
      <w:r>
        <w:rPr>
          <w:rFonts w:hint="eastAsia" w:ascii="Times New Roman" w:hAnsi="Times New Roman" w:eastAsia="宋体" w:cs="Times New Roman"/>
          <w:b/>
          <w:bCs/>
          <w:kern w:val="0"/>
          <w:sz w:val="28"/>
          <w:szCs w:val="28"/>
        </w:rPr>
        <w:t xml:space="preserve">statement </w:t>
      </w:r>
    </w:p>
    <w:p w14:paraId="19054BBF">
      <w:pPr>
        <w:keepNext/>
        <w:keepLines/>
        <w:widowControl/>
        <w:spacing w:line="360" w:lineRule="auto"/>
        <w:rPr>
          <w:rFonts w:ascii="Times New Roman" w:hAnsi="Times New Roman" w:cs="Times New Roman"/>
          <w:sz w:val="24"/>
        </w:rPr>
      </w:pPr>
      <w:r>
        <w:rPr>
          <w:rFonts w:hint="eastAsia" w:ascii="Times New Roman" w:hAnsi="Times New Roman" w:cs="Times New Roman"/>
          <w:sz w:val="24"/>
        </w:rPr>
        <w:t>The whole-genome resequencing datasets of Hu sheep supporting the conclusions of this article have been submitted</w:t>
      </w:r>
      <w:r>
        <w:rPr>
          <w:rFonts w:ascii="Times New Roman" w:hAnsi="Times New Roman" w:cs="Times New Roman"/>
          <w:sz w:val="24"/>
        </w:rPr>
        <w:t xml:space="preserve"> </w:t>
      </w:r>
      <w:r>
        <w:rPr>
          <w:rFonts w:hint="eastAsia" w:ascii="Times New Roman" w:hAnsi="Times New Roman" w:cs="Times New Roman"/>
          <w:sz w:val="24"/>
        </w:rPr>
        <w:t>to the NCBI Sequence Read Archive under Bio Project ID</w:t>
      </w:r>
      <w:r>
        <w:rPr>
          <w:rFonts w:ascii="Times New Roman" w:hAnsi="Times New Roman" w:cs="Times New Roman"/>
          <w:sz w:val="24"/>
        </w:rPr>
        <w:t xml:space="preserve"> PRJNA1193322 and </w:t>
      </w:r>
      <w:r>
        <w:rPr>
          <w:rFonts w:hint="eastAsia" w:ascii="Times New Roman" w:hAnsi="Times New Roman" w:cs="Times New Roman"/>
          <w:sz w:val="24"/>
        </w:rPr>
        <w:t>PRJNA675390.</w:t>
      </w:r>
    </w:p>
    <w:p w14:paraId="7B37AEB5">
      <w:pPr>
        <w:pStyle w:val="2"/>
        <w:keepNext/>
        <w:keepLines/>
        <w:numPr>
          <w:ilvl w:val="0"/>
          <w:numId w:val="0"/>
        </w:numPr>
        <w:spacing w:beforeAutospacing="0" w:afterAutospacing="0" w:line="360" w:lineRule="auto"/>
        <w:jc w:val="both"/>
        <w:rPr>
          <w:rFonts w:hint="default" w:ascii="Times New Roman" w:hAnsi="Times New Roman" w:eastAsia="黑体"/>
          <w:sz w:val="32"/>
          <w:szCs w:val="32"/>
        </w:rPr>
      </w:pPr>
      <w:r>
        <w:rPr>
          <w:rFonts w:hint="default" w:ascii="Times New Roman" w:hAnsi="Times New Roman" w:eastAsia="黑体"/>
          <w:sz w:val="32"/>
          <w:szCs w:val="32"/>
        </w:rPr>
        <w:t>References</w:t>
      </w:r>
      <w:r>
        <w:rPr>
          <w:rFonts w:ascii="Times New Roman" w:hAnsi="Times New Roman" w:eastAsia="黑体"/>
          <w:sz w:val="32"/>
          <w:szCs w:val="32"/>
        </w:rPr>
        <w:t xml:space="preserve"> </w:t>
      </w:r>
    </w:p>
    <w:p w14:paraId="22364B2B">
      <w:pPr>
        <w:pStyle w:val="43"/>
        <w:rPr>
          <w:rFonts w:ascii="Times New Roman" w:hAnsi="Times New Roman" w:cs="Times New Roman"/>
          <w:sz w:val="24"/>
        </w:rPr>
      </w:pPr>
      <w:r>
        <w:rPr>
          <w:rFonts w:ascii="Times New Roman" w:hAnsi="Times New Roman" w:cs="Times New Roman"/>
          <w:sz w:val="24"/>
        </w:rPr>
        <w:t>1.</w:t>
      </w:r>
      <w:r>
        <w:rPr>
          <w:rFonts w:ascii="Times New Roman" w:hAnsi="Times New Roman" w:cs="Times New Roman"/>
          <w:sz w:val="24"/>
        </w:rPr>
        <w:tab/>
      </w:r>
      <w:r>
        <w:rPr>
          <w:rFonts w:ascii="Times New Roman" w:hAnsi="Times New Roman" w:cs="Times New Roman"/>
          <w:sz w:val="24"/>
        </w:rPr>
        <w:t>Uruakpa FO, Ismond MAH, Akobundu ENTJNR. Colostrum and its benefits: a review. 2002;22(6):755-67.</w:t>
      </w:r>
    </w:p>
    <w:p w14:paraId="17EE7C60">
      <w:pPr>
        <w:pStyle w:val="43"/>
        <w:rPr>
          <w:rFonts w:ascii="Times New Roman" w:hAnsi="Times New Roman" w:cs="Times New Roman"/>
          <w:sz w:val="24"/>
        </w:rPr>
      </w:pPr>
      <w:r>
        <w:rPr>
          <w:rFonts w:ascii="Times New Roman" w:hAnsi="Times New Roman" w:cs="Times New Roman"/>
          <w:sz w:val="24"/>
        </w:rPr>
        <w:t>2.</w:t>
      </w:r>
      <w:r>
        <w:rPr>
          <w:rFonts w:ascii="Times New Roman" w:hAnsi="Times New Roman" w:cs="Times New Roman"/>
          <w:sz w:val="24"/>
        </w:rPr>
        <w:tab/>
      </w:r>
      <w:r>
        <w:rPr>
          <w:rFonts w:ascii="Times New Roman" w:hAnsi="Times New Roman" w:cs="Times New Roman"/>
          <w:sz w:val="24"/>
        </w:rPr>
        <w:t>Lorenzo HC, Andre A, Noemi C, Anastasio AJCP, Science P. The Colostrum Proteome, Ruminant Nutrition and Immunity: A Review. 2014;15(1):-.</w:t>
      </w:r>
    </w:p>
    <w:p w14:paraId="33263ADA">
      <w:pPr>
        <w:pStyle w:val="43"/>
        <w:rPr>
          <w:rFonts w:ascii="Times New Roman" w:hAnsi="Times New Roman" w:cs="Times New Roman"/>
          <w:sz w:val="24"/>
        </w:rPr>
      </w:pPr>
      <w:r>
        <w:rPr>
          <w:rFonts w:ascii="Times New Roman" w:hAnsi="Times New Roman" w:cs="Times New Roman"/>
          <w:sz w:val="24"/>
        </w:rPr>
        <w:t>3.</w:t>
      </w:r>
      <w:r>
        <w:rPr>
          <w:rFonts w:ascii="Times New Roman" w:hAnsi="Times New Roman" w:cs="Times New Roman"/>
          <w:sz w:val="24"/>
        </w:rPr>
        <w:tab/>
      </w:r>
      <w:r>
        <w:rPr>
          <w:rFonts w:ascii="Times New Roman" w:hAnsi="Times New Roman" w:cs="Times New Roman"/>
          <w:sz w:val="24"/>
        </w:rPr>
        <w:t>Bigler NA, Bruckmaier RM, Gross JJ. Implications of placentation type on species-specific colostrum properties in mammals. Journal of animal science. 2022;100(12).</w:t>
      </w:r>
    </w:p>
    <w:p w14:paraId="5CAC9E13">
      <w:pPr>
        <w:pStyle w:val="43"/>
        <w:rPr>
          <w:rFonts w:ascii="Times New Roman" w:hAnsi="Times New Roman" w:cs="Times New Roman"/>
          <w:sz w:val="24"/>
        </w:rPr>
      </w:pPr>
      <w:r>
        <w:rPr>
          <w:rFonts w:ascii="Times New Roman" w:hAnsi="Times New Roman" w:cs="Times New Roman"/>
          <w:sz w:val="24"/>
        </w:rPr>
        <w:t>4.</w:t>
      </w:r>
      <w:r>
        <w:rPr>
          <w:rFonts w:ascii="Times New Roman" w:hAnsi="Times New Roman" w:cs="Times New Roman"/>
          <w:sz w:val="24"/>
        </w:rPr>
        <w:tab/>
      </w:r>
      <w:r>
        <w:rPr>
          <w:rFonts w:ascii="Times New Roman" w:hAnsi="Times New Roman" w:cs="Times New Roman"/>
          <w:sz w:val="24"/>
        </w:rPr>
        <w:t>Zhou A, Chong Y, Liu G, Jiang X, Huang Y, Bo D, et al. Changes in colostrum ingredients of Hu sheep, as well as the missense mutation genes associated with colostrum yield. Animal biotechnology. 2023;34(4):1492-504.</w:t>
      </w:r>
    </w:p>
    <w:p w14:paraId="653939C8">
      <w:pPr>
        <w:pStyle w:val="43"/>
        <w:rPr>
          <w:rFonts w:ascii="Times New Roman" w:hAnsi="Times New Roman" w:cs="Times New Roman"/>
          <w:sz w:val="24"/>
        </w:rPr>
      </w:pPr>
      <w:r>
        <w:rPr>
          <w:rFonts w:ascii="Times New Roman" w:hAnsi="Times New Roman" w:cs="Times New Roman"/>
          <w:sz w:val="24"/>
        </w:rPr>
        <w:t>5.</w:t>
      </w:r>
      <w:r>
        <w:rPr>
          <w:rFonts w:ascii="Times New Roman" w:hAnsi="Times New Roman" w:cs="Times New Roman"/>
          <w:sz w:val="24"/>
        </w:rPr>
        <w:tab/>
      </w:r>
      <w:r>
        <w:rPr>
          <w:rFonts w:ascii="Times New Roman" w:hAnsi="Times New Roman" w:cs="Times New Roman"/>
          <w:sz w:val="24"/>
        </w:rPr>
        <w:t>Nowak R, Poindron P. From birth to colostrum: early steps leading to lamb survival. Reproduction, nutrition, development. 2006;46(4):431-46.</w:t>
      </w:r>
    </w:p>
    <w:p w14:paraId="5F6AA9A9">
      <w:pPr>
        <w:pStyle w:val="43"/>
        <w:rPr>
          <w:rFonts w:ascii="Times New Roman" w:hAnsi="Times New Roman" w:cs="Times New Roman"/>
          <w:sz w:val="24"/>
        </w:rPr>
      </w:pPr>
      <w:r>
        <w:rPr>
          <w:rFonts w:ascii="Times New Roman" w:hAnsi="Times New Roman" w:cs="Times New Roman"/>
          <w:sz w:val="24"/>
        </w:rPr>
        <w:t>6.</w:t>
      </w:r>
      <w:r>
        <w:rPr>
          <w:rFonts w:ascii="Times New Roman" w:hAnsi="Times New Roman" w:cs="Times New Roman"/>
          <w:sz w:val="24"/>
        </w:rPr>
        <w:tab/>
      </w:r>
      <w:r>
        <w:rPr>
          <w:rFonts w:ascii="Times New Roman" w:hAnsi="Times New Roman" w:cs="Times New Roman"/>
          <w:sz w:val="24"/>
        </w:rPr>
        <w:t>Kessler EC, Bruckmaier RM, Gross JJ. Immunoglobulin G content and colostrum composition of different goat and sheep breeds in Switzerland and Germany. Journal of dairy science. 2019;102(6):5542-9.</w:t>
      </w:r>
    </w:p>
    <w:p w14:paraId="19FBA9D7">
      <w:pPr>
        <w:pStyle w:val="43"/>
        <w:rPr>
          <w:rFonts w:ascii="Times New Roman" w:hAnsi="Times New Roman" w:cs="Times New Roman"/>
          <w:sz w:val="24"/>
        </w:rPr>
      </w:pPr>
      <w:r>
        <w:rPr>
          <w:rFonts w:ascii="Times New Roman" w:hAnsi="Times New Roman" w:cs="Times New Roman"/>
          <w:sz w:val="24"/>
        </w:rPr>
        <w:t>7.</w:t>
      </w:r>
      <w:r>
        <w:rPr>
          <w:rFonts w:ascii="Times New Roman" w:hAnsi="Times New Roman" w:cs="Times New Roman"/>
          <w:sz w:val="24"/>
        </w:rPr>
        <w:tab/>
      </w:r>
      <w:r>
        <w:rPr>
          <w:rFonts w:ascii="Times New Roman" w:hAnsi="Times New Roman" w:cs="Times New Roman"/>
          <w:sz w:val="24"/>
        </w:rPr>
        <w:t>Kessler EC, Bruckmaier RM, Gross JJJJoDS. Immunoglobulin G content and colostrum composition of different goat and sheep breeds in Switzerland and Germany. 2019.</w:t>
      </w:r>
    </w:p>
    <w:p w14:paraId="66AF50BB">
      <w:pPr>
        <w:pStyle w:val="43"/>
        <w:rPr>
          <w:rFonts w:ascii="Times New Roman" w:hAnsi="Times New Roman" w:cs="Times New Roman"/>
          <w:sz w:val="24"/>
        </w:rPr>
      </w:pPr>
      <w:r>
        <w:rPr>
          <w:rFonts w:ascii="Times New Roman" w:hAnsi="Times New Roman" w:cs="Times New Roman"/>
          <w:sz w:val="24"/>
        </w:rPr>
        <w:t>8.</w:t>
      </w:r>
      <w:r>
        <w:rPr>
          <w:rFonts w:ascii="Times New Roman" w:hAnsi="Times New Roman" w:cs="Times New Roman"/>
          <w:sz w:val="24"/>
        </w:rPr>
        <w:tab/>
      </w:r>
      <w:r>
        <w:rPr>
          <w:rFonts w:ascii="Times New Roman" w:hAnsi="Times New Roman" w:cs="Times New Roman"/>
          <w:sz w:val="24"/>
        </w:rPr>
        <w:t>Griffiths KJ, Ridler AL, Compton C, Corner-Thomas RA, Kenyon PR. Investigating associations between lamb survival to weaning and dam udder and teat scores. New Zealand veterinary journal. 2019;67(4):163-71.</w:t>
      </w:r>
    </w:p>
    <w:p w14:paraId="6EB8F58A">
      <w:pPr>
        <w:pStyle w:val="43"/>
        <w:rPr>
          <w:rFonts w:ascii="Times New Roman" w:hAnsi="Times New Roman" w:cs="Times New Roman"/>
          <w:sz w:val="24"/>
        </w:rPr>
      </w:pPr>
      <w:r>
        <w:rPr>
          <w:rFonts w:ascii="Times New Roman" w:hAnsi="Times New Roman" w:cs="Times New Roman"/>
          <w:sz w:val="24"/>
        </w:rPr>
        <w:t>9.</w:t>
      </w:r>
      <w:r>
        <w:rPr>
          <w:rFonts w:ascii="Times New Roman" w:hAnsi="Times New Roman" w:cs="Times New Roman"/>
          <w:sz w:val="24"/>
        </w:rPr>
        <w:tab/>
      </w:r>
      <w:r>
        <w:rPr>
          <w:rFonts w:ascii="Times New Roman" w:hAnsi="Times New Roman" w:cs="Times New Roman"/>
          <w:sz w:val="24"/>
        </w:rPr>
        <w:t>Abdel-Salam ZA, Abdel-Salam SAM, Abdel M, II, Harith MA. Evaluation of proteins in sheep colostrum via laser-induced breakdown spectroscopy and multivariate analysis. Journal of advanced research. 2019;15:19-25.</w:t>
      </w:r>
    </w:p>
    <w:p w14:paraId="48B0A6A5">
      <w:pPr>
        <w:pStyle w:val="43"/>
        <w:rPr>
          <w:rFonts w:ascii="Times New Roman" w:hAnsi="Times New Roman" w:cs="Times New Roman"/>
          <w:sz w:val="24"/>
        </w:rPr>
      </w:pPr>
      <w:r>
        <w:rPr>
          <w:rFonts w:ascii="Times New Roman" w:hAnsi="Times New Roman" w:cs="Times New Roman"/>
          <w:sz w:val="24"/>
        </w:rPr>
        <w:t>10.</w:t>
      </w:r>
      <w:r>
        <w:rPr>
          <w:rFonts w:ascii="Times New Roman" w:hAnsi="Times New Roman" w:cs="Times New Roman"/>
          <w:sz w:val="24"/>
        </w:rPr>
        <w:tab/>
      </w:r>
      <w:r>
        <w:rPr>
          <w:rFonts w:ascii="Times New Roman" w:hAnsi="Times New Roman" w:cs="Times New Roman"/>
          <w:sz w:val="24"/>
        </w:rPr>
        <w:t>Hashemi M, Zamiri MJ, Safdarian MJSRR. Effects of nutritional level during late pregnancy on colostral production and blood immunoglobulin levels of Karakul ewes and their lambs. 2008;75(2-3):204-9.</w:t>
      </w:r>
    </w:p>
    <w:p w14:paraId="3BF5D6FE">
      <w:pPr>
        <w:pStyle w:val="43"/>
        <w:rPr>
          <w:rFonts w:ascii="Times New Roman" w:hAnsi="Times New Roman" w:cs="Times New Roman"/>
          <w:sz w:val="24"/>
        </w:rPr>
      </w:pPr>
      <w:r>
        <w:rPr>
          <w:rFonts w:ascii="Times New Roman" w:hAnsi="Times New Roman" w:cs="Times New Roman"/>
          <w:sz w:val="24"/>
        </w:rPr>
        <w:t>11.</w:t>
      </w:r>
      <w:r>
        <w:rPr>
          <w:rFonts w:ascii="Times New Roman" w:hAnsi="Times New Roman" w:cs="Times New Roman"/>
          <w:sz w:val="24"/>
        </w:rPr>
        <w:tab/>
      </w:r>
      <w:r>
        <w:rPr>
          <w:rFonts w:ascii="Times New Roman" w:hAnsi="Times New Roman" w:cs="Times New Roman"/>
          <w:sz w:val="24"/>
        </w:rPr>
        <w:t>Tabatabaei, Saeid, Nikbakht, Gholamreza, Vatankhah, Mahmood, et al. Variation in colostral immunoglobulin G concentration in fat tailed sheep and evaluation of methods for estimation of colostral immunoglobulin content. 2013.</w:t>
      </w:r>
    </w:p>
    <w:p w14:paraId="614599F3">
      <w:pPr>
        <w:pStyle w:val="43"/>
        <w:rPr>
          <w:rFonts w:ascii="Times New Roman" w:hAnsi="Times New Roman" w:cs="Times New Roman"/>
          <w:sz w:val="24"/>
        </w:rPr>
      </w:pPr>
      <w:r>
        <w:rPr>
          <w:rFonts w:ascii="Times New Roman" w:hAnsi="Times New Roman" w:cs="Times New Roman"/>
          <w:sz w:val="24"/>
        </w:rPr>
        <w:t>12.</w:t>
      </w:r>
      <w:r>
        <w:rPr>
          <w:rFonts w:ascii="Times New Roman" w:hAnsi="Times New Roman" w:cs="Times New Roman"/>
          <w:sz w:val="24"/>
        </w:rPr>
        <w:tab/>
      </w:r>
      <w:r>
        <w:rPr>
          <w:rFonts w:ascii="Times New Roman" w:hAnsi="Times New Roman" w:cs="Times New Roman"/>
          <w:sz w:val="24"/>
        </w:rPr>
        <w:t>Seagroves TN, Hadsell D, McManaman J, Palmer C, Liao D, McNulty W, et al. HIF1α is a critical regulator of secretory differentiation and activation, but not vascular expansion, in the mouse mammary gland. Development. 2003;130(8):1713-24.</w:t>
      </w:r>
    </w:p>
    <w:p w14:paraId="462FEAA6">
      <w:pPr>
        <w:pStyle w:val="43"/>
        <w:rPr>
          <w:rFonts w:ascii="Times New Roman" w:hAnsi="Times New Roman" w:cs="Times New Roman"/>
          <w:sz w:val="24"/>
        </w:rPr>
      </w:pPr>
      <w:r>
        <w:rPr>
          <w:rFonts w:ascii="Times New Roman" w:hAnsi="Times New Roman" w:cs="Times New Roman"/>
          <w:sz w:val="24"/>
        </w:rPr>
        <w:t>13.</w:t>
      </w:r>
      <w:r>
        <w:rPr>
          <w:rFonts w:ascii="Times New Roman" w:hAnsi="Times New Roman" w:cs="Times New Roman"/>
          <w:sz w:val="24"/>
        </w:rPr>
        <w:tab/>
      </w:r>
      <w:r>
        <w:rPr>
          <w:rFonts w:ascii="Times New Roman" w:hAnsi="Times New Roman" w:cs="Times New Roman"/>
          <w:sz w:val="24"/>
        </w:rPr>
        <w:t>Li X, Yuan L, Wang W, Zhang D, Zhao Y, Chen J, et al. Whole genome re-sequencing reveals artificial and natural selection for milk traits in East Friesian sheep. Frontiers in veterinary science. 2022;9:1034211.</w:t>
      </w:r>
    </w:p>
    <w:p w14:paraId="3749C74F">
      <w:pPr>
        <w:pStyle w:val="43"/>
        <w:rPr>
          <w:rFonts w:ascii="Times New Roman" w:hAnsi="Times New Roman" w:cs="Times New Roman"/>
          <w:sz w:val="24"/>
        </w:rPr>
      </w:pPr>
      <w:r>
        <w:rPr>
          <w:rFonts w:ascii="Times New Roman" w:hAnsi="Times New Roman" w:cs="Times New Roman"/>
          <w:sz w:val="24"/>
        </w:rPr>
        <w:t>14.</w:t>
      </w:r>
      <w:r>
        <w:rPr>
          <w:rFonts w:ascii="Times New Roman" w:hAnsi="Times New Roman" w:cs="Times New Roman"/>
          <w:sz w:val="24"/>
        </w:rPr>
        <w:tab/>
      </w:r>
      <w:r>
        <w:rPr>
          <w:rFonts w:ascii="Times New Roman" w:hAnsi="Times New Roman" w:cs="Times New Roman"/>
          <w:sz w:val="24"/>
        </w:rPr>
        <w:t>Li R, Zhao Y, Liang B, Pu Y, Jiang L, Ma Y. Genome-Wide Signal Selection Analysis Revealing Genes Potentially Related to Sheep-Milk-Production Traits. Animals : an open access journal from MDPI. 2023;13(10).</w:t>
      </w:r>
    </w:p>
    <w:p w14:paraId="246FF5D8">
      <w:pPr>
        <w:pStyle w:val="43"/>
        <w:rPr>
          <w:rFonts w:ascii="Times New Roman" w:hAnsi="Times New Roman" w:cs="Times New Roman"/>
          <w:sz w:val="24"/>
        </w:rPr>
      </w:pPr>
      <w:r>
        <w:rPr>
          <w:rFonts w:ascii="Times New Roman" w:hAnsi="Times New Roman" w:cs="Times New Roman"/>
          <w:sz w:val="24"/>
        </w:rPr>
        <w:t>15.</w:t>
      </w:r>
      <w:r>
        <w:rPr>
          <w:rFonts w:ascii="Times New Roman" w:hAnsi="Times New Roman" w:cs="Times New Roman"/>
          <w:sz w:val="24"/>
        </w:rPr>
        <w:tab/>
      </w:r>
      <w:r>
        <w:rPr>
          <w:rFonts w:ascii="Times New Roman" w:hAnsi="Times New Roman" w:cs="Times New Roman"/>
          <w:sz w:val="24"/>
        </w:rPr>
        <w:t>Zhou A, Chong Y, Liu G, Jiang X, Huang Y, Bo D, et al. Changes in colostrum ingredients of Hu sheep, as well as the missense mutation genes associated with colostrum yield. 2022:1-13.</w:t>
      </w:r>
    </w:p>
    <w:p w14:paraId="763738A1">
      <w:pPr>
        <w:pStyle w:val="43"/>
        <w:rPr>
          <w:rFonts w:ascii="Times New Roman" w:hAnsi="Times New Roman" w:cs="Times New Roman"/>
          <w:sz w:val="24"/>
        </w:rPr>
      </w:pPr>
      <w:r>
        <w:rPr>
          <w:rFonts w:ascii="Times New Roman" w:hAnsi="Times New Roman" w:cs="Times New Roman"/>
          <w:sz w:val="24"/>
        </w:rPr>
        <w:t>16.</w:t>
      </w:r>
      <w:r>
        <w:rPr>
          <w:rFonts w:ascii="Times New Roman" w:hAnsi="Times New Roman" w:cs="Times New Roman"/>
          <w:sz w:val="24"/>
        </w:rPr>
        <w:tab/>
      </w:r>
      <w:r>
        <w:rPr>
          <w:rFonts w:ascii="Times New Roman" w:hAnsi="Times New Roman" w:cs="Times New Roman"/>
          <w:sz w:val="24"/>
        </w:rPr>
        <w:t>Hernández-Castellano LE, Almeida AM, Castro N, Argüello A. The colostrum proteome, ruminant nutrition and immunity: a review. Current protein &amp; peptide science. 2014;15(1):64-74.</w:t>
      </w:r>
    </w:p>
    <w:p w14:paraId="3F847E89">
      <w:pPr>
        <w:pStyle w:val="43"/>
        <w:rPr>
          <w:rFonts w:ascii="Times New Roman" w:hAnsi="Times New Roman" w:cs="Times New Roman"/>
          <w:sz w:val="24"/>
        </w:rPr>
      </w:pPr>
      <w:r>
        <w:rPr>
          <w:rFonts w:ascii="Times New Roman" w:hAnsi="Times New Roman" w:cs="Times New Roman"/>
          <w:sz w:val="24"/>
        </w:rPr>
        <w:t>17.</w:t>
      </w:r>
      <w:r>
        <w:rPr>
          <w:rFonts w:ascii="Times New Roman" w:hAnsi="Times New Roman" w:cs="Times New Roman"/>
          <w:sz w:val="24"/>
        </w:rPr>
        <w:tab/>
      </w:r>
      <w:r>
        <w:rPr>
          <w:rFonts w:ascii="Times New Roman" w:hAnsi="Times New Roman" w:cs="Times New Roman"/>
          <w:sz w:val="24"/>
        </w:rPr>
        <w:t>De Sousa PA, King T, Harkness L, Young LE, Walker SK, Wilmut I. Evaluation of gestational deficiencies in cloned sheep fetuses and placentae. Biology of reproduction. 2001;65(1):23-30.</w:t>
      </w:r>
    </w:p>
    <w:p w14:paraId="58F725F5">
      <w:pPr>
        <w:pStyle w:val="43"/>
        <w:rPr>
          <w:rFonts w:ascii="Times New Roman" w:hAnsi="Times New Roman" w:cs="Times New Roman"/>
          <w:sz w:val="24"/>
        </w:rPr>
      </w:pPr>
      <w:r>
        <w:rPr>
          <w:rFonts w:ascii="Times New Roman" w:hAnsi="Times New Roman" w:cs="Times New Roman"/>
          <w:sz w:val="24"/>
        </w:rPr>
        <w:t>18.</w:t>
      </w:r>
      <w:r>
        <w:rPr>
          <w:rFonts w:ascii="Times New Roman" w:hAnsi="Times New Roman" w:cs="Times New Roman"/>
          <w:sz w:val="24"/>
        </w:rPr>
        <w:tab/>
      </w:r>
      <w:r>
        <w:rPr>
          <w:rFonts w:ascii="Times New Roman" w:hAnsi="Times New Roman" w:cs="Times New Roman"/>
          <w:sz w:val="24"/>
        </w:rPr>
        <w:t>Hine BC, Hunt PW, Colditz IG. Production and active transport of immunoglobulins within the ruminant mammary gland. Veterinary immunology and immunopathology. 2019;211:75-84.</w:t>
      </w:r>
    </w:p>
    <w:p w14:paraId="1C782031">
      <w:pPr>
        <w:pStyle w:val="43"/>
        <w:rPr>
          <w:rFonts w:ascii="Times New Roman" w:hAnsi="Times New Roman" w:cs="Times New Roman"/>
          <w:sz w:val="24"/>
        </w:rPr>
      </w:pPr>
      <w:r>
        <w:rPr>
          <w:rFonts w:ascii="Times New Roman" w:hAnsi="Times New Roman" w:cs="Times New Roman"/>
          <w:sz w:val="24"/>
        </w:rPr>
        <w:t>19.</w:t>
      </w:r>
      <w:r>
        <w:rPr>
          <w:rFonts w:ascii="Times New Roman" w:hAnsi="Times New Roman" w:cs="Times New Roman"/>
          <w:sz w:val="24"/>
        </w:rPr>
        <w:tab/>
      </w:r>
      <w:r>
        <w:rPr>
          <w:rFonts w:ascii="Times New Roman" w:hAnsi="Times New Roman" w:cs="Times New Roman"/>
          <w:sz w:val="24"/>
        </w:rPr>
        <w:t>Hamer K, Bellingham M, Evans NP, Jones RO, Denholm KS. Defining optimal thresholds for digital Brix refractometry to determine IgG concentration in ewe colostrum and lamb serum in Scottish lowland sheep flocks. Preventive veterinary medicine. 2023;218:105988.</w:t>
      </w:r>
    </w:p>
    <w:p w14:paraId="4777B8C3">
      <w:pPr>
        <w:pStyle w:val="43"/>
        <w:rPr>
          <w:rFonts w:ascii="Times New Roman" w:hAnsi="Times New Roman" w:cs="Times New Roman"/>
          <w:sz w:val="24"/>
        </w:rPr>
      </w:pPr>
      <w:r>
        <w:rPr>
          <w:rFonts w:ascii="Times New Roman" w:hAnsi="Times New Roman" w:cs="Times New Roman"/>
          <w:sz w:val="24"/>
        </w:rPr>
        <w:t>20.</w:t>
      </w:r>
      <w:r>
        <w:rPr>
          <w:rFonts w:ascii="Times New Roman" w:hAnsi="Times New Roman" w:cs="Times New Roman"/>
          <w:sz w:val="24"/>
        </w:rPr>
        <w:tab/>
      </w:r>
      <w:r>
        <w:rPr>
          <w:rFonts w:ascii="Times New Roman" w:hAnsi="Times New Roman" w:cs="Times New Roman"/>
          <w:sz w:val="24"/>
        </w:rPr>
        <w:t>Hernandez-Castellano LE, Morales-Delanuez A, Sanchez-Macias D, Moreno-Indias I, Torres A, Capote J, et al. The effect of colostrum source (goat vs. sheep) and timing of the first colostrum feeding (2 h vs. 14 h after birth) on body weight and immune status of artificially reared newborn lambs. 2015;98(1):204-10.</w:t>
      </w:r>
    </w:p>
    <w:p w14:paraId="56F7FD2F">
      <w:pPr>
        <w:pStyle w:val="43"/>
        <w:rPr>
          <w:rFonts w:ascii="Times New Roman" w:hAnsi="Times New Roman" w:cs="Times New Roman"/>
          <w:sz w:val="24"/>
        </w:rPr>
      </w:pPr>
      <w:r>
        <w:rPr>
          <w:rFonts w:ascii="Times New Roman" w:hAnsi="Times New Roman" w:cs="Times New Roman"/>
          <w:sz w:val="24"/>
        </w:rPr>
        <w:t>21.</w:t>
      </w:r>
      <w:r>
        <w:rPr>
          <w:rFonts w:ascii="Times New Roman" w:hAnsi="Times New Roman" w:cs="Times New Roman"/>
          <w:sz w:val="24"/>
        </w:rPr>
        <w:tab/>
      </w:r>
      <w:r>
        <w:rPr>
          <w:rFonts w:ascii="Times New Roman" w:hAnsi="Times New Roman" w:cs="Times New Roman"/>
          <w:sz w:val="24"/>
        </w:rPr>
        <w:t>Hernández-Castellano LE, Morales-delaNuez A, Sánchez-Macías D, Moreno-Indias I, Torres A, Capote J, et al. The effect of colostrum source (goat vs. sheep) and timing of the first colostrum feeding (2h vs. 14h after birth) on body weight and immune status of artificially reared newborn lambs. Journal of dairy science. 2015;98(1):204-10.</w:t>
      </w:r>
    </w:p>
    <w:p w14:paraId="02B8E6F1">
      <w:pPr>
        <w:pStyle w:val="43"/>
        <w:rPr>
          <w:rFonts w:ascii="Times New Roman" w:hAnsi="Times New Roman" w:cs="Times New Roman"/>
          <w:sz w:val="24"/>
        </w:rPr>
      </w:pPr>
      <w:r>
        <w:rPr>
          <w:rFonts w:ascii="Times New Roman" w:hAnsi="Times New Roman" w:cs="Times New Roman"/>
          <w:sz w:val="24"/>
        </w:rPr>
        <w:t>22.</w:t>
      </w:r>
      <w:r>
        <w:rPr>
          <w:rFonts w:ascii="Times New Roman" w:hAnsi="Times New Roman" w:cs="Times New Roman"/>
          <w:sz w:val="24"/>
        </w:rPr>
        <w:tab/>
      </w:r>
      <w:r>
        <w:rPr>
          <w:rFonts w:ascii="Times New Roman" w:hAnsi="Times New Roman" w:cs="Times New Roman"/>
          <w:sz w:val="24"/>
        </w:rPr>
        <w:t>Kessler EC, Bruckmaier RM, Gross JJ. Short communication: Comparative estimation of colostrum quality by Brix refractometry in bovine, caprine, and ovine colostrum. Journal of dairy science. 2021;104(2):2438-44.</w:t>
      </w:r>
    </w:p>
    <w:p w14:paraId="0A80707D">
      <w:pPr>
        <w:pStyle w:val="43"/>
        <w:rPr>
          <w:rFonts w:ascii="Times New Roman" w:hAnsi="Times New Roman" w:cs="Times New Roman"/>
          <w:sz w:val="24"/>
        </w:rPr>
      </w:pPr>
      <w:r>
        <w:rPr>
          <w:rFonts w:ascii="Times New Roman" w:hAnsi="Times New Roman" w:cs="Times New Roman"/>
          <w:sz w:val="24"/>
        </w:rPr>
        <w:t>23.</w:t>
      </w:r>
      <w:r>
        <w:rPr>
          <w:rFonts w:ascii="Times New Roman" w:hAnsi="Times New Roman" w:cs="Times New Roman"/>
          <w:sz w:val="24"/>
        </w:rPr>
        <w:tab/>
      </w:r>
      <w:r>
        <w:rPr>
          <w:rFonts w:ascii="Times New Roman" w:hAnsi="Times New Roman" w:cs="Times New Roman"/>
          <w:sz w:val="24"/>
        </w:rPr>
        <w:t>Dwyer CM, Conington J, Corbiere F, Holmøy IH, Muri K, Nowak R, et al. Invited review: Improving neonatal survival in small ruminants: science into practice. Animal : an international journal of animal bioscience. 2016;10(3):449-59.</w:t>
      </w:r>
    </w:p>
    <w:p w14:paraId="7C682315">
      <w:pPr>
        <w:pStyle w:val="43"/>
        <w:rPr>
          <w:rFonts w:ascii="Times New Roman" w:hAnsi="Times New Roman" w:cs="Times New Roman"/>
          <w:sz w:val="24"/>
        </w:rPr>
      </w:pPr>
      <w:r>
        <w:rPr>
          <w:rFonts w:ascii="Times New Roman" w:hAnsi="Times New Roman" w:cs="Times New Roman"/>
          <w:sz w:val="24"/>
        </w:rPr>
        <w:t>24.</w:t>
      </w:r>
      <w:r>
        <w:rPr>
          <w:rFonts w:ascii="Times New Roman" w:hAnsi="Times New Roman" w:cs="Times New Roman"/>
          <w:sz w:val="24"/>
        </w:rPr>
        <w:tab/>
      </w:r>
      <w:r>
        <w:rPr>
          <w:rFonts w:ascii="Times New Roman" w:hAnsi="Times New Roman" w:cs="Times New Roman"/>
          <w:sz w:val="24"/>
        </w:rPr>
        <w:t>Guiso MF, Battacone G, Canu L, Deroma M, Langasco I, Sanna G, et al. Essential and Toxic Mineral Content and Fatty Acid Profile of Colostrum in Dairy Sheep. Animals : an open access journal from MDPI. 2022;12(20).</w:t>
      </w:r>
    </w:p>
    <w:p w14:paraId="4216CBE3">
      <w:pPr>
        <w:pStyle w:val="43"/>
        <w:rPr>
          <w:rFonts w:ascii="Times New Roman" w:hAnsi="Times New Roman" w:cs="Times New Roman"/>
          <w:sz w:val="24"/>
        </w:rPr>
      </w:pPr>
      <w:r>
        <w:rPr>
          <w:rFonts w:ascii="Times New Roman" w:hAnsi="Times New Roman" w:cs="Times New Roman"/>
          <w:sz w:val="24"/>
        </w:rPr>
        <w:t>25.</w:t>
      </w:r>
      <w:r>
        <w:rPr>
          <w:rFonts w:ascii="Times New Roman" w:hAnsi="Times New Roman" w:cs="Times New Roman"/>
          <w:sz w:val="24"/>
        </w:rPr>
        <w:tab/>
      </w:r>
      <w:r>
        <w:rPr>
          <w:rFonts w:ascii="Times New Roman" w:hAnsi="Times New Roman" w:cs="Times New Roman"/>
          <w:sz w:val="24"/>
        </w:rPr>
        <w:t>Marghani BH. Genetic Polymorphisms in LTF/EcoRI and TLR4/AluI loci impact on milk and reproductive performance in Holstein cattle. 2020.</w:t>
      </w:r>
    </w:p>
    <w:p w14:paraId="7F98AA56">
      <w:pPr>
        <w:pStyle w:val="43"/>
        <w:rPr>
          <w:rFonts w:ascii="Times New Roman" w:hAnsi="Times New Roman" w:cs="Times New Roman"/>
          <w:sz w:val="24"/>
        </w:rPr>
      </w:pPr>
      <w:r>
        <w:rPr>
          <w:rFonts w:ascii="Times New Roman" w:hAnsi="Times New Roman" w:cs="Times New Roman"/>
          <w:sz w:val="24"/>
        </w:rPr>
        <w:t>26.</w:t>
      </w:r>
      <w:r>
        <w:rPr>
          <w:rFonts w:ascii="Times New Roman" w:hAnsi="Times New Roman" w:cs="Times New Roman"/>
          <w:sz w:val="24"/>
        </w:rPr>
        <w:tab/>
      </w:r>
      <w:r>
        <w:rPr>
          <w:rFonts w:ascii="Times New Roman" w:hAnsi="Times New Roman" w:cs="Times New Roman"/>
          <w:sz w:val="24"/>
        </w:rPr>
        <w:t>Kaczmarek N, Jamka M, Walkowiak J. [An association of selected polymorphisms of the lactoferrin gene and genes for lactoferrin receptors in the prevalence of metabolic disorders in obese subjects]. Polski merkuriusz lekarski : organ Polskiego Towarzystwa Lekarskiego. 2020;48(284):120-3.</w:t>
      </w:r>
    </w:p>
    <w:p w14:paraId="1ECBB482">
      <w:pPr>
        <w:pStyle w:val="43"/>
        <w:rPr>
          <w:rFonts w:ascii="Times New Roman" w:hAnsi="Times New Roman" w:cs="Times New Roman"/>
          <w:sz w:val="24"/>
        </w:rPr>
      </w:pPr>
      <w:r>
        <w:rPr>
          <w:rFonts w:ascii="Times New Roman" w:hAnsi="Times New Roman" w:cs="Times New Roman"/>
          <w:sz w:val="24"/>
        </w:rPr>
        <w:t>27.</w:t>
      </w:r>
      <w:r>
        <w:rPr>
          <w:rFonts w:ascii="Times New Roman" w:hAnsi="Times New Roman" w:cs="Times New Roman"/>
          <w:sz w:val="24"/>
        </w:rPr>
        <w:tab/>
      </w:r>
      <w:r>
        <w:rPr>
          <w:rFonts w:ascii="Times New Roman" w:hAnsi="Times New Roman" w:cs="Times New Roman"/>
          <w:sz w:val="24"/>
        </w:rPr>
        <w:t>Gołąbek K, Rączka G, Gaździcka J, Miśkiewicz-Orczyk K, Zięba N, Krakowczyk Ł, et al. Single Nucleotide Polymorphism and mRNA Expression of LTF in Oral Squamous Cell Carcinoma. Genes. 2022;13(11).</w:t>
      </w:r>
    </w:p>
    <w:p w14:paraId="07D89E18">
      <w:pPr>
        <w:pStyle w:val="43"/>
        <w:rPr>
          <w:rFonts w:ascii="Times New Roman" w:hAnsi="Times New Roman" w:cs="Times New Roman"/>
          <w:sz w:val="24"/>
        </w:rPr>
      </w:pPr>
      <w:r>
        <w:rPr>
          <w:rFonts w:ascii="Times New Roman" w:hAnsi="Times New Roman" w:cs="Times New Roman"/>
          <w:sz w:val="24"/>
        </w:rPr>
        <w:t>28.</w:t>
      </w:r>
      <w:r>
        <w:rPr>
          <w:rFonts w:ascii="Times New Roman" w:hAnsi="Times New Roman" w:cs="Times New Roman"/>
          <w:sz w:val="24"/>
        </w:rPr>
        <w:tab/>
      </w:r>
      <w:r>
        <w:rPr>
          <w:rFonts w:ascii="Times New Roman" w:hAnsi="Times New Roman" w:cs="Times New Roman"/>
          <w:sz w:val="24"/>
        </w:rPr>
        <w:t>Moncada-Laínez M, Valladares-Medina PA, Castillo R, De la Rosa-Reyna XF, Sifuentes-Rincón AM, Moreno-Medina VR, et al. Lactoferrin gene polymorphisms associated with clinical mastitis in Honduran Holstein inheritance cows. Molecular biology reports. 2023;50(2):1949-52.</w:t>
      </w:r>
    </w:p>
    <w:p w14:paraId="1C35C168">
      <w:pPr>
        <w:pStyle w:val="43"/>
        <w:rPr>
          <w:rFonts w:ascii="Times New Roman" w:hAnsi="Times New Roman" w:cs="Times New Roman"/>
          <w:sz w:val="24"/>
        </w:rPr>
      </w:pPr>
      <w:r>
        <w:rPr>
          <w:rFonts w:ascii="Times New Roman" w:hAnsi="Times New Roman" w:cs="Times New Roman"/>
          <w:sz w:val="24"/>
        </w:rPr>
        <w:t>29.</w:t>
      </w:r>
      <w:r>
        <w:rPr>
          <w:rFonts w:ascii="Times New Roman" w:hAnsi="Times New Roman" w:cs="Times New Roman"/>
          <w:sz w:val="24"/>
        </w:rPr>
        <w:tab/>
      </w:r>
      <w:r>
        <w:rPr>
          <w:rFonts w:ascii="Times New Roman" w:hAnsi="Times New Roman" w:cs="Times New Roman"/>
          <w:sz w:val="24"/>
        </w:rPr>
        <w:t>Milan M, Slobodanka K, N. Đ, Nada L, M. P, Svetlana N, et al. Analysis of lactoferin gene polymophism and its association to milk quality and mammary gland health in Holstein-Friesian cows. 2013;63(5-6):487-98.</w:t>
      </w:r>
    </w:p>
    <w:p w14:paraId="55497F95">
      <w:pPr>
        <w:pStyle w:val="43"/>
        <w:rPr>
          <w:rFonts w:ascii="Times New Roman" w:hAnsi="Times New Roman" w:cs="Times New Roman"/>
          <w:sz w:val="24"/>
        </w:rPr>
      </w:pPr>
      <w:r>
        <w:rPr>
          <w:rFonts w:ascii="Times New Roman" w:hAnsi="Times New Roman" w:cs="Times New Roman"/>
          <w:sz w:val="24"/>
        </w:rPr>
        <w:t>30.</w:t>
      </w:r>
      <w:r>
        <w:rPr>
          <w:rFonts w:ascii="Times New Roman" w:hAnsi="Times New Roman" w:cs="Times New Roman"/>
          <w:sz w:val="24"/>
        </w:rPr>
        <w:tab/>
      </w:r>
      <w:r>
        <w:rPr>
          <w:rFonts w:ascii="Times New Roman" w:hAnsi="Times New Roman" w:cs="Times New Roman"/>
          <w:sz w:val="24"/>
        </w:rPr>
        <w:t>Kaminski S, Oleński K, Brym P, Malewski T, Sazanov AAJRJoG. Single nucleotide polymorphism in the promoter region of the lactoferrin gene and its associations with milk performance traits in Polish Holstein-Friesian cows. 2006;42(8):924-7.</w:t>
      </w:r>
    </w:p>
    <w:p w14:paraId="7FB057EF">
      <w:pPr>
        <w:pStyle w:val="43"/>
        <w:rPr>
          <w:rFonts w:ascii="Times New Roman" w:hAnsi="Times New Roman" w:cs="Times New Roman"/>
          <w:sz w:val="24"/>
        </w:rPr>
      </w:pPr>
      <w:r>
        <w:rPr>
          <w:rFonts w:ascii="Times New Roman" w:hAnsi="Times New Roman" w:cs="Times New Roman"/>
          <w:sz w:val="24"/>
        </w:rPr>
        <w:t>31.</w:t>
      </w:r>
      <w:r>
        <w:rPr>
          <w:rFonts w:ascii="Times New Roman" w:hAnsi="Times New Roman" w:cs="Times New Roman"/>
          <w:sz w:val="24"/>
        </w:rPr>
        <w:tab/>
      </w:r>
      <w:r>
        <w:rPr>
          <w:rFonts w:ascii="Times New Roman" w:hAnsi="Times New Roman" w:cs="Times New Roman"/>
          <w:sz w:val="24"/>
        </w:rPr>
        <w:t>O'Halloran F, Bahar B, Buckley F, O'Sullivan O, Sweeney T, Giblin LJB. Characterisation of single nucleotide polymorphisms identified in the bovine lactoferrin gene sequences across a range of dairy cow breeds. 2009;91(1):68-75.</w:t>
      </w:r>
    </w:p>
    <w:p w14:paraId="2B2A5FBD">
      <w:pPr>
        <w:pStyle w:val="43"/>
        <w:rPr>
          <w:rFonts w:ascii="Times New Roman" w:hAnsi="Times New Roman" w:cs="Times New Roman"/>
          <w:sz w:val="24"/>
        </w:rPr>
      </w:pPr>
      <w:r>
        <w:rPr>
          <w:rFonts w:ascii="Times New Roman" w:hAnsi="Times New Roman" w:cs="Times New Roman"/>
          <w:sz w:val="24"/>
        </w:rPr>
        <w:t>32.</w:t>
      </w:r>
      <w:r>
        <w:rPr>
          <w:rFonts w:ascii="Times New Roman" w:hAnsi="Times New Roman" w:cs="Times New Roman"/>
          <w:sz w:val="24"/>
        </w:rPr>
        <w:tab/>
      </w:r>
      <w:r>
        <w:rPr>
          <w:rFonts w:ascii="Times New Roman" w:hAnsi="Times New Roman" w:cs="Times New Roman"/>
          <w:sz w:val="24"/>
        </w:rPr>
        <w:t>Sap J, Jiang YP, Friedlander D, Grumet M, Schlessinger JJM, Biology C. Receptor tyrosine phosphatase R-PTP-kappa mediates homophilic binding. 1994;14(1):1-9.</w:t>
      </w:r>
    </w:p>
    <w:p w14:paraId="13A7AF81">
      <w:pPr>
        <w:pStyle w:val="43"/>
        <w:rPr>
          <w:rFonts w:ascii="Times New Roman" w:hAnsi="Times New Roman" w:cs="Times New Roman"/>
          <w:sz w:val="24"/>
        </w:rPr>
      </w:pPr>
      <w:r>
        <w:rPr>
          <w:rFonts w:ascii="Times New Roman" w:hAnsi="Times New Roman" w:cs="Times New Roman"/>
          <w:sz w:val="24"/>
        </w:rPr>
        <w:t>33.</w:t>
      </w:r>
      <w:r>
        <w:rPr>
          <w:rFonts w:ascii="Times New Roman" w:hAnsi="Times New Roman" w:cs="Times New Roman"/>
          <w:sz w:val="24"/>
        </w:rPr>
        <w:tab/>
      </w:r>
      <w:r>
        <w:rPr>
          <w:rFonts w:ascii="Times New Roman" w:hAnsi="Times New Roman" w:cs="Times New Roman"/>
          <w:sz w:val="24"/>
        </w:rPr>
        <w:t>Wang SE, Wu FY, Shin I, Qu S, Arteaga CLJM, Biology C. Transforming Growth Factor β (TGF-β)-Smad Target Gene Protein Tyrosine Phosphatase Receptor Type Kappa Is Required for TGF-β Function. 2005;25(11):4703-15.</w:t>
      </w:r>
    </w:p>
    <w:p w14:paraId="2304932D">
      <w:pPr>
        <w:pStyle w:val="43"/>
        <w:rPr>
          <w:rFonts w:ascii="Times New Roman" w:hAnsi="Times New Roman" w:cs="Times New Roman"/>
          <w:sz w:val="24"/>
        </w:rPr>
      </w:pPr>
      <w:r>
        <w:rPr>
          <w:rFonts w:ascii="Times New Roman" w:hAnsi="Times New Roman" w:cs="Times New Roman"/>
          <w:sz w:val="24"/>
        </w:rPr>
        <w:t>34.</w:t>
      </w:r>
      <w:r>
        <w:rPr>
          <w:rFonts w:ascii="Times New Roman" w:hAnsi="Times New Roman" w:cs="Times New Roman"/>
          <w:sz w:val="24"/>
        </w:rPr>
        <w:tab/>
      </w:r>
      <w:r>
        <w:rPr>
          <w:rFonts w:ascii="Times New Roman" w:hAnsi="Times New Roman" w:cs="Times New Roman"/>
          <w:sz w:val="24"/>
        </w:rPr>
        <w:t>Schnekenburger, Gut JJ. Protein tyrosine phosphatase κ and SHP-1 are involved in the regulation of cell-cell contacts at adherens junctions in the exocrine pancreas. 2005;54(10):1445-55.</w:t>
      </w:r>
    </w:p>
    <w:p w14:paraId="018ED861">
      <w:pPr>
        <w:pStyle w:val="43"/>
        <w:rPr>
          <w:rFonts w:ascii="Times New Roman" w:hAnsi="Times New Roman" w:cs="Times New Roman"/>
          <w:sz w:val="24"/>
        </w:rPr>
      </w:pPr>
      <w:r>
        <w:rPr>
          <w:rFonts w:ascii="Times New Roman" w:hAnsi="Times New Roman" w:cs="Times New Roman"/>
          <w:sz w:val="24"/>
        </w:rPr>
        <w:t>35.</w:t>
      </w:r>
      <w:r>
        <w:rPr>
          <w:rFonts w:ascii="Times New Roman" w:hAnsi="Times New Roman" w:cs="Times New Roman"/>
          <w:sz w:val="24"/>
        </w:rPr>
        <w:tab/>
      </w:r>
      <w:r>
        <w:rPr>
          <w:rFonts w:ascii="Times New Roman" w:hAnsi="Times New Roman" w:cs="Times New Roman"/>
          <w:sz w:val="24"/>
        </w:rPr>
        <w:t>Fuchs M, Müller T, Lerch MM, Ullrich AJJoBC. Association of Human Protein-tyrosine Phosphatase κ with Members of the Armadillo Family. 1996;271(28):16712.</w:t>
      </w:r>
    </w:p>
    <w:p w14:paraId="600FA919">
      <w:pPr>
        <w:pStyle w:val="43"/>
        <w:rPr>
          <w:rFonts w:ascii="Times New Roman" w:hAnsi="Times New Roman" w:cs="Times New Roman"/>
          <w:sz w:val="24"/>
        </w:rPr>
      </w:pPr>
      <w:r>
        <w:rPr>
          <w:rFonts w:ascii="Times New Roman" w:hAnsi="Times New Roman" w:cs="Times New Roman"/>
          <w:sz w:val="24"/>
        </w:rPr>
        <w:t>36.</w:t>
      </w:r>
      <w:r>
        <w:rPr>
          <w:rFonts w:ascii="Times New Roman" w:hAnsi="Times New Roman" w:cs="Times New Roman"/>
          <w:sz w:val="24"/>
        </w:rPr>
        <w:tab/>
      </w:r>
      <w:r>
        <w:rPr>
          <w:rFonts w:ascii="Times New Roman" w:hAnsi="Times New Roman" w:cs="Times New Roman"/>
          <w:sz w:val="24"/>
        </w:rPr>
        <w:t>Kang D, Kim T, Choi GE, Park A, Yoon J, Yu J, et al. miR-29a-3p orchestrates key signaling pathways for enhanced migration of human mesenchymal stem cells. 2024;22(1).</w:t>
      </w:r>
    </w:p>
    <w:p w14:paraId="53D71633">
      <w:pPr>
        <w:pStyle w:val="43"/>
        <w:rPr>
          <w:rFonts w:ascii="Times New Roman" w:hAnsi="Times New Roman" w:cs="Times New Roman"/>
          <w:sz w:val="24"/>
        </w:rPr>
      </w:pPr>
      <w:r>
        <w:rPr>
          <w:rFonts w:ascii="Times New Roman" w:hAnsi="Times New Roman" w:cs="Times New Roman"/>
          <w:sz w:val="24"/>
        </w:rPr>
        <w:t>37.</w:t>
      </w:r>
      <w:r>
        <w:rPr>
          <w:rFonts w:ascii="Times New Roman" w:hAnsi="Times New Roman" w:cs="Times New Roman"/>
          <w:sz w:val="24"/>
        </w:rPr>
        <w:tab/>
      </w:r>
      <w:r>
        <w:rPr>
          <w:rFonts w:ascii="Times New Roman" w:hAnsi="Times New Roman" w:cs="Times New Roman"/>
          <w:sz w:val="24"/>
        </w:rPr>
        <w:t>Sun PH, Ye L, Research MDMJJoC, Oncology C. Protein tyrosine phosphatase kappa (PTPRK) is a negative regulator of adhesion and invasion of breast cancer cells, and associates with poor prognosis of breast cancer. 2013;139(7):1129-39.</w:t>
      </w:r>
    </w:p>
    <w:p w14:paraId="7D7B79F7">
      <w:pPr>
        <w:pStyle w:val="43"/>
        <w:rPr>
          <w:rFonts w:ascii="Times New Roman" w:hAnsi="Times New Roman" w:cs="Times New Roman"/>
          <w:sz w:val="24"/>
        </w:rPr>
      </w:pPr>
      <w:r>
        <w:rPr>
          <w:rFonts w:ascii="Times New Roman" w:hAnsi="Times New Roman" w:cs="Times New Roman"/>
          <w:sz w:val="24"/>
        </w:rPr>
        <w:t>38.</w:t>
      </w:r>
      <w:r>
        <w:rPr>
          <w:rFonts w:ascii="Times New Roman" w:hAnsi="Times New Roman" w:cs="Times New Roman"/>
          <w:sz w:val="24"/>
        </w:rPr>
        <w:tab/>
      </w:r>
      <w:r>
        <w:rPr>
          <w:rFonts w:ascii="Times New Roman" w:hAnsi="Times New Roman" w:cs="Times New Roman"/>
          <w:sz w:val="24"/>
        </w:rPr>
        <w:t>Zhao L, Hart S, Cheng JG, Melenhorst JJ, Bierie B, Ernst M, et al. Mammary gland remodeling depends on gp130 signaling through Stat3 and MAPK. 2004;279(42):44093-100.</w:t>
      </w:r>
    </w:p>
    <w:p w14:paraId="0502F7F6">
      <w:pPr>
        <w:pStyle w:val="43"/>
        <w:rPr>
          <w:rFonts w:ascii="Times New Roman" w:hAnsi="Times New Roman" w:cs="Times New Roman"/>
          <w:sz w:val="24"/>
        </w:rPr>
      </w:pPr>
      <w:r>
        <w:rPr>
          <w:rFonts w:ascii="Times New Roman" w:hAnsi="Times New Roman" w:cs="Times New Roman"/>
          <w:sz w:val="24"/>
        </w:rPr>
        <w:t>39.</w:t>
      </w:r>
      <w:r>
        <w:rPr>
          <w:rFonts w:ascii="Times New Roman" w:hAnsi="Times New Roman" w:cs="Times New Roman"/>
          <w:sz w:val="24"/>
        </w:rPr>
        <w:tab/>
      </w:r>
      <w:r>
        <w:rPr>
          <w:rFonts w:ascii="Times New Roman" w:hAnsi="Times New Roman" w:cs="Times New Roman"/>
          <w:sz w:val="24"/>
        </w:rPr>
        <w:t>Clarkson RWE, Boland MP, Kritikou EA, Lee JM, Freeman TC, Tiffen PG, et al. The genes induced by signal transducer and activators of transcription (STAT)3 and STAT5 in mammary epithelial cells define the roles of these STATs in mammary development. 2006(3):675-85.</w:t>
      </w:r>
    </w:p>
    <w:p w14:paraId="5DEF5C53">
      <w:pPr>
        <w:pStyle w:val="43"/>
        <w:rPr>
          <w:rFonts w:ascii="Times New Roman" w:hAnsi="Times New Roman" w:cs="Times New Roman"/>
          <w:sz w:val="24"/>
        </w:rPr>
      </w:pPr>
      <w:r>
        <w:rPr>
          <w:rFonts w:ascii="Times New Roman" w:hAnsi="Times New Roman" w:cs="Times New Roman"/>
          <w:sz w:val="24"/>
        </w:rPr>
        <w:t>40.</w:t>
      </w:r>
      <w:r>
        <w:rPr>
          <w:rFonts w:ascii="Times New Roman" w:hAnsi="Times New Roman" w:cs="Times New Roman"/>
          <w:sz w:val="24"/>
        </w:rPr>
        <w:tab/>
      </w:r>
      <w:r>
        <w:rPr>
          <w:rFonts w:ascii="Times New Roman" w:hAnsi="Times New Roman" w:cs="Times New Roman"/>
          <w:sz w:val="24"/>
        </w:rPr>
        <w:t>Halder S, Parte S, Kshirsagar P, Muniyan S, Nair HB, Batra SK, et al. The Pleiotropic role, functions and targeted therapies of LIF/LIFR axis in cancer: Old spectacles with new insights. Biochimica et biophysica acta Reviews on cancer. 2022;1877(4):188737.</w:t>
      </w:r>
    </w:p>
    <w:p w14:paraId="42B5D2B0">
      <w:pPr>
        <w:pStyle w:val="43"/>
        <w:rPr>
          <w:rFonts w:ascii="Times New Roman" w:hAnsi="Times New Roman" w:cs="Times New Roman"/>
          <w:sz w:val="24"/>
        </w:rPr>
      </w:pPr>
      <w:r>
        <w:rPr>
          <w:rFonts w:ascii="Times New Roman" w:hAnsi="Times New Roman" w:cs="Times New Roman"/>
          <w:sz w:val="24"/>
        </w:rPr>
        <w:t>41.</w:t>
      </w:r>
      <w:r>
        <w:rPr>
          <w:rFonts w:ascii="Times New Roman" w:hAnsi="Times New Roman" w:cs="Times New Roman"/>
          <w:sz w:val="24"/>
        </w:rPr>
        <w:tab/>
      </w:r>
      <w:r>
        <w:rPr>
          <w:rFonts w:ascii="Times New Roman" w:hAnsi="Times New Roman" w:cs="Times New Roman"/>
          <w:sz w:val="24"/>
        </w:rPr>
        <w:t>Kritikou, E. AJD. A dual, non-redundant, role for LIF as a regulator of development and STAT3-mediated cell death in mammary gland. 2003;130(15):3459-68.</w:t>
      </w:r>
    </w:p>
    <w:p w14:paraId="5460916A">
      <w:pPr>
        <w:pStyle w:val="43"/>
        <w:rPr>
          <w:rFonts w:ascii="Times New Roman" w:hAnsi="Times New Roman" w:cs="Times New Roman"/>
          <w:sz w:val="24"/>
        </w:rPr>
      </w:pPr>
      <w:r>
        <w:rPr>
          <w:rFonts w:ascii="Times New Roman" w:hAnsi="Times New Roman" w:cs="Times New Roman"/>
          <w:sz w:val="24"/>
        </w:rPr>
        <w:t>42.</w:t>
      </w:r>
      <w:r>
        <w:rPr>
          <w:rFonts w:ascii="Times New Roman" w:hAnsi="Times New Roman" w:cs="Times New Roman"/>
          <w:sz w:val="24"/>
        </w:rPr>
        <w:tab/>
      </w:r>
      <w:r>
        <w:rPr>
          <w:rFonts w:ascii="Times New Roman" w:hAnsi="Times New Roman" w:cs="Times New Roman"/>
          <w:sz w:val="24"/>
        </w:rPr>
        <w:t>Cusack MP, Thibert B, Bredesen DE, Rio GDJPO. Efficient Identification of Critical Residues Based Only on Protein Structure by Network Analysis. 2007;2.</w:t>
      </w:r>
    </w:p>
    <w:p w14:paraId="17B7636E">
      <w:pPr>
        <w:spacing w:line="360" w:lineRule="auto"/>
        <w:rPr>
          <w:rFonts w:ascii="Times New Roman" w:hAnsi="Times New Roman" w:eastAsia="宋体" w:cs="Times New Roman"/>
          <w:sz w:val="24"/>
        </w:rPr>
      </w:pPr>
    </w:p>
    <w:p w14:paraId="716E3738">
      <w:pPr>
        <w:rPr>
          <w:rFonts w:ascii="Times New Roman" w:hAnsi="Times New Roman" w:cs="Times New Roman"/>
          <w:sz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swiss"/>
    <w:pitch w:val="default"/>
    <w:sig w:usb0="80000287" w:usb1="2ACF3C50" w:usb2="00000016" w:usb3="00000000" w:csb0="0004001F" w:csb1="00000000"/>
  </w:font>
  <w:font w:name="MS Gothic">
    <w:panose1 w:val="020B0609070205080204"/>
    <w:charset w:val="80"/>
    <w:family w:val="modern"/>
    <w:pitch w:val="default"/>
    <w:sig w:usb0="E00002FF" w:usb1="6AC7FDFB" w:usb2="08000012" w:usb3="00000000" w:csb0="4002009F" w:csb1="DFD70000"/>
  </w:font>
  <w:font w:name="Cambria Math">
    <w:panose1 w:val="02040503050406030204"/>
    <w:charset w:val="00"/>
    <w:family w:val="roman"/>
    <w:pitch w:val="default"/>
    <w:sig w:usb0="E00006FF" w:usb1="420024FF" w:usb2="02000000" w:usb3="00000000" w:csb0="2000019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3B53EC2"/>
    <w:multiLevelType w:val="multilevel"/>
    <w:tmpl w:val="93B53EC2"/>
    <w:lvl w:ilvl="0" w:tentative="0">
      <w:start w:val="1"/>
      <w:numFmt w:val="decimal"/>
      <w:pStyle w:val="2"/>
      <w:lvlText w:val="%1."/>
      <w:lvlJc w:val="left"/>
      <w:pPr>
        <w:ind w:left="432" w:hanging="432"/>
      </w:pPr>
      <w:rPr>
        <w:rFonts w:hint="default"/>
      </w:rPr>
    </w:lvl>
    <w:lvl w:ilvl="1" w:tentative="0">
      <w:start w:val="1"/>
      <w:numFmt w:val="decimal"/>
      <w:pStyle w:val="3"/>
      <w:lvlText w:val="2.%2"/>
      <w:lvlJc w:val="left"/>
      <w:pPr>
        <w:ind w:left="575" w:hanging="575"/>
      </w:pPr>
      <w:rPr>
        <w:rFonts w:hint="default"/>
        <w:b/>
        <w:bCs w:val="0"/>
      </w:rPr>
    </w:lvl>
    <w:lvl w:ilvl="2" w:tentative="0">
      <w:start w:val="1"/>
      <w:numFmt w:val="decimal"/>
      <w:pStyle w:val="4"/>
      <w:lvlText w:val="2.4.%3"/>
      <w:lvlJc w:val="left"/>
      <w:pPr>
        <w:ind w:left="720" w:hanging="720"/>
      </w:pPr>
      <w:rPr>
        <w:rFonts w:hint="default"/>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1" w:hanging="1151"/>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3" w:hanging="1583"/>
      </w:pPr>
      <w:rPr>
        <w:rFonts w:hint="default"/>
      </w:rPr>
    </w:lvl>
  </w:abstractNum>
  <w:abstractNum w:abstractNumId="1">
    <w:nsid w:val="38AA07DF"/>
    <w:multiLevelType w:val="multilevel"/>
    <w:tmpl w:val="38AA07DF"/>
    <w:lvl w:ilvl="0" w:tentative="0">
      <w:start w:val="1"/>
      <w:numFmt w:val="decimal"/>
      <w:lvlText w:val="%1."/>
      <w:lvlJc w:val="left"/>
      <w:pPr>
        <w:ind w:left="720" w:hanging="720"/>
      </w:pPr>
      <w:rPr>
        <w:rFonts w:hint="default" w:ascii="Times New Roman" w:hAnsi="Times New Roman" w:eastAsia="黑体" w:cs="Times New Roman"/>
        <w:sz w:val="30"/>
        <w:szCs w:val="3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42DBA160"/>
    <w:multiLevelType w:val="multilevel"/>
    <w:tmpl w:val="42DBA160"/>
    <w:lvl w:ilvl="0" w:tentative="0">
      <w:start w:val="3"/>
      <w:numFmt w:val="decimal"/>
      <w:lvlText w:val="%1"/>
      <w:lvlJc w:val="left"/>
      <w:pPr>
        <w:ind w:left="432" w:hanging="432"/>
      </w:pPr>
      <w:rPr>
        <w:rFonts w:hint="default" w:ascii="Times New Roman" w:hAnsi="Times New Roman" w:cs="Times New Roman"/>
      </w:rPr>
    </w:lvl>
    <w:lvl w:ilvl="1" w:tentative="0">
      <w:start w:val="1"/>
      <w:numFmt w:val="decimal"/>
      <w:lvlText w:val="3.%2"/>
      <w:lvlJc w:val="left"/>
      <w:pPr>
        <w:ind w:left="575" w:hanging="575"/>
      </w:pPr>
      <w:rPr>
        <w:rFonts w:hint="default" w:ascii="Times New Roman" w:hAnsi="Times New Roman" w:cs="Times New Roman"/>
      </w:rPr>
    </w:lvl>
    <w:lvl w:ilvl="2" w:tentative="0">
      <w:start w:val="1"/>
      <w:numFmt w:val="decimal"/>
      <w:lvlText w:val="2.4.%3"/>
      <w:lvlJc w:val="left"/>
      <w:pPr>
        <w:ind w:left="720" w:hanging="720"/>
      </w:pPr>
      <w:rPr>
        <w:rFonts w:hint="default" w:ascii="Times New Roman" w:hAnsi="Times New Roman" w:cs="Times New Roman"/>
      </w:rPr>
    </w:lvl>
    <w:lvl w:ilvl="3" w:tentative="0">
      <w:start w:val="1"/>
      <w:numFmt w:val="decimal"/>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1" w:hanging="1151"/>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3" w:hanging="1583"/>
      </w:pPr>
      <w:rPr>
        <w:rFonts w:hint="default"/>
      </w:rPr>
    </w:lvl>
  </w:abstractNum>
  <w:abstractNum w:abstractNumId="3">
    <w:nsid w:val="713557A4"/>
    <w:multiLevelType w:val="multilevel"/>
    <w:tmpl w:val="713557A4"/>
    <w:lvl w:ilvl="0" w:tentative="0">
      <w:start w:val="1"/>
      <w:numFmt w:val="decimal"/>
      <w:pStyle w:val="37"/>
      <w:lvlText w:val="%1."/>
      <w:lvlJc w:val="left"/>
      <w:pPr>
        <w:ind w:left="425" w:hanging="425"/>
      </w:pPr>
      <w:rPr>
        <w:rFonts w:hint="eastAsia"/>
      </w:rPr>
    </w:lvl>
    <w:lvl w:ilvl="1" w:tentative="0">
      <w:start w:val="1"/>
      <w:numFmt w:val="decimal"/>
      <w:lvlText w:val="%1.%2."/>
      <w:lvlJc w:val="left"/>
      <w:pPr>
        <w:ind w:left="567" w:hanging="567"/>
      </w:pPr>
      <w:rPr>
        <w:rFonts w:hint="eastAsia"/>
      </w:rPr>
    </w:lvl>
    <w:lvl w:ilvl="2" w:tentative="0">
      <w:start w:val="1"/>
      <w:numFmt w:val="decimal"/>
      <w:lvlText w:val="3.6.%3"/>
      <w:lvlJc w:val="left"/>
      <w:pPr>
        <w:ind w:left="709" w:hanging="709"/>
      </w:pPr>
      <w:rPr>
        <w:rFonts w:hint="eastAsia"/>
      </w:rPr>
    </w:lvl>
    <w:lvl w:ilvl="3" w:tentative="0">
      <w:start w:val="1"/>
      <w:numFmt w:val="decimal"/>
      <w:lvlText w:val="%1.%2.%3.%4."/>
      <w:lvlJc w:val="left"/>
      <w:pPr>
        <w:ind w:left="851" w:hanging="851"/>
      </w:pPr>
      <w:rPr>
        <w:rFonts w:hint="eastAsia"/>
      </w:rPr>
    </w:lvl>
    <w:lvl w:ilvl="4" w:tentative="0">
      <w:start w:val="1"/>
      <w:numFmt w:val="decimal"/>
      <w:lvlText w:val="%1.%2.%3.%4.%5."/>
      <w:lvlJc w:val="left"/>
      <w:pPr>
        <w:ind w:left="992" w:hanging="992"/>
      </w:pPr>
      <w:rPr>
        <w:rFonts w:hint="eastAsia"/>
      </w:rPr>
    </w:lvl>
    <w:lvl w:ilvl="5" w:tentative="0">
      <w:start w:val="1"/>
      <w:numFmt w:val="decimal"/>
      <w:lvlText w:val="%1.%2.%3.%4.%5.%6."/>
      <w:lvlJc w:val="left"/>
      <w:pPr>
        <w:ind w:left="1134" w:hanging="1134"/>
      </w:pPr>
      <w:rPr>
        <w:rFonts w:hint="eastAsia"/>
      </w:rPr>
    </w:lvl>
    <w:lvl w:ilvl="6" w:tentative="0">
      <w:start w:val="1"/>
      <w:numFmt w:val="decimal"/>
      <w:lvlText w:val="%1.%2.%3.%4.%5.%6.%7."/>
      <w:lvlJc w:val="left"/>
      <w:pPr>
        <w:ind w:left="1276" w:hanging="1276"/>
      </w:pPr>
      <w:rPr>
        <w:rFonts w:hint="eastAsia"/>
      </w:rPr>
    </w:lvl>
    <w:lvl w:ilvl="7" w:tentative="0">
      <w:start w:val="1"/>
      <w:numFmt w:val="decimal"/>
      <w:lvlText w:val="%1.%2.%3.%4.%5.%6.%7.%8."/>
      <w:lvlJc w:val="left"/>
      <w:pPr>
        <w:ind w:left="1418" w:hanging="1418"/>
      </w:pPr>
      <w:rPr>
        <w:rFonts w:hint="eastAsia"/>
      </w:rPr>
    </w:lvl>
    <w:lvl w:ilvl="8" w:tentative="0">
      <w:start w:val="1"/>
      <w:numFmt w:val="decimal"/>
      <w:lvlText w:val="%1.%2.%3.%4.%5.%6.%7.%8.%9."/>
      <w:lvlJc w:val="left"/>
      <w:pPr>
        <w:ind w:left="1559" w:hanging="1559"/>
      </w:pPr>
      <w:rPr>
        <w:rFonts w:hint="eastAsia"/>
      </w:rPr>
    </w:lvl>
  </w:abstractNum>
  <w:abstractNum w:abstractNumId="4">
    <w:nsid w:val="74C5DDF6"/>
    <w:multiLevelType w:val="multilevel"/>
    <w:tmpl w:val="74C5DDF6"/>
    <w:lvl w:ilvl="0" w:tentative="0">
      <w:start w:val="1"/>
      <w:numFmt w:val="decimal"/>
      <w:lvlText w:val="%1."/>
      <w:lvlJc w:val="left"/>
      <w:pPr>
        <w:ind w:left="432" w:hanging="432"/>
      </w:pPr>
      <w:rPr>
        <w:rFonts w:hint="default"/>
      </w:rPr>
    </w:lvl>
    <w:lvl w:ilvl="1" w:tentative="0">
      <w:start w:val="1"/>
      <w:numFmt w:val="decimal"/>
      <w:lvlText w:val="4.%2"/>
      <w:lvlJc w:val="left"/>
      <w:pPr>
        <w:ind w:left="575" w:hanging="575"/>
      </w:pPr>
      <w:rPr>
        <w:rFonts w:hint="default"/>
        <w:b/>
        <w:bCs w:val="0"/>
      </w:rPr>
    </w:lvl>
    <w:lvl w:ilvl="2" w:tentative="0">
      <w:start w:val="1"/>
      <w:numFmt w:val="decimal"/>
      <w:lvlText w:val="%1.%2.%3."/>
      <w:lvlJc w:val="left"/>
      <w:pPr>
        <w:ind w:left="720" w:hanging="720"/>
      </w:pPr>
      <w:rPr>
        <w:rFonts w:hint="default"/>
      </w:rPr>
    </w:lvl>
    <w:lvl w:ilvl="3" w:tentative="0">
      <w:start w:val="1"/>
      <w:numFmt w:val="decimal"/>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1" w:hanging="1151"/>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3" w:hanging="1583"/>
      </w:pPr>
      <w:rPr>
        <w:rFonts w:hint="default"/>
      </w:rPr>
    </w:lvl>
  </w:abstractNum>
  <w:num w:numId="1">
    <w:abstractNumId w:val="0"/>
  </w:num>
  <w:num w:numId="2">
    <w:abstractNumId w:val="3"/>
  </w:num>
  <w:num w:numId="3">
    <w:abstractNumId w:val="1"/>
  </w:num>
  <w:num w:numId="4">
    <w:abstractNumId w:val="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A638AF"/>
    <w:rsid w:val="001920F7"/>
    <w:rsid w:val="005E69D0"/>
    <w:rsid w:val="00776588"/>
    <w:rsid w:val="009F5F91"/>
    <w:rsid w:val="00A638AF"/>
    <w:rsid w:val="00AC0A58"/>
    <w:rsid w:val="5D565C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nhideWhenUsed="0" w:uiPriority="0" w:semiHidden="0" w:name="footnote reference"/>
    <w:lsdException w:uiPriority="99" w:name="annotation reference"/>
    <w:lsdException w:qFormat="1" w:unhideWhenUsed="0" w:uiPriority="0" w:semiHidden="0" w:name="line number"/>
    <w:lsdException w:uiPriority="99" w:name="page number"/>
    <w:lsdException w:qFormat="1" w:unhideWhenUsed="0" w:uiPriority="0" w:semiHidden="0" w:name="endnote reference"/>
    <w:lsdException w:qFormat="1" w:unhideWhenUsed="0" w:uiPriority="0" w:semiHidden="0"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24"/>
    <w:qFormat/>
    <w:uiPriority w:val="0"/>
    <w:pPr>
      <w:numPr>
        <w:ilvl w:val="0"/>
        <w:numId w:val="1"/>
      </w:numPr>
      <w:spacing w:beforeAutospacing="1" w:afterAutospacing="1"/>
      <w:jc w:val="left"/>
      <w:outlineLvl w:val="0"/>
    </w:pPr>
    <w:rPr>
      <w:rFonts w:hint="eastAsia" w:ascii="宋体" w:hAnsi="宋体" w:eastAsia="宋体" w:cs="Times New Roman"/>
      <w:b/>
      <w:bCs/>
      <w:kern w:val="44"/>
      <w:sz w:val="48"/>
      <w:szCs w:val="48"/>
    </w:rPr>
  </w:style>
  <w:style w:type="paragraph" w:styleId="3">
    <w:name w:val="heading 2"/>
    <w:basedOn w:val="1"/>
    <w:next w:val="1"/>
    <w:link w:val="25"/>
    <w:unhideWhenUsed/>
    <w:qFormat/>
    <w:uiPriority w:val="0"/>
    <w:pPr>
      <w:keepNext/>
      <w:keepLines/>
      <w:numPr>
        <w:ilvl w:val="1"/>
        <w:numId w:val="1"/>
      </w:numPr>
      <w:spacing w:before="260" w:after="260" w:line="413" w:lineRule="auto"/>
      <w:outlineLvl w:val="1"/>
    </w:pPr>
    <w:rPr>
      <w:rFonts w:ascii="Arial" w:hAnsi="Arial" w:eastAsia="黑体"/>
      <w:b/>
      <w:sz w:val="32"/>
    </w:rPr>
  </w:style>
  <w:style w:type="paragraph" w:styleId="4">
    <w:name w:val="heading 3"/>
    <w:basedOn w:val="1"/>
    <w:next w:val="1"/>
    <w:link w:val="26"/>
    <w:unhideWhenUsed/>
    <w:qFormat/>
    <w:uiPriority w:val="0"/>
    <w:pPr>
      <w:keepNext/>
      <w:keepLines/>
      <w:numPr>
        <w:ilvl w:val="2"/>
        <w:numId w:val="1"/>
      </w:numPr>
      <w:spacing w:before="260" w:after="260" w:line="413" w:lineRule="auto"/>
      <w:outlineLvl w:val="2"/>
    </w:pPr>
    <w:rPr>
      <w:b/>
      <w:sz w:val="32"/>
    </w:rPr>
  </w:style>
  <w:style w:type="paragraph" w:styleId="5">
    <w:name w:val="heading 4"/>
    <w:basedOn w:val="1"/>
    <w:next w:val="1"/>
    <w:link w:val="27"/>
    <w:semiHidden/>
    <w:unhideWhenUsed/>
    <w:qFormat/>
    <w:uiPriority w:val="0"/>
    <w:pPr>
      <w:keepNext/>
      <w:keepLines/>
      <w:numPr>
        <w:ilvl w:val="3"/>
        <w:numId w:val="1"/>
      </w:numPr>
      <w:spacing w:before="280" w:after="290" w:line="372" w:lineRule="auto"/>
      <w:outlineLvl w:val="3"/>
    </w:pPr>
    <w:rPr>
      <w:rFonts w:ascii="Arial" w:hAnsi="Arial" w:eastAsia="黑体"/>
      <w:b/>
      <w:sz w:val="28"/>
    </w:rPr>
  </w:style>
  <w:style w:type="paragraph" w:styleId="6">
    <w:name w:val="heading 5"/>
    <w:basedOn w:val="1"/>
    <w:next w:val="1"/>
    <w:link w:val="28"/>
    <w:semiHidden/>
    <w:unhideWhenUsed/>
    <w:qFormat/>
    <w:uiPriority w:val="0"/>
    <w:pPr>
      <w:keepNext/>
      <w:keepLines/>
      <w:numPr>
        <w:ilvl w:val="4"/>
        <w:numId w:val="1"/>
      </w:numPr>
      <w:spacing w:before="280" w:after="290" w:line="372" w:lineRule="auto"/>
      <w:outlineLvl w:val="4"/>
    </w:pPr>
    <w:rPr>
      <w:b/>
      <w:sz w:val="28"/>
    </w:rPr>
  </w:style>
  <w:style w:type="paragraph" w:styleId="7">
    <w:name w:val="heading 6"/>
    <w:basedOn w:val="1"/>
    <w:next w:val="1"/>
    <w:link w:val="29"/>
    <w:semiHidden/>
    <w:unhideWhenUsed/>
    <w:qFormat/>
    <w:uiPriority w:val="0"/>
    <w:pPr>
      <w:keepNext/>
      <w:keepLines/>
      <w:numPr>
        <w:ilvl w:val="5"/>
        <w:numId w:val="1"/>
      </w:numPr>
      <w:spacing w:before="240" w:after="64" w:line="317" w:lineRule="auto"/>
      <w:outlineLvl w:val="5"/>
    </w:pPr>
    <w:rPr>
      <w:rFonts w:ascii="Arial" w:hAnsi="Arial" w:eastAsia="黑体"/>
      <w:b/>
      <w:sz w:val="24"/>
    </w:rPr>
  </w:style>
  <w:style w:type="paragraph" w:styleId="8">
    <w:name w:val="heading 7"/>
    <w:basedOn w:val="1"/>
    <w:next w:val="1"/>
    <w:link w:val="30"/>
    <w:semiHidden/>
    <w:unhideWhenUsed/>
    <w:qFormat/>
    <w:uiPriority w:val="0"/>
    <w:pPr>
      <w:keepNext/>
      <w:keepLines/>
      <w:numPr>
        <w:ilvl w:val="6"/>
        <w:numId w:val="1"/>
      </w:numPr>
      <w:spacing w:before="240" w:after="64" w:line="317" w:lineRule="auto"/>
      <w:outlineLvl w:val="6"/>
    </w:pPr>
    <w:rPr>
      <w:b/>
      <w:sz w:val="24"/>
    </w:rPr>
  </w:style>
  <w:style w:type="paragraph" w:styleId="9">
    <w:name w:val="heading 8"/>
    <w:basedOn w:val="1"/>
    <w:next w:val="1"/>
    <w:link w:val="31"/>
    <w:semiHidden/>
    <w:unhideWhenUsed/>
    <w:qFormat/>
    <w:uiPriority w:val="0"/>
    <w:pPr>
      <w:keepNext/>
      <w:keepLines/>
      <w:numPr>
        <w:ilvl w:val="7"/>
        <w:numId w:val="1"/>
      </w:numPr>
      <w:spacing w:before="240" w:after="64" w:line="317" w:lineRule="auto"/>
      <w:outlineLvl w:val="7"/>
    </w:pPr>
    <w:rPr>
      <w:rFonts w:ascii="Arial" w:hAnsi="Arial" w:eastAsia="黑体"/>
      <w:sz w:val="24"/>
    </w:rPr>
  </w:style>
  <w:style w:type="paragraph" w:styleId="10">
    <w:name w:val="heading 9"/>
    <w:basedOn w:val="1"/>
    <w:next w:val="1"/>
    <w:link w:val="32"/>
    <w:semiHidden/>
    <w:unhideWhenUsed/>
    <w:qFormat/>
    <w:uiPriority w:val="0"/>
    <w:pPr>
      <w:keepNext/>
      <w:keepLines/>
      <w:numPr>
        <w:ilvl w:val="8"/>
        <w:numId w:val="1"/>
      </w:numPr>
      <w:spacing w:before="240" w:after="64" w:line="317" w:lineRule="auto"/>
      <w:outlineLvl w:val="8"/>
    </w:pPr>
    <w:rPr>
      <w:rFonts w:ascii="Arial" w:hAnsi="Arial" w:eastAsia="黑体"/>
    </w:rPr>
  </w:style>
  <w:style w:type="character" w:default="1" w:styleId="18">
    <w:name w:val="Default Paragraph Font"/>
    <w:semiHidden/>
    <w:unhideWhenUsed/>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11">
    <w:name w:val="endnote text"/>
    <w:basedOn w:val="1"/>
    <w:link w:val="33"/>
    <w:qFormat/>
    <w:uiPriority w:val="0"/>
    <w:pPr>
      <w:snapToGrid w:val="0"/>
      <w:jc w:val="left"/>
    </w:pPr>
  </w:style>
  <w:style w:type="paragraph" w:styleId="12">
    <w:name w:val="footer"/>
    <w:basedOn w:val="1"/>
    <w:link w:val="34"/>
    <w:qFormat/>
    <w:uiPriority w:val="0"/>
    <w:pPr>
      <w:tabs>
        <w:tab w:val="center" w:pos="4153"/>
        <w:tab w:val="right" w:pos="8306"/>
      </w:tabs>
      <w:snapToGrid w:val="0"/>
      <w:jc w:val="left"/>
    </w:pPr>
    <w:rPr>
      <w:sz w:val="18"/>
      <w:szCs w:val="18"/>
    </w:rPr>
  </w:style>
  <w:style w:type="paragraph" w:styleId="13">
    <w:name w:val="header"/>
    <w:basedOn w:val="1"/>
    <w:link w:val="35"/>
    <w:qFormat/>
    <w:uiPriority w:val="0"/>
    <w:pPr>
      <w:tabs>
        <w:tab w:val="center" w:pos="4153"/>
        <w:tab w:val="right" w:pos="8306"/>
      </w:tabs>
      <w:snapToGrid w:val="0"/>
      <w:jc w:val="center"/>
    </w:pPr>
    <w:rPr>
      <w:sz w:val="18"/>
      <w:szCs w:val="18"/>
    </w:rPr>
  </w:style>
  <w:style w:type="paragraph" w:styleId="14">
    <w:name w:val="footnote text"/>
    <w:basedOn w:val="1"/>
    <w:link w:val="36"/>
    <w:qFormat/>
    <w:uiPriority w:val="0"/>
    <w:pPr>
      <w:snapToGrid w:val="0"/>
      <w:jc w:val="left"/>
    </w:pPr>
    <w:rPr>
      <w:sz w:val="18"/>
      <w:szCs w:val="18"/>
    </w:rPr>
  </w:style>
  <w:style w:type="paragraph" w:styleId="15">
    <w:name w:val="Normal (Web)"/>
    <w:basedOn w:val="1"/>
    <w:link w:val="41"/>
    <w:qFormat/>
    <w:uiPriority w:val="0"/>
    <w:pPr>
      <w:spacing w:beforeAutospacing="1" w:afterAutospacing="1"/>
      <w:jc w:val="left"/>
    </w:pPr>
    <w:rPr>
      <w:rFonts w:cs="Times New Roman"/>
      <w:kern w:val="0"/>
      <w:sz w:val="24"/>
    </w:rPr>
  </w:style>
  <w:style w:type="table" w:styleId="17">
    <w:name w:val="Table Grid"/>
    <w:basedOn w:val="16"/>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Strong"/>
    <w:basedOn w:val="18"/>
    <w:qFormat/>
    <w:uiPriority w:val="0"/>
    <w:rPr>
      <w:b/>
    </w:rPr>
  </w:style>
  <w:style w:type="character" w:styleId="20">
    <w:name w:val="endnote reference"/>
    <w:basedOn w:val="18"/>
    <w:qFormat/>
    <w:uiPriority w:val="0"/>
    <w:rPr>
      <w:vertAlign w:val="superscript"/>
    </w:rPr>
  </w:style>
  <w:style w:type="character" w:styleId="21">
    <w:name w:val="line number"/>
    <w:basedOn w:val="18"/>
    <w:qFormat/>
    <w:uiPriority w:val="0"/>
  </w:style>
  <w:style w:type="character" w:styleId="22">
    <w:name w:val="Hyperlink"/>
    <w:basedOn w:val="18"/>
    <w:qFormat/>
    <w:uiPriority w:val="0"/>
    <w:rPr>
      <w:color w:val="467886" w:themeColor="hyperlink"/>
      <w:u w:val="single"/>
      <w14:textFill>
        <w14:solidFill>
          <w14:schemeClr w14:val="hlink"/>
        </w14:solidFill>
      </w14:textFill>
    </w:rPr>
  </w:style>
  <w:style w:type="character" w:styleId="23">
    <w:name w:val="footnote reference"/>
    <w:basedOn w:val="18"/>
    <w:qFormat/>
    <w:uiPriority w:val="0"/>
    <w:rPr>
      <w:vertAlign w:val="superscript"/>
    </w:rPr>
  </w:style>
  <w:style w:type="character" w:customStyle="1" w:styleId="24">
    <w:name w:val="标题 1 字符"/>
    <w:basedOn w:val="18"/>
    <w:link w:val="2"/>
    <w:qFormat/>
    <w:uiPriority w:val="0"/>
    <w:rPr>
      <w:rFonts w:ascii="宋体" w:hAnsi="宋体" w:eastAsia="宋体" w:cs="Times New Roman"/>
      <w:b/>
      <w:bCs/>
      <w:kern w:val="44"/>
      <w:sz w:val="48"/>
      <w:szCs w:val="48"/>
    </w:rPr>
  </w:style>
  <w:style w:type="character" w:customStyle="1" w:styleId="25">
    <w:name w:val="标题 2 字符"/>
    <w:basedOn w:val="18"/>
    <w:link w:val="3"/>
    <w:qFormat/>
    <w:uiPriority w:val="0"/>
    <w:rPr>
      <w:rFonts w:ascii="Arial" w:hAnsi="Arial" w:eastAsia="黑体"/>
      <w:b/>
      <w:sz w:val="32"/>
      <w:szCs w:val="24"/>
    </w:rPr>
  </w:style>
  <w:style w:type="character" w:customStyle="1" w:styleId="26">
    <w:name w:val="标题 3 字符"/>
    <w:basedOn w:val="18"/>
    <w:link w:val="4"/>
    <w:qFormat/>
    <w:uiPriority w:val="0"/>
    <w:rPr>
      <w:b/>
      <w:sz w:val="32"/>
      <w:szCs w:val="24"/>
    </w:rPr>
  </w:style>
  <w:style w:type="character" w:customStyle="1" w:styleId="27">
    <w:name w:val="标题 4 字符"/>
    <w:basedOn w:val="18"/>
    <w:link w:val="5"/>
    <w:semiHidden/>
    <w:qFormat/>
    <w:uiPriority w:val="0"/>
    <w:rPr>
      <w:rFonts w:ascii="Arial" w:hAnsi="Arial" w:eastAsia="黑体"/>
      <w:b/>
      <w:sz w:val="28"/>
      <w:szCs w:val="24"/>
    </w:rPr>
  </w:style>
  <w:style w:type="character" w:customStyle="1" w:styleId="28">
    <w:name w:val="标题 5 字符"/>
    <w:basedOn w:val="18"/>
    <w:link w:val="6"/>
    <w:semiHidden/>
    <w:qFormat/>
    <w:uiPriority w:val="0"/>
    <w:rPr>
      <w:b/>
      <w:sz w:val="28"/>
      <w:szCs w:val="24"/>
    </w:rPr>
  </w:style>
  <w:style w:type="character" w:customStyle="1" w:styleId="29">
    <w:name w:val="标题 6 字符"/>
    <w:basedOn w:val="18"/>
    <w:link w:val="7"/>
    <w:semiHidden/>
    <w:qFormat/>
    <w:uiPriority w:val="0"/>
    <w:rPr>
      <w:rFonts w:ascii="Arial" w:hAnsi="Arial" w:eastAsia="黑体"/>
      <w:b/>
      <w:sz w:val="24"/>
      <w:szCs w:val="24"/>
    </w:rPr>
  </w:style>
  <w:style w:type="character" w:customStyle="1" w:styleId="30">
    <w:name w:val="标题 7 字符"/>
    <w:basedOn w:val="18"/>
    <w:link w:val="8"/>
    <w:semiHidden/>
    <w:qFormat/>
    <w:uiPriority w:val="0"/>
    <w:rPr>
      <w:b/>
      <w:sz w:val="24"/>
      <w:szCs w:val="24"/>
    </w:rPr>
  </w:style>
  <w:style w:type="character" w:customStyle="1" w:styleId="31">
    <w:name w:val="标题 8 字符"/>
    <w:basedOn w:val="18"/>
    <w:link w:val="9"/>
    <w:semiHidden/>
    <w:qFormat/>
    <w:uiPriority w:val="0"/>
    <w:rPr>
      <w:rFonts w:ascii="Arial" w:hAnsi="Arial" w:eastAsia="黑体"/>
      <w:sz w:val="24"/>
      <w:szCs w:val="24"/>
    </w:rPr>
  </w:style>
  <w:style w:type="character" w:customStyle="1" w:styleId="32">
    <w:name w:val="标题 9 字符"/>
    <w:basedOn w:val="18"/>
    <w:link w:val="10"/>
    <w:semiHidden/>
    <w:qFormat/>
    <w:uiPriority w:val="0"/>
    <w:rPr>
      <w:rFonts w:ascii="Arial" w:hAnsi="Arial" w:eastAsia="黑体"/>
      <w:szCs w:val="24"/>
    </w:rPr>
  </w:style>
  <w:style w:type="character" w:customStyle="1" w:styleId="33">
    <w:name w:val="尾注文本 字符"/>
    <w:basedOn w:val="18"/>
    <w:link w:val="11"/>
    <w:qFormat/>
    <w:uiPriority w:val="0"/>
    <w:rPr>
      <w:szCs w:val="24"/>
    </w:rPr>
  </w:style>
  <w:style w:type="character" w:customStyle="1" w:styleId="34">
    <w:name w:val="页脚 字符"/>
    <w:basedOn w:val="18"/>
    <w:link w:val="12"/>
    <w:qFormat/>
    <w:uiPriority w:val="0"/>
    <w:rPr>
      <w:sz w:val="18"/>
      <w:szCs w:val="18"/>
    </w:rPr>
  </w:style>
  <w:style w:type="character" w:customStyle="1" w:styleId="35">
    <w:name w:val="页眉 字符"/>
    <w:basedOn w:val="18"/>
    <w:link w:val="13"/>
    <w:qFormat/>
    <w:uiPriority w:val="0"/>
    <w:rPr>
      <w:sz w:val="18"/>
      <w:szCs w:val="18"/>
    </w:rPr>
  </w:style>
  <w:style w:type="character" w:customStyle="1" w:styleId="36">
    <w:name w:val="脚注文本 字符"/>
    <w:basedOn w:val="18"/>
    <w:link w:val="14"/>
    <w:qFormat/>
    <w:uiPriority w:val="0"/>
    <w:rPr>
      <w:sz w:val="18"/>
      <w:szCs w:val="18"/>
    </w:rPr>
  </w:style>
  <w:style w:type="paragraph" w:styleId="37">
    <w:name w:val="List Paragraph"/>
    <w:basedOn w:val="1"/>
    <w:autoRedefine/>
    <w:qFormat/>
    <w:uiPriority w:val="34"/>
    <w:pPr>
      <w:numPr>
        <w:ilvl w:val="0"/>
        <w:numId w:val="2"/>
      </w:numPr>
      <w:spacing w:line="360" w:lineRule="auto"/>
      <w:outlineLvl w:val="2"/>
    </w:pPr>
  </w:style>
  <w:style w:type="character" w:customStyle="1" w:styleId="38">
    <w:name w:val="font21"/>
    <w:basedOn w:val="18"/>
    <w:qFormat/>
    <w:uiPriority w:val="0"/>
    <w:rPr>
      <w:rFonts w:hint="eastAsia" w:ascii="宋体" w:hAnsi="宋体" w:eastAsia="宋体" w:cs="宋体"/>
      <w:color w:val="000000"/>
      <w:sz w:val="22"/>
      <w:szCs w:val="22"/>
      <w:u w:val="none"/>
    </w:rPr>
  </w:style>
  <w:style w:type="character" w:customStyle="1" w:styleId="39">
    <w:name w:val="font31"/>
    <w:basedOn w:val="18"/>
    <w:qFormat/>
    <w:uiPriority w:val="0"/>
    <w:rPr>
      <w:rFonts w:hint="eastAsia" w:ascii="宋体" w:hAnsi="宋体" w:eastAsia="宋体" w:cs="宋体"/>
      <w:color w:val="000000"/>
      <w:sz w:val="22"/>
      <w:szCs w:val="22"/>
      <w:u w:val="none"/>
      <w:vertAlign w:val="superscript"/>
    </w:rPr>
  </w:style>
  <w:style w:type="paragraph" w:customStyle="1" w:styleId="40">
    <w:name w:val="EndNote Bibliography Title"/>
    <w:basedOn w:val="1"/>
    <w:link w:val="42"/>
    <w:qFormat/>
    <w:uiPriority w:val="0"/>
    <w:pPr>
      <w:jc w:val="center"/>
    </w:pPr>
    <w:rPr>
      <w:rFonts w:ascii="Calibri" w:hAnsi="Calibri" w:cs="Calibri"/>
      <w:kern w:val="0"/>
      <w:sz w:val="20"/>
    </w:rPr>
  </w:style>
  <w:style w:type="character" w:customStyle="1" w:styleId="41">
    <w:name w:val="普通(网站) 字符"/>
    <w:basedOn w:val="18"/>
    <w:link w:val="15"/>
    <w:qFormat/>
    <w:uiPriority w:val="0"/>
    <w:rPr>
      <w:rFonts w:cs="Times New Roman"/>
      <w:kern w:val="0"/>
      <w:sz w:val="24"/>
      <w:szCs w:val="24"/>
    </w:rPr>
  </w:style>
  <w:style w:type="character" w:customStyle="1" w:styleId="42">
    <w:name w:val="EndNote Bibliography Title 字符"/>
    <w:basedOn w:val="41"/>
    <w:link w:val="40"/>
    <w:qFormat/>
    <w:uiPriority w:val="0"/>
    <w:rPr>
      <w:rFonts w:ascii="Calibri" w:hAnsi="Calibri" w:cs="Calibri"/>
      <w:kern w:val="0"/>
      <w:sz w:val="20"/>
      <w:szCs w:val="24"/>
    </w:rPr>
  </w:style>
  <w:style w:type="paragraph" w:customStyle="1" w:styleId="43">
    <w:name w:val="EndNote Bibliography"/>
    <w:basedOn w:val="1"/>
    <w:link w:val="44"/>
    <w:qFormat/>
    <w:uiPriority w:val="0"/>
    <w:rPr>
      <w:rFonts w:ascii="Calibri" w:hAnsi="Calibri" w:cs="Calibri"/>
      <w:kern w:val="0"/>
      <w:sz w:val="20"/>
    </w:rPr>
  </w:style>
  <w:style w:type="character" w:customStyle="1" w:styleId="44">
    <w:name w:val="EndNote Bibliography 字符"/>
    <w:basedOn w:val="41"/>
    <w:link w:val="43"/>
    <w:qFormat/>
    <w:uiPriority w:val="0"/>
    <w:rPr>
      <w:rFonts w:ascii="Calibri" w:hAnsi="Calibri" w:cs="Calibri"/>
      <w:kern w:val="0"/>
      <w:sz w:val="20"/>
      <w:szCs w:val="24"/>
    </w:rPr>
  </w:style>
  <w:style w:type="character" w:customStyle="1" w:styleId="45">
    <w:name w:val="未处理的提及1"/>
    <w:basedOn w:val="18"/>
    <w:semiHidden/>
    <w:unhideWhenUsed/>
    <w:qFormat/>
    <w:uiPriority w:val="99"/>
    <w:rPr>
      <w:color w:val="605E5C"/>
      <w:shd w:val="clear" w:color="auto" w:fill="E1DFDD"/>
    </w:rPr>
  </w:style>
  <w:style w:type="character" w:customStyle="1" w:styleId="46">
    <w:name w:val="font91"/>
    <w:basedOn w:val="18"/>
    <w:qFormat/>
    <w:uiPriority w:val="0"/>
    <w:rPr>
      <w:rFonts w:hint="default" w:ascii="Times New Roman" w:hAnsi="Times New Roman" w:cs="Times New Roman"/>
      <w:color w:val="000000"/>
      <w:sz w:val="21"/>
      <w:szCs w:val="21"/>
      <w:u w:val="none"/>
      <w:vertAlign w:val="superscript"/>
    </w:rPr>
  </w:style>
  <w:style w:type="character" w:customStyle="1" w:styleId="47">
    <w:name w:val="font81"/>
    <w:basedOn w:val="18"/>
    <w:qFormat/>
    <w:uiPriority w:val="0"/>
    <w:rPr>
      <w:rFonts w:hint="default" w:ascii="Times New Roman" w:hAnsi="Times New Roman" w:cs="Times New Roman"/>
      <w:color w:val="000000"/>
      <w:sz w:val="21"/>
      <w:szCs w:val="21"/>
      <w:u w:val="none"/>
      <w:vertAlign w:val="superscript"/>
    </w:rPr>
  </w:style>
  <w:style w:type="paragraph" w:customStyle="1" w:styleId="48">
    <w:name w:val="修订1"/>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49">
    <w:name w:val="修订2"/>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50">
    <w:name w:val="修订3"/>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51">
    <w:name w:val="修订4"/>
    <w:hidden/>
    <w:unhideWhenUsed/>
    <w:qFormat/>
    <w:uiPriority w:val="99"/>
    <w:rPr>
      <w:rFonts w:asciiTheme="minorHAnsi" w:hAnsiTheme="minorHAnsi" w:eastAsiaTheme="minorEastAsia" w:cstheme="minorBidi"/>
      <w:kern w:val="2"/>
      <w:sz w:val="21"/>
      <w:szCs w:val="24"/>
      <w:lang w:val="en-US" w:eastAsia="zh-CN" w:bidi="ar-SA"/>
    </w:rPr>
  </w:style>
  <w:style w:type="character" w:customStyle="1" w:styleId="52">
    <w:name w:val="未处理的提及2"/>
    <w:basedOn w:val="18"/>
    <w:semiHidden/>
    <w:unhideWhenUsed/>
    <w:qFormat/>
    <w:uiPriority w:val="99"/>
    <w:rPr>
      <w:color w:val="605E5C"/>
      <w:shd w:val="clear" w:color="auto" w:fill="E1DFDD"/>
    </w:rPr>
  </w:style>
  <w:style w:type="paragraph" w:customStyle="1" w:styleId="53">
    <w:name w:val="修订5"/>
    <w:hidden/>
    <w:unhideWhenUsed/>
    <w:qFormat/>
    <w:uiPriority w:val="99"/>
    <w:rPr>
      <w:rFonts w:asciiTheme="minorHAnsi" w:hAnsiTheme="minorHAnsi" w:eastAsiaTheme="minorEastAsia" w:cstheme="minorBidi"/>
      <w:kern w:val="2"/>
      <w:sz w:val="21"/>
      <w:szCs w:val="24"/>
      <w:lang w:val="en-US" w:eastAsia="zh-CN" w:bidi="ar-SA"/>
    </w:rPr>
  </w:style>
  <w:style w:type="character" w:customStyle="1" w:styleId="54">
    <w:name w:val="未处理的提及3"/>
    <w:basedOn w:val="18"/>
    <w:semiHidden/>
    <w:unhideWhenUsed/>
    <w:qFormat/>
    <w:uiPriority w:val="99"/>
    <w:rPr>
      <w:color w:val="605E5C"/>
      <w:shd w:val="clear" w:color="auto" w:fill="E1DFDD"/>
    </w:rPr>
  </w:style>
  <w:style w:type="paragraph" w:customStyle="1" w:styleId="55">
    <w:name w:val="修订6"/>
    <w:hidden/>
    <w:unhideWhenUsed/>
    <w:qFormat/>
    <w:uiPriority w:val="99"/>
    <w:rPr>
      <w:rFonts w:asciiTheme="minorHAnsi" w:hAnsiTheme="minorHAnsi" w:eastAsiaTheme="minorEastAsia" w:cstheme="minorBidi"/>
      <w:kern w:val="2"/>
      <w:sz w:val="21"/>
      <w:szCs w:val="24"/>
      <w:lang w:val="en-US" w:eastAsia="zh-CN" w:bidi="ar-SA"/>
    </w:rPr>
  </w:style>
  <w:style w:type="character" w:customStyle="1" w:styleId="56">
    <w:name w:val="未处理的提及4"/>
    <w:basedOn w:val="18"/>
    <w:semiHidden/>
    <w:unhideWhenUsed/>
    <w:qFormat/>
    <w:uiPriority w:val="99"/>
    <w:rPr>
      <w:color w:val="605E5C"/>
      <w:shd w:val="clear" w:color="auto" w:fill="E1DFDD"/>
    </w:rPr>
  </w:style>
  <w:style w:type="paragraph" w:customStyle="1" w:styleId="57">
    <w:name w:val="修订7"/>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58">
    <w:name w:val="修订8"/>
    <w:hidden/>
    <w:unhideWhenUsed/>
    <w:qFormat/>
    <w:uiPriority w:val="99"/>
    <w:rPr>
      <w:rFonts w:asciiTheme="minorHAnsi" w:hAnsiTheme="minorHAnsi" w:eastAsiaTheme="minorEastAsia" w:cstheme="minorBidi"/>
      <w:kern w:val="2"/>
      <w:sz w:val="21"/>
      <w:szCs w:val="24"/>
      <w:lang w:val="en-US" w:eastAsia="zh-CN" w:bidi="ar-SA"/>
    </w:rPr>
  </w:style>
  <w:style w:type="paragraph" w:customStyle="1" w:styleId="59">
    <w:name w:val="修订9"/>
    <w:hidden/>
    <w:unhideWhenUsed/>
    <w:qFormat/>
    <w:uiPriority w:val="99"/>
    <w:rPr>
      <w:rFonts w:asciiTheme="minorHAnsi" w:hAnsiTheme="minorHAnsi" w:eastAsiaTheme="minorEastAsia" w:cstheme="minorBidi"/>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tiff"/><Relationship Id="rId8" Type="http://schemas.openxmlformats.org/officeDocument/2006/relationships/image" Target="media/image5.tiff"/><Relationship Id="rId7" Type="http://schemas.openxmlformats.org/officeDocument/2006/relationships/image" Target="media/image4.tiff"/><Relationship Id="rId6" Type="http://schemas.openxmlformats.org/officeDocument/2006/relationships/image" Target="media/image3.tiff"/><Relationship Id="rId5" Type="http://schemas.openxmlformats.org/officeDocument/2006/relationships/image" Target="media/image2.tiff"/><Relationship Id="rId4" Type="http://schemas.openxmlformats.org/officeDocument/2006/relationships/image" Target="media/image1.tiff"/><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33</Pages>
  <Words>3674</Words>
  <Characters>21028</Characters>
  <Lines>400</Lines>
  <Paragraphs>112</Paragraphs>
  <TotalTime>2</TotalTime>
  <ScaleCrop>false</ScaleCrop>
  <LinksUpToDate>false</LinksUpToDate>
  <CharactersWithSpaces>24348</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2025-01-12T14:09:00Z</dcterms:created>
  <dc:creator>Administrator Administrator</dc:creator>
  <cp:lastModifiedBy>大奕</cp:lastModifiedBy>
  <dcterms:modified xsi:type="dcterms:W3CDTF">2025-01-15T14:50:39Z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eyJoZGlkIjoiZDM4ZmIzZjIzZmM1MDQ2NzcxM2RmZGQzMzJmZGNhODEiLCJ1c2VySWQiOiIzOTIzMTcwNDAifQ==</vt:lpwstr>
  </property>
  <property fmtid="{D5CDD505-2E9C-101B-9397-08002B2CF9AE}" pid="3" name="KSOProductBuildVer">
    <vt:lpwstr>2052-12.1.0.19770</vt:lpwstr>
  </property>
  <property fmtid="{D5CDD505-2E9C-101B-9397-08002B2CF9AE}" pid="4" name="ICV">
    <vt:lpwstr>CA5F62A1605946E78E093B37CBE90A14_12</vt:lpwstr>
  </property>
</Properties>
</file>