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1560B" w14:textId="1BB522C5" w:rsidR="00227C96" w:rsidRPr="00BF4B58" w:rsidRDefault="00227C96" w:rsidP="003741C8">
      <w:pPr>
        <w:pStyle w:val="NormaleWeb"/>
        <w:spacing w:line="276" w:lineRule="auto"/>
        <w:jc w:val="both"/>
        <w:rPr>
          <w:b/>
          <w:bCs/>
          <w:color w:val="000000"/>
          <w:sz w:val="22"/>
          <w:szCs w:val="22"/>
          <w:lang w:val="en-US"/>
        </w:rPr>
      </w:pPr>
      <w:bookmarkStart w:id="0" w:name="_Hlk182037793"/>
      <w:bookmarkEnd w:id="0"/>
      <w:r w:rsidRPr="00BF4B58">
        <w:rPr>
          <w:b/>
          <w:bCs/>
          <w:color w:val="000000"/>
          <w:sz w:val="22"/>
          <w:szCs w:val="22"/>
          <w:lang w:val="en-US"/>
        </w:rPr>
        <w:t>QUALITY ASSURANCE IN CERVICAL CANCER SCREENING: EVALUATION OF SAMPLE ADEQUACY IN HPV DNA TESTING</w:t>
      </w:r>
    </w:p>
    <w:p w14:paraId="343EC1E2" w14:textId="08583220" w:rsidR="00227C96" w:rsidRPr="00BF4B58" w:rsidRDefault="00227C96" w:rsidP="003741C8">
      <w:pPr>
        <w:pStyle w:val="NormaleWeb"/>
        <w:spacing w:line="276" w:lineRule="auto"/>
        <w:jc w:val="both"/>
        <w:rPr>
          <w:color w:val="000000"/>
          <w:sz w:val="22"/>
          <w:szCs w:val="22"/>
        </w:rPr>
      </w:pPr>
      <w:r w:rsidRPr="00BF4B58">
        <w:rPr>
          <w:color w:val="000000"/>
          <w:sz w:val="22"/>
          <w:szCs w:val="22"/>
        </w:rPr>
        <w:t>d’Avenia M.</w:t>
      </w:r>
      <w:r w:rsidRPr="00BF4B58">
        <w:rPr>
          <w:color w:val="000000"/>
          <w:sz w:val="22"/>
          <w:szCs w:val="22"/>
          <w:vertAlign w:val="superscript"/>
        </w:rPr>
        <w:t>1,2</w:t>
      </w:r>
      <w:r w:rsidR="008B644E" w:rsidRPr="00BF4B58">
        <w:rPr>
          <w:color w:val="000000"/>
          <w:sz w:val="22"/>
          <w:szCs w:val="22"/>
          <w:vertAlign w:val="superscript"/>
        </w:rPr>
        <w:t>#</w:t>
      </w:r>
      <w:r w:rsidRPr="00BF4B58">
        <w:rPr>
          <w:color w:val="000000"/>
          <w:sz w:val="22"/>
          <w:szCs w:val="22"/>
        </w:rPr>
        <w:t xml:space="preserve">, </w:t>
      </w:r>
      <w:r w:rsidR="00675398" w:rsidRPr="00BF4B58">
        <w:rPr>
          <w:color w:val="000000"/>
          <w:sz w:val="22"/>
          <w:szCs w:val="22"/>
        </w:rPr>
        <w:t>Dell’Anno F.</w:t>
      </w:r>
      <w:r w:rsidR="00675398" w:rsidRPr="00BF4B58">
        <w:rPr>
          <w:color w:val="000000"/>
          <w:sz w:val="22"/>
          <w:szCs w:val="22"/>
          <w:vertAlign w:val="superscript"/>
        </w:rPr>
        <w:t>3</w:t>
      </w:r>
      <w:r w:rsidR="00675398" w:rsidRPr="00BF4B58">
        <w:rPr>
          <w:color w:val="000000"/>
          <w:sz w:val="22"/>
          <w:szCs w:val="22"/>
        </w:rPr>
        <w:t xml:space="preserve">, </w:t>
      </w:r>
      <w:r w:rsidRPr="00BF4B58">
        <w:rPr>
          <w:color w:val="000000"/>
          <w:sz w:val="22"/>
          <w:szCs w:val="22"/>
        </w:rPr>
        <w:t>Martinelli M.</w:t>
      </w:r>
      <w:r w:rsidRPr="00BF4B58">
        <w:rPr>
          <w:color w:val="000000"/>
          <w:sz w:val="22"/>
          <w:szCs w:val="22"/>
          <w:vertAlign w:val="superscript"/>
        </w:rPr>
        <w:t>2</w:t>
      </w:r>
      <w:r w:rsidRPr="00BF4B58">
        <w:rPr>
          <w:color w:val="000000"/>
          <w:sz w:val="22"/>
          <w:szCs w:val="22"/>
        </w:rPr>
        <w:t>, Santomauro L.</w:t>
      </w:r>
      <w:r w:rsidRPr="00BF4B58">
        <w:rPr>
          <w:color w:val="000000"/>
          <w:sz w:val="22"/>
          <w:szCs w:val="22"/>
          <w:vertAlign w:val="superscript"/>
        </w:rPr>
        <w:t>1</w:t>
      </w:r>
      <w:r w:rsidRPr="00BF4B58">
        <w:rPr>
          <w:color w:val="000000"/>
          <w:sz w:val="22"/>
          <w:szCs w:val="22"/>
        </w:rPr>
        <w:t xml:space="preserve">, </w:t>
      </w:r>
      <w:proofErr w:type="spellStart"/>
      <w:r w:rsidRPr="00BF4B58">
        <w:rPr>
          <w:color w:val="000000"/>
          <w:sz w:val="22"/>
          <w:szCs w:val="22"/>
        </w:rPr>
        <w:t>Njoku</w:t>
      </w:r>
      <w:proofErr w:type="spellEnd"/>
      <w:r w:rsidRPr="00BF4B58">
        <w:rPr>
          <w:color w:val="000000"/>
          <w:sz w:val="22"/>
          <w:szCs w:val="22"/>
        </w:rPr>
        <w:t xml:space="preserve"> </w:t>
      </w:r>
      <w:proofErr w:type="spellStart"/>
      <w:r w:rsidRPr="00BF4B58">
        <w:rPr>
          <w:color w:val="000000"/>
          <w:sz w:val="22"/>
          <w:szCs w:val="22"/>
        </w:rPr>
        <w:t>Chinyere</w:t>
      </w:r>
      <w:proofErr w:type="spellEnd"/>
      <w:r w:rsidRPr="00BF4B58">
        <w:rPr>
          <w:color w:val="000000"/>
          <w:sz w:val="22"/>
          <w:szCs w:val="22"/>
        </w:rPr>
        <w:t xml:space="preserve"> R.</w:t>
      </w:r>
      <w:r w:rsidRPr="00BF4B58">
        <w:rPr>
          <w:color w:val="000000"/>
          <w:sz w:val="22"/>
          <w:szCs w:val="22"/>
          <w:vertAlign w:val="superscript"/>
        </w:rPr>
        <w:t>2</w:t>
      </w:r>
      <w:r w:rsidRPr="00BF4B58">
        <w:rPr>
          <w:color w:val="000000"/>
          <w:sz w:val="22"/>
          <w:szCs w:val="22"/>
        </w:rPr>
        <w:t xml:space="preserve">, </w:t>
      </w:r>
      <w:r w:rsidR="00675398" w:rsidRPr="00675398">
        <w:rPr>
          <w:color w:val="000000"/>
          <w:sz w:val="22"/>
          <w:szCs w:val="22"/>
        </w:rPr>
        <w:t xml:space="preserve">Arroyo </w:t>
      </w:r>
      <w:proofErr w:type="spellStart"/>
      <w:r w:rsidR="00675398" w:rsidRPr="00675398">
        <w:rPr>
          <w:color w:val="000000"/>
          <w:sz w:val="22"/>
          <w:szCs w:val="22"/>
        </w:rPr>
        <w:t>Mühr</w:t>
      </w:r>
      <w:proofErr w:type="spellEnd"/>
      <w:r w:rsidR="00675398" w:rsidRPr="00675398">
        <w:rPr>
          <w:color w:val="000000"/>
          <w:sz w:val="22"/>
          <w:szCs w:val="22"/>
        </w:rPr>
        <w:t xml:space="preserve"> L.S.</w:t>
      </w:r>
      <w:r w:rsidR="00675398" w:rsidRPr="002166A6">
        <w:rPr>
          <w:color w:val="000000"/>
          <w:sz w:val="22"/>
          <w:szCs w:val="22"/>
          <w:vertAlign w:val="superscript"/>
        </w:rPr>
        <w:t>4</w:t>
      </w:r>
      <w:r w:rsidR="00675398" w:rsidRPr="00675398">
        <w:rPr>
          <w:color w:val="000000"/>
          <w:sz w:val="22"/>
          <w:szCs w:val="22"/>
        </w:rPr>
        <w:t>,</w:t>
      </w:r>
      <w:r w:rsidR="00675398">
        <w:rPr>
          <w:color w:val="000000"/>
          <w:sz w:val="22"/>
          <w:szCs w:val="22"/>
        </w:rPr>
        <w:t xml:space="preserve"> </w:t>
      </w:r>
      <w:r w:rsidRPr="00BF4B58">
        <w:rPr>
          <w:color w:val="000000"/>
          <w:sz w:val="22"/>
          <w:szCs w:val="22"/>
        </w:rPr>
        <w:t>Iacobellis M.</w:t>
      </w:r>
      <w:r w:rsidRPr="00BF4B58">
        <w:rPr>
          <w:color w:val="000000"/>
          <w:sz w:val="22"/>
          <w:szCs w:val="22"/>
          <w:vertAlign w:val="superscript"/>
        </w:rPr>
        <w:t>1</w:t>
      </w:r>
      <w:r w:rsidRPr="00BF4B58">
        <w:rPr>
          <w:color w:val="000000"/>
          <w:sz w:val="22"/>
          <w:szCs w:val="22"/>
        </w:rPr>
        <w:t>, Cocuzza C</w:t>
      </w:r>
      <w:r w:rsidR="00D022AC">
        <w:rPr>
          <w:color w:val="000000"/>
          <w:sz w:val="22"/>
          <w:szCs w:val="22"/>
        </w:rPr>
        <w:t>.E.</w:t>
      </w:r>
      <w:r w:rsidRPr="00BF4B58">
        <w:rPr>
          <w:color w:val="000000"/>
          <w:sz w:val="22"/>
          <w:szCs w:val="22"/>
          <w:vertAlign w:val="superscript"/>
        </w:rPr>
        <w:t>2</w:t>
      </w:r>
      <w:r w:rsidRPr="00BF4B58">
        <w:rPr>
          <w:color w:val="000000"/>
          <w:sz w:val="22"/>
          <w:szCs w:val="22"/>
        </w:rPr>
        <w:t>.</w:t>
      </w:r>
    </w:p>
    <w:p w14:paraId="40C2EDFE" w14:textId="77777777" w:rsidR="00227C96" w:rsidRPr="00BF4B58" w:rsidRDefault="00227C96" w:rsidP="003741C8">
      <w:pPr>
        <w:pStyle w:val="Normale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  <w:lang w:val="en-US"/>
        </w:rPr>
      </w:pPr>
      <w:r w:rsidRPr="00BF4B58">
        <w:rPr>
          <w:color w:val="000000"/>
          <w:sz w:val="22"/>
          <w:szCs w:val="22"/>
          <w:vertAlign w:val="superscript"/>
          <w:lang w:val="en-US"/>
        </w:rPr>
        <w:t>1</w:t>
      </w:r>
      <w:r w:rsidRPr="00BF4B58">
        <w:rPr>
          <w:color w:val="000000"/>
          <w:sz w:val="22"/>
          <w:szCs w:val="22"/>
          <w:lang w:val="en-US"/>
        </w:rPr>
        <w:t>UOSVD Cytopathology and screening Laboratory, ASL BARI, Bari, Italy.</w:t>
      </w:r>
    </w:p>
    <w:p w14:paraId="11310BBB" w14:textId="32F8FA7C" w:rsidR="00227C96" w:rsidRPr="00BF4B58" w:rsidRDefault="00227C96" w:rsidP="003741C8">
      <w:pPr>
        <w:pStyle w:val="Normale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  <w:lang w:val="en-US"/>
        </w:rPr>
      </w:pPr>
      <w:r w:rsidRPr="00BF4B58">
        <w:rPr>
          <w:color w:val="000000"/>
          <w:sz w:val="22"/>
          <w:szCs w:val="22"/>
          <w:vertAlign w:val="superscript"/>
          <w:lang w:val="en-US"/>
        </w:rPr>
        <w:t>2</w:t>
      </w:r>
      <w:r w:rsidRPr="00BF4B58">
        <w:rPr>
          <w:color w:val="000000"/>
          <w:sz w:val="22"/>
          <w:szCs w:val="22"/>
          <w:lang w:val="en-US"/>
        </w:rPr>
        <w:t xml:space="preserve"> </w:t>
      </w:r>
      <w:r w:rsidR="00F81D92" w:rsidRPr="00BF4B58">
        <w:rPr>
          <w:color w:val="000000"/>
          <w:sz w:val="22"/>
          <w:szCs w:val="22"/>
          <w:lang w:val="en-US"/>
        </w:rPr>
        <w:t>School of Medicine and Surgery</w:t>
      </w:r>
      <w:r w:rsidRPr="00BF4B58">
        <w:rPr>
          <w:color w:val="000000"/>
          <w:sz w:val="22"/>
          <w:szCs w:val="22"/>
          <w:lang w:val="en-US"/>
        </w:rPr>
        <w:t>, University of Milano-Bicocca, Milan, Italy</w:t>
      </w:r>
      <w:r w:rsidR="00313872" w:rsidRPr="00BF4B58">
        <w:rPr>
          <w:color w:val="000000"/>
          <w:sz w:val="22"/>
          <w:szCs w:val="22"/>
          <w:lang w:val="en-US"/>
        </w:rPr>
        <w:t>.</w:t>
      </w:r>
    </w:p>
    <w:p w14:paraId="7A050CC4" w14:textId="16CEEA82" w:rsidR="00313872" w:rsidRDefault="00313872" w:rsidP="003741C8">
      <w:pPr>
        <w:pStyle w:val="Normale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BF4B58">
        <w:rPr>
          <w:color w:val="000000"/>
          <w:sz w:val="22"/>
          <w:szCs w:val="22"/>
          <w:vertAlign w:val="superscript"/>
        </w:rPr>
        <w:t>3</w:t>
      </w:r>
      <w:r w:rsidRPr="00BF4B58">
        <w:rPr>
          <w:color w:val="000000"/>
          <w:sz w:val="22"/>
          <w:szCs w:val="22"/>
        </w:rPr>
        <w:t xml:space="preserve"> </w:t>
      </w:r>
      <w:r w:rsidR="000C348E" w:rsidRPr="00BF4B58">
        <w:rPr>
          <w:color w:val="000000"/>
          <w:sz w:val="22"/>
          <w:szCs w:val="22"/>
        </w:rPr>
        <w:t xml:space="preserve">National Reference Center of </w:t>
      </w:r>
      <w:proofErr w:type="spellStart"/>
      <w:r w:rsidR="000C348E" w:rsidRPr="00BF4B58">
        <w:rPr>
          <w:color w:val="000000"/>
          <w:sz w:val="22"/>
          <w:szCs w:val="22"/>
        </w:rPr>
        <w:t>Veterinary</w:t>
      </w:r>
      <w:proofErr w:type="spellEnd"/>
      <w:r w:rsidR="000C348E" w:rsidRPr="00BF4B58">
        <w:rPr>
          <w:color w:val="000000"/>
          <w:sz w:val="22"/>
          <w:szCs w:val="22"/>
        </w:rPr>
        <w:t xml:space="preserve"> and Comparative </w:t>
      </w:r>
      <w:proofErr w:type="spellStart"/>
      <w:r w:rsidR="000C348E" w:rsidRPr="00BF4B58">
        <w:rPr>
          <w:color w:val="000000"/>
          <w:sz w:val="22"/>
          <w:szCs w:val="22"/>
        </w:rPr>
        <w:t>Oncology</w:t>
      </w:r>
      <w:proofErr w:type="spellEnd"/>
      <w:r w:rsidR="000C348E" w:rsidRPr="00BF4B58">
        <w:rPr>
          <w:color w:val="000000"/>
          <w:sz w:val="22"/>
          <w:szCs w:val="22"/>
        </w:rPr>
        <w:t xml:space="preserve"> (CEROVEC), Istituto Zooprofilattico Sperimentale del Piemonte, Liguria e Valle d'Aosta, Genoa, </w:t>
      </w:r>
      <w:proofErr w:type="spellStart"/>
      <w:r w:rsidR="000C348E" w:rsidRPr="00BF4B58">
        <w:rPr>
          <w:color w:val="000000"/>
          <w:sz w:val="22"/>
          <w:szCs w:val="22"/>
        </w:rPr>
        <w:t>Italy</w:t>
      </w:r>
      <w:proofErr w:type="spellEnd"/>
    </w:p>
    <w:p w14:paraId="21A92A99" w14:textId="5926EB64" w:rsidR="002166A6" w:rsidRPr="002166A6" w:rsidRDefault="002166A6" w:rsidP="003741C8">
      <w:pPr>
        <w:pStyle w:val="Normale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  <w:lang w:val="en-US"/>
        </w:rPr>
      </w:pPr>
      <w:r w:rsidRPr="002166A6">
        <w:rPr>
          <w:color w:val="000000"/>
          <w:sz w:val="22"/>
          <w:szCs w:val="22"/>
          <w:vertAlign w:val="superscript"/>
          <w:lang w:val="en-US"/>
        </w:rPr>
        <w:t>4</w:t>
      </w:r>
      <w:r>
        <w:rPr>
          <w:color w:val="000000"/>
          <w:sz w:val="22"/>
          <w:szCs w:val="22"/>
          <w:lang w:val="en-US"/>
        </w:rPr>
        <w:t xml:space="preserve"> </w:t>
      </w:r>
      <w:r w:rsidR="00E37891" w:rsidRPr="00E37891">
        <w:rPr>
          <w:color w:val="000000"/>
          <w:sz w:val="22"/>
          <w:szCs w:val="22"/>
          <w:lang w:val="en-US"/>
        </w:rPr>
        <w:t xml:space="preserve">Center for Cervical Cancer Elimination, Department of Clinical Science, Intervention and Technology (CLINTEC), Karolinska </w:t>
      </w:r>
      <w:proofErr w:type="spellStart"/>
      <w:r w:rsidR="00E37891" w:rsidRPr="00E37891">
        <w:rPr>
          <w:color w:val="000000"/>
          <w:sz w:val="22"/>
          <w:szCs w:val="22"/>
          <w:lang w:val="en-US"/>
        </w:rPr>
        <w:t>Institutet</w:t>
      </w:r>
      <w:proofErr w:type="spellEnd"/>
      <w:r w:rsidR="00E37891" w:rsidRPr="00E37891">
        <w:rPr>
          <w:color w:val="000000"/>
          <w:sz w:val="22"/>
          <w:szCs w:val="22"/>
          <w:lang w:val="en-US"/>
        </w:rPr>
        <w:t>, F56, Stockholm, Sweden.</w:t>
      </w:r>
    </w:p>
    <w:p w14:paraId="1B0738DF" w14:textId="7F1D8CF6" w:rsidR="008B644E" w:rsidRPr="002166A6" w:rsidRDefault="008B644E" w:rsidP="003741C8">
      <w:pPr>
        <w:pStyle w:val="Normale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  <w:lang w:val="en-US"/>
        </w:rPr>
      </w:pPr>
    </w:p>
    <w:p w14:paraId="3BBFB772" w14:textId="77777777" w:rsidR="00057487" w:rsidRDefault="008B644E" w:rsidP="003741C8">
      <w:pPr>
        <w:pStyle w:val="Normale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057487">
        <w:rPr>
          <w:color w:val="000000"/>
          <w:sz w:val="22"/>
          <w:szCs w:val="22"/>
        </w:rPr>
        <w:t xml:space="preserve"># </w:t>
      </w:r>
      <w:proofErr w:type="spellStart"/>
      <w:r w:rsidRPr="00057487">
        <w:rPr>
          <w:color w:val="000000"/>
          <w:sz w:val="22"/>
          <w:szCs w:val="22"/>
        </w:rPr>
        <w:t>Corresponding</w:t>
      </w:r>
      <w:proofErr w:type="spellEnd"/>
      <w:r w:rsidRPr="00057487">
        <w:rPr>
          <w:color w:val="000000"/>
          <w:sz w:val="22"/>
          <w:szCs w:val="22"/>
        </w:rPr>
        <w:t xml:space="preserve"> Author:</w:t>
      </w:r>
    </w:p>
    <w:p w14:paraId="4E494837" w14:textId="77777777" w:rsidR="00057487" w:rsidRDefault="00057487" w:rsidP="003741C8">
      <w:pPr>
        <w:pStyle w:val="Normale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057487">
        <w:rPr>
          <w:color w:val="000000"/>
          <w:sz w:val="22"/>
          <w:szCs w:val="22"/>
        </w:rPr>
        <w:t>Morena d’Avenia,</w:t>
      </w:r>
      <w:r>
        <w:rPr>
          <w:color w:val="000000"/>
          <w:sz w:val="22"/>
          <w:szCs w:val="22"/>
        </w:rPr>
        <w:t xml:space="preserve"> PhD</w:t>
      </w:r>
    </w:p>
    <w:p w14:paraId="5CEE4D17" w14:textId="34CB1A5F" w:rsidR="00057487" w:rsidRDefault="00057487" w:rsidP="003741C8">
      <w:pPr>
        <w:pStyle w:val="Normale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057487">
        <w:rPr>
          <w:color w:val="000000"/>
          <w:sz w:val="22"/>
          <w:szCs w:val="22"/>
        </w:rPr>
        <w:t xml:space="preserve">ASL Bari, PO </w:t>
      </w:r>
      <w:r>
        <w:rPr>
          <w:color w:val="000000"/>
          <w:sz w:val="22"/>
          <w:szCs w:val="22"/>
        </w:rPr>
        <w:t xml:space="preserve">Di Venere, Via Ospedale di Venere 1, 70131, Bari (BA) </w:t>
      </w:r>
      <w:proofErr w:type="spellStart"/>
      <w:r>
        <w:rPr>
          <w:color w:val="000000"/>
          <w:sz w:val="22"/>
          <w:szCs w:val="22"/>
        </w:rPr>
        <w:t>Italy</w:t>
      </w:r>
      <w:proofErr w:type="spellEnd"/>
      <w:r>
        <w:rPr>
          <w:color w:val="000000"/>
          <w:sz w:val="22"/>
          <w:szCs w:val="22"/>
        </w:rPr>
        <w:t>.</w:t>
      </w:r>
    </w:p>
    <w:p w14:paraId="0C36C5A3" w14:textId="77777777" w:rsidR="00057487" w:rsidRDefault="00057487" w:rsidP="003741C8">
      <w:pPr>
        <w:pStyle w:val="Normale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  <w:lang w:val="fr-FR"/>
        </w:rPr>
      </w:pPr>
      <w:r w:rsidRPr="00057487">
        <w:rPr>
          <w:color w:val="000000"/>
          <w:sz w:val="22"/>
          <w:szCs w:val="22"/>
          <w:lang w:val="fr-FR"/>
        </w:rPr>
        <w:t>Phone +39 080 5845235</w:t>
      </w:r>
    </w:p>
    <w:p w14:paraId="2BB5C449" w14:textId="62F3E294" w:rsidR="008B644E" w:rsidRPr="00F0174F" w:rsidRDefault="00057487" w:rsidP="003741C8">
      <w:pPr>
        <w:pStyle w:val="NormaleWeb"/>
        <w:spacing w:before="0" w:beforeAutospacing="0" w:after="0" w:afterAutospacing="0" w:line="276" w:lineRule="auto"/>
        <w:jc w:val="both"/>
        <w:rPr>
          <w:rStyle w:val="Collegamentoipertestuale"/>
        </w:rPr>
      </w:pPr>
      <w:r w:rsidRPr="008D11BD">
        <w:rPr>
          <w:color w:val="000000"/>
          <w:sz w:val="22"/>
          <w:szCs w:val="22"/>
        </w:rPr>
        <w:t xml:space="preserve">e-mail: </w:t>
      </w:r>
      <w:hyperlink r:id="rId8" w:history="1">
        <w:r w:rsidRPr="008D11BD">
          <w:rPr>
            <w:rStyle w:val="Collegamentoipertestuale"/>
            <w:sz w:val="22"/>
            <w:szCs w:val="22"/>
          </w:rPr>
          <w:t>morena.davenia@asl.bari.it</w:t>
        </w:r>
      </w:hyperlink>
      <w:r w:rsidR="00D62CFF" w:rsidRPr="00F0174F">
        <w:rPr>
          <w:rStyle w:val="Collegamentoipertestuale"/>
        </w:rPr>
        <w:t xml:space="preserve">; </w:t>
      </w:r>
      <w:hyperlink r:id="rId9" w:history="1">
        <w:r w:rsidR="008D11BD" w:rsidRPr="00F0174F">
          <w:rPr>
            <w:rStyle w:val="Collegamentoipertestuale"/>
            <w:sz w:val="22"/>
            <w:szCs w:val="22"/>
          </w:rPr>
          <w:t>morena80@hotmail.it</w:t>
        </w:r>
      </w:hyperlink>
      <w:r w:rsidR="008D11BD" w:rsidRPr="00F0174F">
        <w:rPr>
          <w:rStyle w:val="Collegamentoipertestuale"/>
          <w:sz w:val="22"/>
          <w:szCs w:val="22"/>
        </w:rPr>
        <w:t>; m.davenia1@campus.unimib.it;</w:t>
      </w:r>
    </w:p>
    <w:p w14:paraId="31864356" w14:textId="77777777" w:rsidR="00D62CFF" w:rsidRPr="008D11BD" w:rsidRDefault="00D62CFF" w:rsidP="003741C8">
      <w:pPr>
        <w:pStyle w:val="Normale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</w:p>
    <w:p w14:paraId="246C591C" w14:textId="77777777" w:rsidR="00D022AC" w:rsidRPr="008D11BD" w:rsidRDefault="00D022AC" w:rsidP="003741C8">
      <w:pPr>
        <w:pStyle w:val="Normale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</w:p>
    <w:p w14:paraId="73E7B79D" w14:textId="77777777" w:rsidR="00D022AC" w:rsidRPr="008D11BD" w:rsidRDefault="00D022AC" w:rsidP="003741C8">
      <w:pPr>
        <w:pStyle w:val="Normale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</w:p>
    <w:p w14:paraId="342A0258" w14:textId="77777777" w:rsidR="00D022AC" w:rsidRDefault="00D022AC" w:rsidP="00D022AC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  <w:r w:rsidRPr="00D022AC">
        <w:rPr>
          <w:rFonts w:ascii="Times New Roman" w:hAnsi="Times New Roman" w:cs="Times New Roman"/>
          <w:b/>
          <w:bCs/>
          <w:sz w:val="22"/>
          <w:szCs w:val="22"/>
          <w:lang w:val="en-US"/>
        </w:rPr>
        <w:t>Ethics approval statement</w:t>
      </w:r>
    </w:p>
    <w:p w14:paraId="34B9D38D" w14:textId="7E0911E1" w:rsidR="00D022AC" w:rsidRDefault="00D022AC" w:rsidP="00D022AC">
      <w:pPr>
        <w:spacing w:after="0" w:line="276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The study received ethical approval from the Local Ethics Committee (Ref. 7438/CEL/2023, addendum 1809/CEL/2024). </w:t>
      </w:r>
      <w:r>
        <w:rPr>
          <w:rFonts w:ascii="Times New Roman" w:hAnsi="Times New Roman" w:cs="Times New Roman"/>
          <w:sz w:val="22"/>
          <w:szCs w:val="22"/>
          <w:lang w:val="en-US"/>
        </w:rPr>
        <w:t>Women involved in the observational study gave written consent.</w:t>
      </w:r>
    </w:p>
    <w:p w14:paraId="444310A7" w14:textId="77777777" w:rsidR="00D022AC" w:rsidRDefault="00D022AC" w:rsidP="00D022AC">
      <w:pPr>
        <w:spacing w:after="0" w:line="276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14:paraId="4545DE1A" w14:textId="77777777" w:rsidR="00D022AC" w:rsidRPr="009A26F5" w:rsidRDefault="00D022AC" w:rsidP="00D022AC">
      <w:pPr>
        <w:spacing w:after="0"/>
        <w:jc w:val="both"/>
        <w:rPr>
          <w:rFonts w:ascii="Times New Roman" w:hAnsi="Times New Roman" w:cs="Times New Roman"/>
          <w:b/>
          <w:bCs/>
          <w:sz w:val="22"/>
          <w:szCs w:val="22"/>
          <w:lang w:val="en-GB"/>
        </w:rPr>
      </w:pPr>
      <w:r w:rsidRPr="009A26F5">
        <w:rPr>
          <w:rFonts w:ascii="Times New Roman" w:hAnsi="Times New Roman" w:cs="Times New Roman"/>
          <w:b/>
          <w:bCs/>
          <w:sz w:val="22"/>
          <w:szCs w:val="22"/>
          <w:lang w:val="en-GB"/>
        </w:rPr>
        <w:t>Conflict of interest</w:t>
      </w:r>
    </w:p>
    <w:p w14:paraId="2466636A" w14:textId="77777777" w:rsidR="00D022AC" w:rsidRDefault="00D022AC" w:rsidP="00D022A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GB"/>
        </w:rPr>
      </w:pPr>
      <w:r w:rsidRPr="009A26F5">
        <w:rPr>
          <w:rFonts w:ascii="Times New Roman" w:hAnsi="Times New Roman" w:cs="Times New Roman"/>
          <w:sz w:val="22"/>
          <w:szCs w:val="22"/>
          <w:lang w:val="en-GB"/>
        </w:rPr>
        <w:t xml:space="preserve">C. E. C. is a minority shareholder of Hiantis </w:t>
      </w:r>
      <w:proofErr w:type="spellStart"/>
      <w:r w:rsidRPr="009A26F5">
        <w:rPr>
          <w:rFonts w:ascii="Times New Roman" w:hAnsi="Times New Roman" w:cs="Times New Roman"/>
          <w:sz w:val="22"/>
          <w:szCs w:val="22"/>
          <w:lang w:val="en-GB"/>
        </w:rPr>
        <w:t>Srl</w:t>
      </w:r>
      <w:proofErr w:type="spellEnd"/>
      <w:r w:rsidRPr="009A26F5">
        <w:rPr>
          <w:rFonts w:ascii="Times New Roman" w:hAnsi="Times New Roman" w:cs="Times New Roman"/>
          <w:sz w:val="22"/>
          <w:szCs w:val="22"/>
          <w:lang w:val="en-GB"/>
        </w:rPr>
        <w:t xml:space="preserve"> and </w:t>
      </w:r>
      <w:r>
        <w:rPr>
          <w:rFonts w:ascii="Times New Roman" w:hAnsi="Times New Roman" w:cs="Times New Roman"/>
          <w:sz w:val="22"/>
          <w:szCs w:val="22"/>
          <w:lang w:val="en-GB"/>
        </w:rPr>
        <w:t xml:space="preserve">her institution has </w:t>
      </w:r>
      <w:r w:rsidRPr="009A26F5">
        <w:rPr>
          <w:rFonts w:ascii="Times New Roman" w:hAnsi="Times New Roman" w:cs="Times New Roman"/>
          <w:sz w:val="22"/>
          <w:szCs w:val="22"/>
          <w:lang w:val="en-GB"/>
        </w:rPr>
        <w:t xml:space="preserve">received research grants and/or gratis consumables from Beckton Dickinson, Copan Italia, </w:t>
      </w:r>
      <w:proofErr w:type="spellStart"/>
      <w:r w:rsidRPr="009A26F5">
        <w:rPr>
          <w:rFonts w:ascii="Times New Roman" w:hAnsi="Times New Roman" w:cs="Times New Roman"/>
          <w:sz w:val="22"/>
          <w:szCs w:val="22"/>
          <w:lang w:val="en-GB"/>
        </w:rPr>
        <w:t>Seegene</w:t>
      </w:r>
      <w:proofErr w:type="spellEnd"/>
      <w:r w:rsidRPr="009A26F5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proofErr w:type="spellStart"/>
      <w:r w:rsidRPr="009A26F5">
        <w:rPr>
          <w:rFonts w:ascii="Times New Roman" w:hAnsi="Times New Roman" w:cs="Times New Roman"/>
          <w:sz w:val="22"/>
          <w:szCs w:val="22"/>
          <w:lang w:val="en-GB"/>
        </w:rPr>
        <w:t>Novosanis</w:t>
      </w:r>
      <w:proofErr w:type="spellEnd"/>
      <w:r w:rsidRPr="009A26F5">
        <w:rPr>
          <w:rFonts w:ascii="Times New Roman" w:hAnsi="Times New Roman" w:cs="Times New Roman"/>
          <w:sz w:val="22"/>
          <w:szCs w:val="22"/>
          <w:lang w:val="en-GB"/>
        </w:rPr>
        <w:t xml:space="preserve"> and </w:t>
      </w:r>
      <w:proofErr w:type="spellStart"/>
      <w:r w:rsidRPr="009A26F5">
        <w:rPr>
          <w:rFonts w:ascii="Times New Roman" w:hAnsi="Times New Roman" w:cs="Times New Roman"/>
          <w:sz w:val="22"/>
          <w:szCs w:val="22"/>
          <w:lang w:val="en-GB"/>
        </w:rPr>
        <w:t>Fujirebio</w:t>
      </w:r>
      <w:proofErr w:type="spellEnd"/>
      <w:r w:rsidRPr="009A26F5">
        <w:rPr>
          <w:rFonts w:ascii="Times New Roman" w:hAnsi="Times New Roman" w:cs="Times New Roman"/>
          <w:sz w:val="22"/>
          <w:szCs w:val="22"/>
          <w:lang w:val="en-GB"/>
        </w:rPr>
        <w:t xml:space="preserve">. C. E. C. has received speaker honoraria and/or travel funds from </w:t>
      </w:r>
      <w:proofErr w:type="spellStart"/>
      <w:r w:rsidRPr="009A26F5">
        <w:rPr>
          <w:rFonts w:ascii="Times New Roman" w:hAnsi="Times New Roman" w:cs="Times New Roman"/>
          <w:sz w:val="22"/>
          <w:szCs w:val="22"/>
          <w:lang w:val="en-GB"/>
        </w:rPr>
        <w:t>Seegene</w:t>
      </w:r>
      <w:proofErr w:type="spellEnd"/>
      <w:r w:rsidRPr="009A26F5">
        <w:rPr>
          <w:rFonts w:ascii="Times New Roman" w:hAnsi="Times New Roman" w:cs="Times New Roman"/>
          <w:sz w:val="22"/>
          <w:szCs w:val="22"/>
          <w:lang w:val="en-GB"/>
        </w:rPr>
        <w:t>, Beckton Dickinson, Copan Italia.</w:t>
      </w:r>
    </w:p>
    <w:p w14:paraId="22E4F98A" w14:textId="77777777" w:rsidR="00D022AC" w:rsidRDefault="00D022AC" w:rsidP="00D022AC">
      <w:pPr>
        <w:spacing w:after="0" w:line="276" w:lineRule="auto"/>
        <w:jc w:val="both"/>
        <w:rPr>
          <w:rFonts w:ascii="Times New Roman" w:hAnsi="Times New Roman" w:cs="Times New Roman"/>
          <w:sz w:val="22"/>
          <w:szCs w:val="22"/>
          <w:lang w:val="en-GB"/>
        </w:rPr>
      </w:pPr>
    </w:p>
    <w:p w14:paraId="71764646" w14:textId="77777777" w:rsidR="009A70BC" w:rsidRPr="00435496" w:rsidRDefault="009A70BC" w:rsidP="009A70BC">
      <w:pPr>
        <w:spacing w:after="0"/>
        <w:jc w:val="both"/>
        <w:rPr>
          <w:b/>
          <w:bCs/>
          <w:sz w:val="22"/>
          <w:szCs w:val="22"/>
          <w:lang w:val="en-US"/>
        </w:rPr>
      </w:pPr>
      <w:r w:rsidRPr="00435496">
        <w:rPr>
          <w:b/>
          <w:bCs/>
          <w:sz w:val="22"/>
          <w:szCs w:val="22"/>
          <w:lang w:val="en-US"/>
        </w:rPr>
        <w:t>Authors' contributions</w:t>
      </w:r>
    </w:p>
    <w:p w14:paraId="6172F0F3" w14:textId="066239A9" w:rsidR="009A70BC" w:rsidRDefault="009A70BC" w:rsidP="009A70B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GB"/>
        </w:rPr>
      </w:pPr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Conceptualization, writing, data curation, and editing: Morena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d’Avenia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. </w:t>
      </w:r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Molecular biology experiments: Morena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d’Avenia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, Njoku Chinyere R;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Citology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evaluation: Loredana Santomauro, Michela Iacobellis. </w:t>
      </w:r>
      <w:r w:rsidRPr="009A70BC">
        <w:rPr>
          <w:rFonts w:ascii="Times New Roman" w:hAnsi="Times New Roman" w:cs="Times New Roman"/>
          <w:sz w:val="22"/>
          <w:szCs w:val="22"/>
          <w:lang w:val="en-US"/>
        </w:rPr>
        <w:t xml:space="preserve">Data collection: Morena </w:t>
      </w:r>
      <w:proofErr w:type="spellStart"/>
      <w:r w:rsidRPr="009A70BC">
        <w:rPr>
          <w:rFonts w:ascii="Times New Roman" w:hAnsi="Times New Roman" w:cs="Times New Roman"/>
          <w:sz w:val="22"/>
          <w:szCs w:val="22"/>
          <w:lang w:val="en-US"/>
        </w:rPr>
        <w:t>d’Avenia</w:t>
      </w:r>
      <w:proofErr w:type="spellEnd"/>
      <w:r w:rsidRPr="009A70BC">
        <w:rPr>
          <w:rFonts w:ascii="Times New Roman" w:hAnsi="Times New Roman" w:cs="Times New Roman"/>
          <w:sz w:val="22"/>
          <w:szCs w:val="22"/>
          <w:lang w:val="en-US"/>
        </w:rPr>
        <w:t>, Njoku Chinyere R. Statistical Analysis, Tables and Fi</w:t>
      </w:r>
      <w:r>
        <w:rPr>
          <w:rFonts w:ascii="Times New Roman" w:hAnsi="Times New Roman" w:cs="Times New Roman"/>
          <w:sz w:val="22"/>
          <w:szCs w:val="22"/>
          <w:lang w:val="en-US"/>
        </w:rPr>
        <w:t>gures</w:t>
      </w:r>
      <w:r w:rsidRPr="009A70BC">
        <w:rPr>
          <w:rFonts w:ascii="Times New Roman" w:hAnsi="Times New Roman" w:cs="Times New Roman"/>
          <w:sz w:val="22"/>
          <w:szCs w:val="22"/>
          <w:lang w:val="en-US"/>
        </w:rPr>
        <w:t xml:space="preserve">: Filippo </w:t>
      </w:r>
      <w:proofErr w:type="spellStart"/>
      <w:r w:rsidRPr="009A70BC">
        <w:rPr>
          <w:rFonts w:ascii="Times New Roman" w:hAnsi="Times New Roman" w:cs="Times New Roman"/>
          <w:sz w:val="22"/>
          <w:szCs w:val="22"/>
          <w:lang w:val="en-US"/>
        </w:rPr>
        <w:t>Dell’Anno</w:t>
      </w:r>
      <w:proofErr w:type="spellEnd"/>
      <w:r w:rsidRPr="009A70BC">
        <w:rPr>
          <w:rFonts w:ascii="Times New Roman" w:hAnsi="Times New Roman" w:cs="Times New Roman"/>
          <w:sz w:val="22"/>
          <w:szCs w:val="22"/>
          <w:lang w:val="en-US"/>
        </w:rPr>
        <w:t xml:space="preserve">, Morena </w:t>
      </w:r>
      <w:proofErr w:type="spellStart"/>
      <w:r w:rsidRPr="009A70BC">
        <w:rPr>
          <w:rFonts w:ascii="Times New Roman" w:hAnsi="Times New Roman" w:cs="Times New Roman"/>
          <w:sz w:val="22"/>
          <w:szCs w:val="22"/>
          <w:lang w:val="en-US"/>
        </w:rPr>
        <w:t>d’Avenia</w:t>
      </w:r>
      <w:proofErr w:type="spellEnd"/>
      <w:r w:rsidRPr="009A70BC">
        <w:rPr>
          <w:rFonts w:ascii="Times New Roman" w:hAnsi="Times New Roman" w:cs="Times New Roman"/>
          <w:sz w:val="22"/>
          <w:szCs w:val="22"/>
          <w:lang w:val="en-US"/>
        </w:rPr>
        <w:t xml:space="preserve">. </w:t>
      </w:r>
      <w:r w:rsidRPr="00854FAF">
        <w:rPr>
          <w:rFonts w:ascii="Times New Roman" w:hAnsi="Times New Roman" w:cs="Times New Roman"/>
          <w:sz w:val="22"/>
          <w:szCs w:val="22"/>
        </w:rPr>
        <w:t>Writing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54FAF">
        <w:rPr>
          <w:rFonts w:ascii="Times New Roman" w:hAnsi="Times New Roman" w:cs="Times New Roman"/>
          <w:sz w:val="22"/>
          <w:szCs w:val="22"/>
        </w:rPr>
        <w:t>review: Clementina Cocuzza, Morena d’Avenia, Marianna Martinelli,</w:t>
      </w:r>
      <w:r>
        <w:rPr>
          <w:rFonts w:ascii="Times New Roman" w:hAnsi="Times New Roman" w:cs="Times New Roman"/>
          <w:sz w:val="22"/>
          <w:szCs w:val="22"/>
        </w:rPr>
        <w:t xml:space="preserve"> Arroyo </w:t>
      </w:r>
      <w:proofErr w:type="spellStart"/>
      <w:r>
        <w:rPr>
          <w:rFonts w:ascii="Times New Roman" w:hAnsi="Times New Roman" w:cs="Times New Roman"/>
          <w:sz w:val="22"/>
          <w:szCs w:val="22"/>
        </w:rPr>
        <w:t>M</w:t>
      </w:r>
      <w:r w:rsidRPr="00675398">
        <w:rPr>
          <w:color w:val="000000"/>
          <w:sz w:val="22"/>
          <w:szCs w:val="22"/>
        </w:rPr>
        <w:t>ü</w:t>
      </w:r>
      <w:r>
        <w:rPr>
          <w:rFonts w:ascii="Times New Roman" w:hAnsi="Times New Roman" w:cs="Times New Roman"/>
          <w:sz w:val="22"/>
          <w:szCs w:val="22"/>
        </w:rPr>
        <w:t>hr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LS,</w:t>
      </w:r>
      <w:r w:rsidRPr="00854FAF">
        <w:rPr>
          <w:rFonts w:ascii="Times New Roman" w:hAnsi="Times New Roman" w:cs="Times New Roman"/>
          <w:sz w:val="22"/>
          <w:szCs w:val="22"/>
        </w:rPr>
        <w:t xml:space="preserve"> Filippo Dell’Anno. </w:t>
      </w:r>
      <w:r w:rsidRPr="009A26F5">
        <w:rPr>
          <w:rFonts w:ascii="Times New Roman" w:hAnsi="Times New Roman" w:cs="Times New Roman"/>
          <w:sz w:val="22"/>
          <w:szCs w:val="22"/>
          <w:lang w:val="en-GB"/>
        </w:rPr>
        <w:t>Supervision and funding acquisition: Michela Iacobellis, Clementina Cocuzza. All authors have read and agreed to the published version of the manuscript.</w:t>
      </w:r>
    </w:p>
    <w:p w14:paraId="0D6EDF39" w14:textId="77777777" w:rsidR="009A70BC" w:rsidRPr="00D022AC" w:rsidRDefault="009A70BC" w:rsidP="00D022AC">
      <w:pPr>
        <w:spacing w:after="0" w:line="276" w:lineRule="auto"/>
        <w:jc w:val="both"/>
        <w:rPr>
          <w:rFonts w:ascii="Times New Roman" w:hAnsi="Times New Roman" w:cs="Times New Roman"/>
          <w:sz w:val="22"/>
          <w:szCs w:val="22"/>
          <w:lang w:val="en-GB"/>
        </w:rPr>
      </w:pPr>
    </w:p>
    <w:p w14:paraId="245D3032" w14:textId="77777777" w:rsidR="009A70BC" w:rsidRPr="008D17DD" w:rsidRDefault="009A70BC" w:rsidP="009A70BC">
      <w:pPr>
        <w:spacing w:after="0"/>
        <w:jc w:val="both"/>
        <w:rPr>
          <w:b/>
          <w:bCs/>
          <w:sz w:val="22"/>
          <w:szCs w:val="22"/>
          <w:lang w:val="en-US"/>
        </w:rPr>
      </w:pPr>
      <w:r w:rsidRPr="008D17DD">
        <w:rPr>
          <w:b/>
          <w:bCs/>
          <w:sz w:val="22"/>
          <w:szCs w:val="22"/>
          <w:lang w:val="en-US"/>
        </w:rPr>
        <w:t>Abbreviations</w:t>
      </w:r>
    </w:p>
    <w:p w14:paraId="260EB7AC" w14:textId="77777777" w:rsidR="009A70BC" w:rsidRPr="008D17DD" w:rsidRDefault="009A70BC" w:rsidP="009A70BC">
      <w:pPr>
        <w:spacing w:after="0"/>
        <w:jc w:val="both"/>
        <w:rPr>
          <w:b/>
          <w:bCs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 xml:space="preserve">ASC-H </w:t>
      </w:r>
      <w:r w:rsidRPr="00352AB5">
        <w:rPr>
          <w:rFonts w:ascii="Times New Roman" w:hAnsi="Times New Roman" w:cs="Times New Roman"/>
          <w:sz w:val="22"/>
          <w:szCs w:val="22"/>
          <w:lang w:val="en-US"/>
        </w:rPr>
        <w:t>atypical squamous cells-high-grade cannot be excluded</w:t>
      </w:r>
    </w:p>
    <w:p w14:paraId="1DA8FC3B" w14:textId="77777777" w:rsidR="009A70BC" w:rsidRDefault="009A70BC" w:rsidP="009A70B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GB"/>
        </w:rPr>
        <w:t xml:space="preserve">ASC-US </w:t>
      </w:r>
      <w:r w:rsidRPr="00352AB5">
        <w:rPr>
          <w:rFonts w:ascii="Times New Roman" w:hAnsi="Times New Roman" w:cs="Times New Roman"/>
          <w:sz w:val="22"/>
          <w:szCs w:val="22"/>
          <w:lang w:val="en-US"/>
        </w:rPr>
        <w:t>Atypical squamous cells of undetermined significance </w:t>
      </w:r>
    </w:p>
    <w:p w14:paraId="76E1267E" w14:textId="77777777" w:rsidR="009A70BC" w:rsidRDefault="009A70BC" w:rsidP="009A70B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 xml:space="preserve">CCR5 </w:t>
      </w:r>
      <w:r w:rsidRPr="002411C9">
        <w:rPr>
          <w:rFonts w:ascii="Times New Roman" w:hAnsi="Times New Roman" w:cs="Times New Roman"/>
          <w:i/>
          <w:iCs/>
          <w:sz w:val="22"/>
          <w:szCs w:val="22"/>
          <w:lang w:val="en-US"/>
        </w:rPr>
        <w:t>C-C chemokine receptor type 5</w:t>
      </w:r>
      <w:r w:rsidRPr="002411C9">
        <w:rPr>
          <w:rFonts w:ascii="Times New Roman" w:hAnsi="Times New Roman" w:cs="Times New Roman"/>
          <w:sz w:val="22"/>
          <w:szCs w:val="22"/>
          <w:lang w:val="en-US"/>
        </w:rPr>
        <w:t> </w:t>
      </w:r>
    </w:p>
    <w:p w14:paraId="368E9F6B" w14:textId="77777777" w:rsidR="009A70BC" w:rsidRDefault="009A70BC" w:rsidP="009A70B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CC Cervical Cancer</w:t>
      </w:r>
    </w:p>
    <w:p w14:paraId="1886983A" w14:textId="77777777" w:rsidR="009A70BC" w:rsidRDefault="009A70BC" w:rsidP="009A70B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CCS Cervical Cancer Screening</w:t>
      </w:r>
    </w:p>
    <w:p w14:paraId="7E8AA010" w14:textId="77777777" w:rsidR="009A70BC" w:rsidRDefault="009A70BC" w:rsidP="009A70B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CEL Local Ethic Committee</w:t>
      </w:r>
    </w:p>
    <w:p w14:paraId="272B9274" w14:textId="77777777" w:rsidR="009A70BC" w:rsidRDefault="009A70BC" w:rsidP="009A70B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CI Confidence Interval</w:t>
      </w:r>
    </w:p>
    <w:p w14:paraId="4D9E43BB" w14:textId="77777777" w:rsidR="009A70BC" w:rsidRDefault="009A70BC" w:rsidP="009A70B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GB"/>
        </w:rPr>
      </w:pPr>
      <w:r>
        <w:rPr>
          <w:rFonts w:ascii="Times New Roman" w:hAnsi="Times New Roman" w:cs="Times New Roman"/>
          <w:sz w:val="22"/>
          <w:szCs w:val="22"/>
          <w:lang w:val="en-GB"/>
        </w:rPr>
        <w:t>CIN Cervical Intraepithelial Neoplasia</w:t>
      </w:r>
    </w:p>
    <w:p w14:paraId="4B9943BC" w14:textId="77777777" w:rsidR="009A70BC" w:rsidRDefault="009A70BC" w:rsidP="009A70B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352AB5">
        <w:rPr>
          <w:rFonts w:ascii="Times New Roman" w:hAnsi="Times New Roman" w:cs="Times New Roman"/>
          <w:sz w:val="22"/>
          <w:szCs w:val="22"/>
          <w:lang w:val="en-US"/>
        </w:rPr>
        <w:t>C</w:t>
      </w:r>
      <w:r>
        <w:rPr>
          <w:rFonts w:ascii="Times New Roman" w:hAnsi="Times New Roman" w:cs="Times New Roman"/>
          <w:sz w:val="22"/>
          <w:szCs w:val="22"/>
          <w:lang w:val="en-US"/>
        </w:rPr>
        <w:t>t Cycles</w:t>
      </w:r>
      <w:r w:rsidRPr="00352AB5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Threshold</w:t>
      </w:r>
    </w:p>
    <w:p w14:paraId="51C8653A" w14:textId="77777777" w:rsidR="009A70BC" w:rsidRDefault="009A70BC" w:rsidP="009A70B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lastRenderedPageBreak/>
        <w:t>EU European Union</w:t>
      </w:r>
    </w:p>
    <w:p w14:paraId="0FE04B6C" w14:textId="77777777" w:rsidR="009A70BC" w:rsidRDefault="009A70BC" w:rsidP="009A70B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FIGO International Federation of Gynecology and Obstetrics</w:t>
      </w:r>
    </w:p>
    <w:p w14:paraId="2ABA308C" w14:textId="77777777" w:rsidR="009A70BC" w:rsidRPr="002411C9" w:rsidRDefault="009A70BC" w:rsidP="009A70B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GPSC Good Performance Screening Centers</w:t>
      </w:r>
    </w:p>
    <w:p w14:paraId="43E53B2F" w14:textId="77777777" w:rsidR="009A70BC" w:rsidRPr="008D17DD" w:rsidRDefault="009A70BC" w:rsidP="009A70B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 xml:space="preserve">HPV </w:t>
      </w:r>
      <w:r w:rsidRPr="008D17DD">
        <w:rPr>
          <w:rFonts w:ascii="Times New Roman" w:hAnsi="Times New Roman" w:cs="Times New Roman"/>
          <w:sz w:val="22"/>
          <w:szCs w:val="22"/>
          <w:lang w:val="en-US"/>
        </w:rPr>
        <w:t>human papillomavirus</w:t>
      </w:r>
    </w:p>
    <w:p w14:paraId="4C1C4920" w14:textId="77777777" w:rsidR="009A70BC" w:rsidRDefault="009A70BC" w:rsidP="009A70B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HR High Risk</w:t>
      </w:r>
    </w:p>
    <w:p w14:paraId="742E1C4D" w14:textId="77777777" w:rsidR="009A70BC" w:rsidRDefault="009A70BC" w:rsidP="009A70B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 xml:space="preserve">H-SIL High-grade </w:t>
      </w:r>
      <w:r w:rsidRPr="00352AB5">
        <w:rPr>
          <w:rFonts w:ascii="Times New Roman" w:hAnsi="Times New Roman" w:cs="Times New Roman"/>
          <w:sz w:val="22"/>
          <w:szCs w:val="22"/>
          <w:lang w:val="en-US"/>
        </w:rPr>
        <w:t>squamous intraepithelial lesion </w:t>
      </w:r>
    </w:p>
    <w:p w14:paraId="2800A159" w14:textId="77777777" w:rsidR="009A70BC" w:rsidRDefault="009A70BC" w:rsidP="009A70B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GB"/>
        </w:rPr>
      </w:pPr>
      <w:r>
        <w:rPr>
          <w:rFonts w:ascii="Times New Roman" w:hAnsi="Times New Roman" w:cs="Times New Roman"/>
          <w:sz w:val="22"/>
          <w:szCs w:val="22"/>
          <w:lang w:val="en-GB"/>
        </w:rPr>
        <w:t>IC Internal Control</w:t>
      </w:r>
    </w:p>
    <w:p w14:paraId="3B3A920C" w14:textId="77777777" w:rsidR="009A70BC" w:rsidRDefault="009A70BC" w:rsidP="009A70B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IFU Instruction for use</w:t>
      </w:r>
    </w:p>
    <w:p w14:paraId="5101B179" w14:textId="77777777" w:rsidR="009A70BC" w:rsidRPr="00352AB5" w:rsidRDefault="009A70BC" w:rsidP="009A70B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352AB5">
        <w:rPr>
          <w:rFonts w:ascii="Times New Roman" w:hAnsi="Times New Roman" w:cs="Times New Roman"/>
          <w:sz w:val="22"/>
          <w:szCs w:val="22"/>
          <w:lang w:val="en-US"/>
        </w:rPr>
        <w:t>LBC Liquid-based cytology</w:t>
      </w:r>
    </w:p>
    <w:p w14:paraId="49024400" w14:textId="77777777" w:rsidR="009A70BC" w:rsidRDefault="009A70BC" w:rsidP="009A70B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LR Low Risk</w:t>
      </w:r>
    </w:p>
    <w:p w14:paraId="76F7940E" w14:textId="77777777" w:rsidR="009A70BC" w:rsidRDefault="009A70BC" w:rsidP="009A70B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 xml:space="preserve">L-SIL Low-grade </w:t>
      </w:r>
      <w:r w:rsidRPr="00352AB5">
        <w:rPr>
          <w:rFonts w:ascii="Times New Roman" w:hAnsi="Times New Roman" w:cs="Times New Roman"/>
          <w:sz w:val="22"/>
          <w:szCs w:val="22"/>
          <w:lang w:val="en-US"/>
        </w:rPr>
        <w:t>squamous intraepithelial lesion </w:t>
      </w:r>
    </w:p>
    <w:p w14:paraId="12F7D80C" w14:textId="77777777" w:rsidR="009A70BC" w:rsidRDefault="009A70BC" w:rsidP="009A70B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MPSC Medium Performance Screening Centers</w:t>
      </w:r>
    </w:p>
    <w:p w14:paraId="4927FAAF" w14:textId="77777777" w:rsidR="009A70BC" w:rsidRDefault="009A70BC" w:rsidP="009A70B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 xml:space="preserve">NILM </w:t>
      </w:r>
      <w:r w:rsidRPr="00352AB5">
        <w:rPr>
          <w:rFonts w:ascii="Times New Roman" w:hAnsi="Times New Roman" w:cs="Times New Roman"/>
          <w:sz w:val="22"/>
          <w:szCs w:val="22"/>
          <w:lang w:val="en-US"/>
        </w:rPr>
        <w:t>negative for intraepithelial lesion or malignancy</w:t>
      </w:r>
    </w:p>
    <w:p w14:paraId="1DC8D981" w14:textId="77777777" w:rsidR="009A70BC" w:rsidRDefault="009A70BC" w:rsidP="009A70B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OR odds ratio</w:t>
      </w:r>
    </w:p>
    <w:p w14:paraId="3D4CD9BE" w14:textId="77777777" w:rsidR="009A70BC" w:rsidRDefault="009A70BC" w:rsidP="009A70B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GB"/>
        </w:rPr>
      </w:pPr>
      <w:r>
        <w:rPr>
          <w:rFonts w:ascii="Times New Roman" w:hAnsi="Times New Roman" w:cs="Times New Roman"/>
          <w:sz w:val="22"/>
          <w:szCs w:val="22"/>
          <w:lang w:val="en-GB"/>
        </w:rPr>
        <w:t>PCR Polymerase Chain Reaction</w:t>
      </w:r>
    </w:p>
    <w:p w14:paraId="484A2A7C" w14:textId="77777777" w:rsidR="009A70BC" w:rsidRDefault="009A70BC" w:rsidP="009A70B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PPSC Poor Performance Screening Centers</w:t>
      </w:r>
    </w:p>
    <w:p w14:paraId="604CB66E" w14:textId="77777777" w:rsidR="009A70BC" w:rsidRDefault="009A70BC" w:rsidP="009A70B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PR positive rate</w:t>
      </w:r>
    </w:p>
    <w:p w14:paraId="79FF7C90" w14:textId="77777777" w:rsidR="009A70BC" w:rsidRDefault="009A70BC" w:rsidP="009A70B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QC Quality Control</w:t>
      </w:r>
    </w:p>
    <w:p w14:paraId="595AA203" w14:textId="77777777" w:rsidR="009A70BC" w:rsidRDefault="009A70BC" w:rsidP="009A70B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RXN reaction</w:t>
      </w:r>
    </w:p>
    <w:p w14:paraId="0506371E" w14:textId="77777777" w:rsidR="009A70BC" w:rsidRDefault="009A70BC" w:rsidP="009A70B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SC Screening out patients’ clinic center</w:t>
      </w:r>
    </w:p>
    <w:p w14:paraId="5A7D2E32" w14:textId="77777777" w:rsidR="009A70BC" w:rsidRDefault="009A70BC" w:rsidP="009A70B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TPSC Top Performance Screening Centers</w:t>
      </w:r>
    </w:p>
    <w:p w14:paraId="0F622C21" w14:textId="77777777" w:rsidR="009A70BC" w:rsidRDefault="009A70BC" w:rsidP="009A70B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14:paraId="00436657" w14:textId="77777777" w:rsidR="00D022AC" w:rsidRPr="009A70BC" w:rsidRDefault="00D022AC" w:rsidP="003741C8">
      <w:pPr>
        <w:pStyle w:val="Normale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  <w:lang w:val="en-GB"/>
        </w:rPr>
      </w:pPr>
    </w:p>
    <w:p w14:paraId="371FE12E" w14:textId="1B8FD62A" w:rsidR="00F56F9F" w:rsidRPr="00D022AC" w:rsidRDefault="00F56F9F">
      <w:pPr>
        <w:rPr>
          <w:rFonts w:asciiTheme="majorHAnsi" w:eastAsia="Times New Roman" w:hAnsiTheme="majorHAnsi" w:cs="Times New Roman"/>
          <w:color w:val="000000"/>
          <w:kern w:val="0"/>
          <w:sz w:val="22"/>
          <w:szCs w:val="22"/>
          <w:lang w:val="en-US" w:eastAsia="it-IT"/>
          <w14:ligatures w14:val="none"/>
        </w:rPr>
      </w:pPr>
      <w:r w:rsidRPr="00D022AC">
        <w:rPr>
          <w:rFonts w:asciiTheme="majorHAnsi" w:hAnsiTheme="majorHAnsi"/>
          <w:color w:val="000000"/>
          <w:sz w:val="22"/>
          <w:szCs w:val="22"/>
          <w:lang w:val="en-US"/>
        </w:rPr>
        <w:br w:type="page"/>
      </w:r>
    </w:p>
    <w:p w14:paraId="510764C8" w14:textId="6C419725" w:rsidR="00EA7400" w:rsidRDefault="00EA7400" w:rsidP="00EA74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EA7400">
        <w:rPr>
          <w:rFonts w:ascii="Times New Roman" w:eastAsia="Times New Roman" w:hAnsi="Times New Roman" w:cs="Times New Roman"/>
          <w:b/>
          <w:bCs/>
          <w:kern w:val="0"/>
          <w:lang w:val="en-US"/>
          <w14:ligatures w14:val="none"/>
        </w:rPr>
        <w:lastRenderedPageBreak/>
        <w:t>Abstract</w:t>
      </w:r>
    </w:p>
    <w:p w14:paraId="23B22FDD" w14:textId="517269EA" w:rsidR="00EA7400" w:rsidRPr="00EA7400" w:rsidRDefault="00EA7400" w:rsidP="00EA7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EA7400">
        <w:rPr>
          <w:rFonts w:ascii="Times New Roman" w:eastAsia="Times New Roman" w:hAnsi="Times New Roman" w:cs="Times New Roman"/>
          <w:b/>
          <w:bCs/>
          <w:kern w:val="0"/>
          <w:lang w:val="en-US"/>
          <w14:ligatures w14:val="none"/>
        </w:rPr>
        <w:t>Background:</w:t>
      </w:r>
      <w:r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In HPV-</w:t>
      </w:r>
      <w:r w:rsidR="009C58D9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primary 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screening, sample quality </w:t>
      </w:r>
      <w:r w:rsidR="0067539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significantly influences 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test </w:t>
      </w:r>
      <w:r w:rsidR="0067539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accuracy.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r w:rsidR="00F61A4C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Unlike</w:t>
      </w:r>
      <w:r w:rsidR="009C58D9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cytology-based screening, 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no </w:t>
      </w:r>
      <w:r w:rsidR="00336E57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consensus 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guidelines exist for sample</w:t>
      </w:r>
      <w:r w:rsidR="009C58D9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r w:rsidR="001D511E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quality </w:t>
      </w:r>
      <w:r w:rsidR="001D511E"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assessment</w:t>
      </w:r>
      <w:r w:rsidR="009C58D9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in HPV</w:t>
      </w:r>
      <w:r w:rsidR="0073263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testing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. This study aim</w:t>
      </w:r>
      <w:r w:rsidR="009C58D9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s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to </w:t>
      </w:r>
      <w:r w:rsidR="009C58D9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evaluate</w:t>
      </w:r>
      <w:r w:rsidR="009C58D9"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r w:rsidR="009C58D9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the </w:t>
      </w:r>
      <w:r w:rsidR="00FD0CB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impact of</w:t>
      </w:r>
      <w:r w:rsidR="009C58D9"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sample cellularity </w:t>
      </w:r>
      <w:r w:rsidR="00FD0CB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on</w:t>
      </w:r>
      <w:r w:rsidR="00FD0CB8"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HPV testing.</w:t>
      </w:r>
    </w:p>
    <w:p w14:paraId="05E2F7A6" w14:textId="6E75E18C" w:rsidR="00EA7400" w:rsidRPr="00EA7400" w:rsidRDefault="00EA7400" w:rsidP="00EA7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EA7400">
        <w:rPr>
          <w:rFonts w:ascii="Times New Roman" w:eastAsia="Times New Roman" w:hAnsi="Times New Roman" w:cs="Times New Roman"/>
          <w:b/>
          <w:bCs/>
          <w:kern w:val="0"/>
          <w:lang w:val="en-US"/>
          <w14:ligatures w14:val="none"/>
        </w:rPr>
        <w:t>Methods:</w:t>
      </w:r>
      <w:r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A total of 37,592 liquid-based cytology (LBC) samples from women </w:t>
      </w:r>
      <w:r w:rsidR="00F557FC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undergoing screening 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(aged 30-64, mean 47.8</w:t>
      </w:r>
      <w:r w:rsidR="000F2752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±9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years) were analyzed using Cobas</w:t>
      </w:r>
      <w:r w:rsidR="007500DD"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®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4800 HPV Test </w:t>
      </w:r>
      <w:r w:rsidR="000F2752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(Roche)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. </w:t>
      </w:r>
      <w:r w:rsidR="00856249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S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ample adequacy</w:t>
      </w:r>
      <w:r w:rsidR="00FD0CB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was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r w:rsidR="003E790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assessed</w:t>
      </w:r>
      <w:r w:rsidR="003E790D"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by</w:t>
      </w:r>
      <w:r w:rsidR="00856249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the assay’s 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β-globin </w:t>
      </w:r>
      <w:r w:rsidR="003E790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internal control </w:t>
      </w:r>
      <w:r w:rsidR="00FD0CB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and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r w:rsidR="00856249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by an </w:t>
      </w:r>
      <w:r w:rsidR="000F2752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independent </w:t>
      </w:r>
      <w:r w:rsidR="00856249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quantitative cellularity assessment </w:t>
      </w:r>
      <w:r w:rsidR="000F2752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(</w:t>
      </w:r>
      <w:proofErr w:type="spellStart"/>
      <w:r w:rsidR="000F2752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OncoPredict</w:t>
      </w:r>
      <w:proofErr w:type="spellEnd"/>
      <w:r w:rsidR="00336E57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HPV</w:t>
      </w:r>
      <w:r w:rsidR="000F2752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,</w:t>
      </w:r>
      <w:r w:rsidR="00F61A4C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r w:rsidR="000F2752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Hiantis)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. HPV positivity rates (PR) were </w:t>
      </w:r>
      <w:r w:rsidR="00747B2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stratified according to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β-globin Ct values.</w:t>
      </w:r>
    </w:p>
    <w:p w14:paraId="6F433DEB" w14:textId="3A87AF65" w:rsidR="00EA7400" w:rsidRPr="00EA7400" w:rsidRDefault="00EA7400" w:rsidP="00EA7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EA7400">
        <w:rPr>
          <w:rFonts w:ascii="Times New Roman" w:eastAsia="Times New Roman" w:hAnsi="Times New Roman" w:cs="Times New Roman"/>
          <w:b/>
          <w:bCs/>
          <w:kern w:val="0"/>
          <w:lang w:val="en-US"/>
          <w14:ligatures w14:val="none"/>
        </w:rPr>
        <w:t>Results:</w:t>
      </w:r>
      <w:r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r w:rsidR="005A498E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O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verall HPV</w:t>
      </w:r>
      <w:r w:rsidR="00856249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-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PR was 7.7%. PR</w:t>
      </w:r>
      <w:r w:rsidR="000F2752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reached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9.7% </w:t>
      </w:r>
      <w:r w:rsidR="000F2752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in samples with 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β-globin </w:t>
      </w:r>
      <w:r w:rsidR="00E02151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≤</w:t>
      </w:r>
      <w:r w:rsidR="00352AB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28Ct, decreasing </w:t>
      </w:r>
      <w:r w:rsidR="00AF121F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markedly 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to 1.</w:t>
      </w:r>
      <w:r w:rsidR="00E02151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4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% for </w:t>
      </w:r>
      <w:bookmarkStart w:id="1" w:name="_Hlk186393138"/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β-globin </w:t>
      </w:r>
      <w:r w:rsidR="00E02151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&gt;</w:t>
      </w:r>
      <w:r w:rsidR="00352AB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34</w:t>
      </w:r>
      <w:r w:rsidR="00747B2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Ct</w:t>
      </w:r>
      <w:r w:rsidR="00747B2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bookmarkEnd w:id="1"/>
      <w:r w:rsidR="00747B2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(p &lt; 0.001)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.</w:t>
      </w:r>
      <w:r w:rsidR="00F02C12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Quantitative analysis showed that </w:t>
      </w:r>
      <w:r w:rsidR="0073263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Cobas®4800 </w:t>
      </w:r>
      <w:r w:rsidR="00F02C12"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β-globin</w:t>
      </w:r>
      <w:r w:rsidR="00F02C12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Ct</w:t>
      </w:r>
      <w:r w:rsidR="0073263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= </w:t>
      </w:r>
      <w:r w:rsidR="00F02C12"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34</w:t>
      </w:r>
      <w:r w:rsidR="00F02C12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correspond</w:t>
      </w:r>
      <w:r w:rsidR="00F61A4C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s</w:t>
      </w:r>
      <w:r w:rsidR="00F02C12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to approximately </w:t>
      </w:r>
      <w:r w:rsidR="00191E5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1,5x10^3</w:t>
      </w:r>
      <w:r w:rsidR="00F02C12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nucleated cells/</w:t>
      </w:r>
      <w:proofErr w:type="spellStart"/>
      <w:r w:rsidR="00F02C12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rxn</w:t>
      </w:r>
      <w:proofErr w:type="spellEnd"/>
      <w:r w:rsidR="00F02C12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. 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A</w:t>
      </w:r>
      <w:r w:rsidR="000F2752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subset of 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195 HPV-negative samples with β-globin Ct ≥34</w:t>
      </w:r>
      <w:r w:rsidR="00F37CCE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r w:rsidR="001D511E" w:rsidRPr="00E02151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was</w:t>
      </w:r>
      <w:r w:rsidR="00F37CCE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evaluated by LBC: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19% had inadequate cellularity</w:t>
      </w:r>
      <w:r w:rsidR="00336E57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according to </w:t>
      </w:r>
      <w:r w:rsidR="0067539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LBC</w:t>
      </w:r>
      <w:r w:rsidR="00336E57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guidelines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, 8% ≥</w:t>
      </w:r>
      <w:r w:rsidR="00352AB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ASC-US and 73% NILM</w:t>
      </w:r>
      <w:r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s, </w:t>
      </w:r>
      <w:r w:rsidR="00336E57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of </w:t>
      </w:r>
      <w:r w:rsidR="00F02C12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which 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65% showed </w:t>
      </w:r>
      <w:r w:rsidR="00336E57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cellular 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atrophy.</w:t>
      </w:r>
    </w:p>
    <w:p w14:paraId="01AB5D6E" w14:textId="095BAE30" w:rsidR="00EA7400" w:rsidRPr="00EA7400" w:rsidRDefault="00EA7400" w:rsidP="00EA7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EA7400">
        <w:rPr>
          <w:rFonts w:ascii="Times New Roman" w:eastAsia="Times New Roman" w:hAnsi="Times New Roman" w:cs="Times New Roman"/>
          <w:b/>
          <w:bCs/>
          <w:kern w:val="0"/>
          <w:lang w:val="en-US"/>
          <w14:ligatures w14:val="none"/>
        </w:rPr>
        <w:t>Conclusion:</w:t>
      </w:r>
      <w:r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These findings emphasize the </w:t>
      </w:r>
      <w:r w:rsidR="00F61A4C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importance</w:t>
      </w:r>
      <w:r w:rsidR="00F61A4C"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r w:rsidR="00F61A4C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of</w:t>
      </w:r>
      <w:r w:rsidR="00F61A4C"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assess</w:t>
      </w:r>
      <w:r w:rsidR="00F61A4C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ing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r w:rsidR="00F61A4C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cellularity</w:t>
      </w:r>
      <w:r w:rsidR="00F61A4C"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r w:rsidR="003E790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in 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HPV</w:t>
      </w:r>
      <w:r w:rsidR="00F37CCE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-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screening</w:t>
      </w:r>
      <w:r w:rsidR="003E790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in order to </w:t>
      </w:r>
      <w:r w:rsidR="00F37CCE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avoid </w:t>
      </w:r>
      <w:r w:rsidR="00336E57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potentially </w:t>
      </w:r>
      <w:r w:rsidR="00F37CCE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false-negative results</w:t>
      </w:r>
      <w:r w:rsidR="00F61A4C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due to inadequate samples</w:t>
      </w:r>
      <w:r w:rsidRPr="00EA7400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. </w:t>
      </w:r>
      <w:r w:rsidR="003950E8" w:rsidRPr="0067539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Future research should focus on establishing standardized cellularity thresholds to improve screening accuracy.</w:t>
      </w:r>
    </w:p>
    <w:p w14:paraId="1212B345" w14:textId="7AE3C1D3" w:rsidR="006D00A4" w:rsidRDefault="006D00A4" w:rsidP="003741C8">
      <w:pPr>
        <w:pStyle w:val="NormaleWeb"/>
        <w:spacing w:before="0" w:beforeAutospacing="0" w:after="0" w:afterAutospacing="0" w:line="276" w:lineRule="auto"/>
        <w:jc w:val="both"/>
        <w:rPr>
          <w:rFonts w:asciiTheme="majorHAnsi" w:hAnsiTheme="majorHAnsi"/>
          <w:color w:val="000000"/>
          <w:sz w:val="22"/>
          <w:szCs w:val="22"/>
          <w:lang w:val="en-US"/>
        </w:rPr>
      </w:pPr>
    </w:p>
    <w:p w14:paraId="29142A65" w14:textId="05AB2AE7" w:rsidR="00EA7400" w:rsidRDefault="00EA7400" w:rsidP="003741C8">
      <w:pPr>
        <w:pStyle w:val="NormaleWeb"/>
        <w:spacing w:before="0" w:beforeAutospacing="0" w:after="0" w:afterAutospacing="0" w:line="276" w:lineRule="auto"/>
        <w:jc w:val="both"/>
        <w:rPr>
          <w:rFonts w:asciiTheme="majorHAnsi" w:hAnsiTheme="majorHAnsi"/>
          <w:color w:val="000000"/>
          <w:sz w:val="22"/>
          <w:szCs w:val="22"/>
          <w:lang w:val="en-US"/>
        </w:rPr>
      </w:pPr>
    </w:p>
    <w:p w14:paraId="3F07AC90" w14:textId="77777777" w:rsidR="00F56F9F" w:rsidRPr="003950E8" w:rsidRDefault="00F56F9F" w:rsidP="00F56F9F">
      <w:pPr>
        <w:pStyle w:val="NormaleWeb"/>
        <w:spacing w:line="276" w:lineRule="auto"/>
        <w:jc w:val="both"/>
        <w:rPr>
          <w:color w:val="000000"/>
          <w:lang w:val="en-US"/>
        </w:rPr>
      </w:pPr>
      <w:r w:rsidRPr="003950E8">
        <w:rPr>
          <w:b/>
          <w:bCs/>
          <w:color w:val="000000"/>
          <w:lang w:val="en-US"/>
        </w:rPr>
        <w:t>Keywords:</w:t>
      </w:r>
      <w:r w:rsidRPr="003950E8">
        <w:rPr>
          <w:color w:val="000000"/>
          <w:lang w:val="en-US"/>
        </w:rPr>
        <w:t xml:space="preserve"> sample adequacy, HPV-DNA test quality assurance (QA), cervical cancer screening, sample cellularity.</w:t>
      </w:r>
    </w:p>
    <w:p w14:paraId="12999AF7" w14:textId="29DAAE4E" w:rsidR="00EA7400" w:rsidRDefault="00EA7400" w:rsidP="003741C8">
      <w:pPr>
        <w:pStyle w:val="NormaleWeb"/>
        <w:spacing w:before="0" w:beforeAutospacing="0" w:after="0" w:afterAutospacing="0" w:line="276" w:lineRule="auto"/>
        <w:jc w:val="both"/>
        <w:rPr>
          <w:rFonts w:asciiTheme="majorHAnsi" w:hAnsiTheme="majorHAnsi"/>
          <w:color w:val="000000"/>
          <w:sz w:val="22"/>
          <w:szCs w:val="22"/>
          <w:lang w:val="en-US"/>
        </w:rPr>
      </w:pPr>
    </w:p>
    <w:p w14:paraId="455D9F22" w14:textId="33AEA90E" w:rsidR="00EA7400" w:rsidRDefault="00EA7400">
      <w:pPr>
        <w:rPr>
          <w:rFonts w:asciiTheme="majorHAnsi" w:eastAsia="Times New Roman" w:hAnsiTheme="majorHAnsi" w:cs="Times New Roman"/>
          <w:color w:val="000000"/>
          <w:kern w:val="0"/>
          <w:sz w:val="22"/>
          <w:szCs w:val="22"/>
          <w:lang w:val="en-US" w:eastAsia="it-IT"/>
          <w14:ligatures w14:val="none"/>
        </w:rPr>
      </w:pPr>
      <w:r>
        <w:rPr>
          <w:rFonts w:asciiTheme="majorHAnsi" w:hAnsiTheme="majorHAnsi"/>
          <w:color w:val="000000"/>
          <w:sz w:val="22"/>
          <w:szCs w:val="22"/>
          <w:lang w:val="en-US"/>
        </w:rPr>
        <w:br w:type="page"/>
      </w:r>
    </w:p>
    <w:p w14:paraId="71E0F911" w14:textId="710DD5DE" w:rsidR="00227C96" w:rsidRPr="00372B01" w:rsidRDefault="00227C96" w:rsidP="004D595C">
      <w:pPr>
        <w:pStyle w:val="NormaleWeb"/>
        <w:numPr>
          <w:ilvl w:val="0"/>
          <w:numId w:val="5"/>
        </w:numPr>
        <w:spacing w:line="276" w:lineRule="auto"/>
        <w:jc w:val="both"/>
        <w:rPr>
          <w:b/>
          <w:bCs/>
          <w:color w:val="000000"/>
          <w:sz w:val="22"/>
          <w:szCs w:val="22"/>
          <w:lang w:val="en-US"/>
        </w:rPr>
      </w:pPr>
      <w:r w:rsidRPr="00372B01">
        <w:rPr>
          <w:b/>
          <w:bCs/>
          <w:color w:val="000000"/>
          <w:sz w:val="22"/>
          <w:szCs w:val="22"/>
          <w:lang w:val="en-US"/>
        </w:rPr>
        <w:lastRenderedPageBreak/>
        <w:t>Background</w:t>
      </w:r>
    </w:p>
    <w:p w14:paraId="5EBFFA7C" w14:textId="21ECB2EF" w:rsidR="00227C96" w:rsidRPr="006D4277" w:rsidRDefault="00227C96" w:rsidP="004A2D52">
      <w:pPr>
        <w:pStyle w:val="NormaleWeb"/>
        <w:spacing w:line="276" w:lineRule="auto"/>
        <w:jc w:val="both"/>
        <w:rPr>
          <w:color w:val="000000"/>
          <w:sz w:val="22"/>
          <w:szCs w:val="22"/>
          <w:lang w:val="en-US"/>
        </w:rPr>
      </w:pPr>
      <w:r w:rsidRPr="006D4277">
        <w:rPr>
          <w:color w:val="000000"/>
          <w:sz w:val="22"/>
          <w:szCs w:val="22"/>
          <w:lang w:val="en-US"/>
        </w:rPr>
        <w:t xml:space="preserve">The primary cause of cervical cancer </w:t>
      </w:r>
      <w:r w:rsidR="00D85646">
        <w:rPr>
          <w:color w:val="000000"/>
          <w:sz w:val="22"/>
          <w:szCs w:val="22"/>
          <w:lang w:val="en-US"/>
        </w:rPr>
        <w:t xml:space="preserve">(CC) </w:t>
      </w:r>
      <w:r w:rsidRPr="006D4277">
        <w:rPr>
          <w:color w:val="000000"/>
          <w:sz w:val="22"/>
          <w:szCs w:val="22"/>
          <w:lang w:val="en-US"/>
        </w:rPr>
        <w:t xml:space="preserve">is persistent infection with high-risk (HR) human papillomavirus (HPV) genotypes. Molecular HR-HPV assays have </w:t>
      </w:r>
      <w:r w:rsidR="00F37CCE" w:rsidRPr="006D4277">
        <w:rPr>
          <w:color w:val="000000"/>
          <w:sz w:val="22"/>
          <w:szCs w:val="22"/>
          <w:lang w:val="en-US"/>
        </w:rPr>
        <w:t xml:space="preserve">improved </w:t>
      </w:r>
      <w:r w:rsidRPr="006D4277">
        <w:rPr>
          <w:color w:val="000000"/>
          <w:sz w:val="22"/>
          <w:szCs w:val="22"/>
          <w:lang w:val="en-US"/>
        </w:rPr>
        <w:t>screening programs through HPV-primary algorithm</w:t>
      </w:r>
      <w:r w:rsidR="00F37CCE" w:rsidRPr="006D4277">
        <w:rPr>
          <w:color w:val="000000"/>
          <w:sz w:val="22"/>
          <w:szCs w:val="22"/>
          <w:lang w:val="en-US"/>
        </w:rPr>
        <w:t>s</w:t>
      </w:r>
      <w:r w:rsidRPr="006D4277">
        <w:rPr>
          <w:color w:val="000000"/>
          <w:sz w:val="22"/>
          <w:szCs w:val="22"/>
          <w:vertAlign w:val="superscript"/>
          <w:lang w:val="en-US"/>
        </w:rPr>
        <w:t>1,2</w:t>
      </w:r>
      <w:r w:rsidR="00F37CCE" w:rsidRPr="006D4277">
        <w:rPr>
          <w:color w:val="000000"/>
          <w:sz w:val="22"/>
          <w:szCs w:val="22"/>
          <w:lang w:val="en-US"/>
        </w:rPr>
        <w:t xml:space="preserve"> based on which</w:t>
      </w:r>
      <w:r w:rsidRPr="006D4277">
        <w:rPr>
          <w:color w:val="000000"/>
          <w:sz w:val="22"/>
          <w:szCs w:val="22"/>
          <w:lang w:val="en-US"/>
        </w:rPr>
        <w:t xml:space="preserve"> </w:t>
      </w:r>
      <w:r w:rsidR="003B6121" w:rsidRPr="006D4277">
        <w:rPr>
          <w:color w:val="000000"/>
          <w:sz w:val="22"/>
          <w:szCs w:val="22"/>
          <w:lang w:val="en-US"/>
        </w:rPr>
        <w:t xml:space="preserve">HPV-negative women </w:t>
      </w:r>
      <w:r w:rsidR="00F37CCE" w:rsidRPr="006D4277">
        <w:rPr>
          <w:color w:val="000000"/>
          <w:sz w:val="22"/>
          <w:szCs w:val="22"/>
          <w:lang w:val="en-US"/>
        </w:rPr>
        <w:t>are recalled after</w:t>
      </w:r>
      <w:r w:rsidR="003B6121" w:rsidRPr="006D4277">
        <w:rPr>
          <w:color w:val="000000"/>
          <w:sz w:val="22"/>
          <w:szCs w:val="22"/>
          <w:lang w:val="en-US"/>
        </w:rPr>
        <w:t xml:space="preserve"> 5 years, whil</w:t>
      </w:r>
      <w:r w:rsidR="003257E3" w:rsidRPr="006D4277">
        <w:rPr>
          <w:color w:val="000000"/>
          <w:sz w:val="22"/>
          <w:szCs w:val="22"/>
          <w:lang w:val="en-US"/>
        </w:rPr>
        <w:t>st</w:t>
      </w:r>
      <w:r w:rsidR="003B6121" w:rsidRPr="006D4277">
        <w:rPr>
          <w:color w:val="000000"/>
          <w:sz w:val="22"/>
          <w:szCs w:val="22"/>
          <w:lang w:val="en-US"/>
        </w:rPr>
        <w:t xml:space="preserve"> HPV-positive </w:t>
      </w:r>
      <w:r w:rsidR="003257E3" w:rsidRPr="006D4277">
        <w:rPr>
          <w:color w:val="000000"/>
          <w:sz w:val="22"/>
          <w:szCs w:val="22"/>
          <w:lang w:val="en-US"/>
        </w:rPr>
        <w:t xml:space="preserve">patients </w:t>
      </w:r>
      <w:r w:rsidR="003B6121" w:rsidRPr="006D4277">
        <w:rPr>
          <w:color w:val="000000"/>
          <w:sz w:val="22"/>
          <w:szCs w:val="22"/>
          <w:lang w:val="en-US"/>
        </w:rPr>
        <w:t xml:space="preserve">undergo triage with cytology. </w:t>
      </w:r>
      <w:r w:rsidRPr="006D4277">
        <w:rPr>
          <w:color w:val="000000"/>
          <w:sz w:val="22"/>
          <w:szCs w:val="22"/>
          <w:lang w:val="en-US"/>
        </w:rPr>
        <w:t xml:space="preserve">Despite </w:t>
      </w:r>
      <w:r w:rsidR="009C24C2" w:rsidRPr="006D4277">
        <w:rPr>
          <w:color w:val="000000"/>
          <w:sz w:val="22"/>
          <w:szCs w:val="22"/>
          <w:lang w:val="en-US"/>
        </w:rPr>
        <w:t xml:space="preserve">the </w:t>
      </w:r>
      <w:r w:rsidR="005A498E">
        <w:rPr>
          <w:color w:val="000000"/>
          <w:sz w:val="22"/>
          <w:szCs w:val="22"/>
          <w:lang w:val="en-US"/>
        </w:rPr>
        <w:t>improved</w:t>
      </w:r>
      <w:r w:rsidR="005A498E" w:rsidRPr="006D4277">
        <w:rPr>
          <w:color w:val="000000"/>
          <w:sz w:val="22"/>
          <w:szCs w:val="22"/>
          <w:lang w:val="en-US"/>
        </w:rPr>
        <w:t xml:space="preserve"> </w:t>
      </w:r>
      <w:r w:rsidR="009C24C2" w:rsidRPr="006D4277">
        <w:rPr>
          <w:color w:val="000000"/>
          <w:sz w:val="22"/>
          <w:szCs w:val="22"/>
          <w:lang w:val="en-US"/>
        </w:rPr>
        <w:t xml:space="preserve">sensitivity of </w:t>
      </w:r>
      <w:r w:rsidRPr="006D4277">
        <w:rPr>
          <w:color w:val="000000"/>
          <w:sz w:val="22"/>
          <w:szCs w:val="22"/>
          <w:lang w:val="en-US"/>
        </w:rPr>
        <w:t>HPV testing, 5.5</w:t>
      </w:r>
      <w:r w:rsidR="00342198">
        <w:rPr>
          <w:color w:val="000000"/>
          <w:sz w:val="22"/>
          <w:szCs w:val="22"/>
          <w:lang w:val="en-US"/>
        </w:rPr>
        <w:t xml:space="preserve"> - </w:t>
      </w:r>
      <w:r w:rsidRPr="006D4277">
        <w:rPr>
          <w:color w:val="000000"/>
          <w:sz w:val="22"/>
          <w:szCs w:val="22"/>
          <w:lang w:val="en-US"/>
        </w:rPr>
        <w:t xml:space="preserve">16.9% of </w:t>
      </w:r>
      <w:r w:rsidR="00D85646">
        <w:rPr>
          <w:color w:val="000000"/>
          <w:sz w:val="22"/>
          <w:szCs w:val="22"/>
          <w:lang w:val="en-US"/>
        </w:rPr>
        <w:t>CCs</w:t>
      </w:r>
      <w:r w:rsidRPr="006D4277">
        <w:rPr>
          <w:color w:val="000000"/>
          <w:sz w:val="22"/>
          <w:szCs w:val="22"/>
          <w:lang w:val="en-US"/>
        </w:rPr>
        <w:t xml:space="preserve"> are reported as HPV-negative, especially in women over </w:t>
      </w:r>
      <w:r w:rsidR="003257E3" w:rsidRPr="006D4277">
        <w:rPr>
          <w:color w:val="000000"/>
          <w:sz w:val="22"/>
          <w:szCs w:val="22"/>
          <w:lang w:val="en-US"/>
        </w:rPr>
        <w:t xml:space="preserve">the age of </w:t>
      </w:r>
      <w:r w:rsidRPr="006D4277">
        <w:rPr>
          <w:color w:val="000000"/>
          <w:sz w:val="22"/>
          <w:szCs w:val="22"/>
          <w:lang w:val="en-US"/>
        </w:rPr>
        <w:t>50</w:t>
      </w:r>
      <w:r w:rsidR="003257E3" w:rsidRPr="006D4277">
        <w:rPr>
          <w:color w:val="000000"/>
          <w:sz w:val="22"/>
          <w:szCs w:val="22"/>
          <w:lang w:val="en-US"/>
        </w:rPr>
        <w:t xml:space="preserve"> years</w:t>
      </w:r>
      <w:r w:rsidRPr="006D4277">
        <w:rPr>
          <w:color w:val="000000"/>
          <w:sz w:val="22"/>
          <w:szCs w:val="22"/>
          <w:vertAlign w:val="superscript"/>
          <w:lang w:val="en-US"/>
        </w:rPr>
        <w:t>3,4,5,6</w:t>
      </w:r>
      <w:r w:rsidRPr="006D4277">
        <w:rPr>
          <w:color w:val="000000"/>
          <w:sz w:val="22"/>
          <w:szCs w:val="22"/>
          <w:lang w:val="en-US"/>
        </w:rPr>
        <w:t xml:space="preserve">, often diagnosed at advanced FIGO stages </w:t>
      </w:r>
      <w:r w:rsidR="005A498E">
        <w:rPr>
          <w:color w:val="000000"/>
          <w:sz w:val="22"/>
          <w:szCs w:val="22"/>
          <w:lang w:val="en-US"/>
        </w:rPr>
        <w:t>which are</w:t>
      </w:r>
      <w:r w:rsidR="005A498E" w:rsidRPr="006D4277">
        <w:rPr>
          <w:color w:val="000000"/>
          <w:sz w:val="22"/>
          <w:szCs w:val="22"/>
          <w:lang w:val="en-US"/>
        </w:rPr>
        <w:t xml:space="preserve"> </w:t>
      </w:r>
      <w:r w:rsidRPr="006D4277">
        <w:rPr>
          <w:color w:val="000000"/>
          <w:sz w:val="22"/>
          <w:szCs w:val="22"/>
          <w:lang w:val="en-US"/>
        </w:rPr>
        <w:t xml:space="preserve">linked to </w:t>
      </w:r>
      <w:r w:rsidR="005A498E">
        <w:rPr>
          <w:color w:val="000000"/>
          <w:sz w:val="22"/>
          <w:szCs w:val="22"/>
          <w:lang w:val="en-US"/>
        </w:rPr>
        <w:t xml:space="preserve">a </w:t>
      </w:r>
      <w:r w:rsidRPr="006D4277">
        <w:rPr>
          <w:color w:val="000000"/>
          <w:sz w:val="22"/>
          <w:szCs w:val="22"/>
          <w:lang w:val="en-US"/>
        </w:rPr>
        <w:t>poor prognosi</w:t>
      </w:r>
      <w:r w:rsidR="00336E57">
        <w:rPr>
          <w:color w:val="000000"/>
          <w:sz w:val="22"/>
          <w:szCs w:val="22"/>
          <w:lang w:val="en-US"/>
        </w:rPr>
        <w:t>s</w:t>
      </w:r>
      <w:r w:rsidR="007443E4">
        <w:rPr>
          <w:color w:val="000000"/>
          <w:sz w:val="22"/>
          <w:szCs w:val="22"/>
          <w:vertAlign w:val="superscript"/>
          <w:lang w:val="en-US"/>
        </w:rPr>
        <w:t>7</w:t>
      </w:r>
      <w:r w:rsidRPr="006D4277">
        <w:rPr>
          <w:color w:val="000000"/>
          <w:sz w:val="22"/>
          <w:szCs w:val="22"/>
          <w:vertAlign w:val="superscript"/>
          <w:lang w:val="en-US"/>
        </w:rPr>
        <w:t>,</w:t>
      </w:r>
      <w:r w:rsidR="007443E4">
        <w:rPr>
          <w:color w:val="000000"/>
          <w:sz w:val="22"/>
          <w:szCs w:val="22"/>
          <w:vertAlign w:val="superscript"/>
          <w:lang w:val="en-US"/>
        </w:rPr>
        <w:t>8</w:t>
      </w:r>
      <w:r w:rsidRPr="006D4277">
        <w:rPr>
          <w:color w:val="000000"/>
          <w:sz w:val="22"/>
          <w:szCs w:val="22"/>
          <w:lang w:val="en-US"/>
        </w:rPr>
        <w:t xml:space="preserve">. Recent studies </w:t>
      </w:r>
      <w:r w:rsidR="00D65A00">
        <w:rPr>
          <w:color w:val="000000"/>
          <w:sz w:val="22"/>
          <w:szCs w:val="22"/>
          <w:lang w:val="en-US"/>
        </w:rPr>
        <w:t xml:space="preserve">have </w:t>
      </w:r>
      <w:r w:rsidRPr="006D4277">
        <w:rPr>
          <w:color w:val="000000"/>
          <w:sz w:val="22"/>
          <w:szCs w:val="22"/>
          <w:lang w:val="en-US"/>
        </w:rPr>
        <w:t>show</w:t>
      </w:r>
      <w:r w:rsidR="00D65A00">
        <w:rPr>
          <w:color w:val="000000"/>
          <w:sz w:val="22"/>
          <w:szCs w:val="22"/>
          <w:lang w:val="en-US"/>
        </w:rPr>
        <w:t>n</w:t>
      </w:r>
      <w:r w:rsidRPr="006D4277">
        <w:rPr>
          <w:color w:val="000000"/>
          <w:sz w:val="22"/>
          <w:szCs w:val="22"/>
          <w:lang w:val="en-US"/>
        </w:rPr>
        <w:t xml:space="preserve"> that HR-HPV</w:t>
      </w:r>
      <w:r w:rsidR="00765E1F" w:rsidRPr="006D4277">
        <w:rPr>
          <w:color w:val="000000"/>
          <w:sz w:val="22"/>
          <w:szCs w:val="22"/>
          <w:lang w:val="en-US"/>
        </w:rPr>
        <w:t xml:space="preserve"> </w:t>
      </w:r>
      <w:r w:rsidRPr="006D4277">
        <w:rPr>
          <w:color w:val="000000"/>
          <w:sz w:val="22"/>
          <w:szCs w:val="22"/>
          <w:lang w:val="en-US"/>
        </w:rPr>
        <w:t xml:space="preserve">negative cases </w:t>
      </w:r>
      <w:r w:rsidR="00D65A00">
        <w:rPr>
          <w:color w:val="000000"/>
          <w:sz w:val="22"/>
          <w:szCs w:val="22"/>
          <w:lang w:val="en-US"/>
        </w:rPr>
        <w:t>represent</w:t>
      </w:r>
      <w:r w:rsidR="00D65A00" w:rsidRPr="006D4277">
        <w:rPr>
          <w:color w:val="000000"/>
          <w:sz w:val="22"/>
          <w:szCs w:val="22"/>
          <w:lang w:val="en-US"/>
        </w:rPr>
        <w:t xml:space="preserve"> </w:t>
      </w:r>
      <w:r w:rsidRPr="006D4277">
        <w:rPr>
          <w:color w:val="000000"/>
          <w:sz w:val="22"/>
          <w:szCs w:val="22"/>
          <w:lang w:val="en-US"/>
        </w:rPr>
        <w:t>5</w:t>
      </w:r>
      <w:r w:rsidR="003257E3" w:rsidRPr="006D4277">
        <w:rPr>
          <w:color w:val="000000"/>
          <w:sz w:val="22"/>
          <w:szCs w:val="22"/>
          <w:lang w:val="en-US"/>
        </w:rPr>
        <w:t xml:space="preserve"> </w:t>
      </w:r>
      <w:r w:rsidRPr="006D4277">
        <w:rPr>
          <w:color w:val="000000"/>
          <w:sz w:val="22"/>
          <w:szCs w:val="22"/>
          <w:lang w:val="en-US"/>
        </w:rPr>
        <w:t>-</w:t>
      </w:r>
      <w:r w:rsidR="003257E3" w:rsidRPr="006D4277">
        <w:rPr>
          <w:color w:val="000000"/>
          <w:sz w:val="22"/>
          <w:szCs w:val="22"/>
          <w:lang w:val="en-US"/>
        </w:rPr>
        <w:t xml:space="preserve"> </w:t>
      </w:r>
      <w:r w:rsidRPr="006D4277">
        <w:rPr>
          <w:color w:val="000000"/>
          <w:sz w:val="22"/>
          <w:szCs w:val="22"/>
          <w:lang w:val="en-US"/>
        </w:rPr>
        <w:t xml:space="preserve">7.8% of </w:t>
      </w:r>
      <w:r w:rsidR="00D65A00">
        <w:rPr>
          <w:color w:val="000000"/>
          <w:sz w:val="22"/>
          <w:szCs w:val="22"/>
          <w:lang w:val="en-US"/>
        </w:rPr>
        <w:t xml:space="preserve">all </w:t>
      </w:r>
      <w:r w:rsidR="00D85646">
        <w:rPr>
          <w:color w:val="000000"/>
          <w:sz w:val="22"/>
          <w:szCs w:val="22"/>
          <w:lang w:val="en-US"/>
        </w:rPr>
        <w:t>CC</w:t>
      </w:r>
      <w:r w:rsidRPr="006D4277">
        <w:rPr>
          <w:color w:val="000000"/>
          <w:sz w:val="22"/>
          <w:szCs w:val="22"/>
          <w:lang w:val="en-US"/>
        </w:rPr>
        <w:t>s</w:t>
      </w:r>
      <w:r w:rsidR="007443E4">
        <w:rPr>
          <w:color w:val="000000"/>
          <w:sz w:val="22"/>
          <w:szCs w:val="22"/>
          <w:vertAlign w:val="superscript"/>
          <w:lang w:val="en-US"/>
        </w:rPr>
        <w:t>9</w:t>
      </w:r>
      <w:r w:rsidR="003B6121" w:rsidRPr="006D4277">
        <w:rPr>
          <w:color w:val="000000"/>
          <w:sz w:val="22"/>
          <w:szCs w:val="22"/>
          <w:vertAlign w:val="superscript"/>
          <w:lang w:val="en-US"/>
        </w:rPr>
        <w:t>,</w:t>
      </w:r>
      <w:r w:rsidRPr="006D4277">
        <w:rPr>
          <w:color w:val="000000"/>
          <w:sz w:val="22"/>
          <w:szCs w:val="22"/>
          <w:vertAlign w:val="superscript"/>
          <w:lang w:val="en-US"/>
        </w:rPr>
        <w:t>1</w:t>
      </w:r>
      <w:r w:rsidR="007443E4">
        <w:rPr>
          <w:color w:val="000000"/>
          <w:sz w:val="22"/>
          <w:szCs w:val="22"/>
          <w:vertAlign w:val="superscript"/>
          <w:lang w:val="en-US"/>
        </w:rPr>
        <w:t>0</w:t>
      </w:r>
      <w:r w:rsidRPr="006D4277">
        <w:rPr>
          <w:color w:val="000000"/>
          <w:sz w:val="22"/>
          <w:szCs w:val="22"/>
          <w:lang w:val="en-US"/>
        </w:rPr>
        <w:t xml:space="preserve">, with </w:t>
      </w:r>
      <w:r w:rsidR="00D65A00">
        <w:rPr>
          <w:color w:val="000000"/>
          <w:sz w:val="22"/>
          <w:szCs w:val="22"/>
          <w:lang w:val="en-US"/>
        </w:rPr>
        <w:t xml:space="preserve">only </w:t>
      </w:r>
      <w:r w:rsidRPr="006D4277">
        <w:rPr>
          <w:color w:val="000000"/>
          <w:sz w:val="22"/>
          <w:szCs w:val="22"/>
          <w:lang w:val="en-US"/>
        </w:rPr>
        <w:t>few rare pathological types being truly HPV-negative</w:t>
      </w:r>
      <w:r w:rsidR="003B6121" w:rsidRPr="006D4277">
        <w:rPr>
          <w:color w:val="000000"/>
          <w:sz w:val="22"/>
          <w:szCs w:val="22"/>
          <w:vertAlign w:val="superscript"/>
          <w:lang w:val="en-US"/>
        </w:rPr>
        <w:t>1</w:t>
      </w:r>
      <w:r w:rsidR="007443E4">
        <w:rPr>
          <w:color w:val="000000"/>
          <w:sz w:val="22"/>
          <w:szCs w:val="22"/>
          <w:vertAlign w:val="superscript"/>
          <w:lang w:val="en-US"/>
        </w:rPr>
        <w:t>1</w:t>
      </w:r>
      <w:r w:rsidR="003B6121" w:rsidRPr="006D4277">
        <w:rPr>
          <w:color w:val="000000"/>
          <w:sz w:val="22"/>
          <w:szCs w:val="22"/>
          <w:vertAlign w:val="superscript"/>
          <w:lang w:val="en-US"/>
        </w:rPr>
        <w:t>,</w:t>
      </w:r>
      <w:r w:rsidRPr="006D4277">
        <w:rPr>
          <w:color w:val="000000"/>
          <w:sz w:val="22"/>
          <w:szCs w:val="22"/>
          <w:vertAlign w:val="superscript"/>
          <w:lang w:val="en-US"/>
        </w:rPr>
        <w:t>1</w:t>
      </w:r>
      <w:r w:rsidR="007443E4">
        <w:rPr>
          <w:color w:val="000000"/>
          <w:sz w:val="22"/>
          <w:szCs w:val="22"/>
          <w:vertAlign w:val="superscript"/>
          <w:lang w:val="en-US"/>
        </w:rPr>
        <w:t>2</w:t>
      </w:r>
      <w:r w:rsidRPr="006D4277">
        <w:rPr>
          <w:color w:val="000000"/>
          <w:sz w:val="22"/>
          <w:szCs w:val="22"/>
          <w:lang w:val="en-US"/>
        </w:rPr>
        <w:t xml:space="preserve">. The true incidence of HPV-negative invasive </w:t>
      </w:r>
      <w:r w:rsidR="00270B9F">
        <w:rPr>
          <w:color w:val="000000"/>
          <w:sz w:val="22"/>
          <w:szCs w:val="22"/>
          <w:lang w:val="en-US"/>
        </w:rPr>
        <w:t>CC</w:t>
      </w:r>
      <w:r w:rsidRPr="006D4277">
        <w:rPr>
          <w:color w:val="000000"/>
          <w:sz w:val="22"/>
          <w:szCs w:val="22"/>
          <w:lang w:val="en-US"/>
        </w:rPr>
        <w:t xml:space="preserve"> may </w:t>
      </w:r>
      <w:r w:rsidR="00D65A00">
        <w:rPr>
          <w:color w:val="000000"/>
          <w:sz w:val="22"/>
          <w:szCs w:val="22"/>
          <w:lang w:val="en-US"/>
        </w:rPr>
        <w:t xml:space="preserve">therefore </w:t>
      </w:r>
      <w:r w:rsidRPr="006D4277">
        <w:rPr>
          <w:color w:val="000000"/>
          <w:sz w:val="22"/>
          <w:szCs w:val="22"/>
          <w:lang w:val="en-US"/>
        </w:rPr>
        <w:t xml:space="preserve">be </w:t>
      </w:r>
      <w:r w:rsidRPr="004568E6">
        <w:rPr>
          <w:color w:val="000000"/>
          <w:sz w:val="22"/>
          <w:szCs w:val="22"/>
          <w:lang w:val="en-US"/>
        </w:rPr>
        <w:t>overestimated</w:t>
      </w:r>
      <w:r w:rsidR="003B6121" w:rsidRPr="004568E6">
        <w:rPr>
          <w:color w:val="000000"/>
          <w:sz w:val="22"/>
          <w:szCs w:val="22"/>
          <w:vertAlign w:val="superscript"/>
          <w:lang w:val="en-US"/>
        </w:rPr>
        <w:t>1</w:t>
      </w:r>
      <w:r w:rsidR="007443E4">
        <w:rPr>
          <w:color w:val="000000"/>
          <w:sz w:val="22"/>
          <w:szCs w:val="22"/>
          <w:vertAlign w:val="superscript"/>
          <w:lang w:val="en-US"/>
        </w:rPr>
        <w:t>3,1</w:t>
      </w:r>
      <w:r w:rsidR="003B6121" w:rsidRPr="006D4277">
        <w:rPr>
          <w:color w:val="000000"/>
          <w:sz w:val="22"/>
          <w:szCs w:val="22"/>
          <w:vertAlign w:val="superscript"/>
          <w:lang w:val="en-US"/>
        </w:rPr>
        <w:t>4,</w:t>
      </w:r>
      <w:r w:rsidRPr="006D4277">
        <w:rPr>
          <w:color w:val="000000"/>
          <w:sz w:val="22"/>
          <w:szCs w:val="22"/>
          <w:vertAlign w:val="superscript"/>
          <w:lang w:val="en-US"/>
        </w:rPr>
        <w:t>15</w:t>
      </w:r>
      <w:r w:rsidRPr="006D4277">
        <w:rPr>
          <w:color w:val="000000"/>
          <w:sz w:val="22"/>
          <w:szCs w:val="22"/>
          <w:lang w:val="en-US"/>
        </w:rPr>
        <w:t>.</w:t>
      </w:r>
    </w:p>
    <w:p w14:paraId="003E6D07" w14:textId="556B875C" w:rsidR="005F52E2" w:rsidRDefault="00227C96" w:rsidP="001D511E">
      <w:pPr>
        <w:pStyle w:val="Normale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  <w:lang w:val="en-US"/>
        </w:rPr>
      </w:pPr>
      <w:r w:rsidRPr="006D4277">
        <w:rPr>
          <w:color w:val="000000"/>
          <w:sz w:val="22"/>
          <w:szCs w:val="22"/>
          <w:lang w:val="en-US"/>
        </w:rPr>
        <w:t xml:space="preserve">False </w:t>
      </w:r>
      <w:r w:rsidR="00765E1F" w:rsidRPr="006D4277">
        <w:rPr>
          <w:color w:val="000000"/>
          <w:sz w:val="22"/>
          <w:szCs w:val="22"/>
          <w:lang w:val="en-US"/>
        </w:rPr>
        <w:t>HPV-</w:t>
      </w:r>
      <w:r w:rsidRPr="006D4277">
        <w:rPr>
          <w:color w:val="000000"/>
          <w:sz w:val="22"/>
          <w:szCs w:val="22"/>
          <w:lang w:val="en-US"/>
        </w:rPr>
        <w:t>negative results may arise from analytical and</w:t>
      </w:r>
      <w:r w:rsidR="00765E1F" w:rsidRPr="006D4277">
        <w:rPr>
          <w:color w:val="000000"/>
          <w:sz w:val="22"/>
          <w:szCs w:val="22"/>
          <w:lang w:val="en-US"/>
        </w:rPr>
        <w:t>/or</w:t>
      </w:r>
      <w:r w:rsidRPr="006D4277">
        <w:rPr>
          <w:color w:val="000000"/>
          <w:sz w:val="22"/>
          <w:szCs w:val="22"/>
          <w:lang w:val="en-US"/>
        </w:rPr>
        <w:t xml:space="preserve"> pre-analytical issues. Analytical problems can include mutations and deletions in the HR-HPV DNA target that prevent PCR detection</w:t>
      </w:r>
      <w:r w:rsidR="003B6121" w:rsidRPr="006D4277">
        <w:rPr>
          <w:color w:val="000000"/>
          <w:sz w:val="22"/>
          <w:szCs w:val="22"/>
          <w:vertAlign w:val="superscript"/>
          <w:lang w:val="en-US"/>
        </w:rPr>
        <w:t>1</w:t>
      </w:r>
      <w:r w:rsidR="009E1103">
        <w:rPr>
          <w:color w:val="000000"/>
          <w:sz w:val="22"/>
          <w:szCs w:val="22"/>
          <w:vertAlign w:val="superscript"/>
          <w:lang w:val="en-US"/>
        </w:rPr>
        <w:t>6</w:t>
      </w:r>
      <w:r w:rsidR="003B6121" w:rsidRPr="006D4277">
        <w:rPr>
          <w:color w:val="000000"/>
          <w:sz w:val="22"/>
          <w:szCs w:val="22"/>
          <w:vertAlign w:val="superscript"/>
          <w:lang w:val="en-US"/>
        </w:rPr>
        <w:t>,</w:t>
      </w:r>
      <w:r w:rsidRPr="006D4277">
        <w:rPr>
          <w:color w:val="000000"/>
          <w:sz w:val="22"/>
          <w:szCs w:val="22"/>
          <w:vertAlign w:val="superscript"/>
          <w:lang w:val="en-US"/>
        </w:rPr>
        <w:t>1</w:t>
      </w:r>
      <w:r w:rsidR="009E1103">
        <w:rPr>
          <w:color w:val="000000"/>
          <w:sz w:val="22"/>
          <w:szCs w:val="22"/>
          <w:vertAlign w:val="superscript"/>
          <w:lang w:val="en-US"/>
        </w:rPr>
        <w:t>7</w:t>
      </w:r>
      <w:r w:rsidRPr="006D4277">
        <w:rPr>
          <w:color w:val="000000"/>
          <w:sz w:val="22"/>
          <w:szCs w:val="22"/>
          <w:lang w:val="en-US"/>
        </w:rPr>
        <w:t>, or t</w:t>
      </w:r>
      <w:r w:rsidR="005A498E">
        <w:rPr>
          <w:color w:val="000000"/>
          <w:sz w:val="22"/>
          <w:szCs w:val="22"/>
          <w:lang w:val="en-US"/>
        </w:rPr>
        <w:t>o</w:t>
      </w:r>
      <w:r w:rsidRPr="006D4277">
        <w:rPr>
          <w:color w:val="000000"/>
          <w:sz w:val="22"/>
          <w:szCs w:val="22"/>
          <w:lang w:val="en-US"/>
        </w:rPr>
        <w:t xml:space="preserve"> rare </w:t>
      </w:r>
      <w:r w:rsidR="00593C20">
        <w:rPr>
          <w:color w:val="000000"/>
          <w:sz w:val="22"/>
          <w:szCs w:val="22"/>
          <w:lang w:val="en-US"/>
        </w:rPr>
        <w:t>cases</w:t>
      </w:r>
      <w:r w:rsidR="00593C20" w:rsidRPr="006D4277">
        <w:rPr>
          <w:color w:val="000000"/>
          <w:sz w:val="22"/>
          <w:szCs w:val="22"/>
          <w:lang w:val="en-US"/>
        </w:rPr>
        <w:t xml:space="preserve"> </w:t>
      </w:r>
      <w:r w:rsidR="00593C20">
        <w:rPr>
          <w:color w:val="000000"/>
          <w:sz w:val="22"/>
          <w:szCs w:val="22"/>
          <w:lang w:val="en-US"/>
        </w:rPr>
        <w:t>of</w:t>
      </w:r>
      <w:r w:rsidRPr="006D4277">
        <w:rPr>
          <w:color w:val="000000"/>
          <w:sz w:val="22"/>
          <w:szCs w:val="22"/>
          <w:lang w:val="en-US"/>
        </w:rPr>
        <w:t xml:space="preserve"> cervical lesion</w:t>
      </w:r>
      <w:r w:rsidR="00593C20">
        <w:rPr>
          <w:color w:val="000000"/>
          <w:sz w:val="22"/>
          <w:szCs w:val="22"/>
          <w:lang w:val="en-US"/>
        </w:rPr>
        <w:t>s</w:t>
      </w:r>
      <w:r w:rsidRPr="006D4277">
        <w:rPr>
          <w:color w:val="000000"/>
          <w:sz w:val="22"/>
          <w:szCs w:val="22"/>
          <w:lang w:val="en-US"/>
        </w:rPr>
        <w:t xml:space="preserve"> </w:t>
      </w:r>
      <w:r w:rsidR="00AF1ED6">
        <w:rPr>
          <w:color w:val="000000"/>
          <w:sz w:val="22"/>
          <w:szCs w:val="22"/>
          <w:lang w:val="en-US"/>
        </w:rPr>
        <w:t>associated</w:t>
      </w:r>
      <w:r w:rsidR="00AF1ED6" w:rsidRPr="006D4277">
        <w:rPr>
          <w:color w:val="000000"/>
          <w:sz w:val="22"/>
          <w:szCs w:val="22"/>
          <w:lang w:val="en-US"/>
        </w:rPr>
        <w:t xml:space="preserve"> </w:t>
      </w:r>
      <w:r w:rsidRPr="006D4277">
        <w:rPr>
          <w:color w:val="000000"/>
          <w:sz w:val="22"/>
          <w:szCs w:val="22"/>
          <w:lang w:val="en-US"/>
        </w:rPr>
        <w:t xml:space="preserve">to </w:t>
      </w:r>
      <w:r w:rsidR="00AF1ED6">
        <w:rPr>
          <w:color w:val="000000"/>
          <w:sz w:val="22"/>
          <w:szCs w:val="22"/>
          <w:lang w:val="en-US"/>
        </w:rPr>
        <w:t>infection with</w:t>
      </w:r>
      <w:r w:rsidR="00593C20">
        <w:rPr>
          <w:color w:val="000000"/>
          <w:sz w:val="22"/>
          <w:szCs w:val="22"/>
          <w:lang w:val="en-US"/>
        </w:rPr>
        <w:t xml:space="preserve"> </w:t>
      </w:r>
      <w:r w:rsidRPr="006D4277">
        <w:rPr>
          <w:color w:val="000000"/>
          <w:sz w:val="22"/>
          <w:szCs w:val="22"/>
          <w:lang w:val="en-US"/>
        </w:rPr>
        <w:t>Low Risk (LR) HPV genotype</w:t>
      </w:r>
      <w:r w:rsidR="00593C20">
        <w:rPr>
          <w:color w:val="000000"/>
          <w:sz w:val="22"/>
          <w:szCs w:val="22"/>
          <w:lang w:val="en-US"/>
        </w:rPr>
        <w:t>s</w:t>
      </w:r>
      <w:r w:rsidR="007443E4">
        <w:rPr>
          <w:color w:val="000000"/>
          <w:sz w:val="22"/>
          <w:szCs w:val="22"/>
          <w:vertAlign w:val="superscript"/>
          <w:lang w:val="en-US"/>
        </w:rPr>
        <w:t>1</w:t>
      </w:r>
      <w:r w:rsidR="009E1103">
        <w:rPr>
          <w:color w:val="000000"/>
          <w:sz w:val="22"/>
          <w:szCs w:val="22"/>
          <w:vertAlign w:val="superscript"/>
          <w:lang w:val="en-US"/>
        </w:rPr>
        <w:t>8</w:t>
      </w:r>
      <w:r w:rsidR="003B6121" w:rsidRPr="006D4277">
        <w:rPr>
          <w:color w:val="000000"/>
          <w:sz w:val="22"/>
          <w:szCs w:val="22"/>
          <w:vertAlign w:val="superscript"/>
          <w:lang w:val="en-US"/>
        </w:rPr>
        <w:t>,</w:t>
      </w:r>
      <w:r w:rsidR="009E1103">
        <w:rPr>
          <w:color w:val="000000"/>
          <w:sz w:val="22"/>
          <w:szCs w:val="22"/>
          <w:vertAlign w:val="superscript"/>
          <w:lang w:val="en-US"/>
        </w:rPr>
        <w:t>19</w:t>
      </w:r>
      <w:r w:rsidRPr="006D4277">
        <w:rPr>
          <w:color w:val="000000"/>
          <w:sz w:val="22"/>
          <w:szCs w:val="22"/>
          <w:lang w:val="en-US"/>
        </w:rPr>
        <w:t>.</w:t>
      </w:r>
      <w:r w:rsidR="00E02151">
        <w:rPr>
          <w:color w:val="000000"/>
          <w:sz w:val="22"/>
          <w:szCs w:val="22"/>
          <w:lang w:val="en-US"/>
        </w:rPr>
        <w:t xml:space="preserve"> </w:t>
      </w:r>
      <w:r w:rsidR="007616CB">
        <w:rPr>
          <w:color w:val="000000"/>
          <w:sz w:val="22"/>
          <w:szCs w:val="22"/>
          <w:lang w:val="en-US"/>
        </w:rPr>
        <w:t>P</w:t>
      </w:r>
      <w:r w:rsidR="007616CB" w:rsidRPr="006D4277">
        <w:rPr>
          <w:color w:val="000000"/>
          <w:sz w:val="22"/>
          <w:szCs w:val="22"/>
          <w:lang w:val="en-US"/>
        </w:rPr>
        <w:t>re-analytical</w:t>
      </w:r>
      <w:r w:rsidR="006A3FA5" w:rsidRPr="006D4277">
        <w:rPr>
          <w:color w:val="000000"/>
          <w:sz w:val="22"/>
          <w:szCs w:val="22"/>
          <w:lang w:val="en-US"/>
        </w:rPr>
        <w:t xml:space="preserve"> issues, like the presence of PCR inhibitors in the sample, DNA fragmentation, DNA extraction failure, few abnormal cells in a high background of </w:t>
      </w:r>
      <w:r w:rsidR="00810CF1">
        <w:rPr>
          <w:color w:val="000000"/>
          <w:sz w:val="22"/>
          <w:szCs w:val="22"/>
          <w:lang w:val="en-US"/>
        </w:rPr>
        <w:t>“</w:t>
      </w:r>
      <w:r w:rsidR="006A3FA5" w:rsidRPr="006D4277">
        <w:rPr>
          <w:color w:val="000000"/>
          <w:sz w:val="22"/>
          <w:szCs w:val="22"/>
          <w:lang w:val="en-US"/>
        </w:rPr>
        <w:t>normal</w:t>
      </w:r>
      <w:r w:rsidR="00810CF1">
        <w:rPr>
          <w:color w:val="000000"/>
          <w:sz w:val="22"/>
          <w:szCs w:val="22"/>
          <w:lang w:val="en-US"/>
        </w:rPr>
        <w:t>”</w:t>
      </w:r>
      <w:r w:rsidR="006A3FA5" w:rsidRPr="006D4277">
        <w:rPr>
          <w:color w:val="000000"/>
          <w:sz w:val="22"/>
          <w:szCs w:val="22"/>
          <w:lang w:val="en-US"/>
        </w:rPr>
        <w:t xml:space="preserve"> cells or samples with inadequate cellular content, can also lead to false negative results</w:t>
      </w:r>
      <w:r w:rsidR="00030D02">
        <w:rPr>
          <w:color w:val="000000"/>
          <w:sz w:val="22"/>
          <w:szCs w:val="22"/>
          <w:vertAlign w:val="superscript"/>
          <w:lang w:val="en-US"/>
        </w:rPr>
        <w:t>9</w:t>
      </w:r>
      <w:r w:rsidR="006A3FA5" w:rsidRPr="006D4277">
        <w:rPr>
          <w:color w:val="000000"/>
          <w:sz w:val="22"/>
          <w:szCs w:val="22"/>
          <w:lang w:val="en-US"/>
        </w:rPr>
        <w:t>.</w:t>
      </w:r>
    </w:p>
    <w:p w14:paraId="1934ADE4" w14:textId="77777777" w:rsidR="00CC2638" w:rsidRPr="006D4277" w:rsidRDefault="00CC2638" w:rsidP="001D511E">
      <w:pPr>
        <w:pStyle w:val="Normale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  <w:lang w:val="en-US"/>
        </w:rPr>
      </w:pPr>
    </w:p>
    <w:p w14:paraId="36059B4E" w14:textId="116D8B7A" w:rsidR="009A1A66" w:rsidRPr="006D4277" w:rsidRDefault="00765E1F" w:rsidP="005F52E2">
      <w:pPr>
        <w:pStyle w:val="Normale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  <w:lang w:val="en-US"/>
        </w:rPr>
      </w:pPr>
      <w:r w:rsidRPr="006D4277">
        <w:rPr>
          <w:color w:val="000000"/>
          <w:sz w:val="22"/>
          <w:szCs w:val="22"/>
          <w:lang w:val="en-US"/>
        </w:rPr>
        <w:t>Clinical v</w:t>
      </w:r>
      <w:r w:rsidR="00227C96" w:rsidRPr="006D4277">
        <w:rPr>
          <w:color w:val="000000"/>
          <w:sz w:val="22"/>
          <w:szCs w:val="22"/>
          <w:lang w:val="en-US"/>
        </w:rPr>
        <w:t>alidation studies</w:t>
      </w:r>
      <w:r w:rsidRPr="006D4277">
        <w:rPr>
          <w:color w:val="000000"/>
          <w:sz w:val="22"/>
          <w:szCs w:val="22"/>
          <w:lang w:val="en-US"/>
        </w:rPr>
        <w:t xml:space="preserve"> of new HPV assays</w:t>
      </w:r>
      <w:r w:rsidR="003B6121" w:rsidRPr="006D4277">
        <w:rPr>
          <w:color w:val="000000"/>
          <w:sz w:val="22"/>
          <w:szCs w:val="22"/>
          <w:vertAlign w:val="superscript"/>
          <w:lang w:val="en-US"/>
        </w:rPr>
        <w:t>2</w:t>
      </w:r>
      <w:r w:rsidR="009E1103">
        <w:rPr>
          <w:color w:val="000000"/>
          <w:sz w:val="22"/>
          <w:szCs w:val="22"/>
          <w:vertAlign w:val="superscript"/>
          <w:lang w:val="en-US"/>
        </w:rPr>
        <w:t>0</w:t>
      </w:r>
      <w:r w:rsidR="003B6121" w:rsidRPr="006D4277">
        <w:rPr>
          <w:color w:val="000000"/>
          <w:sz w:val="22"/>
          <w:szCs w:val="22"/>
          <w:vertAlign w:val="superscript"/>
          <w:lang w:val="en-US"/>
        </w:rPr>
        <w:t>,</w:t>
      </w:r>
      <w:r w:rsidR="00227C96" w:rsidRPr="006D4277">
        <w:rPr>
          <w:color w:val="000000"/>
          <w:sz w:val="22"/>
          <w:szCs w:val="22"/>
          <w:vertAlign w:val="superscript"/>
          <w:lang w:val="en-US"/>
        </w:rPr>
        <w:t>2</w:t>
      </w:r>
      <w:r w:rsidR="009E1103">
        <w:rPr>
          <w:color w:val="000000"/>
          <w:sz w:val="22"/>
          <w:szCs w:val="22"/>
          <w:vertAlign w:val="superscript"/>
          <w:lang w:val="en-US"/>
        </w:rPr>
        <w:t>1</w:t>
      </w:r>
      <w:r w:rsidR="00227C96" w:rsidRPr="006D4277">
        <w:rPr>
          <w:color w:val="000000"/>
          <w:sz w:val="22"/>
          <w:szCs w:val="22"/>
          <w:lang w:val="en-US"/>
        </w:rPr>
        <w:t xml:space="preserve"> </w:t>
      </w:r>
      <w:r w:rsidR="00593C20">
        <w:rPr>
          <w:color w:val="000000"/>
          <w:sz w:val="22"/>
          <w:szCs w:val="22"/>
          <w:lang w:val="en-US"/>
        </w:rPr>
        <w:t xml:space="preserve">have </w:t>
      </w:r>
      <w:r w:rsidR="00227C96" w:rsidRPr="006D4277">
        <w:rPr>
          <w:color w:val="000000"/>
          <w:sz w:val="22"/>
          <w:szCs w:val="22"/>
          <w:lang w:val="en-US"/>
        </w:rPr>
        <w:t>focus</w:t>
      </w:r>
      <w:r w:rsidR="00593C20">
        <w:rPr>
          <w:color w:val="000000"/>
          <w:sz w:val="22"/>
          <w:szCs w:val="22"/>
          <w:lang w:val="en-US"/>
        </w:rPr>
        <w:t>ed</w:t>
      </w:r>
      <w:r w:rsidR="00227C96" w:rsidRPr="006D4277">
        <w:rPr>
          <w:color w:val="000000"/>
          <w:sz w:val="22"/>
          <w:szCs w:val="22"/>
          <w:lang w:val="en-US"/>
        </w:rPr>
        <w:t xml:space="preserve"> on </w:t>
      </w:r>
      <w:r w:rsidR="00593C20">
        <w:rPr>
          <w:color w:val="000000"/>
          <w:sz w:val="22"/>
          <w:szCs w:val="22"/>
          <w:lang w:val="en-US"/>
        </w:rPr>
        <w:t xml:space="preserve">the </w:t>
      </w:r>
      <w:r w:rsidR="00227C96" w:rsidRPr="006D4277">
        <w:rPr>
          <w:color w:val="000000"/>
          <w:sz w:val="22"/>
          <w:szCs w:val="22"/>
          <w:lang w:val="en-US"/>
        </w:rPr>
        <w:t xml:space="preserve">clinical sensitivity </w:t>
      </w:r>
      <w:r w:rsidR="00593C20">
        <w:rPr>
          <w:color w:val="000000"/>
          <w:sz w:val="22"/>
          <w:szCs w:val="22"/>
          <w:lang w:val="en-US"/>
        </w:rPr>
        <w:t xml:space="preserve">and specificity </w:t>
      </w:r>
      <w:r w:rsidR="00AF1ED6">
        <w:rPr>
          <w:color w:val="000000"/>
          <w:sz w:val="22"/>
          <w:szCs w:val="22"/>
          <w:lang w:val="en-US"/>
        </w:rPr>
        <w:t>of HPV targets</w:t>
      </w:r>
      <w:r w:rsidR="00593C20">
        <w:rPr>
          <w:color w:val="000000"/>
          <w:sz w:val="22"/>
          <w:szCs w:val="22"/>
          <w:lang w:val="en-US"/>
        </w:rPr>
        <w:t>’</w:t>
      </w:r>
      <w:r w:rsidR="00AF1ED6">
        <w:rPr>
          <w:color w:val="000000"/>
          <w:sz w:val="22"/>
          <w:szCs w:val="22"/>
          <w:lang w:val="en-US"/>
        </w:rPr>
        <w:t xml:space="preserve"> cut-offs </w:t>
      </w:r>
      <w:r w:rsidR="00227C96" w:rsidRPr="006D4277">
        <w:rPr>
          <w:color w:val="000000"/>
          <w:sz w:val="22"/>
          <w:szCs w:val="22"/>
          <w:lang w:val="en-US"/>
        </w:rPr>
        <w:t xml:space="preserve">for </w:t>
      </w:r>
      <w:r w:rsidR="00810CF1">
        <w:rPr>
          <w:color w:val="000000"/>
          <w:sz w:val="22"/>
          <w:szCs w:val="22"/>
          <w:lang w:val="en-US"/>
        </w:rPr>
        <w:t xml:space="preserve">the </w:t>
      </w:r>
      <w:r w:rsidR="00227C96" w:rsidRPr="006D4277">
        <w:rPr>
          <w:color w:val="000000"/>
          <w:sz w:val="22"/>
          <w:szCs w:val="22"/>
          <w:lang w:val="en-US"/>
        </w:rPr>
        <w:t>detecti</w:t>
      </w:r>
      <w:r w:rsidR="00810CF1">
        <w:rPr>
          <w:color w:val="000000"/>
          <w:sz w:val="22"/>
          <w:szCs w:val="22"/>
          <w:lang w:val="en-US"/>
        </w:rPr>
        <w:t>on of</w:t>
      </w:r>
      <w:r w:rsidR="00227C96" w:rsidRPr="006D4277">
        <w:rPr>
          <w:color w:val="000000"/>
          <w:sz w:val="22"/>
          <w:szCs w:val="22"/>
          <w:lang w:val="en-US"/>
        </w:rPr>
        <w:t xml:space="preserve"> CIN2+ lesions</w:t>
      </w:r>
      <w:r w:rsidR="00227C96" w:rsidRPr="006D4277">
        <w:rPr>
          <w:color w:val="000000"/>
          <w:sz w:val="22"/>
          <w:szCs w:val="22"/>
          <w:vertAlign w:val="superscript"/>
          <w:lang w:val="en-US"/>
        </w:rPr>
        <w:t>2</w:t>
      </w:r>
      <w:r w:rsidR="009E1103">
        <w:rPr>
          <w:color w:val="000000"/>
          <w:sz w:val="22"/>
          <w:szCs w:val="22"/>
          <w:vertAlign w:val="superscript"/>
          <w:lang w:val="en-US"/>
        </w:rPr>
        <w:t>2</w:t>
      </w:r>
      <w:r w:rsidR="009C24C2" w:rsidRPr="006D4277">
        <w:rPr>
          <w:color w:val="000000"/>
          <w:sz w:val="22"/>
          <w:szCs w:val="22"/>
          <w:lang w:val="en-US"/>
        </w:rPr>
        <w:t xml:space="preserve"> but </w:t>
      </w:r>
      <w:r w:rsidR="00FE50B9" w:rsidRPr="006D4277">
        <w:rPr>
          <w:color w:val="000000"/>
          <w:sz w:val="22"/>
          <w:szCs w:val="22"/>
          <w:lang w:val="en-US"/>
        </w:rPr>
        <w:t xml:space="preserve">less attention </w:t>
      </w:r>
      <w:r w:rsidRPr="006D4277">
        <w:rPr>
          <w:color w:val="000000"/>
          <w:sz w:val="22"/>
          <w:szCs w:val="22"/>
          <w:lang w:val="en-US"/>
        </w:rPr>
        <w:t>has been placed on the assessment of</w:t>
      </w:r>
      <w:r w:rsidR="00FE50B9" w:rsidRPr="006D4277">
        <w:rPr>
          <w:color w:val="000000"/>
          <w:sz w:val="22"/>
          <w:szCs w:val="22"/>
          <w:lang w:val="en-US"/>
        </w:rPr>
        <w:t xml:space="preserve"> sample adequacy.</w:t>
      </w:r>
    </w:p>
    <w:p w14:paraId="3AD1F1E4" w14:textId="02989AD6" w:rsidR="006A3FA5" w:rsidRPr="006D4277" w:rsidRDefault="005F52E2" w:rsidP="006A3FA5">
      <w:pPr>
        <w:pStyle w:val="Normale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  <w:lang w:val="en-US"/>
        </w:rPr>
      </w:pPr>
      <w:r w:rsidRPr="006D4277">
        <w:rPr>
          <w:color w:val="000000"/>
          <w:sz w:val="22"/>
          <w:szCs w:val="22"/>
          <w:lang w:val="en-US"/>
        </w:rPr>
        <w:t xml:space="preserve">Sample quality is well defined </w:t>
      </w:r>
      <w:r w:rsidR="006A3FA5" w:rsidRPr="006D4277">
        <w:rPr>
          <w:color w:val="000000"/>
          <w:sz w:val="22"/>
          <w:szCs w:val="22"/>
          <w:lang w:val="en-US"/>
        </w:rPr>
        <w:t>when performing</w:t>
      </w:r>
      <w:r w:rsidRPr="006D4277">
        <w:rPr>
          <w:color w:val="000000"/>
          <w:sz w:val="22"/>
          <w:szCs w:val="22"/>
          <w:lang w:val="en-US"/>
        </w:rPr>
        <w:t xml:space="preserve"> </w:t>
      </w:r>
      <w:r w:rsidR="00810CF1">
        <w:rPr>
          <w:color w:val="000000"/>
          <w:sz w:val="22"/>
          <w:szCs w:val="22"/>
          <w:lang w:val="en-US"/>
        </w:rPr>
        <w:t>liquid-based</w:t>
      </w:r>
      <w:r w:rsidR="007500DD">
        <w:rPr>
          <w:color w:val="000000"/>
          <w:sz w:val="22"/>
          <w:szCs w:val="22"/>
          <w:lang w:val="en-US"/>
        </w:rPr>
        <w:t xml:space="preserve"> cytology (</w:t>
      </w:r>
      <w:r w:rsidR="00030D02">
        <w:rPr>
          <w:color w:val="000000"/>
          <w:sz w:val="22"/>
          <w:szCs w:val="22"/>
          <w:lang w:val="en-US"/>
        </w:rPr>
        <w:t>LBC)</w:t>
      </w:r>
      <w:r w:rsidR="006A3FA5" w:rsidRPr="006D4277">
        <w:rPr>
          <w:color w:val="000000"/>
          <w:sz w:val="22"/>
          <w:szCs w:val="22"/>
          <w:lang w:val="en-US"/>
        </w:rPr>
        <w:t xml:space="preserve"> by t</w:t>
      </w:r>
      <w:r w:rsidRPr="006D4277">
        <w:rPr>
          <w:color w:val="000000"/>
          <w:sz w:val="22"/>
          <w:szCs w:val="22"/>
          <w:lang w:val="en-US"/>
        </w:rPr>
        <w:t xml:space="preserve">he Bethesda System </w:t>
      </w:r>
      <w:r w:rsidR="006A3FA5" w:rsidRPr="006D4277">
        <w:rPr>
          <w:color w:val="000000"/>
          <w:sz w:val="22"/>
          <w:szCs w:val="22"/>
          <w:lang w:val="en-US"/>
        </w:rPr>
        <w:t xml:space="preserve">which </w:t>
      </w:r>
      <w:r w:rsidRPr="006D4277">
        <w:rPr>
          <w:color w:val="000000"/>
          <w:sz w:val="22"/>
          <w:szCs w:val="22"/>
          <w:lang w:val="en-US"/>
        </w:rPr>
        <w:t xml:space="preserve">classifies samples as "satisfactory" based on </w:t>
      </w:r>
      <w:r w:rsidR="00593C20">
        <w:rPr>
          <w:color w:val="000000"/>
          <w:sz w:val="22"/>
          <w:szCs w:val="22"/>
          <w:lang w:val="en-US"/>
        </w:rPr>
        <w:t xml:space="preserve">the assessment of samples’ </w:t>
      </w:r>
      <w:r w:rsidRPr="006D4277">
        <w:rPr>
          <w:color w:val="000000"/>
          <w:sz w:val="22"/>
          <w:szCs w:val="22"/>
          <w:lang w:val="en-US"/>
        </w:rPr>
        <w:t xml:space="preserve">cellularity and </w:t>
      </w:r>
      <w:r w:rsidR="00593C20">
        <w:rPr>
          <w:color w:val="000000"/>
          <w:sz w:val="22"/>
          <w:szCs w:val="22"/>
          <w:lang w:val="en-US"/>
        </w:rPr>
        <w:t xml:space="preserve">the presence of </w:t>
      </w:r>
      <w:r w:rsidRPr="006D4277">
        <w:rPr>
          <w:color w:val="000000"/>
          <w:sz w:val="22"/>
          <w:szCs w:val="22"/>
          <w:lang w:val="en-US"/>
        </w:rPr>
        <w:t>transformation zone component</w:t>
      </w:r>
      <w:r w:rsidR="00030D02">
        <w:rPr>
          <w:color w:val="000000"/>
          <w:sz w:val="22"/>
          <w:szCs w:val="22"/>
          <w:lang w:val="en-US"/>
        </w:rPr>
        <w:t>s</w:t>
      </w:r>
      <w:r w:rsidRPr="006D4277">
        <w:rPr>
          <w:color w:val="000000"/>
          <w:sz w:val="22"/>
          <w:szCs w:val="22"/>
          <w:vertAlign w:val="superscript"/>
          <w:lang w:val="en-US"/>
        </w:rPr>
        <w:t>2</w:t>
      </w:r>
      <w:r w:rsidR="009E1103">
        <w:rPr>
          <w:color w:val="000000"/>
          <w:sz w:val="22"/>
          <w:szCs w:val="22"/>
          <w:vertAlign w:val="superscript"/>
          <w:lang w:val="en-US"/>
        </w:rPr>
        <w:t>3,2</w:t>
      </w:r>
      <w:r w:rsidR="00030D02">
        <w:rPr>
          <w:color w:val="000000"/>
          <w:sz w:val="22"/>
          <w:szCs w:val="22"/>
          <w:vertAlign w:val="superscript"/>
          <w:lang w:val="en-US"/>
        </w:rPr>
        <w:t>4,25</w:t>
      </w:r>
      <w:r w:rsidRPr="006D4277">
        <w:rPr>
          <w:color w:val="000000"/>
          <w:sz w:val="22"/>
          <w:szCs w:val="22"/>
          <w:lang w:val="en-US"/>
        </w:rPr>
        <w:t>. In cervical cytology, a minimum of 5,000-8,000 squamous epithelial cells per slide is recommended</w:t>
      </w:r>
      <w:r w:rsidR="009E1103">
        <w:rPr>
          <w:color w:val="000000"/>
          <w:sz w:val="22"/>
          <w:szCs w:val="22"/>
          <w:vertAlign w:val="superscript"/>
          <w:lang w:val="en-US"/>
        </w:rPr>
        <w:t>23,24,26</w:t>
      </w:r>
      <w:r w:rsidRPr="006D4277">
        <w:rPr>
          <w:color w:val="000000"/>
          <w:sz w:val="22"/>
          <w:szCs w:val="22"/>
          <w:lang w:val="en-US"/>
        </w:rPr>
        <w:t xml:space="preserve">, </w:t>
      </w:r>
      <w:r w:rsidR="00AF1ED6">
        <w:rPr>
          <w:color w:val="000000"/>
          <w:sz w:val="22"/>
          <w:szCs w:val="22"/>
          <w:lang w:val="en-US"/>
        </w:rPr>
        <w:t>as</w:t>
      </w:r>
      <w:r w:rsidR="00AF1ED6" w:rsidRPr="006D4277">
        <w:rPr>
          <w:color w:val="000000"/>
          <w:sz w:val="22"/>
          <w:szCs w:val="22"/>
          <w:lang w:val="en-US"/>
        </w:rPr>
        <w:t xml:space="preserve"> </w:t>
      </w:r>
      <w:r w:rsidRPr="006D4277">
        <w:rPr>
          <w:color w:val="000000"/>
          <w:sz w:val="22"/>
          <w:szCs w:val="22"/>
          <w:lang w:val="en-US"/>
        </w:rPr>
        <w:t>inadequate cellularity can lead to false negative results.</w:t>
      </w:r>
      <w:r w:rsidR="006A3FA5" w:rsidRPr="006D4277">
        <w:rPr>
          <w:color w:val="000000"/>
          <w:sz w:val="22"/>
          <w:szCs w:val="22"/>
          <w:lang w:val="en-US"/>
        </w:rPr>
        <w:t xml:space="preserve"> </w:t>
      </w:r>
    </w:p>
    <w:p w14:paraId="28EF43C9" w14:textId="4A020A24" w:rsidR="00227C96" w:rsidRPr="006D4277" w:rsidRDefault="004173B2" w:rsidP="004A2D52">
      <w:pPr>
        <w:pStyle w:val="NormaleWeb"/>
        <w:spacing w:line="276" w:lineRule="auto"/>
        <w:jc w:val="both"/>
        <w:rPr>
          <w:color w:val="000000"/>
          <w:sz w:val="22"/>
          <w:szCs w:val="22"/>
          <w:lang w:val="en-US"/>
        </w:rPr>
      </w:pPr>
      <w:r w:rsidRPr="006D4277">
        <w:rPr>
          <w:color w:val="000000"/>
          <w:sz w:val="22"/>
          <w:szCs w:val="22"/>
          <w:lang w:val="en-US"/>
        </w:rPr>
        <w:t xml:space="preserve">Most </w:t>
      </w:r>
      <w:r w:rsidR="009F6318" w:rsidRPr="006D4277">
        <w:rPr>
          <w:color w:val="000000"/>
          <w:sz w:val="22"/>
          <w:szCs w:val="22"/>
          <w:lang w:val="en-US"/>
        </w:rPr>
        <w:t>commercially</w:t>
      </w:r>
      <w:r w:rsidR="00FE50B9" w:rsidRPr="006D4277">
        <w:rPr>
          <w:color w:val="000000"/>
          <w:sz w:val="22"/>
          <w:szCs w:val="22"/>
          <w:lang w:val="en-US"/>
        </w:rPr>
        <w:t xml:space="preserve"> </w:t>
      </w:r>
      <w:r w:rsidR="00036478">
        <w:rPr>
          <w:color w:val="000000"/>
          <w:sz w:val="22"/>
          <w:szCs w:val="22"/>
          <w:lang w:val="en-US"/>
        </w:rPr>
        <w:t>available</w:t>
      </w:r>
      <w:r w:rsidR="00036478" w:rsidRPr="006D4277">
        <w:rPr>
          <w:color w:val="000000"/>
          <w:sz w:val="22"/>
          <w:szCs w:val="22"/>
          <w:lang w:val="en-US"/>
        </w:rPr>
        <w:t xml:space="preserve"> </w:t>
      </w:r>
      <w:r w:rsidR="00FE50B9" w:rsidRPr="006D4277">
        <w:rPr>
          <w:color w:val="000000"/>
          <w:sz w:val="22"/>
          <w:szCs w:val="22"/>
          <w:lang w:val="en-US"/>
        </w:rPr>
        <w:t xml:space="preserve">HPV </w:t>
      </w:r>
      <w:r w:rsidR="005A3933" w:rsidRPr="006D4277">
        <w:rPr>
          <w:color w:val="000000"/>
          <w:sz w:val="22"/>
          <w:szCs w:val="22"/>
          <w:lang w:val="en-US"/>
        </w:rPr>
        <w:t>assays</w:t>
      </w:r>
      <w:r w:rsidR="00FE50B9" w:rsidRPr="006D4277">
        <w:rPr>
          <w:color w:val="000000"/>
          <w:sz w:val="22"/>
          <w:szCs w:val="22"/>
          <w:lang w:val="en-US"/>
        </w:rPr>
        <w:t xml:space="preserve"> are qualitative </w:t>
      </w:r>
      <w:r w:rsidRPr="006D4277">
        <w:rPr>
          <w:color w:val="000000"/>
          <w:sz w:val="22"/>
          <w:szCs w:val="22"/>
          <w:lang w:val="en-US"/>
        </w:rPr>
        <w:t>and</w:t>
      </w:r>
      <w:r w:rsidR="00FE50B9" w:rsidRPr="006D4277">
        <w:rPr>
          <w:color w:val="000000"/>
          <w:sz w:val="22"/>
          <w:szCs w:val="22"/>
          <w:lang w:val="en-US"/>
        </w:rPr>
        <w:t xml:space="preserve"> </w:t>
      </w:r>
      <w:r w:rsidR="00765E1F" w:rsidRPr="006D4277">
        <w:rPr>
          <w:color w:val="000000"/>
          <w:sz w:val="22"/>
          <w:szCs w:val="22"/>
          <w:lang w:val="en-US"/>
        </w:rPr>
        <w:t xml:space="preserve">arbitrarily estimate </w:t>
      </w:r>
      <w:r w:rsidR="00227C96" w:rsidRPr="006D4277">
        <w:rPr>
          <w:color w:val="000000"/>
          <w:sz w:val="22"/>
          <w:szCs w:val="22"/>
          <w:lang w:val="en-US"/>
        </w:rPr>
        <w:t xml:space="preserve">the </w:t>
      </w:r>
      <w:r w:rsidR="00DE0894">
        <w:rPr>
          <w:color w:val="000000"/>
          <w:sz w:val="22"/>
          <w:szCs w:val="22"/>
          <w:lang w:val="en-US"/>
        </w:rPr>
        <w:t xml:space="preserve">amount </w:t>
      </w:r>
      <w:r w:rsidR="00227C96" w:rsidRPr="006D4277">
        <w:rPr>
          <w:color w:val="000000"/>
          <w:sz w:val="22"/>
          <w:szCs w:val="22"/>
          <w:lang w:val="en-US"/>
        </w:rPr>
        <w:t>of collected cells</w:t>
      </w:r>
      <w:r w:rsidR="005F52E2" w:rsidRPr="006D4277">
        <w:rPr>
          <w:color w:val="000000"/>
          <w:sz w:val="22"/>
          <w:szCs w:val="22"/>
          <w:lang w:val="en-US"/>
        </w:rPr>
        <w:t xml:space="preserve"> </w:t>
      </w:r>
      <w:r w:rsidR="00765E1F" w:rsidRPr="006D4277">
        <w:rPr>
          <w:color w:val="000000"/>
          <w:sz w:val="22"/>
          <w:szCs w:val="22"/>
          <w:lang w:val="en-US"/>
        </w:rPr>
        <w:t xml:space="preserve">by </w:t>
      </w:r>
      <w:r w:rsidR="005F52E2" w:rsidRPr="006D4277">
        <w:rPr>
          <w:color w:val="000000"/>
          <w:sz w:val="22"/>
          <w:szCs w:val="22"/>
          <w:lang w:val="en-US"/>
        </w:rPr>
        <w:t xml:space="preserve">applying </w:t>
      </w:r>
      <w:r w:rsidR="00765E1F" w:rsidRPr="006D4277">
        <w:rPr>
          <w:color w:val="000000"/>
          <w:sz w:val="22"/>
          <w:szCs w:val="22"/>
          <w:lang w:val="en-US"/>
        </w:rPr>
        <w:t>a Cycle threshold (Ct) cut-off for</w:t>
      </w:r>
      <w:r w:rsidR="00DE0894">
        <w:rPr>
          <w:color w:val="000000"/>
          <w:sz w:val="22"/>
          <w:szCs w:val="22"/>
          <w:lang w:val="en-US"/>
        </w:rPr>
        <w:t xml:space="preserve"> the</w:t>
      </w:r>
      <w:r w:rsidR="00765E1F" w:rsidRPr="006D4277">
        <w:rPr>
          <w:color w:val="000000"/>
          <w:sz w:val="22"/>
          <w:szCs w:val="22"/>
          <w:lang w:val="en-US"/>
        </w:rPr>
        <w:t xml:space="preserve"> </w:t>
      </w:r>
      <w:r w:rsidR="00DE0894">
        <w:rPr>
          <w:color w:val="000000"/>
          <w:sz w:val="22"/>
          <w:szCs w:val="22"/>
          <w:lang w:val="en-US"/>
        </w:rPr>
        <w:t xml:space="preserve">amplification of </w:t>
      </w:r>
      <w:r w:rsidR="00765E1F" w:rsidRPr="006D4277">
        <w:rPr>
          <w:color w:val="000000"/>
          <w:sz w:val="22"/>
          <w:szCs w:val="22"/>
          <w:lang w:val="en-US"/>
        </w:rPr>
        <w:t>a human internal control</w:t>
      </w:r>
      <w:r w:rsidR="00D8082D">
        <w:rPr>
          <w:color w:val="000000"/>
          <w:sz w:val="22"/>
          <w:szCs w:val="22"/>
          <w:lang w:val="en-US"/>
        </w:rPr>
        <w:t xml:space="preserve"> </w:t>
      </w:r>
      <w:r w:rsidR="00D8082D" w:rsidRPr="006D4277">
        <w:rPr>
          <w:color w:val="000000"/>
          <w:sz w:val="22"/>
          <w:szCs w:val="22"/>
          <w:lang w:val="en-US"/>
        </w:rPr>
        <w:t>(IC)</w:t>
      </w:r>
      <w:r w:rsidR="00765E1F" w:rsidRPr="006D4277">
        <w:rPr>
          <w:color w:val="000000"/>
          <w:sz w:val="22"/>
          <w:szCs w:val="22"/>
          <w:lang w:val="en-US"/>
        </w:rPr>
        <w:t xml:space="preserve"> target</w:t>
      </w:r>
      <w:r w:rsidR="00810CF1">
        <w:rPr>
          <w:color w:val="000000"/>
          <w:sz w:val="22"/>
          <w:szCs w:val="22"/>
          <w:lang w:val="en-US"/>
        </w:rPr>
        <w:t>,</w:t>
      </w:r>
      <w:r w:rsidR="00765E1F" w:rsidRPr="006D4277">
        <w:rPr>
          <w:color w:val="000000"/>
          <w:sz w:val="22"/>
          <w:szCs w:val="22"/>
          <w:lang w:val="en-US"/>
        </w:rPr>
        <w:t xml:space="preserve"> </w:t>
      </w:r>
      <w:r w:rsidR="00DE0894" w:rsidRPr="006D4277">
        <w:rPr>
          <w:color w:val="000000"/>
          <w:sz w:val="22"/>
          <w:szCs w:val="22"/>
          <w:lang w:val="en-US"/>
        </w:rPr>
        <w:t>as a measure of sample adequacy</w:t>
      </w:r>
      <w:r w:rsidR="00DE0894">
        <w:rPr>
          <w:color w:val="000000"/>
          <w:sz w:val="22"/>
          <w:szCs w:val="22"/>
          <w:lang w:val="en-US"/>
        </w:rPr>
        <w:t>.</w:t>
      </w:r>
      <w:r w:rsidR="00DE0894" w:rsidRPr="006D4277">
        <w:rPr>
          <w:color w:val="000000"/>
          <w:sz w:val="22"/>
          <w:szCs w:val="22"/>
          <w:lang w:val="en-US"/>
        </w:rPr>
        <w:t xml:space="preserve"> </w:t>
      </w:r>
      <w:r w:rsidR="006A3FA5" w:rsidRPr="006D4277">
        <w:rPr>
          <w:color w:val="000000"/>
          <w:sz w:val="22"/>
          <w:szCs w:val="22"/>
          <w:lang w:val="en-US"/>
        </w:rPr>
        <w:t>Although sample adequacy is essential f</w:t>
      </w:r>
      <w:r w:rsidR="00227C96" w:rsidRPr="006D4277">
        <w:rPr>
          <w:color w:val="000000"/>
          <w:sz w:val="22"/>
          <w:szCs w:val="22"/>
          <w:lang w:val="en-US"/>
        </w:rPr>
        <w:t>or</w:t>
      </w:r>
      <w:r w:rsidR="006A3FA5" w:rsidRPr="006D4277">
        <w:rPr>
          <w:color w:val="000000"/>
          <w:sz w:val="22"/>
          <w:szCs w:val="22"/>
          <w:lang w:val="en-US"/>
        </w:rPr>
        <w:t xml:space="preserve"> the quality assurance of</w:t>
      </w:r>
      <w:r w:rsidR="00227C96" w:rsidRPr="006D4277">
        <w:rPr>
          <w:color w:val="000000"/>
          <w:sz w:val="22"/>
          <w:szCs w:val="22"/>
          <w:lang w:val="en-US"/>
        </w:rPr>
        <w:t xml:space="preserve"> HPV DNA </w:t>
      </w:r>
      <w:r w:rsidR="006A3FA5" w:rsidRPr="006D4277">
        <w:rPr>
          <w:color w:val="000000"/>
          <w:sz w:val="22"/>
          <w:szCs w:val="22"/>
          <w:lang w:val="en-US"/>
        </w:rPr>
        <w:t xml:space="preserve">molecular </w:t>
      </w:r>
      <w:r w:rsidR="00227C96" w:rsidRPr="006D4277">
        <w:rPr>
          <w:color w:val="000000"/>
          <w:sz w:val="22"/>
          <w:szCs w:val="22"/>
          <w:lang w:val="en-US"/>
        </w:rPr>
        <w:t>testing</w:t>
      </w:r>
      <w:r w:rsidR="006A3FA5" w:rsidRPr="006D4277">
        <w:rPr>
          <w:color w:val="000000"/>
          <w:sz w:val="22"/>
          <w:szCs w:val="22"/>
          <w:lang w:val="en-US"/>
        </w:rPr>
        <w:t xml:space="preserve"> in </w:t>
      </w:r>
      <w:r w:rsidR="00270B9F">
        <w:rPr>
          <w:color w:val="000000"/>
          <w:sz w:val="22"/>
          <w:szCs w:val="22"/>
          <w:lang w:val="en-US"/>
        </w:rPr>
        <w:t>CC</w:t>
      </w:r>
      <w:r w:rsidR="006A3FA5" w:rsidRPr="006D4277">
        <w:rPr>
          <w:color w:val="000000"/>
          <w:sz w:val="22"/>
          <w:szCs w:val="22"/>
          <w:lang w:val="en-US"/>
        </w:rPr>
        <w:t xml:space="preserve"> prevention</w:t>
      </w:r>
      <w:r w:rsidR="00227C96" w:rsidRPr="006D4277">
        <w:rPr>
          <w:color w:val="000000"/>
          <w:sz w:val="22"/>
          <w:szCs w:val="22"/>
          <w:lang w:val="en-US"/>
        </w:rPr>
        <w:t xml:space="preserve">, </w:t>
      </w:r>
      <w:r w:rsidR="006A3FA5" w:rsidRPr="006D4277">
        <w:rPr>
          <w:color w:val="000000"/>
          <w:sz w:val="22"/>
          <w:szCs w:val="22"/>
          <w:lang w:val="en-US"/>
        </w:rPr>
        <w:t xml:space="preserve">this parameter has not been </w:t>
      </w:r>
      <w:r w:rsidR="00227C96" w:rsidRPr="006D4277">
        <w:rPr>
          <w:color w:val="000000"/>
          <w:sz w:val="22"/>
          <w:szCs w:val="22"/>
          <w:lang w:val="en-US"/>
        </w:rPr>
        <w:t xml:space="preserve">strictly </w:t>
      </w:r>
      <w:r w:rsidR="006A3FA5" w:rsidRPr="006D4277">
        <w:rPr>
          <w:color w:val="000000"/>
          <w:sz w:val="22"/>
          <w:szCs w:val="22"/>
          <w:lang w:val="en-US"/>
        </w:rPr>
        <w:t xml:space="preserve">evaluated </w:t>
      </w:r>
      <w:r w:rsidR="00810CF1">
        <w:rPr>
          <w:color w:val="000000"/>
          <w:sz w:val="22"/>
          <w:szCs w:val="22"/>
          <w:lang w:val="en-US"/>
        </w:rPr>
        <w:t>nor has</w:t>
      </w:r>
      <w:r w:rsidR="00810CF1" w:rsidRPr="006D4277">
        <w:rPr>
          <w:color w:val="000000"/>
          <w:sz w:val="22"/>
          <w:szCs w:val="22"/>
          <w:lang w:val="en-US"/>
        </w:rPr>
        <w:t xml:space="preserve"> </w:t>
      </w:r>
      <w:r w:rsidR="00810CF1">
        <w:rPr>
          <w:color w:val="000000"/>
          <w:sz w:val="22"/>
          <w:szCs w:val="22"/>
          <w:lang w:val="en-US"/>
        </w:rPr>
        <w:t>a required number of cells been defined in order to</w:t>
      </w:r>
      <w:r w:rsidR="00810CF1" w:rsidRPr="006D4277">
        <w:rPr>
          <w:color w:val="000000"/>
          <w:sz w:val="22"/>
          <w:szCs w:val="22"/>
          <w:lang w:val="en-US"/>
        </w:rPr>
        <w:t xml:space="preserve"> </w:t>
      </w:r>
      <w:r w:rsidR="00810CF1">
        <w:rPr>
          <w:color w:val="000000"/>
          <w:sz w:val="22"/>
          <w:szCs w:val="22"/>
          <w:lang w:val="en-US"/>
        </w:rPr>
        <w:t xml:space="preserve">increase confidence in “HPV-negative” results, </w:t>
      </w:r>
      <w:r w:rsidR="00E942A8" w:rsidRPr="006D4277">
        <w:rPr>
          <w:color w:val="000000"/>
          <w:sz w:val="22"/>
          <w:szCs w:val="22"/>
          <w:lang w:val="en-US"/>
        </w:rPr>
        <w:t>as</w:t>
      </w:r>
      <w:r w:rsidR="00227C96" w:rsidRPr="006D4277">
        <w:rPr>
          <w:color w:val="000000"/>
          <w:sz w:val="22"/>
          <w:szCs w:val="22"/>
          <w:lang w:val="en-US"/>
        </w:rPr>
        <w:t xml:space="preserve"> </w:t>
      </w:r>
      <w:r w:rsidR="00E942A8" w:rsidRPr="006D4277">
        <w:rPr>
          <w:color w:val="000000"/>
          <w:sz w:val="22"/>
          <w:szCs w:val="22"/>
          <w:lang w:val="en-US"/>
        </w:rPr>
        <w:t xml:space="preserve">in </w:t>
      </w:r>
      <w:r w:rsidR="00AF1ED6">
        <w:rPr>
          <w:color w:val="000000"/>
          <w:sz w:val="22"/>
          <w:szCs w:val="22"/>
          <w:lang w:val="en-US"/>
        </w:rPr>
        <w:t xml:space="preserve">the case of </w:t>
      </w:r>
      <w:r w:rsidR="006A3FA5" w:rsidRPr="006D4277">
        <w:rPr>
          <w:color w:val="000000"/>
          <w:sz w:val="22"/>
          <w:szCs w:val="22"/>
          <w:lang w:val="en-US"/>
        </w:rPr>
        <w:t xml:space="preserve">cervical </w:t>
      </w:r>
      <w:r w:rsidR="00227C96" w:rsidRPr="006D4277">
        <w:rPr>
          <w:color w:val="000000"/>
          <w:sz w:val="22"/>
          <w:szCs w:val="22"/>
          <w:lang w:val="en-US"/>
        </w:rPr>
        <w:t xml:space="preserve">cytology. Low-quality samples can </w:t>
      </w:r>
      <w:r w:rsidR="006A3FA5" w:rsidRPr="006D4277">
        <w:rPr>
          <w:color w:val="000000"/>
          <w:sz w:val="22"/>
          <w:szCs w:val="22"/>
          <w:lang w:val="en-US"/>
        </w:rPr>
        <w:t xml:space="preserve">in fact </w:t>
      </w:r>
      <w:r w:rsidR="00227C96" w:rsidRPr="006D4277">
        <w:rPr>
          <w:color w:val="000000"/>
          <w:sz w:val="22"/>
          <w:szCs w:val="22"/>
          <w:lang w:val="en-US"/>
        </w:rPr>
        <w:t xml:space="preserve">result in HPV-DNA false negative results due to low viral loads or other pre-analytical </w:t>
      </w:r>
      <w:r w:rsidR="00DE0894" w:rsidRPr="006D4277">
        <w:rPr>
          <w:color w:val="000000"/>
          <w:sz w:val="22"/>
          <w:szCs w:val="22"/>
          <w:lang w:val="en-US"/>
        </w:rPr>
        <w:t>issues</w:t>
      </w:r>
      <w:r w:rsidR="00DE0894">
        <w:rPr>
          <w:color w:val="000000"/>
          <w:sz w:val="22"/>
          <w:szCs w:val="22"/>
          <w:vertAlign w:val="superscript"/>
          <w:lang w:val="en-US"/>
        </w:rPr>
        <w:t>9</w:t>
      </w:r>
      <w:r w:rsidR="00227C96" w:rsidRPr="006D4277">
        <w:rPr>
          <w:color w:val="000000"/>
          <w:sz w:val="22"/>
          <w:szCs w:val="22"/>
          <w:lang w:val="en-US"/>
        </w:rPr>
        <w:t xml:space="preserve">. </w:t>
      </w:r>
    </w:p>
    <w:p w14:paraId="3046078E" w14:textId="1023C998" w:rsidR="00436374" w:rsidRDefault="00036478" w:rsidP="004A2D52">
      <w:pPr>
        <w:pStyle w:val="NormaleWeb"/>
        <w:spacing w:line="276" w:lineRule="auto"/>
        <w:jc w:val="both"/>
        <w:rPr>
          <w:color w:val="000000"/>
          <w:sz w:val="22"/>
          <w:szCs w:val="22"/>
          <w:lang w:val="en-US"/>
        </w:rPr>
      </w:pPr>
      <w:r>
        <w:rPr>
          <w:color w:val="000000"/>
          <w:sz w:val="22"/>
          <w:szCs w:val="22"/>
          <w:lang w:val="en-US"/>
        </w:rPr>
        <w:t xml:space="preserve">The inclusion of an appropriate </w:t>
      </w:r>
      <w:r w:rsidR="004568E6" w:rsidRPr="00F57083">
        <w:rPr>
          <w:sz w:val="22"/>
          <w:szCs w:val="22"/>
          <w:lang w:val="en-US"/>
        </w:rPr>
        <w:t>Sample Adequacy Control</w:t>
      </w:r>
      <w:r w:rsidR="00066864">
        <w:rPr>
          <w:sz w:val="22"/>
          <w:szCs w:val="22"/>
          <w:lang w:val="en-US"/>
        </w:rPr>
        <w:t xml:space="preserve"> </w:t>
      </w:r>
      <w:r w:rsidR="00227C96" w:rsidRPr="006D4277">
        <w:rPr>
          <w:color w:val="000000"/>
          <w:sz w:val="22"/>
          <w:szCs w:val="22"/>
          <w:lang w:val="en-US"/>
        </w:rPr>
        <w:t xml:space="preserve">is critical in </w:t>
      </w:r>
      <w:r>
        <w:rPr>
          <w:color w:val="000000"/>
          <w:sz w:val="22"/>
          <w:szCs w:val="22"/>
          <w:lang w:val="en-US"/>
        </w:rPr>
        <w:t xml:space="preserve">the quality assurance of </w:t>
      </w:r>
      <w:r w:rsidR="00227C96" w:rsidRPr="006D4277">
        <w:rPr>
          <w:color w:val="000000"/>
          <w:sz w:val="22"/>
          <w:szCs w:val="22"/>
          <w:lang w:val="en-US"/>
        </w:rPr>
        <w:t>PCR testing</w:t>
      </w:r>
      <w:r>
        <w:rPr>
          <w:color w:val="000000"/>
          <w:sz w:val="22"/>
          <w:szCs w:val="22"/>
          <w:lang w:val="en-US"/>
        </w:rPr>
        <w:t>,</w:t>
      </w:r>
      <w:r w:rsidR="00227C96" w:rsidRPr="006D4277">
        <w:rPr>
          <w:color w:val="000000"/>
          <w:sz w:val="22"/>
          <w:szCs w:val="22"/>
          <w:lang w:val="en-US"/>
        </w:rPr>
        <w:t xml:space="preserve"> ensur</w:t>
      </w:r>
      <w:r>
        <w:rPr>
          <w:color w:val="000000"/>
          <w:sz w:val="22"/>
          <w:szCs w:val="22"/>
          <w:lang w:val="en-US"/>
        </w:rPr>
        <w:t>ing</w:t>
      </w:r>
      <w:r w:rsidR="00227C96" w:rsidRPr="006D4277">
        <w:rPr>
          <w:color w:val="000000"/>
          <w:sz w:val="22"/>
          <w:szCs w:val="22"/>
          <w:lang w:val="en-US"/>
        </w:rPr>
        <w:t xml:space="preserve"> </w:t>
      </w:r>
      <w:r>
        <w:rPr>
          <w:color w:val="000000"/>
          <w:sz w:val="22"/>
          <w:szCs w:val="22"/>
          <w:lang w:val="en-US"/>
        </w:rPr>
        <w:t xml:space="preserve">the presence of sufficient, </w:t>
      </w:r>
      <w:r w:rsidR="00AF1ED6">
        <w:rPr>
          <w:color w:val="000000"/>
          <w:sz w:val="22"/>
          <w:szCs w:val="22"/>
          <w:lang w:val="en-US"/>
        </w:rPr>
        <w:t xml:space="preserve">good quality </w:t>
      </w:r>
      <w:r>
        <w:rPr>
          <w:color w:val="000000"/>
          <w:sz w:val="22"/>
          <w:szCs w:val="22"/>
          <w:lang w:val="en-US"/>
        </w:rPr>
        <w:t xml:space="preserve">human </w:t>
      </w:r>
      <w:r w:rsidR="00227C96" w:rsidRPr="006D4277">
        <w:rPr>
          <w:color w:val="000000"/>
          <w:sz w:val="22"/>
          <w:szCs w:val="22"/>
          <w:lang w:val="en-US"/>
        </w:rPr>
        <w:t>nucleic acids</w:t>
      </w:r>
      <w:r w:rsidR="00AF1ED6">
        <w:rPr>
          <w:color w:val="000000"/>
          <w:sz w:val="22"/>
          <w:szCs w:val="22"/>
          <w:lang w:val="en-US"/>
        </w:rPr>
        <w:t xml:space="preserve"> in the reaction</w:t>
      </w:r>
      <w:r w:rsidR="00F44021" w:rsidRPr="006D4277">
        <w:rPr>
          <w:color w:val="000000"/>
          <w:sz w:val="22"/>
          <w:szCs w:val="22"/>
          <w:vertAlign w:val="superscript"/>
          <w:lang w:val="en-US"/>
        </w:rPr>
        <w:t>2</w:t>
      </w:r>
      <w:r w:rsidR="00A9588C">
        <w:rPr>
          <w:color w:val="000000"/>
          <w:sz w:val="22"/>
          <w:szCs w:val="22"/>
          <w:vertAlign w:val="superscript"/>
          <w:lang w:val="en-US"/>
        </w:rPr>
        <w:t>7,28</w:t>
      </w:r>
      <w:r w:rsidR="00227C96" w:rsidRPr="006D4277">
        <w:rPr>
          <w:color w:val="000000"/>
          <w:sz w:val="22"/>
          <w:szCs w:val="22"/>
          <w:lang w:val="en-US"/>
        </w:rPr>
        <w:t xml:space="preserve">. The absence of </w:t>
      </w:r>
      <w:r w:rsidR="00335C10">
        <w:rPr>
          <w:color w:val="000000"/>
          <w:sz w:val="22"/>
          <w:szCs w:val="22"/>
          <w:lang w:val="en-US"/>
        </w:rPr>
        <w:t>IC</w:t>
      </w:r>
      <w:r w:rsidR="00227C96" w:rsidRPr="006D4277">
        <w:rPr>
          <w:color w:val="000000"/>
          <w:sz w:val="22"/>
          <w:szCs w:val="22"/>
          <w:lang w:val="en-US"/>
        </w:rPr>
        <w:t xml:space="preserve"> in some </w:t>
      </w:r>
      <w:r w:rsidR="00066864">
        <w:rPr>
          <w:color w:val="000000"/>
          <w:sz w:val="22"/>
          <w:szCs w:val="22"/>
          <w:lang w:val="en-US"/>
        </w:rPr>
        <w:t xml:space="preserve">HPV </w:t>
      </w:r>
      <w:r w:rsidR="00227C96" w:rsidRPr="006D4277">
        <w:rPr>
          <w:color w:val="000000"/>
          <w:sz w:val="22"/>
          <w:szCs w:val="22"/>
          <w:lang w:val="en-US"/>
        </w:rPr>
        <w:t>assays</w:t>
      </w:r>
      <w:r w:rsidR="00D3377A">
        <w:rPr>
          <w:color w:val="000000"/>
          <w:sz w:val="22"/>
          <w:szCs w:val="22"/>
          <w:vertAlign w:val="superscript"/>
          <w:lang w:val="en-US"/>
        </w:rPr>
        <w:t>29,30,31,32</w:t>
      </w:r>
      <w:r w:rsidR="009A1A66">
        <w:rPr>
          <w:color w:val="000000"/>
          <w:sz w:val="22"/>
          <w:szCs w:val="22"/>
          <w:vertAlign w:val="superscript"/>
          <w:lang w:val="en-US"/>
        </w:rPr>
        <w:t xml:space="preserve"> </w:t>
      </w:r>
      <w:r w:rsidR="00227C96" w:rsidRPr="006D4277">
        <w:rPr>
          <w:color w:val="000000"/>
          <w:sz w:val="22"/>
          <w:szCs w:val="22"/>
          <w:lang w:val="en-US"/>
        </w:rPr>
        <w:t xml:space="preserve">may increase false negatives, as issues in sample collection </w:t>
      </w:r>
      <w:r>
        <w:rPr>
          <w:color w:val="000000"/>
          <w:sz w:val="22"/>
          <w:szCs w:val="22"/>
          <w:lang w:val="en-US"/>
        </w:rPr>
        <w:t xml:space="preserve">or preanalytical processing </w:t>
      </w:r>
      <w:r w:rsidR="00227C96" w:rsidRPr="006D4277">
        <w:rPr>
          <w:color w:val="000000"/>
          <w:sz w:val="22"/>
          <w:szCs w:val="22"/>
          <w:lang w:val="en-US"/>
        </w:rPr>
        <w:t>can compromise results</w:t>
      </w:r>
      <w:r w:rsidR="00C332E2">
        <w:rPr>
          <w:color w:val="000000"/>
          <w:sz w:val="22"/>
          <w:szCs w:val="22"/>
          <w:vertAlign w:val="superscript"/>
          <w:lang w:val="en-US"/>
        </w:rPr>
        <w:t>9</w:t>
      </w:r>
      <w:r w:rsidR="00DD215B">
        <w:rPr>
          <w:color w:val="000000"/>
          <w:sz w:val="22"/>
          <w:szCs w:val="22"/>
          <w:vertAlign w:val="superscript"/>
          <w:lang w:val="en-US"/>
        </w:rPr>
        <w:t>,</w:t>
      </w:r>
      <w:r w:rsidR="00DD215B" w:rsidRPr="006D4277">
        <w:rPr>
          <w:color w:val="000000"/>
          <w:sz w:val="22"/>
          <w:szCs w:val="22"/>
          <w:vertAlign w:val="superscript"/>
          <w:lang w:val="en-US"/>
        </w:rPr>
        <w:t>3</w:t>
      </w:r>
      <w:r w:rsidR="00DD215B">
        <w:rPr>
          <w:color w:val="000000"/>
          <w:sz w:val="22"/>
          <w:szCs w:val="22"/>
          <w:vertAlign w:val="superscript"/>
          <w:lang w:val="en-US"/>
        </w:rPr>
        <w:t>3,34</w:t>
      </w:r>
      <w:r w:rsidR="00227C96" w:rsidRPr="006D4277">
        <w:rPr>
          <w:color w:val="000000"/>
          <w:sz w:val="22"/>
          <w:szCs w:val="22"/>
          <w:lang w:val="en-US"/>
        </w:rPr>
        <w:t>.</w:t>
      </w:r>
      <w:r w:rsidR="001354BC" w:rsidRPr="006D4277">
        <w:rPr>
          <w:color w:val="000000"/>
          <w:sz w:val="22"/>
          <w:szCs w:val="22"/>
          <w:lang w:val="en-US"/>
        </w:rPr>
        <w:t xml:space="preserve"> </w:t>
      </w:r>
      <w:r w:rsidR="00BE1F80" w:rsidRPr="006D4277">
        <w:rPr>
          <w:color w:val="000000"/>
          <w:sz w:val="22"/>
          <w:szCs w:val="22"/>
          <w:lang w:val="en-US"/>
        </w:rPr>
        <w:t xml:space="preserve">Currently, a negative </w:t>
      </w:r>
      <w:r w:rsidR="0095481E">
        <w:rPr>
          <w:color w:val="000000"/>
          <w:sz w:val="22"/>
          <w:szCs w:val="22"/>
          <w:lang w:val="en-US"/>
        </w:rPr>
        <w:t>IC</w:t>
      </w:r>
      <w:r w:rsidR="0095481E" w:rsidRPr="006D4277">
        <w:rPr>
          <w:color w:val="000000"/>
          <w:sz w:val="22"/>
          <w:szCs w:val="22"/>
          <w:lang w:val="en-US"/>
        </w:rPr>
        <w:t xml:space="preserve"> </w:t>
      </w:r>
      <w:r w:rsidR="00BE1F80" w:rsidRPr="006D4277">
        <w:rPr>
          <w:color w:val="000000"/>
          <w:sz w:val="22"/>
          <w:szCs w:val="22"/>
          <w:lang w:val="en-US"/>
        </w:rPr>
        <w:t xml:space="preserve">result indicates an invalid </w:t>
      </w:r>
      <w:r w:rsidR="0095481E">
        <w:rPr>
          <w:color w:val="000000"/>
          <w:sz w:val="22"/>
          <w:szCs w:val="22"/>
          <w:lang w:val="en-US"/>
        </w:rPr>
        <w:t xml:space="preserve">test </w:t>
      </w:r>
      <w:r w:rsidR="00BE1F80" w:rsidRPr="006D4277">
        <w:rPr>
          <w:color w:val="000000"/>
          <w:sz w:val="22"/>
          <w:szCs w:val="22"/>
          <w:lang w:val="en-US"/>
        </w:rPr>
        <w:t>outcome</w:t>
      </w:r>
      <w:r w:rsidR="009D4296" w:rsidRPr="00066864">
        <w:rPr>
          <w:color w:val="000000"/>
          <w:sz w:val="22"/>
          <w:szCs w:val="22"/>
          <w:vertAlign w:val="superscript"/>
          <w:lang w:val="en-US"/>
        </w:rPr>
        <w:t>33</w:t>
      </w:r>
      <w:r w:rsidR="009D4296">
        <w:rPr>
          <w:color w:val="000000"/>
          <w:sz w:val="22"/>
          <w:szCs w:val="22"/>
          <w:lang w:val="en-US"/>
        </w:rPr>
        <w:t>,</w:t>
      </w:r>
      <w:r w:rsidR="007E736D">
        <w:rPr>
          <w:color w:val="000000"/>
          <w:sz w:val="22"/>
          <w:szCs w:val="22"/>
          <w:lang w:val="en-US"/>
        </w:rPr>
        <w:t xml:space="preserve"> </w:t>
      </w:r>
      <w:r w:rsidR="0095481E">
        <w:rPr>
          <w:color w:val="000000"/>
          <w:sz w:val="22"/>
          <w:szCs w:val="22"/>
          <w:lang w:val="en-US"/>
        </w:rPr>
        <w:t>h</w:t>
      </w:r>
      <w:r w:rsidR="00BE1F80" w:rsidRPr="006D4277">
        <w:rPr>
          <w:color w:val="000000"/>
          <w:sz w:val="22"/>
          <w:szCs w:val="22"/>
          <w:lang w:val="en-US"/>
        </w:rPr>
        <w:t>owever</w:t>
      </w:r>
      <w:r w:rsidR="009D4296">
        <w:rPr>
          <w:color w:val="000000"/>
          <w:sz w:val="22"/>
          <w:szCs w:val="22"/>
          <w:lang w:val="en-US"/>
        </w:rPr>
        <w:t>,</w:t>
      </w:r>
      <w:r w:rsidR="00BE1F80" w:rsidRPr="006D4277">
        <w:rPr>
          <w:color w:val="000000"/>
          <w:sz w:val="22"/>
          <w:szCs w:val="22"/>
          <w:lang w:val="en-US"/>
        </w:rPr>
        <w:t xml:space="preserve"> </w:t>
      </w:r>
      <w:r w:rsidR="00094294" w:rsidRPr="006D4277">
        <w:rPr>
          <w:color w:val="000000"/>
          <w:sz w:val="22"/>
          <w:szCs w:val="22"/>
          <w:lang w:val="en-US"/>
        </w:rPr>
        <w:t xml:space="preserve">detectable </w:t>
      </w:r>
      <w:r w:rsidR="0095481E">
        <w:rPr>
          <w:color w:val="000000"/>
          <w:sz w:val="22"/>
          <w:szCs w:val="22"/>
          <w:lang w:val="en-US"/>
        </w:rPr>
        <w:t xml:space="preserve">IC </w:t>
      </w:r>
      <w:r w:rsidR="00094294" w:rsidRPr="006D4277">
        <w:rPr>
          <w:color w:val="000000"/>
          <w:sz w:val="22"/>
          <w:szCs w:val="22"/>
          <w:lang w:val="en-US"/>
        </w:rPr>
        <w:t>amplification at high PCR Ct values</w:t>
      </w:r>
      <w:r w:rsidR="00DA7BCA">
        <w:rPr>
          <w:color w:val="000000"/>
          <w:sz w:val="22"/>
          <w:szCs w:val="22"/>
          <w:lang w:val="en-US"/>
        </w:rPr>
        <w:t xml:space="preserve">, within the indicated assays’ manufacturer’s cut-offs, </w:t>
      </w:r>
      <w:r w:rsidR="00BE1F80" w:rsidRPr="006D4277">
        <w:rPr>
          <w:color w:val="000000"/>
          <w:sz w:val="22"/>
          <w:szCs w:val="22"/>
          <w:lang w:val="en-US"/>
        </w:rPr>
        <w:t xml:space="preserve">does not </w:t>
      </w:r>
      <w:r w:rsidR="00094294" w:rsidRPr="006D4277">
        <w:rPr>
          <w:color w:val="000000"/>
          <w:sz w:val="22"/>
          <w:szCs w:val="22"/>
          <w:lang w:val="en-US"/>
        </w:rPr>
        <w:t xml:space="preserve">always </w:t>
      </w:r>
      <w:r w:rsidR="00BE1F80" w:rsidRPr="006D4277">
        <w:rPr>
          <w:color w:val="000000"/>
          <w:sz w:val="22"/>
          <w:szCs w:val="22"/>
          <w:lang w:val="en-US"/>
        </w:rPr>
        <w:t xml:space="preserve">guarantee the presence of sufficient biological material. </w:t>
      </w:r>
      <w:r w:rsidR="00094294" w:rsidRPr="006D4277">
        <w:rPr>
          <w:color w:val="000000"/>
          <w:sz w:val="22"/>
          <w:szCs w:val="22"/>
          <w:lang w:val="en-US"/>
        </w:rPr>
        <w:t xml:space="preserve">Quantitative cellularity assessment or appropriately “selected” </w:t>
      </w:r>
      <w:r w:rsidR="00BE1F80" w:rsidRPr="006D4277">
        <w:rPr>
          <w:color w:val="000000"/>
          <w:sz w:val="22"/>
          <w:szCs w:val="22"/>
          <w:lang w:val="en-US"/>
        </w:rPr>
        <w:t xml:space="preserve">Ct values can strengthen confidence in </w:t>
      </w:r>
      <w:r w:rsidR="0095481E">
        <w:rPr>
          <w:color w:val="000000"/>
          <w:sz w:val="22"/>
          <w:szCs w:val="22"/>
          <w:lang w:val="en-US"/>
        </w:rPr>
        <w:t xml:space="preserve">HPV </w:t>
      </w:r>
      <w:r w:rsidR="00BE1F80" w:rsidRPr="006D4277">
        <w:rPr>
          <w:color w:val="000000"/>
          <w:sz w:val="22"/>
          <w:szCs w:val="22"/>
          <w:lang w:val="en-US"/>
        </w:rPr>
        <w:t>negative results</w:t>
      </w:r>
      <w:r w:rsidR="006E3B5B">
        <w:rPr>
          <w:color w:val="000000"/>
          <w:sz w:val="22"/>
          <w:szCs w:val="22"/>
          <w:vertAlign w:val="superscript"/>
          <w:lang w:val="en-US"/>
        </w:rPr>
        <w:t>27,28</w:t>
      </w:r>
      <w:r w:rsidR="00BE1F80" w:rsidRPr="006D4277">
        <w:rPr>
          <w:color w:val="000000"/>
          <w:sz w:val="22"/>
          <w:szCs w:val="22"/>
          <w:lang w:val="en-US"/>
        </w:rPr>
        <w:t xml:space="preserve">. </w:t>
      </w:r>
      <w:r w:rsidR="00F809AF" w:rsidRPr="006D4277">
        <w:rPr>
          <w:color w:val="000000"/>
          <w:sz w:val="22"/>
          <w:szCs w:val="22"/>
          <w:lang w:val="en-US"/>
        </w:rPr>
        <w:t xml:space="preserve">The aim of this study </w:t>
      </w:r>
      <w:r w:rsidR="00712DE3" w:rsidRPr="006D4277">
        <w:rPr>
          <w:color w:val="000000"/>
          <w:sz w:val="22"/>
          <w:szCs w:val="22"/>
          <w:lang w:val="en-US"/>
        </w:rPr>
        <w:t>was</w:t>
      </w:r>
      <w:r w:rsidR="00F809AF" w:rsidRPr="006D4277">
        <w:rPr>
          <w:color w:val="000000"/>
          <w:sz w:val="22"/>
          <w:szCs w:val="22"/>
          <w:lang w:val="en-US"/>
        </w:rPr>
        <w:t xml:space="preserve"> to determine whether the </w:t>
      </w:r>
      <w:r w:rsidR="006E3B5B">
        <w:rPr>
          <w:color w:val="000000"/>
          <w:sz w:val="22"/>
          <w:szCs w:val="22"/>
          <w:lang w:val="en-US"/>
        </w:rPr>
        <w:t>cellularity</w:t>
      </w:r>
      <w:r w:rsidR="006E3B5B" w:rsidRPr="006D4277">
        <w:rPr>
          <w:color w:val="000000"/>
          <w:sz w:val="22"/>
          <w:szCs w:val="22"/>
          <w:lang w:val="en-US"/>
        </w:rPr>
        <w:t xml:space="preserve"> </w:t>
      </w:r>
      <w:r w:rsidR="00F809AF" w:rsidRPr="006D4277">
        <w:rPr>
          <w:color w:val="000000"/>
          <w:sz w:val="22"/>
          <w:szCs w:val="22"/>
          <w:lang w:val="en-US"/>
        </w:rPr>
        <w:t xml:space="preserve">of </w:t>
      </w:r>
      <w:r w:rsidR="00094294" w:rsidRPr="006D4277">
        <w:rPr>
          <w:color w:val="000000"/>
          <w:sz w:val="22"/>
          <w:szCs w:val="22"/>
          <w:lang w:val="en-US"/>
        </w:rPr>
        <w:t xml:space="preserve">clinical </w:t>
      </w:r>
      <w:r w:rsidR="00F809AF" w:rsidRPr="006D4277">
        <w:rPr>
          <w:color w:val="000000"/>
          <w:sz w:val="22"/>
          <w:szCs w:val="22"/>
          <w:lang w:val="en-US"/>
        </w:rPr>
        <w:t xml:space="preserve">samples can </w:t>
      </w:r>
      <w:r w:rsidR="00094294" w:rsidRPr="006D4277">
        <w:rPr>
          <w:color w:val="000000"/>
          <w:sz w:val="22"/>
          <w:szCs w:val="22"/>
          <w:lang w:val="en-US"/>
        </w:rPr>
        <w:t xml:space="preserve">influence HPV positivity rates in cervical cancer screening </w:t>
      </w:r>
      <w:r w:rsidR="007500DD">
        <w:rPr>
          <w:color w:val="000000"/>
          <w:sz w:val="22"/>
          <w:szCs w:val="22"/>
          <w:lang w:val="en-US"/>
        </w:rPr>
        <w:t xml:space="preserve">(CCS) </w:t>
      </w:r>
      <w:r w:rsidR="00094294" w:rsidRPr="006D4277">
        <w:rPr>
          <w:color w:val="000000"/>
          <w:sz w:val="22"/>
          <w:szCs w:val="22"/>
          <w:lang w:val="en-US"/>
        </w:rPr>
        <w:t>programs.</w:t>
      </w:r>
    </w:p>
    <w:p w14:paraId="5BD833D6" w14:textId="77777777" w:rsidR="004324AE" w:rsidRDefault="004324AE" w:rsidP="004A2D52">
      <w:pPr>
        <w:pStyle w:val="NormaleWeb"/>
        <w:spacing w:line="276" w:lineRule="auto"/>
        <w:jc w:val="both"/>
        <w:rPr>
          <w:color w:val="000000"/>
          <w:sz w:val="22"/>
          <w:szCs w:val="22"/>
          <w:lang w:val="en-US"/>
        </w:rPr>
      </w:pPr>
    </w:p>
    <w:p w14:paraId="5EE1D5B2" w14:textId="4C42E795" w:rsidR="003950E8" w:rsidRDefault="003950E8">
      <w:pP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en-US" w:eastAsia="it-IT"/>
          <w14:ligatures w14:val="none"/>
        </w:rPr>
      </w:pPr>
      <w:r>
        <w:rPr>
          <w:color w:val="000000"/>
          <w:sz w:val="22"/>
          <w:szCs w:val="22"/>
          <w:lang w:val="en-US"/>
        </w:rPr>
        <w:br w:type="page"/>
      </w:r>
    </w:p>
    <w:p w14:paraId="5653F547" w14:textId="0E409B3F" w:rsidR="003950E8" w:rsidRPr="00752AC2" w:rsidRDefault="00227C96" w:rsidP="00752AC2">
      <w:pPr>
        <w:pStyle w:val="Paragrafoelenco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  <w:r w:rsidRPr="006D4277">
        <w:rPr>
          <w:rFonts w:ascii="Times New Roman" w:hAnsi="Times New Roman" w:cs="Times New Roman"/>
          <w:b/>
          <w:bCs/>
          <w:sz w:val="22"/>
          <w:szCs w:val="22"/>
          <w:lang w:val="en-US"/>
        </w:rPr>
        <w:lastRenderedPageBreak/>
        <w:t>Materials and Methods</w:t>
      </w:r>
    </w:p>
    <w:p w14:paraId="51D25DE7" w14:textId="58166FE9" w:rsidR="00227C96" w:rsidRPr="006D4277" w:rsidRDefault="004D595C" w:rsidP="003950E8">
      <w:pPr>
        <w:spacing w:line="276" w:lineRule="auto"/>
        <w:jc w:val="both"/>
        <w:rPr>
          <w:rFonts w:ascii="Times New Roman" w:hAnsi="Times New Roman" w:cs="Times New Roman"/>
          <w:i/>
          <w:iCs/>
          <w:sz w:val="22"/>
          <w:szCs w:val="22"/>
          <w:lang w:val="en-US"/>
        </w:rPr>
      </w:pPr>
      <w:r w:rsidRPr="006D4277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2.1 </w:t>
      </w:r>
      <w:r w:rsidR="00227C96" w:rsidRPr="006D4277">
        <w:rPr>
          <w:rFonts w:ascii="Times New Roman" w:hAnsi="Times New Roman" w:cs="Times New Roman"/>
          <w:i/>
          <w:iCs/>
          <w:sz w:val="22"/>
          <w:szCs w:val="22"/>
          <w:lang w:val="en-US"/>
        </w:rPr>
        <w:t>Sample Collection and study population</w:t>
      </w:r>
    </w:p>
    <w:p w14:paraId="0E6946AF" w14:textId="37FB71D3" w:rsidR="00227C96" w:rsidRPr="006D4277" w:rsidRDefault="007500DD" w:rsidP="00F809AF">
      <w:pPr>
        <w:spacing w:after="0" w:line="276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In Apulia (Italy) t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he </w:t>
      </w:r>
      <w:r w:rsidR="005A7079" w:rsidRPr="006D4277">
        <w:rPr>
          <w:rFonts w:ascii="Times New Roman" w:hAnsi="Times New Roman" w:cs="Times New Roman"/>
          <w:sz w:val="22"/>
          <w:szCs w:val="22"/>
          <w:lang w:val="en-US"/>
        </w:rPr>
        <w:t>CCS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program transitioned to primary HPV-based algorithm at the end of 2022. This study analyzed 37,592 consecutive cervical samples collected in PreservCyt® specimen collection medium (Hologic)</w:t>
      </w:r>
      <w:r w:rsidR="005A7079" w:rsidRPr="006D4277">
        <w:rPr>
          <w:rFonts w:ascii="Times New Roman" w:hAnsi="Times New Roman" w:cs="Times New Roman"/>
          <w:sz w:val="22"/>
          <w:szCs w:val="22"/>
          <w:lang w:val="en-US"/>
        </w:rPr>
        <w:t>,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using the </w:t>
      </w:r>
      <w:proofErr w:type="spellStart"/>
      <w:r w:rsidR="00235CBD" w:rsidRPr="00235CBD">
        <w:rPr>
          <w:rFonts w:ascii="Times New Roman" w:hAnsi="Times New Roman" w:cs="Times New Roman"/>
          <w:sz w:val="22"/>
          <w:szCs w:val="22"/>
          <w:lang w:val="en-US"/>
        </w:rPr>
        <w:t>Cervex</w:t>
      </w:r>
      <w:proofErr w:type="spellEnd"/>
      <w:r w:rsidR="00235CBD" w:rsidRPr="00235CBD">
        <w:rPr>
          <w:rFonts w:ascii="Times New Roman" w:hAnsi="Times New Roman" w:cs="Times New Roman"/>
          <w:sz w:val="22"/>
          <w:szCs w:val="22"/>
          <w:lang w:val="en-US"/>
        </w:rPr>
        <w:t xml:space="preserve">-Brush® </w:t>
      </w:r>
      <w:r w:rsidR="00D33DFF" w:rsidRPr="006D4277">
        <w:rPr>
          <w:rFonts w:ascii="Times New Roman" w:hAnsi="Times New Roman" w:cs="Times New Roman"/>
          <w:sz w:val="22"/>
          <w:szCs w:val="22"/>
          <w:lang w:val="en-US"/>
        </w:rPr>
        <w:t>(Rovers)</w:t>
      </w:r>
      <w:r w:rsidR="006C4939">
        <w:rPr>
          <w:rFonts w:ascii="Times New Roman" w:hAnsi="Times New Roman" w:cs="Times New Roman"/>
          <w:sz w:val="22"/>
          <w:szCs w:val="22"/>
          <w:lang w:val="en-US"/>
        </w:rPr>
        <w:t xml:space="preserve"> collection </w:t>
      </w:r>
      <w:r w:rsidR="00AE0E8A" w:rsidRPr="006D4277">
        <w:rPr>
          <w:rFonts w:ascii="Times New Roman" w:hAnsi="Times New Roman" w:cs="Times New Roman"/>
          <w:sz w:val="22"/>
          <w:szCs w:val="22"/>
          <w:lang w:val="en-US"/>
        </w:rPr>
        <w:t>device</w:t>
      </w:r>
      <w:r w:rsidR="00D33DFF">
        <w:rPr>
          <w:rFonts w:ascii="Times New Roman" w:hAnsi="Times New Roman" w:cs="Times New Roman"/>
          <w:sz w:val="22"/>
          <w:szCs w:val="22"/>
          <w:lang w:val="en-US"/>
        </w:rPr>
        <w:t>,</w:t>
      </w:r>
      <w:r w:rsidR="00094294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>from women (age</w:t>
      </w:r>
      <w:r w:rsidR="00AE0E8A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range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30-64, mean age 47.8±9 years) living in the Bari metropolitan area </w:t>
      </w:r>
      <w:r w:rsidR="00AE0E8A" w:rsidRPr="006D4277">
        <w:rPr>
          <w:rFonts w:ascii="Times New Roman" w:hAnsi="Times New Roman" w:cs="Times New Roman"/>
          <w:sz w:val="22"/>
          <w:szCs w:val="22"/>
          <w:lang w:val="en-US"/>
        </w:rPr>
        <w:t>(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>Italy</w:t>
      </w:r>
      <w:r w:rsidR="00AE0E8A" w:rsidRPr="006D4277">
        <w:rPr>
          <w:rFonts w:ascii="Times New Roman" w:hAnsi="Times New Roman" w:cs="Times New Roman"/>
          <w:sz w:val="22"/>
          <w:szCs w:val="22"/>
          <w:lang w:val="en-US"/>
        </w:rPr>
        <w:t>)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, during the first round of </w:t>
      </w:r>
      <w:r w:rsidR="008611ED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HPV-based primary </w:t>
      </w:r>
      <w:r>
        <w:rPr>
          <w:rFonts w:ascii="Times New Roman" w:hAnsi="Times New Roman" w:cs="Times New Roman"/>
          <w:sz w:val="22"/>
          <w:szCs w:val="22"/>
          <w:lang w:val="en-US"/>
        </w:rPr>
        <w:t>CCS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>. Samples</w:t>
      </w:r>
      <w:r w:rsidR="00FA2E3E">
        <w:rPr>
          <w:rFonts w:ascii="Times New Roman" w:hAnsi="Times New Roman" w:cs="Times New Roman"/>
          <w:sz w:val="22"/>
          <w:szCs w:val="22"/>
          <w:lang w:val="en-US"/>
        </w:rPr>
        <w:t>,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collected </w:t>
      </w:r>
      <w:r w:rsidR="00F27E2F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from </w:t>
      </w:r>
      <w:r w:rsidR="004745E2" w:rsidRPr="006D4277">
        <w:rPr>
          <w:rFonts w:ascii="Times New Roman" w:hAnsi="Times New Roman" w:cs="Times New Roman"/>
          <w:sz w:val="22"/>
          <w:szCs w:val="22"/>
          <w:lang w:val="en-US"/>
        </w:rPr>
        <w:t>Jan</w:t>
      </w:r>
      <w:r w:rsidR="001354BC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uary </w:t>
      </w:r>
      <w:r w:rsidR="00F27E2F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to </w:t>
      </w:r>
      <w:r w:rsidR="001354BC" w:rsidRPr="006D4277">
        <w:rPr>
          <w:rFonts w:ascii="Times New Roman" w:hAnsi="Times New Roman" w:cs="Times New Roman"/>
          <w:sz w:val="22"/>
          <w:szCs w:val="22"/>
          <w:lang w:val="en-US"/>
        </w:rPr>
        <w:t>D</w:t>
      </w:r>
      <w:r w:rsidR="004745E2" w:rsidRPr="006D4277">
        <w:rPr>
          <w:rFonts w:ascii="Times New Roman" w:hAnsi="Times New Roman" w:cs="Times New Roman"/>
          <w:sz w:val="22"/>
          <w:szCs w:val="22"/>
          <w:lang w:val="en-US"/>
        </w:rPr>
        <w:t>ec</w:t>
      </w:r>
      <w:r w:rsidR="001354BC" w:rsidRPr="006D4277">
        <w:rPr>
          <w:rFonts w:ascii="Times New Roman" w:hAnsi="Times New Roman" w:cs="Times New Roman"/>
          <w:sz w:val="22"/>
          <w:szCs w:val="22"/>
          <w:lang w:val="en-US"/>
        </w:rPr>
        <w:t>ember</w:t>
      </w:r>
      <w:r w:rsidR="004745E2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>2023</w:t>
      </w:r>
      <w:r w:rsidR="000F275E">
        <w:rPr>
          <w:rFonts w:ascii="Times New Roman" w:hAnsi="Times New Roman" w:cs="Times New Roman"/>
          <w:sz w:val="22"/>
          <w:szCs w:val="22"/>
          <w:lang w:val="en-US"/>
        </w:rPr>
        <w:t xml:space="preserve"> in 45 </w:t>
      </w:r>
      <w:r w:rsidR="000F275E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different women's screening </w:t>
      </w:r>
      <w:r w:rsidR="000F275E">
        <w:rPr>
          <w:rFonts w:ascii="Times New Roman" w:hAnsi="Times New Roman" w:cs="Times New Roman"/>
          <w:sz w:val="22"/>
          <w:szCs w:val="22"/>
          <w:lang w:val="en-US"/>
        </w:rPr>
        <w:t xml:space="preserve">out-patients’ </w:t>
      </w:r>
      <w:r w:rsidR="000F275E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clinics </w:t>
      </w:r>
      <w:r w:rsidR="000F275E">
        <w:rPr>
          <w:rFonts w:ascii="Times New Roman" w:hAnsi="Times New Roman" w:cs="Times New Roman"/>
          <w:sz w:val="22"/>
          <w:szCs w:val="22"/>
          <w:lang w:val="en-US"/>
        </w:rPr>
        <w:t>(SC)</w:t>
      </w:r>
      <w:r w:rsidR="008611ED" w:rsidRPr="006D4277">
        <w:rPr>
          <w:rFonts w:ascii="Times New Roman" w:hAnsi="Times New Roman" w:cs="Times New Roman"/>
          <w:sz w:val="22"/>
          <w:szCs w:val="22"/>
          <w:lang w:val="en-US"/>
        </w:rPr>
        <w:t>,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were analyzed </w:t>
      </w:r>
      <w:r w:rsidR="006C4939">
        <w:rPr>
          <w:rFonts w:ascii="Times New Roman" w:hAnsi="Times New Roman" w:cs="Times New Roman"/>
          <w:sz w:val="22"/>
          <w:szCs w:val="22"/>
          <w:lang w:val="en-US"/>
        </w:rPr>
        <w:t xml:space="preserve">in a centralized laboratory performing both molecular HPV testing and cytological triage 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within one week </w:t>
      </w:r>
      <w:r w:rsidR="007E736D">
        <w:rPr>
          <w:rFonts w:ascii="Times New Roman" w:hAnsi="Times New Roman" w:cs="Times New Roman"/>
          <w:sz w:val="22"/>
          <w:szCs w:val="22"/>
          <w:lang w:val="en-US"/>
        </w:rPr>
        <w:t>from</w:t>
      </w:r>
      <w:r w:rsidR="007E736D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7E736D">
        <w:rPr>
          <w:rFonts w:ascii="Times New Roman" w:hAnsi="Times New Roman" w:cs="Times New Roman"/>
          <w:sz w:val="22"/>
          <w:szCs w:val="22"/>
          <w:lang w:val="en-US"/>
        </w:rPr>
        <w:t xml:space="preserve">sample 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>collection</w:t>
      </w:r>
      <w:r w:rsidR="00FA2E3E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14:paraId="2B55A5BD" w14:textId="77777777" w:rsidR="001354BC" w:rsidRPr="006D4277" w:rsidRDefault="001354BC" w:rsidP="00517D47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2"/>
          <w:szCs w:val="22"/>
          <w:lang w:val="en-US"/>
        </w:rPr>
      </w:pPr>
    </w:p>
    <w:p w14:paraId="0518D35F" w14:textId="0B2BFD78" w:rsidR="001354BC" w:rsidRPr="006D4277" w:rsidRDefault="004D595C" w:rsidP="003950E8">
      <w:pPr>
        <w:spacing w:line="276" w:lineRule="auto"/>
        <w:jc w:val="both"/>
        <w:rPr>
          <w:rFonts w:ascii="Times New Roman" w:hAnsi="Times New Roman" w:cs="Times New Roman"/>
          <w:i/>
          <w:iCs/>
          <w:sz w:val="22"/>
          <w:szCs w:val="22"/>
          <w:lang w:val="en-US"/>
        </w:rPr>
      </w:pPr>
      <w:r w:rsidRPr="006D4277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2.2 </w:t>
      </w:r>
      <w:r w:rsidR="00227C96" w:rsidRPr="006D4277">
        <w:rPr>
          <w:rFonts w:ascii="Times New Roman" w:hAnsi="Times New Roman" w:cs="Times New Roman"/>
          <w:i/>
          <w:iCs/>
          <w:sz w:val="22"/>
          <w:szCs w:val="22"/>
          <w:lang w:val="en-US"/>
        </w:rPr>
        <w:t>HPV-DNA Assay</w:t>
      </w:r>
    </w:p>
    <w:p w14:paraId="0132C4DC" w14:textId="1E29FFE0" w:rsidR="00227C96" w:rsidRPr="006D4277" w:rsidRDefault="00FA2E3E" w:rsidP="00517D47">
      <w:pPr>
        <w:spacing w:after="0" w:line="276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 xml:space="preserve">Samples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>were analyzed using the Cobas</w:t>
      </w:r>
      <w:r w:rsidR="007500DD" w:rsidRPr="006D4277">
        <w:rPr>
          <w:rFonts w:ascii="Times New Roman" w:hAnsi="Times New Roman" w:cs="Times New Roman"/>
          <w:sz w:val="22"/>
          <w:szCs w:val="22"/>
          <w:lang w:val="en-US"/>
        </w:rPr>
        <w:t>®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>4800 HPV Test (Roche)</w:t>
      </w:r>
      <w:r w:rsidR="00066864">
        <w:rPr>
          <w:rFonts w:ascii="Times New Roman" w:hAnsi="Times New Roman" w:cs="Times New Roman"/>
          <w:sz w:val="22"/>
          <w:szCs w:val="22"/>
          <w:lang w:val="en-US"/>
        </w:rPr>
        <w:t>: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066864">
        <w:rPr>
          <w:rFonts w:ascii="Times New Roman" w:hAnsi="Times New Roman" w:cs="Times New Roman"/>
          <w:sz w:val="22"/>
          <w:szCs w:val="22"/>
          <w:lang w:val="en-US"/>
        </w:rPr>
        <w:t>t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he </w:t>
      </w:r>
      <w:r>
        <w:rPr>
          <w:rFonts w:ascii="Times New Roman" w:hAnsi="Times New Roman" w:cs="Times New Roman"/>
          <w:sz w:val="22"/>
          <w:szCs w:val="22"/>
          <w:lang w:val="en-US"/>
        </w:rPr>
        <w:t>t</w:t>
      </w:r>
      <w:r w:rsidR="001354BC" w:rsidRPr="006D4277">
        <w:rPr>
          <w:rFonts w:ascii="Times New Roman" w:hAnsi="Times New Roman" w:cs="Times New Roman"/>
          <w:sz w:val="22"/>
          <w:szCs w:val="22"/>
          <w:lang w:val="en-US"/>
        </w:rPr>
        <w:t>est</w:t>
      </w:r>
      <w:r w:rsidR="00760659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targets 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the L1 </w:t>
      </w:r>
      <w:r w:rsidR="0028601F" w:rsidRPr="006D4277">
        <w:rPr>
          <w:rFonts w:ascii="Times New Roman" w:hAnsi="Times New Roman" w:cs="Times New Roman"/>
          <w:sz w:val="22"/>
          <w:szCs w:val="22"/>
          <w:lang w:val="en-US"/>
        </w:rPr>
        <w:t>gene</w:t>
      </w:r>
      <w:r w:rsidR="0028601F" w:rsidRPr="006D4277">
        <w:rPr>
          <w:rFonts w:ascii="Times New Roman" w:hAnsi="Times New Roman" w:cs="Times New Roman"/>
          <w:sz w:val="22"/>
          <w:szCs w:val="22"/>
          <w:vertAlign w:val="superscript"/>
          <w:lang w:val="en-US"/>
        </w:rPr>
        <w:t>3</w:t>
      </w:r>
      <w:r w:rsidR="0028601F">
        <w:rPr>
          <w:rFonts w:ascii="Times New Roman" w:hAnsi="Times New Roman" w:cs="Times New Roman"/>
          <w:sz w:val="22"/>
          <w:szCs w:val="22"/>
          <w:vertAlign w:val="superscript"/>
          <w:lang w:val="en-US"/>
        </w:rPr>
        <w:t>5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and </w:t>
      </w:r>
      <w:r w:rsidR="00066864" w:rsidRPr="006D4277">
        <w:rPr>
          <w:rFonts w:ascii="Times New Roman" w:hAnsi="Times New Roman" w:cs="Times New Roman"/>
          <w:sz w:val="22"/>
          <w:szCs w:val="22"/>
          <w:lang w:val="en-US"/>
        </w:rPr>
        <w:t>report</w:t>
      </w:r>
      <w:r w:rsidR="00066864">
        <w:rPr>
          <w:rFonts w:ascii="Times New Roman" w:hAnsi="Times New Roman" w:cs="Times New Roman"/>
          <w:sz w:val="22"/>
          <w:szCs w:val="22"/>
          <w:lang w:val="en-US"/>
        </w:rPr>
        <w:t>s</w:t>
      </w:r>
      <w:r w:rsidR="00066864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80CCC">
        <w:rPr>
          <w:rFonts w:ascii="Times New Roman" w:hAnsi="Times New Roman" w:cs="Times New Roman"/>
          <w:sz w:val="22"/>
          <w:szCs w:val="22"/>
          <w:lang w:val="en-US"/>
        </w:rPr>
        <w:t xml:space="preserve">individually </w:t>
      </w:r>
      <w:r w:rsidR="00680CCC" w:rsidRPr="006D4277">
        <w:rPr>
          <w:rFonts w:ascii="Times New Roman" w:hAnsi="Times New Roman" w:cs="Times New Roman"/>
          <w:sz w:val="22"/>
          <w:szCs w:val="22"/>
          <w:lang w:val="en-US"/>
        </w:rPr>
        <w:t>HPV16</w:t>
      </w:r>
      <w:r w:rsidR="003E0EDF">
        <w:rPr>
          <w:rFonts w:ascii="Times New Roman" w:hAnsi="Times New Roman" w:cs="Times New Roman"/>
          <w:sz w:val="22"/>
          <w:szCs w:val="22"/>
          <w:lang w:val="en-US"/>
        </w:rPr>
        <w:t>,</w:t>
      </w:r>
      <w:r w:rsidR="00680CCC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HPV18 </w:t>
      </w:r>
      <w:r w:rsidR="003E0EDF">
        <w:rPr>
          <w:rFonts w:ascii="Times New Roman" w:hAnsi="Times New Roman" w:cs="Times New Roman"/>
          <w:sz w:val="22"/>
          <w:szCs w:val="22"/>
          <w:lang w:val="en-US"/>
        </w:rPr>
        <w:t>and</w:t>
      </w:r>
      <w:r w:rsidR="00680CC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a pool of 12 </w:t>
      </w:r>
      <w:r w:rsidR="00680CCC">
        <w:rPr>
          <w:rFonts w:ascii="Times New Roman" w:hAnsi="Times New Roman" w:cs="Times New Roman"/>
          <w:sz w:val="22"/>
          <w:szCs w:val="22"/>
          <w:lang w:val="en-US"/>
        </w:rPr>
        <w:t xml:space="preserve">additional </w:t>
      </w:r>
      <w:r w:rsidR="005F1C7B" w:rsidRPr="006D4277">
        <w:rPr>
          <w:rFonts w:ascii="Times New Roman" w:hAnsi="Times New Roman" w:cs="Times New Roman"/>
          <w:sz w:val="22"/>
          <w:szCs w:val="22"/>
          <w:lang w:val="en-US"/>
        </w:rPr>
        <w:t>HR-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HPV types. </w:t>
      </w:r>
      <w:r w:rsidR="00BA67FD">
        <w:rPr>
          <w:rFonts w:ascii="Times New Roman" w:hAnsi="Times New Roman" w:cs="Times New Roman"/>
          <w:sz w:val="22"/>
          <w:szCs w:val="22"/>
          <w:lang w:val="en-US"/>
        </w:rPr>
        <w:t>H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uman </w:t>
      </w:r>
      <w:r w:rsidR="00227C96" w:rsidRPr="006D4277">
        <w:rPr>
          <w:rFonts w:ascii="Times New Roman" w:hAnsi="Times New Roman" w:cs="Times New Roman"/>
          <w:sz w:val="22"/>
          <w:szCs w:val="22"/>
        </w:rPr>
        <w:t>β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-globin gene </w:t>
      </w:r>
      <w:r w:rsidR="00BA67FD">
        <w:rPr>
          <w:rFonts w:ascii="Times New Roman" w:hAnsi="Times New Roman" w:cs="Times New Roman"/>
          <w:sz w:val="22"/>
          <w:szCs w:val="22"/>
          <w:lang w:val="en-US"/>
        </w:rPr>
        <w:t xml:space="preserve">is amplified 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as </w:t>
      </w:r>
      <w:r w:rsidR="00680CCC">
        <w:rPr>
          <w:rFonts w:ascii="Times New Roman" w:hAnsi="Times New Roman" w:cs="Times New Roman"/>
          <w:sz w:val="22"/>
          <w:szCs w:val="22"/>
          <w:lang w:val="en-US"/>
        </w:rPr>
        <w:t>IC</w:t>
      </w:r>
      <w:r w:rsidR="00D8082D">
        <w:rPr>
          <w:rFonts w:ascii="Times New Roman" w:hAnsi="Times New Roman" w:cs="Times New Roman"/>
          <w:sz w:val="22"/>
          <w:szCs w:val="22"/>
          <w:lang w:val="en-US"/>
        </w:rPr>
        <w:t>,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confirm</w:t>
      </w:r>
      <w:r w:rsidR="003E0EDF">
        <w:rPr>
          <w:rFonts w:ascii="Times New Roman" w:hAnsi="Times New Roman" w:cs="Times New Roman"/>
          <w:sz w:val="22"/>
          <w:szCs w:val="22"/>
          <w:lang w:val="en-US"/>
        </w:rPr>
        <w:t>ing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the </w:t>
      </w:r>
      <w:r w:rsidR="00680CCC">
        <w:rPr>
          <w:rFonts w:ascii="Times New Roman" w:hAnsi="Times New Roman" w:cs="Times New Roman"/>
          <w:sz w:val="22"/>
          <w:szCs w:val="22"/>
          <w:lang w:val="en-US"/>
        </w:rPr>
        <w:t xml:space="preserve">qualitative 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presence of human nucleated cells in the </w:t>
      </w:r>
      <w:r w:rsidR="003E0EDF">
        <w:rPr>
          <w:rFonts w:ascii="Times New Roman" w:hAnsi="Times New Roman" w:cs="Times New Roman"/>
          <w:sz w:val="22"/>
          <w:szCs w:val="22"/>
          <w:lang w:val="en-US"/>
        </w:rPr>
        <w:t>sample</w:t>
      </w:r>
      <w:r w:rsidR="00680CCC">
        <w:rPr>
          <w:rFonts w:ascii="Times New Roman" w:hAnsi="Times New Roman" w:cs="Times New Roman"/>
          <w:sz w:val="22"/>
          <w:szCs w:val="22"/>
          <w:lang w:val="en-US"/>
        </w:rPr>
        <w:t xml:space="preserve"> and </w:t>
      </w:r>
      <w:r w:rsidR="003E0EDF">
        <w:rPr>
          <w:rFonts w:ascii="Times New Roman" w:hAnsi="Times New Roman" w:cs="Times New Roman"/>
          <w:sz w:val="22"/>
          <w:szCs w:val="22"/>
          <w:lang w:val="en-US"/>
        </w:rPr>
        <w:t xml:space="preserve">evaluating </w:t>
      </w:r>
      <w:r w:rsidR="00680CCC">
        <w:rPr>
          <w:rFonts w:ascii="Times New Roman" w:hAnsi="Times New Roman" w:cs="Times New Roman"/>
          <w:sz w:val="22"/>
          <w:szCs w:val="22"/>
          <w:lang w:val="en-US"/>
        </w:rPr>
        <w:t>any potential PCR inhibition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14:paraId="13B6CBEB" w14:textId="4CA6D141" w:rsidR="00227C96" w:rsidRPr="006D4277" w:rsidRDefault="00680CCC" w:rsidP="00517D47">
      <w:pPr>
        <w:spacing w:after="0" w:line="276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Testing</w:t>
      </w:r>
      <w:r w:rsidR="003E0EDF">
        <w:rPr>
          <w:rFonts w:ascii="Times New Roman" w:hAnsi="Times New Roman" w:cs="Times New Roman"/>
          <w:sz w:val="22"/>
          <w:szCs w:val="22"/>
          <w:lang w:val="en-US"/>
        </w:rPr>
        <w:t xml:space="preserve"> was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performed </w:t>
      </w:r>
      <w:r w:rsidR="00066864" w:rsidRPr="006D4277">
        <w:rPr>
          <w:rFonts w:ascii="Times New Roman" w:hAnsi="Times New Roman" w:cs="Times New Roman"/>
          <w:sz w:val="22"/>
          <w:szCs w:val="22"/>
          <w:lang w:val="en-US"/>
        </w:rPr>
        <w:t>strictly following</w:t>
      </w:r>
      <w:r w:rsidR="00066864">
        <w:rPr>
          <w:rFonts w:ascii="Times New Roman" w:hAnsi="Times New Roman" w:cs="Times New Roman"/>
          <w:sz w:val="22"/>
          <w:szCs w:val="22"/>
          <w:lang w:val="en-US"/>
        </w:rPr>
        <w:t xml:space="preserve"> the </w:t>
      </w:r>
      <w:r w:rsidR="009A1A66">
        <w:rPr>
          <w:rFonts w:ascii="Times New Roman" w:hAnsi="Times New Roman" w:cs="Times New Roman"/>
          <w:sz w:val="22"/>
          <w:szCs w:val="22"/>
          <w:lang w:val="en-US"/>
        </w:rPr>
        <w:t xml:space="preserve">European </w:t>
      </w:r>
      <w:r w:rsidR="00066864">
        <w:rPr>
          <w:rFonts w:ascii="Times New Roman" w:hAnsi="Times New Roman" w:cs="Times New Roman"/>
          <w:sz w:val="22"/>
          <w:szCs w:val="22"/>
          <w:lang w:val="en-US"/>
        </w:rPr>
        <w:t>assay’s</w:t>
      </w:r>
      <w:r w:rsidR="00066864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DA7BCA">
        <w:rPr>
          <w:rFonts w:ascii="Times New Roman" w:hAnsi="Times New Roman" w:cs="Times New Roman"/>
          <w:sz w:val="22"/>
          <w:szCs w:val="22"/>
          <w:lang w:val="en-US"/>
        </w:rPr>
        <w:t>“</w:t>
      </w:r>
      <w:r w:rsidR="00066864">
        <w:rPr>
          <w:rFonts w:ascii="Times New Roman" w:hAnsi="Times New Roman" w:cs="Times New Roman"/>
          <w:sz w:val="22"/>
          <w:szCs w:val="22"/>
          <w:lang w:val="en-US"/>
        </w:rPr>
        <w:t>Instructions For Use</w:t>
      </w:r>
      <w:r w:rsidR="00DA7BCA">
        <w:rPr>
          <w:rFonts w:ascii="Times New Roman" w:hAnsi="Times New Roman" w:cs="Times New Roman"/>
          <w:sz w:val="22"/>
          <w:szCs w:val="22"/>
          <w:lang w:val="en-US"/>
        </w:rPr>
        <w:t>”</w:t>
      </w:r>
      <w:r w:rsidR="00066864">
        <w:rPr>
          <w:rFonts w:ascii="Times New Roman" w:hAnsi="Times New Roman" w:cs="Times New Roman"/>
          <w:sz w:val="22"/>
          <w:szCs w:val="22"/>
          <w:lang w:val="en-US"/>
        </w:rPr>
        <w:t xml:space="preserve"> (</w:t>
      </w:r>
      <w:r w:rsidR="00066864" w:rsidRPr="006D4277">
        <w:rPr>
          <w:rFonts w:ascii="Times New Roman" w:hAnsi="Times New Roman" w:cs="Times New Roman"/>
          <w:sz w:val="22"/>
          <w:szCs w:val="22"/>
          <w:lang w:val="en-US"/>
        </w:rPr>
        <w:t>EU</w:t>
      </w:r>
      <w:r w:rsidR="00066864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066864" w:rsidRPr="006D4277">
        <w:rPr>
          <w:rFonts w:ascii="Times New Roman" w:hAnsi="Times New Roman" w:cs="Times New Roman"/>
          <w:sz w:val="22"/>
          <w:szCs w:val="22"/>
          <w:lang w:val="en-US"/>
        </w:rPr>
        <w:t>IFU</w:t>
      </w:r>
      <w:r w:rsidR="00066864">
        <w:rPr>
          <w:rFonts w:ascii="Times New Roman" w:hAnsi="Times New Roman" w:cs="Times New Roman"/>
          <w:sz w:val="22"/>
          <w:szCs w:val="22"/>
          <w:lang w:val="en-US"/>
        </w:rPr>
        <w:t>)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, </w:t>
      </w:r>
      <w:r w:rsidR="003E0EDF">
        <w:rPr>
          <w:rFonts w:ascii="Times New Roman" w:hAnsi="Times New Roman" w:cs="Times New Roman"/>
          <w:sz w:val="22"/>
          <w:szCs w:val="22"/>
          <w:lang w:val="en-US"/>
        </w:rPr>
        <w:t>by</w:t>
      </w:r>
      <w:r w:rsidR="003E0EDF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DA7BCA">
        <w:rPr>
          <w:rFonts w:ascii="Times New Roman" w:hAnsi="Times New Roman" w:cs="Times New Roman"/>
          <w:sz w:val="22"/>
          <w:szCs w:val="22"/>
          <w:lang w:val="en-US"/>
        </w:rPr>
        <w:t xml:space="preserve">loading the </w:t>
      </w:r>
      <w:r w:rsidR="003E0EDF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primary collection tube 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>onto the Cobas</w:t>
      </w:r>
      <w:r w:rsidR="00574352">
        <w:rPr>
          <w:rFonts w:ascii="Times New Roman" w:hAnsi="Times New Roman" w:cs="Times New Roman"/>
          <w:sz w:val="22"/>
          <w:szCs w:val="22"/>
          <w:lang w:val="en-US"/>
        </w:rPr>
        <w:t>®x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480 immediately after </w:t>
      </w:r>
      <w:proofErr w:type="spellStart"/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>vortexing</w:t>
      </w:r>
      <w:proofErr w:type="spellEnd"/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and </w:t>
      </w:r>
      <w:proofErr w:type="spellStart"/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>decapping</w:t>
      </w:r>
      <w:proofErr w:type="spellEnd"/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. </w:t>
      </w:r>
      <w:r w:rsidR="001C6F07">
        <w:rPr>
          <w:rFonts w:ascii="Times New Roman" w:hAnsi="Times New Roman" w:cs="Times New Roman"/>
          <w:sz w:val="22"/>
          <w:szCs w:val="22"/>
          <w:lang w:val="en-US"/>
        </w:rPr>
        <w:t xml:space="preserve">From 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400 </w:t>
      </w:r>
      <w:r w:rsidR="00227C96" w:rsidRPr="006D4277">
        <w:rPr>
          <w:rFonts w:ascii="Times New Roman" w:hAnsi="Times New Roman" w:cs="Times New Roman"/>
          <w:sz w:val="22"/>
          <w:szCs w:val="22"/>
        </w:rPr>
        <w:t>μ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l </w:t>
      </w:r>
      <w:r w:rsidR="007E736D">
        <w:rPr>
          <w:rFonts w:ascii="Times New Roman" w:hAnsi="Times New Roman" w:cs="Times New Roman"/>
          <w:sz w:val="22"/>
          <w:szCs w:val="22"/>
          <w:lang w:val="en-US"/>
        </w:rPr>
        <w:t xml:space="preserve">starting </w:t>
      </w:r>
      <w:r>
        <w:rPr>
          <w:rFonts w:ascii="Times New Roman" w:hAnsi="Times New Roman" w:cs="Times New Roman"/>
          <w:sz w:val="22"/>
          <w:szCs w:val="22"/>
          <w:lang w:val="en-US"/>
        </w:rPr>
        <w:t>volume</w:t>
      </w:r>
      <w:r w:rsidR="001C6F07">
        <w:rPr>
          <w:rFonts w:ascii="Times New Roman" w:hAnsi="Times New Roman" w:cs="Times New Roman"/>
          <w:sz w:val="22"/>
          <w:szCs w:val="22"/>
          <w:lang w:val="en-US"/>
        </w:rPr>
        <w:t xml:space="preserve">, 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DNA </w:t>
      </w:r>
      <w:r w:rsidR="003950E8">
        <w:rPr>
          <w:rFonts w:ascii="Times New Roman" w:hAnsi="Times New Roman" w:cs="Times New Roman"/>
          <w:sz w:val="22"/>
          <w:szCs w:val="22"/>
          <w:lang w:val="en-US"/>
        </w:rPr>
        <w:t>was</w:t>
      </w:r>
      <w:r w:rsidR="00760659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1C6F07">
        <w:rPr>
          <w:rFonts w:ascii="Times New Roman" w:hAnsi="Times New Roman" w:cs="Times New Roman"/>
          <w:sz w:val="22"/>
          <w:szCs w:val="22"/>
          <w:lang w:val="en-US"/>
        </w:rPr>
        <w:t>extracted and</w:t>
      </w:r>
      <w:r w:rsidR="001C6F07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purified in 150 </w:t>
      </w:r>
      <w:r w:rsidR="00227C96" w:rsidRPr="006D4277">
        <w:rPr>
          <w:rFonts w:ascii="Times New Roman" w:hAnsi="Times New Roman" w:cs="Times New Roman"/>
          <w:sz w:val="22"/>
          <w:szCs w:val="22"/>
        </w:rPr>
        <w:t>μ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l of </w:t>
      </w:r>
      <w:r w:rsidR="008A09F5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elution 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>buffer</w:t>
      </w:r>
      <w:r w:rsidR="001C6F07">
        <w:rPr>
          <w:rFonts w:ascii="Times New Roman" w:hAnsi="Times New Roman" w:cs="Times New Roman"/>
          <w:sz w:val="22"/>
          <w:szCs w:val="22"/>
          <w:lang w:val="en-US"/>
        </w:rPr>
        <w:t xml:space="preserve"> from which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25 </w:t>
      </w:r>
      <w:r w:rsidR="00227C96" w:rsidRPr="006D4277">
        <w:rPr>
          <w:rFonts w:ascii="Times New Roman" w:hAnsi="Times New Roman" w:cs="Times New Roman"/>
          <w:sz w:val="22"/>
          <w:szCs w:val="22"/>
        </w:rPr>
        <w:t>μ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l </w:t>
      </w:r>
      <w:r w:rsidR="003950E8">
        <w:rPr>
          <w:rFonts w:ascii="Times New Roman" w:hAnsi="Times New Roman" w:cs="Times New Roman"/>
          <w:sz w:val="22"/>
          <w:szCs w:val="22"/>
          <w:lang w:val="en-US"/>
        </w:rPr>
        <w:t>was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1C6F07">
        <w:rPr>
          <w:rFonts w:ascii="Times New Roman" w:hAnsi="Times New Roman" w:cs="Times New Roman"/>
          <w:sz w:val="22"/>
          <w:szCs w:val="22"/>
          <w:lang w:val="en-US"/>
        </w:rPr>
        <w:t>used for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PCR </w:t>
      </w:r>
      <w:r w:rsidR="001C6F07">
        <w:rPr>
          <w:rFonts w:ascii="Times New Roman" w:hAnsi="Times New Roman" w:cs="Times New Roman"/>
          <w:sz w:val="22"/>
          <w:szCs w:val="22"/>
          <w:lang w:val="en-US"/>
        </w:rPr>
        <w:t>and HPV detection</w:t>
      </w:r>
      <w:r w:rsidR="00227C96" w:rsidRPr="006D4277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14:paraId="66B9BF5A" w14:textId="03EFF4D1" w:rsidR="00227C96" w:rsidRPr="006D4277" w:rsidRDefault="00227C96" w:rsidP="00517D47">
      <w:pPr>
        <w:spacing w:after="0" w:line="276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The </w:t>
      </w:r>
      <w:r w:rsidR="00680CCC">
        <w:rPr>
          <w:rFonts w:ascii="Times New Roman" w:hAnsi="Times New Roman" w:cs="Times New Roman"/>
          <w:sz w:val="22"/>
          <w:szCs w:val="22"/>
          <w:lang w:val="en-US"/>
        </w:rPr>
        <w:t xml:space="preserve">clinical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cutoff values for each channel (Ct </w:t>
      </w:r>
      <w:r w:rsidR="008611ED" w:rsidRPr="006D4277">
        <w:rPr>
          <w:rFonts w:ascii="Times New Roman" w:hAnsi="Times New Roman" w:cs="Times New Roman"/>
          <w:sz w:val="22"/>
          <w:szCs w:val="22"/>
          <w:lang w:val="en-US"/>
        </w:rPr>
        <w:t>&lt;</w:t>
      </w:r>
      <w:r w:rsidR="00342198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>40</w:t>
      </w:r>
      <w:r w:rsidR="00AD5817">
        <w:rPr>
          <w:rFonts w:ascii="Times New Roman" w:hAnsi="Times New Roman" w:cs="Times New Roman"/>
          <w:sz w:val="22"/>
          <w:szCs w:val="22"/>
          <w:lang w:val="en-US"/>
        </w:rPr>
        <w:t>.5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, 40, and 40 for HPV16, </w:t>
      </w:r>
      <w:r w:rsidR="00AD5817" w:rsidRPr="006D4277">
        <w:rPr>
          <w:rFonts w:ascii="Times New Roman" w:hAnsi="Times New Roman" w:cs="Times New Roman"/>
          <w:sz w:val="22"/>
          <w:szCs w:val="22"/>
          <w:lang w:val="en-US"/>
        </w:rPr>
        <w:t>HPV18,</w:t>
      </w:r>
      <w:r w:rsidR="00AD581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and </w:t>
      </w:r>
      <w:r w:rsidR="00AD5817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HPV </w:t>
      </w:r>
      <w:r w:rsidR="00AD5817">
        <w:rPr>
          <w:rFonts w:ascii="Times New Roman" w:hAnsi="Times New Roman" w:cs="Times New Roman"/>
          <w:sz w:val="22"/>
          <w:szCs w:val="22"/>
          <w:lang w:val="en-US"/>
        </w:rPr>
        <w:t xml:space="preserve">“other” </w:t>
      </w:r>
      <w:r w:rsidR="00AD5817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HR,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respectively) were </w:t>
      </w:r>
      <w:r w:rsidR="004F5EEE">
        <w:rPr>
          <w:rFonts w:ascii="Times New Roman" w:hAnsi="Times New Roman" w:cs="Times New Roman"/>
          <w:sz w:val="22"/>
          <w:szCs w:val="22"/>
          <w:lang w:val="en-US"/>
        </w:rPr>
        <w:t xml:space="preserve">previously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>established by Rao et al.</w:t>
      </w:r>
      <w:r w:rsidR="009C64DE" w:rsidRPr="006D4277">
        <w:rPr>
          <w:rFonts w:ascii="Times New Roman" w:hAnsi="Times New Roman" w:cs="Times New Roman"/>
          <w:sz w:val="22"/>
          <w:szCs w:val="22"/>
          <w:vertAlign w:val="superscript"/>
          <w:lang w:val="en-US"/>
        </w:rPr>
        <w:t>3</w:t>
      </w:r>
      <w:r w:rsidR="009C64DE">
        <w:rPr>
          <w:rFonts w:ascii="Times New Roman" w:hAnsi="Times New Roman" w:cs="Times New Roman"/>
          <w:sz w:val="22"/>
          <w:szCs w:val="22"/>
          <w:vertAlign w:val="superscript"/>
          <w:lang w:val="en-US"/>
        </w:rPr>
        <w:t>5</w:t>
      </w:r>
      <w:r w:rsidR="009C64DE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to achieve </w:t>
      </w:r>
      <w:r w:rsidR="00680CCC">
        <w:rPr>
          <w:rFonts w:ascii="Times New Roman" w:hAnsi="Times New Roman" w:cs="Times New Roman"/>
          <w:sz w:val="22"/>
          <w:szCs w:val="22"/>
          <w:lang w:val="en-US"/>
        </w:rPr>
        <w:t>the required</w:t>
      </w:r>
      <w:r w:rsidR="00680CCC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clinical sensitivity </w:t>
      </w:r>
      <w:r w:rsidR="00576810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and specificity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for </w:t>
      </w:r>
      <w:r w:rsidR="00680CCC">
        <w:rPr>
          <w:rFonts w:ascii="Times New Roman" w:hAnsi="Times New Roman" w:cs="Times New Roman"/>
          <w:sz w:val="22"/>
          <w:szCs w:val="22"/>
          <w:lang w:val="en-US"/>
        </w:rPr>
        <w:t xml:space="preserve">the detection of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>CIN2+</w:t>
      </w:r>
      <w:r w:rsidR="00680CCC">
        <w:rPr>
          <w:rFonts w:ascii="Times New Roman" w:hAnsi="Times New Roman" w:cs="Times New Roman"/>
          <w:sz w:val="22"/>
          <w:szCs w:val="22"/>
          <w:lang w:val="en-US"/>
        </w:rPr>
        <w:t xml:space="preserve"> lesions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>. Th</w:t>
      </w:r>
      <w:r w:rsidR="00574352">
        <w:rPr>
          <w:rFonts w:ascii="Times New Roman" w:hAnsi="Times New Roman" w:cs="Times New Roman"/>
          <w:sz w:val="22"/>
          <w:szCs w:val="22"/>
          <w:lang w:val="en-US"/>
        </w:rPr>
        <w:t xml:space="preserve">e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>study</w:t>
      </w:r>
      <w:r w:rsidR="00574352" w:rsidRPr="00574352">
        <w:rPr>
          <w:rFonts w:ascii="Times New Roman" w:hAnsi="Times New Roman" w:cs="Times New Roman"/>
          <w:sz w:val="22"/>
          <w:szCs w:val="22"/>
          <w:vertAlign w:val="superscript"/>
          <w:lang w:val="en-US"/>
        </w:rPr>
        <w:t>35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did not normalize </w:t>
      </w:r>
      <w:r w:rsidR="00E11F7F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HPV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target cutoff values to the internal control </w:t>
      </w:r>
      <w:r w:rsidR="008817F1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relative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>quantit</w:t>
      </w:r>
      <w:r w:rsidR="008817F1" w:rsidRPr="006D4277">
        <w:rPr>
          <w:rFonts w:ascii="Times New Roman" w:hAnsi="Times New Roman" w:cs="Times New Roman"/>
          <w:sz w:val="22"/>
          <w:szCs w:val="22"/>
          <w:lang w:val="en-US"/>
        </w:rPr>
        <w:t>ies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>.</w:t>
      </w:r>
      <w:r w:rsidR="004E3962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The </w:t>
      </w:r>
      <w:r w:rsidR="003E0EDF">
        <w:rPr>
          <w:rFonts w:ascii="Times New Roman" w:hAnsi="Times New Roman" w:cs="Times New Roman"/>
          <w:sz w:val="22"/>
          <w:szCs w:val="22"/>
          <w:lang w:val="en-US"/>
        </w:rPr>
        <w:t xml:space="preserve">manufacturer </w:t>
      </w:r>
      <w:r w:rsidR="00C14869">
        <w:rPr>
          <w:rFonts w:ascii="Times New Roman" w:hAnsi="Times New Roman" w:cs="Times New Roman"/>
          <w:sz w:val="22"/>
          <w:szCs w:val="22"/>
          <w:lang w:val="en-US"/>
        </w:rPr>
        <w:t xml:space="preserve">IC </w:t>
      </w:r>
      <w:r w:rsidR="004E3962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cut-off value </w:t>
      </w:r>
      <w:r w:rsidR="00DA7BCA">
        <w:rPr>
          <w:rFonts w:ascii="Times New Roman" w:hAnsi="Times New Roman" w:cs="Times New Roman"/>
          <w:sz w:val="22"/>
          <w:szCs w:val="22"/>
          <w:lang w:val="en-US"/>
        </w:rPr>
        <w:t xml:space="preserve">for valid sample testing </w:t>
      </w:r>
      <w:r w:rsidR="003F24A1">
        <w:rPr>
          <w:rFonts w:ascii="Times New Roman" w:hAnsi="Times New Roman" w:cs="Times New Roman"/>
          <w:sz w:val="22"/>
          <w:szCs w:val="22"/>
          <w:lang w:val="en-US"/>
        </w:rPr>
        <w:t xml:space="preserve">was set at Ct 40 </w:t>
      </w:r>
      <w:r w:rsidR="004E3962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for </w:t>
      </w:r>
      <w:r w:rsidR="004E3962" w:rsidRPr="006D4277">
        <w:rPr>
          <w:rFonts w:ascii="Times New Roman" w:hAnsi="Times New Roman" w:cs="Times New Roman"/>
          <w:sz w:val="22"/>
          <w:szCs w:val="22"/>
        </w:rPr>
        <w:t>β</w:t>
      </w:r>
      <w:r w:rsidR="004E3962" w:rsidRPr="006D4277">
        <w:rPr>
          <w:rFonts w:ascii="Times New Roman" w:hAnsi="Times New Roman" w:cs="Times New Roman"/>
          <w:sz w:val="22"/>
          <w:szCs w:val="22"/>
          <w:lang w:val="en-US"/>
        </w:rPr>
        <w:t>-globin</w:t>
      </w:r>
      <w:r w:rsidR="00506A8A" w:rsidRPr="006D4277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14:paraId="73828CD9" w14:textId="77777777" w:rsidR="00390000" w:rsidRPr="006D4277" w:rsidRDefault="00390000" w:rsidP="00517D47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2"/>
          <w:szCs w:val="22"/>
          <w:lang w:val="en-US"/>
        </w:rPr>
      </w:pPr>
    </w:p>
    <w:p w14:paraId="7EEEC1E3" w14:textId="2AEE186E" w:rsidR="00227C96" w:rsidRPr="006D4277" w:rsidRDefault="004D595C" w:rsidP="003950E8">
      <w:pPr>
        <w:spacing w:line="276" w:lineRule="auto"/>
        <w:jc w:val="both"/>
        <w:rPr>
          <w:rFonts w:ascii="Times New Roman" w:hAnsi="Times New Roman" w:cs="Times New Roman"/>
          <w:i/>
          <w:iCs/>
          <w:sz w:val="22"/>
          <w:szCs w:val="22"/>
          <w:lang w:val="en-US"/>
        </w:rPr>
      </w:pPr>
      <w:r w:rsidRPr="006D4277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2.3 </w:t>
      </w:r>
      <w:r w:rsidR="00227C96" w:rsidRPr="006D4277">
        <w:rPr>
          <w:rFonts w:ascii="Times New Roman" w:hAnsi="Times New Roman" w:cs="Times New Roman"/>
          <w:i/>
          <w:iCs/>
          <w:sz w:val="22"/>
          <w:szCs w:val="22"/>
          <w:lang w:val="en-US"/>
        </w:rPr>
        <w:t>Liquid-Based Cytology</w:t>
      </w:r>
    </w:p>
    <w:p w14:paraId="28911010" w14:textId="1BDEF84C" w:rsidR="00227C96" w:rsidRPr="006D4277" w:rsidRDefault="00227C96" w:rsidP="00517D47">
      <w:pPr>
        <w:spacing w:after="0" w:line="276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LBC was performed </w:t>
      </w:r>
      <w:r w:rsidR="00C14869">
        <w:rPr>
          <w:rFonts w:ascii="Times New Roman" w:hAnsi="Times New Roman" w:cs="Times New Roman"/>
          <w:sz w:val="22"/>
          <w:szCs w:val="22"/>
          <w:lang w:val="en-US"/>
        </w:rPr>
        <w:t>using</w:t>
      </w:r>
      <w:r w:rsidR="00C14869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the </w:t>
      </w:r>
      <w:proofErr w:type="spellStart"/>
      <w:r w:rsidRPr="006D4277">
        <w:rPr>
          <w:rFonts w:ascii="Times New Roman" w:hAnsi="Times New Roman" w:cs="Times New Roman"/>
          <w:sz w:val="22"/>
          <w:szCs w:val="22"/>
          <w:lang w:val="en-US"/>
        </w:rPr>
        <w:t>ThinPrep</w:t>
      </w:r>
      <w:proofErr w:type="spellEnd"/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® 2000 Processor (Hologic), following the manufacturer's instructions. Cytology results were reported according to the Bethesda System guidelines. LBC results were classified as </w:t>
      </w:r>
      <w:r w:rsidR="00C14869">
        <w:rPr>
          <w:rFonts w:ascii="Times New Roman" w:hAnsi="Times New Roman" w:cs="Times New Roman"/>
          <w:sz w:val="22"/>
          <w:szCs w:val="22"/>
          <w:lang w:val="en-US"/>
        </w:rPr>
        <w:t>“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>negative</w:t>
      </w:r>
      <w:r w:rsidR="00C14869">
        <w:rPr>
          <w:rFonts w:ascii="Times New Roman" w:hAnsi="Times New Roman" w:cs="Times New Roman"/>
          <w:sz w:val="22"/>
          <w:szCs w:val="22"/>
          <w:lang w:val="en-US"/>
        </w:rPr>
        <w:t>”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if </w:t>
      </w:r>
      <w:r w:rsidR="00C14869">
        <w:rPr>
          <w:rFonts w:ascii="Times New Roman" w:hAnsi="Times New Roman" w:cs="Times New Roman"/>
          <w:sz w:val="22"/>
          <w:szCs w:val="22"/>
          <w:lang w:val="en-US"/>
        </w:rPr>
        <w:t xml:space="preserve">cytology was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normal (NILM); as "inadequate" or "non-diagnostic" </w:t>
      </w:r>
      <w:r w:rsidR="003F24A1">
        <w:rPr>
          <w:rFonts w:ascii="Times New Roman" w:hAnsi="Times New Roman" w:cs="Times New Roman"/>
          <w:sz w:val="22"/>
          <w:szCs w:val="22"/>
          <w:lang w:val="en-US"/>
        </w:rPr>
        <w:t>in cases such as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low cellularity (&lt;</w:t>
      </w:r>
      <w:r w:rsidR="00342198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>5000 cells/slide), excessive blood, mucus, or inflammatory cells, presence of non-cellular amorphous material" or "amorphous debris"; any other result was considered positive.</w:t>
      </w:r>
      <w:r w:rsidR="0031597D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A148B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Among NILM samples, those showing atrophy were </w:t>
      </w:r>
      <w:r w:rsidR="009C64DE" w:rsidRPr="006D4277">
        <w:rPr>
          <w:rFonts w:ascii="Times New Roman" w:hAnsi="Times New Roman" w:cs="Times New Roman"/>
          <w:sz w:val="22"/>
          <w:szCs w:val="22"/>
          <w:lang w:val="en-US"/>
        </w:rPr>
        <w:t>annotated</w:t>
      </w:r>
      <w:r w:rsidR="009C64DE" w:rsidRPr="006D4277">
        <w:rPr>
          <w:rFonts w:ascii="Times New Roman" w:hAnsi="Times New Roman" w:cs="Times New Roman"/>
          <w:sz w:val="22"/>
          <w:szCs w:val="22"/>
          <w:vertAlign w:val="superscript"/>
          <w:lang w:val="en-US"/>
        </w:rPr>
        <w:t>2</w:t>
      </w:r>
      <w:r w:rsidR="009C64DE">
        <w:rPr>
          <w:rFonts w:ascii="Times New Roman" w:hAnsi="Times New Roman" w:cs="Times New Roman"/>
          <w:sz w:val="22"/>
          <w:szCs w:val="22"/>
          <w:vertAlign w:val="superscript"/>
          <w:lang w:val="en-US"/>
        </w:rPr>
        <w:t>3</w:t>
      </w:r>
      <w:r w:rsidR="00F4672F" w:rsidRPr="006D4277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14:paraId="6021ED2F" w14:textId="268149E9" w:rsidR="00227C96" w:rsidRPr="006D4277" w:rsidRDefault="00227C96" w:rsidP="00517D47">
      <w:pPr>
        <w:spacing w:after="0" w:line="276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For primary HPV-based screening, LBC was performed </w:t>
      </w:r>
      <w:r w:rsidR="003A3F10">
        <w:rPr>
          <w:rFonts w:ascii="Times New Roman" w:hAnsi="Times New Roman" w:cs="Times New Roman"/>
          <w:sz w:val="22"/>
          <w:szCs w:val="22"/>
          <w:lang w:val="en-US"/>
        </w:rPr>
        <w:t>for the triage of</w:t>
      </w:r>
      <w:r w:rsidR="003A3F10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>HPV-positive samples</w:t>
      </w:r>
      <w:r w:rsidR="003A3F10">
        <w:rPr>
          <w:rFonts w:ascii="Times New Roman" w:hAnsi="Times New Roman" w:cs="Times New Roman"/>
          <w:sz w:val="22"/>
          <w:szCs w:val="22"/>
          <w:lang w:val="en-US"/>
        </w:rPr>
        <w:t xml:space="preserve">. </w:t>
      </w:r>
      <w:r w:rsidR="00C91E2B">
        <w:rPr>
          <w:rFonts w:ascii="Times New Roman" w:hAnsi="Times New Roman" w:cs="Times New Roman"/>
          <w:sz w:val="22"/>
          <w:szCs w:val="22"/>
          <w:lang w:val="en-US"/>
        </w:rPr>
        <w:t xml:space="preserve">For </w:t>
      </w:r>
      <w:r w:rsidR="00C14869">
        <w:rPr>
          <w:rFonts w:ascii="Times New Roman" w:hAnsi="Times New Roman" w:cs="Times New Roman"/>
          <w:sz w:val="22"/>
          <w:szCs w:val="22"/>
          <w:lang w:val="en-US"/>
        </w:rPr>
        <w:t>the present study</w:t>
      </w:r>
      <w:r w:rsidR="003A3F10">
        <w:rPr>
          <w:rFonts w:ascii="Times New Roman" w:hAnsi="Times New Roman" w:cs="Times New Roman"/>
          <w:sz w:val="22"/>
          <w:szCs w:val="22"/>
          <w:lang w:val="en-US"/>
        </w:rPr>
        <w:t>,</w:t>
      </w:r>
      <w:r w:rsidR="00C1486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3A3F10">
        <w:rPr>
          <w:rFonts w:ascii="Times New Roman" w:hAnsi="Times New Roman" w:cs="Times New Roman"/>
          <w:sz w:val="22"/>
          <w:szCs w:val="22"/>
          <w:lang w:val="en-US"/>
        </w:rPr>
        <w:t xml:space="preserve">LBC </w:t>
      </w:r>
      <w:r w:rsidR="00C14869">
        <w:rPr>
          <w:rFonts w:ascii="Times New Roman" w:hAnsi="Times New Roman" w:cs="Times New Roman"/>
          <w:sz w:val="22"/>
          <w:szCs w:val="22"/>
          <w:lang w:val="en-US"/>
        </w:rPr>
        <w:t xml:space="preserve">was also performed </w:t>
      </w:r>
      <w:r w:rsidR="008611ED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on </w:t>
      </w:r>
      <w:r w:rsidR="00EE51FE">
        <w:rPr>
          <w:rFonts w:ascii="Times New Roman" w:hAnsi="Times New Roman" w:cs="Times New Roman"/>
          <w:sz w:val="22"/>
          <w:szCs w:val="22"/>
          <w:lang w:val="en-US"/>
        </w:rPr>
        <w:t xml:space="preserve">a subset of </w:t>
      </w:r>
      <w:r w:rsidR="00C50FC8" w:rsidRPr="006D4277">
        <w:rPr>
          <w:rFonts w:ascii="Times New Roman" w:hAnsi="Times New Roman" w:cs="Times New Roman"/>
          <w:sz w:val="22"/>
          <w:szCs w:val="22"/>
          <w:lang w:val="en-US"/>
        </w:rPr>
        <w:t>19</w:t>
      </w:r>
      <w:r w:rsidR="00760659" w:rsidRPr="006D4277">
        <w:rPr>
          <w:rFonts w:ascii="Times New Roman" w:hAnsi="Times New Roman" w:cs="Times New Roman"/>
          <w:sz w:val="22"/>
          <w:szCs w:val="22"/>
          <w:lang w:val="en-US"/>
        </w:rPr>
        <w:t>5</w:t>
      </w:r>
      <w:r w:rsidR="00C50FC8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HPV-negative samples with </w:t>
      </w:r>
      <w:r w:rsidRPr="006D4277">
        <w:rPr>
          <w:rFonts w:ascii="Times New Roman" w:hAnsi="Times New Roman" w:cs="Times New Roman"/>
          <w:sz w:val="22"/>
          <w:szCs w:val="22"/>
        </w:rPr>
        <w:t>β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-globin </w:t>
      </w:r>
      <w:r w:rsidR="00C91E2B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Ct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>≥</w:t>
      </w:r>
      <w:r w:rsidR="00342198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>34.</w:t>
      </w:r>
      <w:r w:rsidR="00C74A3C">
        <w:rPr>
          <w:rFonts w:ascii="Times New Roman" w:hAnsi="Times New Roman" w:cs="Times New Roman"/>
          <w:sz w:val="22"/>
          <w:szCs w:val="22"/>
          <w:lang w:val="en-US"/>
        </w:rPr>
        <w:t xml:space="preserve"> HPV-negative women with ASC-US+ or inadequate</w:t>
      </w:r>
      <w:r w:rsidR="009E719D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DA7BCA">
        <w:rPr>
          <w:rFonts w:ascii="Times New Roman" w:hAnsi="Times New Roman" w:cs="Times New Roman"/>
          <w:sz w:val="22"/>
          <w:szCs w:val="22"/>
          <w:lang w:val="en-US"/>
        </w:rPr>
        <w:t>cytology</w:t>
      </w:r>
      <w:r w:rsidR="00C74A3C">
        <w:rPr>
          <w:rFonts w:ascii="Times New Roman" w:hAnsi="Times New Roman" w:cs="Times New Roman"/>
          <w:sz w:val="22"/>
          <w:szCs w:val="22"/>
          <w:lang w:val="en-US"/>
        </w:rPr>
        <w:t xml:space="preserve"> were recalled for </w:t>
      </w:r>
      <w:r w:rsidR="009C0C66">
        <w:rPr>
          <w:rFonts w:ascii="Times New Roman" w:hAnsi="Times New Roman" w:cs="Times New Roman"/>
          <w:sz w:val="22"/>
          <w:szCs w:val="22"/>
          <w:lang w:val="en-US"/>
        </w:rPr>
        <w:t>s</w:t>
      </w:r>
      <w:r w:rsidR="00C74A3C">
        <w:rPr>
          <w:rFonts w:ascii="Times New Roman" w:hAnsi="Times New Roman" w:cs="Times New Roman"/>
          <w:sz w:val="22"/>
          <w:szCs w:val="22"/>
          <w:lang w:val="en-US"/>
        </w:rPr>
        <w:t>creening.</w:t>
      </w:r>
    </w:p>
    <w:p w14:paraId="73454F49" w14:textId="77777777" w:rsidR="00390000" w:rsidRPr="006D4277" w:rsidRDefault="00390000" w:rsidP="00517D47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2"/>
          <w:szCs w:val="22"/>
          <w:lang w:val="en-US"/>
        </w:rPr>
      </w:pPr>
    </w:p>
    <w:p w14:paraId="109506D5" w14:textId="2513B198" w:rsidR="00227C96" w:rsidRPr="006D4277" w:rsidRDefault="004D595C" w:rsidP="003950E8">
      <w:pPr>
        <w:spacing w:line="276" w:lineRule="auto"/>
        <w:jc w:val="both"/>
        <w:rPr>
          <w:rFonts w:ascii="Times New Roman" w:hAnsi="Times New Roman" w:cs="Times New Roman"/>
          <w:i/>
          <w:iCs/>
          <w:sz w:val="22"/>
          <w:szCs w:val="22"/>
          <w:lang w:val="en-US"/>
        </w:rPr>
      </w:pPr>
      <w:r w:rsidRPr="006D4277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2.4 </w:t>
      </w:r>
      <w:r w:rsidR="00227C96" w:rsidRPr="006D4277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Testing of Random HPV-Negative Samples with </w:t>
      </w:r>
      <w:proofErr w:type="spellStart"/>
      <w:r w:rsidR="00227C96" w:rsidRPr="006D4277">
        <w:rPr>
          <w:rFonts w:ascii="Times New Roman" w:hAnsi="Times New Roman" w:cs="Times New Roman"/>
          <w:i/>
          <w:iCs/>
          <w:sz w:val="22"/>
          <w:szCs w:val="22"/>
          <w:lang w:val="en-US"/>
        </w:rPr>
        <w:t>OncoPredict</w:t>
      </w:r>
      <w:proofErr w:type="spellEnd"/>
      <w:r w:rsidR="00227C96" w:rsidRPr="006D4277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 HPV QC Module</w:t>
      </w:r>
    </w:p>
    <w:p w14:paraId="4033DC4A" w14:textId="5FEBCD75" w:rsidR="00227C96" w:rsidRPr="006D4277" w:rsidRDefault="00227C96" w:rsidP="00517D47">
      <w:pPr>
        <w:spacing w:after="0" w:line="276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The Quality Control (QC) module of the </w:t>
      </w:r>
      <w:proofErr w:type="spellStart"/>
      <w:r w:rsidRPr="006D4277">
        <w:rPr>
          <w:rFonts w:ascii="Times New Roman" w:hAnsi="Times New Roman" w:cs="Times New Roman"/>
          <w:sz w:val="22"/>
          <w:szCs w:val="22"/>
          <w:lang w:val="en-US"/>
        </w:rPr>
        <w:t>OncoPredict</w:t>
      </w:r>
      <w:proofErr w:type="spellEnd"/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HPV Quantitative Typing (QT) kit (Hiantis SRL, Milan, Italy)</w:t>
      </w:r>
      <w:r w:rsidR="009C64DE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was used on the CFX96™ Real-Time PCR Detection System (Bio-Rad, Hercules, CA, USA) </w:t>
      </w:r>
      <w:r w:rsidR="003A3F10">
        <w:rPr>
          <w:rFonts w:ascii="Times New Roman" w:hAnsi="Times New Roman" w:cs="Times New Roman"/>
          <w:sz w:val="22"/>
          <w:szCs w:val="22"/>
          <w:lang w:val="en-US"/>
        </w:rPr>
        <w:t>using</w:t>
      </w:r>
      <w:r w:rsidR="003A3F10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5 µL of </w:t>
      </w:r>
      <w:r w:rsidR="00576810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the same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DNA eluate </w:t>
      </w:r>
      <w:r w:rsidR="003A3F10">
        <w:rPr>
          <w:rFonts w:ascii="Times New Roman" w:hAnsi="Times New Roman" w:cs="Times New Roman"/>
          <w:sz w:val="22"/>
          <w:szCs w:val="22"/>
          <w:lang w:val="en-US"/>
        </w:rPr>
        <w:t xml:space="preserve">on 125 </w:t>
      </w:r>
      <w:r w:rsidR="00AD5817">
        <w:rPr>
          <w:rFonts w:ascii="Times New Roman" w:hAnsi="Times New Roman" w:cs="Times New Roman"/>
          <w:sz w:val="22"/>
          <w:szCs w:val="22"/>
          <w:lang w:val="en-US"/>
        </w:rPr>
        <w:t xml:space="preserve">random and negative </w:t>
      </w:r>
      <w:r w:rsidR="003A3F10">
        <w:rPr>
          <w:rFonts w:ascii="Times New Roman" w:hAnsi="Times New Roman" w:cs="Times New Roman"/>
          <w:sz w:val="22"/>
          <w:szCs w:val="22"/>
          <w:lang w:val="en-US"/>
        </w:rPr>
        <w:t xml:space="preserve">samples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extracted </w:t>
      </w:r>
      <w:r w:rsidR="00576810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and tested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>by the Cobas</w:t>
      </w:r>
      <w:r w:rsidR="009E719D">
        <w:rPr>
          <w:rFonts w:ascii="Times New Roman" w:hAnsi="Times New Roman" w:cs="Times New Roman"/>
          <w:sz w:val="22"/>
          <w:szCs w:val="22"/>
          <w:lang w:val="en-US"/>
        </w:rPr>
        <w:t>®</w:t>
      </w:r>
      <w:r w:rsidR="003950E8">
        <w:rPr>
          <w:rFonts w:ascii="Times New Roman" w:hAnsi="Times New Roman" w:cs="Times New Roman"/>
          <w:sz w:val="22"/>
          <w:szCs w:val="22"/>
          <w:lang w:val="en-US"/>
        </w:rPr>
        <w:t>x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>480 instrument</w:t>
      </w:r>
      <w:r w:rsidR="00AA050A">
        <w:rPr>
          <w:rFonts w:ascii="Times New Roman" w:hAnsi="Times New Roman" w:cs="Times New Roman"/>
          <w:sz w:val="22"/>
          <w:szCs w:val="22"/>
          <w:lang w:val="en-US"/>
        </w:rPr>
        <w:t xml:space="preserve"> (24 &lt; </w:t>
      </w:r>
      <w:r w:rsidR="00AA050A" w:rsidRPr="00AA050A">
        <w:rPr>
          <w:rFonts w:ascii="Symbol" w:hAnsi="Symbol" w:cs="Times New Roman"/>
          <w:sz w:val="22"/>
          <w:szCs w:val="22"/>
          <w:lang w:val="en-US"/>
        </w:rPr>
        <w:t>b</w:t>
      </w:r>
      <w:r w:rsidR="00AA050A">
        <w:rPr>
          <w:rFonts w:ascii="Times New Roman" w:hAnsi="Times New Roman" w:cs="Times New Roman"/>
          <w:sz w:val="22"/>
          <w:szCs w:val="22"/>
          <w:lang w:val="en-US"/>
        </w:rPr>
        <w:t>-globin Ct &lt; 40)</w:t>
      </w:r>
      <w:r w:rsidR="009E719D">
        <w:rPr>
          <w:rFonts w:ascii="Times New Roman" w:hAnsi="Times New Roman" w:cs="Times New Roman"/>
          <w:sz w:val="22"/>
          <w:szCs w:val="22"/>
          <w:lang w:val="en-US"/>
        </w:rPr>
        <w:t>.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The QC module accurately quantifies the number of human cells in the sample through quantitative CCR5 gene </w:t>
      </w:r>
      <w:r w:rsidR="00C14869">
        <w:rPr>
          <w:rFonts w:ascii="Times New Roman" w:hAnsi="Times New Roman" w:cs="Times New Roman"/>
          <w:sz w:val="22"/>
          <w:szCs w:val="22"/>
          <w:lang w:val="en-US"/>
        </w:rPr>
        <w:t>Real-time PCR reaction</w:t>
      </w:r>
      <w:r w:rsidR="00C14869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and assesses potential PCR inhibition through </w:t>
      </w:r>
      <w:r w:rsidR="00C14869">
        <w:rPr>
          <w:rFonts w:ascii="Times New Roman" w:hAnsi="Times New Roman" w:cs="Times New Roman"/>
          <w:sz w:val="22"/>
          <w:szCs w:val="22"/>
          <w:lang w:val="en-US"/>
        </w:rPr>
        <w:t xml:space="preserve">the separate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>amplification of a synthetic control target</w:t>
      </w:r>
      <w:r w:rsidR="00AF121F" w:rsidRPr="00203B7E">
        <w:rPr>
          <w:rFonts w:ascii="Times New Roman" w:hAnsi="Times New Roman" w:cs="Times New Roman"/>
          <w:sz w:val="22"/>
          <w:szCs w:val="22"/>
          <w:vertAlign w:val="superscript"/>
          <w:lang w:val="en-US"/>
        </w:rPr>
        <w:t>3</w:t>
      </w:r>
      <w:r w:rsidR="00AF121F">
        <w:rPr>
          <w:rFonts w:ascii="Times New Roman" w:hAnsi="Times New Roman" w:cs="Times New Roman"/>
          <w:sz w:val="22"/>
          <w:szCs w:val="22"/>
          <w:vertAlign w:val="superscript"/>
          <w:lang w:val="en-US"/>
        </w:rPr>
        <w:t>6,</w:t>
      </w:r>
      <w:r w:rsidR="00AF121F" w:rsidRPr="006D4277">
        <w:rPr>
          <w:rFonts w:ascii="Times New Roman" w:hAnsi="Times New Roman" w:cs="Times New Roman"/>
          <w:sz w:val="22"/>
          <w:szCs w:val="22"/>
          <w:vertAlign w:val="superscript"/>
          <w:lang w:val="en-US"/>
        </w:rPr>
        <w:t>3</w:t>
      </w:r>
      <w:r w:rsidR="00AF121F">
        <w:rPr>
          <w:rFonts w:ascii="Times New Roman" w:hAnsi="Times New Roman" w:cs="Times New Roman"/>
          <w:sz w:val="22"/>
          <w:szCs w:val="22"/>
          <w:vertAlign w:val="superscript"/>
          <w:lang w:val="en-US"/>
        </w:rPr>
        <w:t>7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. Standard curves for CCR5 quantification were constructed based on </w:t>
      </w:r>
      <w:r w:rsidR="00C14869">
        <w:rPr>
          <w:rFonts w:ascii="Times New Roman" w:hAnsi="Times New Roman" w:cs="Times New Roman"/>
          <w:sz w:val="22"/>
          <w:szCs w:val="22"/>
          <w:lang w:val="en-US"/>
        </w:rPr>
        <w:t xml:space="preserve">the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Ct values of four quantitative </w:t>
      </w:r>
      <w:r w:rsidR="00576810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standards provided by the kit which were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>run in triplicate.</w:t>
      </w:r>
    </w:p>
    <w:p w14:paraId="5290F5F4" w14:textId="77777777" w:rsidR="00390000" w:rsidRPr="006D4277" w:rsidRDefault="00390000" w:rsidP="00517D47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2"/>
          <w:szCs w:val="22"/>
          <w:lang w:val="en-US"/>
        </w:rPr>
      </w:pPr>
    </w:p>
    <w:p w14:paraId="2096E497" w14:textId="78FAA95A" w:rsidR="00227C96" w:rsidRPr="006D4277" w:rsidRDefault="004D595C" w:rsidP="003950E8">
      <w:pPr>
        <w:spacing w:line="276" w:lineRule="auto"/>
        <w:jc w:val="both"/>
        <w:rPr>
          <w:rFonts w:ascii="Times New Roman" w:hAnsi="Times New Roman" w:cs="Times New Roman"/>
          <w:i/>
          <w:iCs/>
          <w:sz w:val="22"/>
          <w:szCs w:val="22"/>
          <w:lang w:val="en-US"/>
        </w:rPr>
      </w:pPr>
      <w:r w:rsidRPr="006D4277">
        <w:rPr>
          <w:rFonts w:ascii="Times New Roman" w:hAnsi="Times New Roman" w:cs="Times New Roman"/>
          <w:i/>
          <w:iCs/>
          <w:sz w:val="22"/>
          <w:szCs w:val="22"/>
          <w:lang w:val="en-US"/>
        </w:rPr>
        <w:lastRenderedPageBreak/>
        <w:t xml:space="preserve">2.5 </w:t>
      </w:r>
      <w:r w:rsidR="00227C96" w:rsidRPr="006D4277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Evaluation of PreservCyt Volume </w:t>
      </w:r>
      <w:r w:rsidR="00AF121F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required </w:t>
      </w:r>
      <w:r w:rsidR="00227C96" w:rsidRPr="006D4277">
        <w:rPr>
          <w:rFonts w:ascii="Times New Roman" w:hAnsi="Times New Roman" w:cs="Times New Roman"/>
          <w:i/>
          <w:iCs/>
          <w:sz w:val="22"/>
          <w:szCs w:val="22"/>
          <w:lang w:val="en-US"/>
        </w:rPr>
        <w:t>for LBC Setup</w:t>
      </w:r>
    </w:p>
    <w:p w14:paraId="4D947FC7" w14:textId="13511990" w:rsidR="00390000" w:rsidRPr="005109BD" w:rsidRDefault="00C91E2B" w:rsidP="00517D47">
      <w:pPr>
        <w:spacing w:after="0" w:line="276" w:lineRule="auto"/>
        <w:jc w:val="both"/>
        <w:rPr>
          <w:rFonts w:ascii="Times New Roman" w:hAnsi="Times New Roman" w:cs="Times New Roman"/>
          <w:sz w:val="22"/>
          <w:szCs w:val="22"/>
          <w:lang w:val="en-GB"/>
        </w:rPr>
      </w:pPr>
      <w:r>
        <w:rPr>
          <w:rFonts w:ascii="Times New Roman" w:hAnsi="Times New Roman" w:cs="Times New Roman"/>
          <w:kern w:val="0"/>
          <w:sz w:val="22"/>
          <w:szCs w:val="22"/>
          <w:lang w:val="en-US"/>
          <w14:ligatures w14:val="none"/>
        </w:rPr>
        <w:t xml:space="preserve">A total of </w:t>
      </w:r>
      <w:r w:rsidR="00F26FCB">
        <w:rPr>
          <w:rFonts w:ascii="Times New Roman" w:hAnsi="Times New Roman" w:cs="Times New Roman"/>
          <w:kern w:val="0"/>
          <w:sz w:val="22"/>
          <w:szCs w:val="22"/>
          <w:lang w:val="en-US"/>
          <w14:ligatures w14:val="none"/>
        </w:rPr>
        <w:t>1</w:t>
      </w:r>
      <w:r w:rsidR="005109BD">
        <w:rPr>
          <w:rFonts w:ascii="Times New Roman" w:hAnsi="Times New Roman" w:cs="Times New Roman"/>
          <w:kern w:val="0"/>
          <w:sz w:val="22"/>
          <w:szCs w:val="22"/>
          <w:lang w:val="en-US"/>
          <w14:ligatures w14:val="none"/>
        </w:rPr>
        <w:t>1</w:t>
      </w:r>
      <w:r w:rsidR="00F26FCB">
        <w:rPr>
          <w:rFonts w:ascii="Times New Roman" w:hAnsi="Times New Roman" w:cs="Times New Roman"/>
          <w:kern w:val="0"/>
          <w:sz w:val="22"/>
          <w:szCs w:val="22"/>
          <w:lang w:val="en-US"/>
          <w14:ligatures w14:val="none"/>
        </w:rPr>
        <w:t>0</w:t>
      </w:r>
      <w:r w:rsidR="00537C7C" w:rsidRPr="006D4277">
        <w:rPr>
          <w:rFonts w:ascii="Times New Roman" w:hAnsi="Times New Roman" w:cs="Times New Roman"/>
          <w:kern w:val="0"/>
          <w:sz w:val="22"/>
          <w:szCs w:val="22"/>
          <w:lang w:val="en-US"/>
          <w14:ligatures w14:val="none"/>
        </w:rPr>
        <w:t xml:space="preserve"> </w:t>
      </w:r>
      <w:proofErr w:type="spellStart"/>
      <w:r w:rsidR="00537C7C" w:rsidRPr="006D4277">
        <w:rPr>
          <w:rFonts w:ascii="Times New Roman" w:hAnsi="Times New Roman" w:cs="Times New Roman"/>
          <w:kern w:val="0"/>
          <w:sz w:val="22"/>
          <w:szCs w:val="22"/>
          <w:lang w:val="en-US"/>
          <w14:ligatures w14:val="none"/>
        </w:rPr>
        <w:t>ThinPrep</w:t>
      </w:r>
      <w:proofErr w:type="spellEnd"/>
      <w:r w:rsidR="0018208C">
        <w:rPr>
          <w:rFonts w:ascii="Times New Roman" w:hAnsi="Times New Roman" w:cs="Times New Roman"/>
          <w:kern w:val="0"/>
          <w:sz w:val="22"/>
          <w:szCs w:val="22"/>
          <w:lang w:val="en-US"/>
          <w14:ligatures w14:val="none"/>
        </w:rPr>
        <w:t>®</w:t>
      </w:r>
      <w:r w:rsidR="00537C7C" w:rsidRPr="006D4277">
        <w:rPr>
          <w:rFonts w:ascii="Times New Roman" w:hAnsi="Times New Roman" w:cs="Times New Roman"/>
          <w:kern w:val="0"/>
          <w:sz w:val="22"/>
          <w:szCs w:val="22"/>
          <w:lang w:val="en-US"/>
          <w14:ligatures w14:val="none"/>
        </w:rPr>
        <w:t xml:space="preserve"> containers</w:t>
      </w:r>
      <w:r w:rsidR="00BA67FD" w:rsidRPr="00BA67FD">
        <w:rPr>
          <w:rFonts w:ascii="Times New Roman" w:hAnsi="Times New Roman" w:cs="Times New Roman"/>
          <w:kern w:val="0"/>
          <w:sz w:val="22"/>
          <w:szCs w:val="22"/>
          <w:lang w:val="en-US"/>
          <w14:ligatures w14:val="none"/>
        </w:rPr>
        <w:t xml:space="preserve"> </w:t>
      </w:r>
      <w:r w:rsidR="00BA67FD" w:rsidRPr="006D4277">
        <w:rPr>
          <w:rFonts w:ascii="Times New Roman" w:hAnsi="Times New Roman" w:cs="Times New Roman"/>
          <w:kern w:val="0"/>
          <w:sz w:val="22"/>
          <w:szCs w:val="22"/>
          <w:lang w:val="en-US"/>
          <w14:ligatures w14:val="none"/>
        </w:rPr>
        <w:t xml:space="preserve">with </w:t>
      </w:r>
      <w:r w:rsidR="00BA67FD">
        <w:rPr>
          <w:rFonts w:ascii="Times New Roman" w:hAnsi="Times New Roman" w:cs="Times New Roman"/>
          <w:kern w:val="0"/>
          <w:sz w:val="22"/>
          <w:szCs w:val="22"/>
          <w:lang w:val="en-US"/>
          <w14:ligatures w14:val="none"/>
        </w:rPr>
        <w:t xml:space="preserve">IC amplified </w:t>
      </w:r>
      <w:r w:rsidR="00BA67FD" w:rsidRPr="006D4277">
        <w:rPr>
          <w:rFonts w:ascii="Times New Roman" w:hAnsi="Times New Roman" w:cs="Times New Roman"/>
          <w:kern w:val="0"/>
          <w:sz w:val="22"/>
          <w:szCs w:val="22"/>
          <w:lang w:val="en-US"/>
          <w14:ligatures w14:val="none"/>
        </w:rPr>
        <w:t xml:space="preserve">at varying Ct values </w:t>
      </w:r>
      <w:r w:rsidR="00BA67FD">
        <w:rPr>
          <w:rFonts w:ascii="Times New Roman" w:hAnsi="Times New Roman" w:cs="Times New Roman"/>
          <w:kern w:val="0"/>
          <w:sz w:val="22"/>
          <w:szCs w:val="22"/>
          <w:lang w:val="en-US"/>
          <w14:ligatures w14:val="none"/>
        </w:rPr>
        <w:t xml:space="preserve">were </w:t>
      </w:r>
      <w:r w:rsidR="00BA67FD" w:rsidRPr="006D4277">
        <w:rPr>
          <w:rFonts w:ascii="Times New Roman" w:hAnsi="Times New Roman" w:cs="Times New Roman"/>
          <w:kern w:val="0"/>
          <w:sz w:val="22"/>
          <w:szCs w:val="22"/>
          <w:lang w:val="en-US"/>
          <w14:ligatures w14:val="none"/>
        </w:rPr>
        <w:t>weighed</w:t>
      </w:r>
      <w:r w:rsidR="00537C7C" w:rsidRPr="006D4277">
        <w:rPr>
          <w:rFonts w:ascii="Times New Roman" w:hAnsi="Times New Roman" w:cs="Times New Roman"/>
          <w:kern w:val="0"/>
          <w:sz w:val="22"/>
          <w:szCs w:val="22"/>
          <w:lang w:val="en-US"/>
          <w14:ligatures w14:val="none"/>
        </w:rPr>
        <w:t>, before and after cytology preparation.</w:t>
      </w:r>
    </w:p>
    <w:p w14:paraId="7A6202E4" w14:textId="77777777" w:rsidR="00390000" w:rsidRPr="005109BD" w:rsidRDefault="00390000" w:rsidP="00517D47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2"/>
          <w:szCs w:val="22"/>
          <w:lang w:val="en-GB"/>
        </w:rPr>
      </w:pPr>
    </w:p>
    <w:p w14:paraId="798B42F6" w14:textId="1632C8C1" w:rsidR="00390000" w:rsidRPr="006D4277" w:rsidRDefault="004D595C" w:rsidP="003950E8">
      <w:pPr>
        <w:spacing w:line="276" w:lineRule="auto"/>
        <w:jc w:val="both"/>
        <w:rPr>
          <w:rFonts w:ascii="Times New Roman" w:hAnsi="Times New Roman" w:cs="Times New Roman"/>
          <w:i/>
          <w:iCs/>
          <w:sz w:val="22"/>
          <w:szCs w:val="22"/>
          <w:lang w:val="en-US"/>
        </w:rPr>
      </w:pPr>
      <w:r w:rsidRPr="006D4277">
        <w:rPr>
          <w:rFonts w:ascii="Times New Roman" w:hAnsi="Times New Roman" w:cs="Times New Roman"/>
          <w:i/>
          <w:iCs/>
          <w:sz w:val="22"/>
          <w:szCs w:val="22"/>
          <w:lang w:val="en-US"/>
        </w:rPr>
        <w:t>2.</w:t>
      </w:r>
      <w:r w:rsidR="007855C5" w:rsidRPr="006D4277">
        <w:rPr>
          <w:rFonts w:ascii="Times New Roman" w:hAnsi="Times New Roman" w:cs="Times New Roman"/>
          <w:i/>
          <w:iCs/>
          <w:sz w:val="22"/>
          <w:szCs w:val="22"/>
          <w:lang w:val="en-US"/>
        </w:rPr>
        <w:t>6</w:t>
      </w:r>
      <w:r w:rsidRPr="006D4277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 </w:t>
      </w:r>
      <w:r w:rsidR="00390000" w:rsidRPr="006D4277">
        <w:rPr>
          <w:rFonts w:ascii="Times New Roman" w:hAnsi="Times New Roman" w:cs="Times New Roman"/>
          <w:i/>
          <w:iCs/>
          <w:sz w:val="22"/>
          <w:szCs w:val="22"/>
          <w:lang w:val="en-US"/>
        </w:rPr>
        <w:t>Statistical Analysis</w:t>
      </w:r>
    </w:p>
    <w:p w14:paraId="2AC53D66" w14:textId="4985EC54" w:rsidR="00AF2D56" w:rsidRPr="004324AE" w:rsidRDefault="00390000" w:rsidP="00AF2D56">
      <w:pPr>
        <w:spacing w:after="0" w:line="276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Data </w:t>
      </w:r>
      <w:r w:rsidR="00517D47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were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>generated by Cobas</w:t>
      </w:r>
      <w:r w:rsidR="00BA67FD">
        <w:rPr>
          <w:rFonts w:ascii="Times New Roman" w:hAnsi="Times New Roman" w:cs="Times New Roman"/>
          <w:sz w:val="22"/>
          <w:szCs w:val="22"/>
          <w:lang w:val="en-US"/>
        </w:rPr>
        <w:t>®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4800 Software v2.2.0. </w:t>
      </w:r>
      <w:r w:rsidR="005A3933" w:rsidRPr="006D4277">
        <w:rPr>
          <w:rFonts w:ascii="Times New Roman" w:hAnsi="Times New Roman" w:cs="Times New Roman"/>
          <w:sz w:val="22"/>
          <w:szCs w:val="22"/>
          <w:lang w:val="en-US"/>
        </w:rPr>
        <w:t>The data archived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were imported into Cobas</w:t>
      </w:r>
      <w:r w:rsidR="00574352">
        <w:rPr>
          <w:rFonts w:ascii="Times New Roman" w:hAnsi="Times New Roman" w:cs="Times New Roman"/>
          <w:sz w:val="22"/>
          <w:szCs w:val="22"/>
          <w:lang w:val="en-US"/>
        </w:rPr>
        <w:t>®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4800 ArchiveViewer3.0 Software. Selected runs were exported into Microsoft Excel files, and data were consolidated into a single Excel file with barcode, HPV HR Ct, HPV-16 Ct, HPV18 Ct and </w:t>
      </w:r>
      <w:r w:rsidRPr="006D4277">
        <w:rPr>
          <w:rFonts w:ascii="Times New Roman" w:hAnsi="Times New Roman" w:cs="Times New Roman"/>
          <w:sz w:val="22"/>
          <w:szCs w:val="22"/>
        </w:rPr>
        <w:t>β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>-globin Ct</w:t>
      </w:r>
      <w:r w:rsidR="00983721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.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Age and </w:t>
      </w:r>
      <w:r w:rsidR="004E603E">
        <w:rPr>
          <w:rFonts w:ascii="Times New Roman" w:hAnsi="Times New Roman" w:cs="Times New Roman"/>
          <w:sz w:val="22"/>
          <w:szCs w:val="22"/>
          <w:lang w:val="en-US"/>
        </w:rPr>
        <w:t xml:space="preserve">data of </w:t>
      </w:r>
      <w:r w:rsidR="007F44ED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women </w:t>
      </w:r>
      <w:r w:rsidR="004E603E">
        <w:rPr>
          <w:rFonts w:ascii="Times New Roman" w:hAnsi="Times New Roman" w:cs="Times New Roman"/>
          <w:sz w:val="22"/>
          <w:szCs w:val="22"/>
          <w:lang w:val="en-US"/>
        </w:rPr>
        <w:t xml:space="preserve">screened at different participating </w:t>
      </w:r>
      <w:r w:rsidR="00C14BD7">
        <w:rPr>
          <w:rFonts w:ascii="Times New Roman" w:hAnsi="Times New Roman" w:cs="Times New Roman"/>
          <w:sz w:val="22"/>
          <w:szCs w:val="22"/>
          <w:lang w:val="en-US"/>
        </w:rPr>
        <w:t>screening out-patients clinics</w:t>
      </w:r>
      <w:r w:rsidR="00702ADA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D61575">
        <w:rPr>
          <w:rFonts w:ascii="Times New Roman" w:hAnsi="Times New Roman" w:cs="Times New Roman"/>
          <w:sz w:val="22"/>
          <w:szCs w:val="22"/>
          <w:lang w:val="en-US"/>
        </w:rPr>
        <w:t>(</w:t>
      </w:r>
      <w:r w:rsidR="00702ADA">
        <w:rPr>
          <w:rFonts w:ascii="Times New Roman" w:hAnsi="Times New Roman" w:cs="Times New Roman"/>
          <w:sz w:val="22"/>
          <w:szCs w:val="22"/>
          <w:lang w:val="en-US"/>
        </w:rPr>
        <w:t>SC</w:t>
      </w:r>
      <w:r w:rsidR="00D61575" w:rsidRPr="00941FF8">
        <w:rPr>
          <w:rFonts w:ascii="Times New Roman" w:hAnsi="Times New Roman" w:cs="Times New Roman"/>
          <w:sz w:val="22"/>
          <w:szCs w:val="22"/>
          <w:lang w:val="en-US"/>
        </w:rPr>
        <w:t xml:space="preserve">)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>associated with barcode</w:t>
      </w:r>
      <w:r w:rsidR="004E603E">
        <w:rPr>
          <w:rFonts w:ascii="Times New Roman" w:hAnsi="Times New Roman" w:cs="Times New Roman"/>
          <w:sz w:val="22"/>
          <w:szCs w:val="22"/>
          <w:lang w:val="en-US"/>
        </w:rPr>
        <w:t>s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were exported from the Laboratory Information System. A merged </w:t>
      </w:r>
      <w:r w:rsidR="007616CB">
        <w:rPr>
          <w:rFonts w:ascii="Times New Roman" w:hAnsi="Times New Roman" w:cs="Times New Roman"/>
          <w:sz w:val="22"/>
          <w:szCs w:val="22"/>
          <w:lang w:val="en-US"/>
        </w:rPr>
        <w:t>pseudonymized data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file</w:t>
      </w:r>
      <w:r w:rsidR="007D6862">
        <w:rPr>
          <w:rFonts w:ascii="Times New Roman" w:hAnsi="Times New Roman" w:cs="Times New Roman"/>
          <w:sz w:val="22"/>
          <w:szCs w:val="22"/>
          <w:lang w:val="en-US"/>
        </w:rPr>
        <w:t xml:space="preserve"> was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generated by a Visual Basic for Applications</w:t>
      </w:r>
      <w:r w:rsidR="00191E5D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>(VBA) code (supplementary</w:t>
      </w:r>
      <w:r w:rsidR="00983721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table </w:t>
      </w:r>
      <w:r w:rsidR="00F56F9F"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). </w:t>
      </w:r>
      <w:r w:rsidR="00F962B8">
        <w:rPr>
          <w:rFonts w:ascii="Times New Roman" w:hAnsi="Times New Roman" w:cs="Times New Roman"/>
          <w:sz w:val="22"/>
          <w:szCs w:val="22"/>
          <w:lang w:val="en-US"/>
        </w:rPr>
        <w:t>Data</w:t>
      </w:r>
      <w:r w:rsidR="00F962B8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3F51E9" w:rsidRPr="004324AE">
        <w:rPr>
          <w:rFonts w:ascii="Times New Roman" w:hAnsi="Times New Roman" w:cs="Times New Roman"/>
          <w:sz w:val="22"/>
          <w:szCs w:val="22"/>
          <w:lang w:val="en-US"/>
        </w:rPr>
        <w:t>w</w:t>
      </w:r>
      <w:r w:rsidR="003F51E9">
        <w:rPr>
          <w:rFonts w:ascii="Times New Roman" w:hAnsi="Times New Roman" w:cs="Times New Roman"/>
          <w:sz w:val="22"/>
          <w:szCs w:val="22"/>
          <w:lang w:val="en-US"/>
        </w:rPr>
        <w:t>ere</w:t>
      </w:r>
      <w:r w:rsidR="003F51E9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AF2D56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evaluated </w:t>
      </w:r>
      <w:r w:rsidR="00F962B8">
        <w:rPr>
          <w:rFonts w:ascii="Times New Roman" w:hAnsi="Times New Roman" w:cs="Times New Roman"/>
          <w:sz w:val="22"/>
          <w:szCs w:val="22"/>
          <w:lang w:val="en-US"/>
        </w:rPr>
        <w:t xml:space="preserve">for </w:t>
      </w:r>
      <w:r w:rsidR="00AF2D56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the distribution of β-globin Ct values, age ranges and the performance of </w:t>
      </w:r>
      <w:r w:rsidR="00702ADA">
        <w:rPr>
          <w:rFonts w:ascii="Times New Roman" w:hAnsi="Times New Roman" w:cs="Times New Roman"/>
          <w:sz w:val="22"/>
          <w:szCs w:val="22"/>
          <w:lang w:val="en-US"/>
        </w:rPr>
        <w:t>SC</w:t>
      </w:r>
      <w:r w:rsidR="00C14BD7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AF2D56" w:rsidRPr="004324AE">
        <w:rPr>
          <w:rFonts w:ascii="Times New Roman" w:hAnsi="Times New Roman" w:cs="Times New Roman"/>
          <w:sz w:val="22"/>
          <w:szCs w:val="22"/>
          <w:lang w:val="en-US"/>
        </w:rPr>
        <w:t>in relation to HPV-</w:t>
      </w:r>
      <w:r w:rsidR="007D6862" w:rsidRPr="004324AE">
        <w:rPr>
          <w:rFonts w:ascii="Times New Roman" w:hAnsi="Times New Roman" w:cs="Times New Roman"/>
          <w:sz w:val="22"/>
          <w:szCs w:val="22"/>
          <w:lang w:val="en-US"/>
        </w:rPr>
        <w:t>result</w:t>
      </w:r>
      <w:r w:rsidR="00F962B8">
        <w:rPr>
          <w:rFonts w:ascii="Times New Roman" w:hAnsi="Times New Roman" w:cs="Times New Roman"/>
          <w:sz w:val="22"/>
          <w:szCs w:val="22"/>
          <w:lang w:val="en-US"/>
        </w:rPr>
        <w:t>s</w:t>
      </w:r>
      <w:r w:rsidR="00AF2D56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. Descriptive statistics were computed and Chi-squared (χ²) tests were used. A logistic regression analysis was performed to identify factors associated with the presence of HPV. Both univariate and multivariate models were applied. The dependent variable was "HPV presence" (positive/negative) and independent variables included β-globin Ct values, the performance of </w:t>
      </w:r>
      <w:r w:rsidR="00702ADA">
        <w:rPr>
          <w:rFonts w:ascii="Times New Roman" w:hAnsi="Times New Roman" w:cs="Times New Roman"/>
          <w:sz w:val="22"/>
          <w:szCs w:val="22"/>
          <w:lang w:val="en-US"/>
        </w:rPr>
        <w:t>SC</w:t>
      </w:r>
      <w:r w:rsidR="00AF2D56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 and </w:t>
      </w:r>
      <w:r w:rsidR="00F962B8">
        <w:rPr>
          <w:rFonts w:ascii="Times New Roman" w:hAnsi="Times New Roman" w:cs="Times New Roman"/>
          <w:sz w:val="22"/>
          <w:szCs w:val="22"/>
          <w:lang w:val="en-US"/>
        </w:rPr>
        <w:t xml:space="preserve">women’s </w:t>
      </w:r>
      <w:r w:rsidR="00AF2D56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age </w:t>
      </w:r>
      <w:r w:rsidR="00F962B8">
        <w:rPr>
          <w:rFonts w:ascii="Times New Roman" w:hAnsi="Times New Roman" w:cs="Times New Roman"/>
          <w:sz w:val="22"/>
          <w:szCs w:val="22"/>
          <w:lang w:val="en-US"/>
        </w:rPr>
        <w:t>intervals</w:t>
      </w:r>
      <w:r w:rsidR="00AF2D56" w:rsidRPr="004324AE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14:paraId="6BD143CD" w14:textId="6F30CD90" w:rsidR="00AF2D56" w:rsidRPr="004324AE" w:rsidRDefault="00AF2D56" w:rsidP="009E719D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β-globin Ct values were </w:t>
      </w:r>
      <w:r w:rsidR="002B2693">
        <w:rPr>
          <w:rFonts w:ascii="Times New Roman" w:hAnsi="Times New Roman" w:cs="Times New Roman"/>
          <w:sz w:val="22"/>
          <w:szCs w:val="22"/>
          <w:lang w:val="en-US"/>
        </w:rPr>
        <w:t>grouped</w:t>
      </w:r>
      <w:r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 into four </w:t>
      </w:r>
      <w:r w:rsidR="002B2693">
        <w:rPr>
          <w:rFonts w:ascii="Times New Roman" w:hAnsi="Times New Roman" w:cs="Times New Roman"/>
          <w:sz w:val="22"/>
          <w:szCs w:val="22"/>
          <w:lang w:val="en-US"/>
        </w:rPr>
        <w:t>categories</w:t>
      </w:r>
      <w:r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: </w:t>
      </w:r>
      <w:r w:rsidR="00E32C72" w:rsidRPr="004324AE">
        <w:rPr>
          <w:rFonts w:ascii="Times New Roman" w:hAnsi="Times New Roman" w:cs="Times New Roman"/>
          <w:sz w:val="22"/>
          <w:szCs w:val="22"/>
          <w:lang w:val="en-US"/>
        </w:rPr>
        <w:t>≤</w:t>
      </w:r>
      <w:r w:rsidR="00342198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4324AE">
        <w:rPr>
          <w:rFonts w:ascii="Times New Roman" w:hAnsi="Times New Roman" w:cs="Times New Roman"/>
          <w:sz w:val="22"/>
          <w:szCs w:val="22"/>
          <w:lang w:val="en-US"/>
        </w:rPr>
        <w:t>28 (reference), 28</w:t>
      </w:r>
      <w:r w:rsidR="002B2693">
        <w:rPr>
          <w:rFonts w:ascii="Times New Roman" w:hAnsi="Times New Roman" w:cs="Times New Roman"/>
          <w:sz w:val="22"/>
          <w:szCs w:val="22"/>
          <w:lang w:val="en-US"/>
        </w:rPr>
        <w:t>-</w:t>
      </w:r>
      <w:r w:rsidRPr="004324AE">
        <w:rPr>
          <w:rFonts w:ascii="Times New Roman" w:hAnsi="Times New Roman" w:cs="Times New Roman"/>
          <w:sz w:val="22"/>
          <w:szCs w:val="22"/>
          <w:lang w:val="en-US"/>
        </w:rPr>
        <w:t>32, 32</w:t>
      </w:r>
      <w:r w:rsidR="002B2693">
        <w:rPr>
          <w:rFonts w:ascii="Times New Roman" w:hAnsi="Times New Roman" w:cs="Times New Roman"/>
          <w:sz w:val="22"/>
          <w:szCs w:val="22"/>
          <w:lang w:val="en-US"/>
        </w:rPr>
        <w:t>-</w:t>
      </w:r>
      <w:r w:rsidRPr="004324AE">
        <w:rPr>
          <w:rFonts w:ascii="Times New Roman" w:hAnsi="Times New Roman" w:cs="Times New Roman"/>
          <w:sz w:val="22"/>
          <w:szCs w:val="22"/>
          <w:lang w:val="en-US"/>
        </w:rPr>
        <w:t>34, and 34</w:t>
      </w:r>
      <w:r w:rsidR="002B2693">
        <w:rPr>
          <w:rFonts w:ascii="Times New Roman" w:hAnsi="Times New Roman" w:cs="Times New Roman"/>
          <w:sz w:val="22"/>
          <w:szCs w:val="22"/>
          <w:lang w:val="en-US"/>
        </w:rPr>
        <w:t>-</w:t>
      </w:r>
      <w:r w:rsidRPr="004324AE">
        <w:rPr>
          <w:rFonts w:ascii="Times New Roman" w:hAnsi="Times New Roman" w:cs="Times New Roman"/>
          <w:sz w:val="22"/>
          <w:szCs w:val="22"/>
          <w:lang w:val="en-US"/>
        </w:rPr>
        <w:t>40. Performance</w:t>
      </w:r>
      <w:r w:rsidR="00A965D5">
        <w:rPr>
          <w:rFonts w:ascii="Times New Roman" w:hAnsi="Times New Roman" w:cs="Times New Roman"/>
          <w:sz w:val="22"/>
          <w:szCs w:val="22"/>
          <w:lang w:val="en-US"/>
        </w:rPr>
        <w:t>s</w:t>
      </w:r>
      <w:r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 of </w:t>
      </w:r>
      <w:r w:rsidR="00702ADA">
        <w:rPr>
          <w:rFonts w:ascii="Times New Roman" w:hAnsi="Times New Roman" w:cs="Times New Roman"/>
          <w:sz w:val="22"/>
          <w:szCs w:val="22"/>
          <w:lang w:val="en-US"/>
        </w:rPr>
        <w:t>SC</w:t>
      </w:r>
      <w:r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A965D5" w:rsidRPr="004324AE">
        <w:rPr>
          <w:rFonts w:ascii="Times New Roman" w:hAnsi="Times New Roman" w:cs="Times New Roman"/>
          <w:sz w:val="22"/>
          <w:szCs w:val="22"/>
          <w:lang w:val="en-US"/>
        </w:rPr>
        <w:t>w</w:t>
      </w:r>
      <w:r w:rsidR="00A965D5">
        <w:rPr>
          <w:rFonts w:ascii="Times New Roman" w:hAnsi="Times New Roman" w:cs="Times New Roman"/>
          <w:sz w:val="22"/>
          <w:szCs w:val="22"/>
          <w:lang w:val="en-US"/>
        </w:rPr>
        <w:t>ere</w:t>
      </w:r>
      <w:r w:rsidR="00A965D5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categorized into four groups based on </w:t>
      </w:r>
      <w:r w:rsidR="00A965D5" w:rsidRPr="009E719D">
        <w:rPr>
          <w:rFonts w:ascii="Symbol" w:hAnsi="Symbol" w:cs="Times New Roman"/>
          <w:sz w:val="22"/>
          <w:szCs w:val="22"/>
          <w:lang w:val="en-US"/>
        </w:rPr>
        <w:t>b</w:t>
      </w:r>
      <w:r w:rsidR="00A965D5">
        <w:rPr>
          <w:rFonts w:ascii="Times New Roman" w:hAnsi="Times New Roman" w:cs="Times New Roman"/>
          <w:sz w:val="22"/>
          <w:szCs w:val="22"/>
          <w:lang w:val="en-US"/>
        </w:rPr>
        <w:t xml:space="preserve">-globin ranges as indicator of </w:t>
      </w:r>
      <w:r w:rsidR="002C0220" w:rsidRPr="004324AE">
        <w:rPr>
          <w:rFonts w:ascii="Times New Roman" w:hAnsi="Times New Roman" w:cs="Times New Roman"/>
          <w:sz w:val="22"/>
          <w:szCs w:val="22"/>
          <w:lang w:val="en-US"/>
        </w:rPr>
        <w:t>sample</w:t>
      </w:r>
      <w:r w:rsidR="00342198">
        <w:rPr>
          <w:rFonts w:ascii="Times New Roman" w:hAnsi="Times New Roman" w:cs="Times New Roman"/>
          <w:sz w:val="22"/>
          <w:szCs w:val="22"/>
          <w:lang w:val="en-US"/>
        </w:rPr>
        <w:t xml:space="preserve"> collection</w:t>
      </w:r>
      <w:r w:rsidR="002C0220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4324AE">
        <w:rPr>
          <w:rFonts w:ascii="Times New Roman" w:hAnsi="Times New Roman" w:cs="Times New Roman"/>
          <w:sz w:val="22"/>
          <w:szCs w:val="22"/>
          <w:lang w:val="en-US"/>
        </w:rPr>
        <w:t>quality</w:t>
      </w:r>
      <w:r w:rsidR="00A965D5">
        <w:rPr>
          <w:rFonts w:ascii="Times New Roman" w:hAnsi="Times New Roman" w:cs="Times New Roman"/>
          <w:sz w:val="22"/>
          <w:szCs w:val="22"/>
          <w:lang w:val="en-US"/>
        </w:rPr>
        <w:t>: Top Performance SC</w:t>
      </w:r>
      <w:r w:rsidR="00912D2B" w:rsidRPr="00912D2B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912D2B">
        <w:rPr>
          <w:rFonts w:ascii="Times New Roman" w:hAnsi="Times New Roman" w:cs="Times New Roman"/>
          <w:sz w:val="22"/>
          <w:szCs w:val="22"/>
          <w:lang w:val="en-US"/>
        </w:rPr>
        <w:t>(TPSC)</w:t>
      </w:r>
      <w:r w:rsidR="00A965D5">
        <w:rPr>
          <w:rFonts w:ascii="Times New Roman" w:hAnsi="Times New Roman" w:cs="Times New Roman"/>
          <w:sz w:val="22"/>
          <w:szCs w:val="22"/>
          <w:lang w:val="en-US"/>
        </w:rPr>
        <w:t>, Good Performance SC</w:t>
      </w:r>
      <w:r w:rsidR="00912D2B" w:rsidRPr="00912D2B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912D2B">
        <w:rPr>
          <w:rFonts w:ascii="Times New Roman" w:hAnsi="Times New Roman" w:cs="Times New Roman"/>
          <w:sz w:val="22"/>
          <w:szCs w:val="22"/>
          <w:lang w:val="en-US"/>
        </w:rPr>
        <w:t>(GPSC)</w:t>
      </w:r>
      <w:r w:rsidR="00A965D5">
        <w:rPr>
          <w:rFonts w:ascii="Times New Roman" w:hAnsi="Times New Roman" w:cs="Times New Roman"/>
          <w:sz w:val="22"/>
          <w:szCs w:val="22"/>
          <w:lang w:val="en-US"/>
        </w:rPr>
        <w:t>, Medium Performance SC</w:t>
      </w:r>
      <w:r w:rsidR="00912D2B" w:rsidRPr="00912D2B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912D2B">
        <w:rPr>
          <w:rFonts w:ascii="Times New Roman" w:hAnsi="Times New Roman" w:cs="Times New Roman"/>
          <w:sz w:val="22"/>
          <w:szCs w:val="22"/>
          <w:lang w:val="en-US"/>
        </w:rPr>
        <w:t>(MPSC)</w:t>
      </w:r>
      <w:r w:rsidR="00A965D5">
        <w:rPr>
          <w:rFonts w:ascii="Times New Roman" w:hAnsi="Times New Roman" w:cs="Times New Roman"/>
          <w:sz w:val="22"/>
          <w:szCs w:val="22"/>
          <w:lang w:val="en-US"/>
        </w:rPr>
        <w:t>, Poor Performance SC</w:t>
      </w:r>
      <w:r w:rsidR="00912D2B" w:rsidRPr="00912D2B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912D2B">
        <w:rPr>
          <w:rFonts w:ascii="Times New Roman" w:hAnsi="Times New Roman" w:cs="Times New Roman"/>
          <w:sz w:val="22"/>
          <w:szCs w:val="22"/>
          <w:lang w:val="en-US"/>
        </w:rPr>
        <w:t>(PPSC)</w:t>
      </w:r>
      <w:r w:rsidR="00A965D5">
        <w:rPr>
          <w:rFonts w:ascii="Times New Roman" w:hAnsi="Times New Roman" w:cs="Times New Roman"/>
          <w:sz w:val="22"/>
          <w:szCs w:val="22"/>
          <w:lang w:val="en-US"/>
        </w:rPr>
        <w:t>,</w:t>
      </w:r>
      <w:r w:rsidR="007500DD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 (Supplementary </w:t>
      </w:r>
      <w:r w:rsidR="00F56F9F">
        <w:rPr>
          <w:rFonts w:ascii="Times New Roman" w:hAnsi="Times New Roman" w:cs="Times New Roman"/>
          <w:sz w:val="22"/>
          <w:szCs w:val="22"/>
          <w:lang w:val="en-US"/>
        </w:rPr>
        <w:t>T</w:t>
      </w:r>
      <w:r w:rsidR="007500DD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able </w:t>
      </w:r>
      <w:r w:rsidR="00F56F9F">
        <w:rPr>
          <w:rFonts w:ascii="Times New Roman" w:hAnsi="Times New Roman" w:cs="Times New Roman"/>
          <w:sz w:val="22"/>
          <w:szCs w:val="22"/>
          <w:lang w:val="en-US"/>
        </w:rPr>
        <w:t>II</w:t>
      </w:r>
      <w:r w:rsidR="007500DD" w:rsidRPr="004324AE">
        <w:rPr>
          <w:rFonts w:ascii="Times New Roman" w:hAnsi="Times New Roman" w:cs="Times New Roman"/>
          <w:sz w:val="22"/>
          <w:szCs w:val="22"/>
          <w:lang w:val="en-US"/>
        </w:rPr>
        <w:t>)</w:t>
      </w:r>
      <w:r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. </w:t>
      </w:r>
      <w:r w:rsidR="00F962B8">
        <w:rPr>
          <w:rFonts w:ascii="Times New Roman" w:hAnsi="Times New Roman" w:cs="Times New Roman"/>
          <w:sz w:val="22"/>
          <w:szCs w:val="22"/>
          <w:lang w:val="en-US"/>
        </w:rPr>
        <w:t>Women’s a</w:t>
      </w:r>
      <w:r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ge </w:t>
      </w:r>
      <w:r w:rsidR="00F962B8">
        <w:rPr>
          <w:rFonts w:ascii="Times New Roman" w:hAnsi="Times New Roman" w:cs="Times New Roman"/>
          <w:sz w:val="22"/>
          <w:szCs w:val="22"/>
          <w:lang w:val="en-US"/>
        </w:rPr>
        <w:t>intervals</w:t>
      </w:r>
      <w:r w:rsidR="00F962B8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were </w:t>
      </w:r>
      <w:r w:rsidR="00A22780">
        <w:rPr>
          <w:rFonts w:ascii="Times New Roman" w:hAnsi="Times New Roman" w:cs="Times New Roman"/>
          <w:sz w:val="22"/>
          <w:szCs w:val="22"/>
          <w:lang w:val="en-US"/>
        </w:rPr>
        <w:t xml:space="preserve">arbitrarily </w:t>
      </w:r>
      <w:r w:rsidRPr="004324AE">
        <w:rPr>
          <w:rFonts w:ascii="Times New Roman" w:hAnsi="Times New Roman" w:cs="Times New Roman"/>
          <w:sz w:val="22"/>
          <w:szCs w:val="22"/>
          <w:lang w:val="en-US"/>
        </w:rPr>
        <w:t>divided into four groups: 30–3</w:t>
      </w:r>
      <w:r w:rsidR="002B2693">
        <w:rPr>
          <w:rFonts w:ascii="Times New Roman" w:hAnsi="Times New Roman" w:cs="Times New Roman"/>
          <w:sz w:val="22"/>
          <w:szCs w:val="22"/>
          <w:lang w:val="en-US"/>
        </w:rPr>
        <w:t>9</w:t>
      </w:r>
      <w:r w:rsidRPr="004324AE">
        <w:rPr>
          <w:rFonts w:ascii="Times New Roman" w:hAnsi="Times New Roman" w:cs="Times New Roman"/>
          <w:sz w:val="22"/>
          <w:szCs w:val="22"/>
          <w:lang w:val="en-US"/>
        </w:rPr>
        <w:t>, 40–49, and 50–59, 60–64 years</w:t>
      </w:r>
      <w:r w:rsidR="00A22780" w:rsidRPr="009E719D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14:paraId="062FF018" w14:textId="11CA58DD" w:rsidR="002F400F" w:rsidRPr="006D4277" w:rsidRDefault="00AF2D56" w:rsidP="00AF2D56">
      <w:pPr>
        <w:spacing w:after="0" w:line="276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24AE">
        <w:rPr>
          <w:rFonts w:ascii="Times New Roman" w:hAnsi="Times New Roman" w:cs="Times New Roman"/>
          <w:sz w:val="22"/>
          <w:szCs w:val="22"/>
          <w:lang w:val="en-US"/>
        </w:rPr>
        <w:t>Univariate logistic regression was first conducted to evaluate the association of each independent variable with HPV-</w:t>
      </w:r>
      <w:r w:rsidR="007D6862" w:rsidRPr="004324AE">
        <w:rPr>
          <w:rFonts w:ascii="Times New Roman" w:hAnsi="Times New Roman" w:cs="Times New Roman"/>
          <w:sz w:val="22"/>
          <w:szCs w:val="22"/>
          <w:lang w:val="en-US"/>
        </w:rPr>
        <w:t>result</w:t>
      </w:r>
      <w:r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 and odds ratios (ORs) with 95% confidence intervals (CIs) were calculated. Variables with a p-value</w:t>
      </w:r>
      <w:r w:rsidR="00191E5D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4324AE">
        <w:rPr>
          <w:rFonts w:ascii="Times New Roman" w:hAnsi="Times New Roman" w:cs="Times New Roman"/>
          <w:sz w:val="22"/>
          <w:szCs w:val="22"/>
          <w:lang w:val="en-US"/>
        </w:rPr>
        <w:t>&lt;</w:t>
      </w:r>
      <w:r w:rsidR="00191E5D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4324AE">
        <w:rPr>
          <w:rFonts w:ascii="Times New Roman" w:hAnsi="Times New Roman" w:cs="Times New Roman"/>
          <w:sz w:val="22"/>
          <w:szCs w:val="22"/>
          <w:lang w:val="en-US"/>
        </w:rPr>
        <w:t>0.05 in the univariate analysis were subsequently included in the multivariate model to adjust for potential confounders.</w:t>
      </w:r>
      <w:r w:rsidR="007D6862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4324AE">
        <w:rPr>
          <w:rFonts w:ascii="Times New Roman" w:hAnsi="Times New Roman" w:cs="Times New Roman"/>
          <w:sz w:val="22"/>
          <w:szCs w:val="22"/>
          <w:lang w:val="en-US"/>
        </w:rPr>
        <w:t>Statistical significance was set at p</w:t>
      </w:r>
      <w:r w:rsidR="00342198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4324AE">
        <w:rPr>
          <w:rFonts w:ascii="Times New Roman" w:hAnsi="Times New Roman" w:cs="Times New Roman"/>
          <w:sz w:val="22"/>
          <w:szCs w:val="22"/>
          <w:lang w:val="en-US"/>
        </w:rPr>
        <w:t>&lt;</w:t>
      </w:r>
      <w:r w:rsidR="00342198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4324AE">
        <w:rPr>
          <w:rFonts w:ascii="Times New Roman" w:hAnsi="Times New Roman" w:cs="Times New Roman"/>
          <w:sz w:val="22"/>
          <w:szCs w:val="22"/>
          <w:lang w:val="en-US"/>
        </w:rPr>
        <w:t>0.05. All analyses were performed using STATA17.</w:t>
      </w:r>
    </w:p>
    <w:p w14:paraId="39A14569" w14:textId="781A6B68" w:rsidR="00390000" w:rsidRPr="006D4277" w:rsidDel="00390000" w:rsidRDefault="00390000" w:rsidP="00517D47">
      <w:pPr>
        <w:spacing w:after="0" w:line="276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14:paraId="5B5E2C60" w14:textId="5C546B9B" w:rsidR="00227C96" w:rsidRPr="006D4277" w:rsidRDefault="004D595C" w:rsidP="003950E8">
      <w:pPr>
        <w:spacing w:line="276" w:lineRule="auto"/>
        <w:jc w:val="both"/>
        <w:rPr>
          <w:rFonts w:ascii="Times New Roman" w:hAnsi="Times New Roman" w:cs="Times New Roman"/>
          <w:i/>
          <w:iCs/>
          <w:sz w:val="22"/>
          <w:szCs w:val="22"/>
          <w:lang w:val="en-US"/>
        </w:rPr>
      </w:pPr>
      <w:r w:rsidRPr="006D4277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2.8 </w:t>
      </w:r>
      <w:r w:rsidR="00227C96" w:rsidRPr="006D4277">
        <w:rPr>
          <w:rFonts w:ascii="Times New Roman" w:hAnsi="Times New Roman" w:cs="Times New Roman"/>
          <w:i/>
          <w:iCs/>
          <w:sz w:val="22"/>
          <w:szCs w:val="22"/>
          <w:lang w:val="en-US"/>
        </w:rPr>
        <w:t>Ethics Approval and Consent to Participate</w:t>
      </w:r>
    </w:p>
    <w:p w14:paraId="46D95770" w14:textId="5472C8AF" w:rsidR="00227C96" w:rsidRDefault="00227C96" w:rsidP="00517D47">
      <w:pPr>
        <w:spacing w:after="0" w:line="276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The study received ethical approval from the Local Ethics Committee (Ref. 7438/CEL/2023, addendum 1809/CEL/2024). </w:t>
      </w:r>
      <w:r w:rsidR="00EC7BB5">
        <w:rPr>
          <w:rFonts w:ascii="Times New Roman" w:hAnsi="Times New Roman" w:cs="Times New Roman"/>
          <w:sz w:val="22"/>
          <w:szCs w:val="22"/>
          <w:lang w:val="en-US"/>
        </w:rPr>
        <w:t>Women gave written consent</w:t>
      </w:r>
      <w:r w:rsidR="002B2693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14:paraId="53CAD1CB" w14:textId="77777777" w:rsidR="004324AE" w:rsidRPr="006D4277" w:rsidRDefault="004324AE" w:rsidP="00517D47">
      <w:pPr>
        <w:spacing w:after="0" w:line="276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14:paraId="0D955AC4" w14:textId="77777777" w:rsidR="00390000" w:rsidRPr="006D4277" w:rsidRDefault="00390000" w:rsidP="002F0A17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14:paraId="396A3ADE" w14:textId="31653828" w:rsidR="00053F38" w:rsidRPr="006D4277" w:rsidRDefault="00053F38" w:rsidP="004D595C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  <w:r w:rsidRPr="006D4277">
        <w:rPr>
          <w:rFonts w:ascii="Times New Roman" w:hAnsi="Times New Roman" w:cs="Times New Roman"/>
          <w:b/>
          <w:bCs/>
          <w:sz w:val="22"/>
          <w:szCs w:val="22"/>
          <w:lang w:val="en-US"/>
        </w:rPr>
        <w:t>Results</w:t>
      </w:r>
    </w:p>
    <w:p w14:paraId="6FD18677" w14:textId="29A79E3B" w:rsidR="00053F38" w:rsidRPr="006D4277" w:rsidRDefault="004D595C" w:rsidP="003950E8">
      <w:pPr>
        <w:jc w:val="both"/>
        <w:rPr>
          <w:rFonts w:ascii="Times New Roman" w:hAnsi="Times New Roman" w:cs="Times New Roman"/>
          <w:i/>
          <w:iCs/>
          <w:sz w:val="22"/>
          <w:szCs w:val="22"/>
          <w:lang w:val="en-US"/>
        </w:rPr>
      </w:pPr>
      <w:r w:rsidRPr="006D4277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3.1 </w:t>
      </w:r>
      <w:r w:rsidR="00B949DF" w:rsidRPr="006D4277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HPV </w:t>
      </w:r>
      <w:r w:rsidR="00053F38" w:rsidRPr="006D4277">
        <w:rPr>
          <w:rFonts w:ascii="Times New Roman" w:hAnsi="Times New Roman" w:cs="Times New Roman"/>
          <w:i/>
          <w:iCs/>
          <w:sz w:val="22"/>
          <w:szCs w:val="22"/>
          <w:lang w:val="en-US"/>
        </w:rPr>
        <w:t>Positivity rates</w:t>
      </w:r>
      <w:r w:rsidR="00F60F92" w:rsidRPr="006D4277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 related </w:t>
      </w:r>
      <w:r w:rsidR="007E5FF9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to </w:t>
      </w:r>
      <w:r w:rsidR="00F60F92" w:rsidRPr="006D4277">
        <w:rPr>
          <w:rFonts w:ascii="Times New Roman" w:hAnsi="Times New Roman" w:cs="Times New Roman"/>
          <w:sz w:val="22"/>
          <w:szCs w:val="22"/>
        </w:rPr>
        <w:t>β</w:t>
      </w:r>
      <w:r w:rsidR="00F60F92" w:rsidRPr="006D4277">
        <w:rPr>
          <w:rFonts w:ascii="Times New Roman" w:hAnsi="Times New Roman" w:cs="Times New Roman"/>
          <w:sz w:val="22"/>
          <w:szCs w:val="22"/>
          <w:lang w:val="en-US"/>
        </w:rPr>
        <w:t>-globin Ct values</w:t>
      </w:r>
    </w:p>
    <w:p w14:paraId="61AFE24A" w14:textId="2A10CC49" w:rsidR="006E722A" w:rsidRDefault="00D10BE2" w:rsidP="00625B50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GB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T</w:t>
      </w:r>
      <w:r w:rsidR="002053E8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he </w:t>
      </w:r>
      <w:r w:rsidR="00AE5116">
        <w:rPr>
          <w:rFonts w:ascii="Times New Roman" w:hAnsi="Times New Roman" w:cs="Times New Roman"/>
          <w:sz w:val="22"/>
          <w:szCs w:val="22"/>
          <w:lang w:val="en-US"/>
        </w:rPr>
        <w:t xml:space="preserve">results from the </w:t>
      </w:r>
      <w:r w:rsidR="00AE5116" w:rsidRPr="00AE5116">
        <w:rPr>
          <w:rFonts w:ascii="Times New Roman" w:hAnsi="Times New Roman" w:cs="Times New Roman"/>
          <w:sz w:val="22"/>
          <w:szCs w:val="22"/>
          <w:lang w:val="en-US"/>
        </w:rPr>
        <w:t xml:space="preserve">first round of HPV-based primary </w:t>
      </w:r>
      <w:r w:rsidR="009E719D">
        <w:rPr>
          <w:rFonts w:ascii="Times New Roman" w:hAnsi="Times New Roman" w:cs="Times New Roman"/>
          <w:sz w:val="22"/>
          <w:szCs w:val="22"/>
          <w:lang w:val="en-US"/>
        </w:rPr>
        <w:t>CCS</w:t>
      </w:r>
      <w:r w:rsidR="00AE5116">
        <w:rPr>
          <w:rFonts w:ascii="Times New Roman" w:hAnsi="Times New Roman" w:cs="Times New Roman"/>
          <w:sz w:val="22"/>
          <w:szCs w:val="22"/>
          <w:lang w:val="en-US"/>
        </w:rPr>
        <w:t xml:space="preserve"> of women </w:t>
      </w:r>
      <w:r w:rsidR="00AE5116" w:rsidRPr="00AE5116">
        <w:rPr>
          <w:rFonts w:ascii="Times New Roman" w:hAnsi="Times New Roman" w:cs="Times New Roman"/>
          <w:sz w:val="22"/>
          <w:szCs w:val="22"/>
          <w:lang w:val="en-US"/>
        </w:rPr>
        <w:t>living in the Bari metropolitan area</w:t>
      </w:r>
      <w:r w:rsidR="00AE5116">
        <w:rPr>
          <w:rFonts w:ascii="Times New Roman" w:hAnsi="Times New Roman" w:cs="Times New Roman"/>
          <w:sz w:val="22"/>
          <w:szCs w:val="22"/>
          <w:lang w:val="en-US"/>
        </w:rPr>
        <w:t>, showed an overall</w:t>
      </w:r>
      <w:r w:rsidR="002053E8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2A031A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HPV </w:t>
      </w:r>
      <w:r w:rsidR="002053E8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positive rate </w:t>
      </w:r>
      <w:r w:rsidR="000E7569">
        <w:rPr>
          <w:rFonts w:ascii="Times New Roman" w:hAnsi="Times New Roman" w:cs="Times New Roman"/>
          <w:sz w:val="22"/>
          <w:szCs w:val="22"/>
          <w:lang w:val="en-US"/>
        </w:rPr>
        <w:t xml:space="preserve">(PR) </w:t>
      </w:r>
      <w:r w:rsidR="00AE5116">
        <w:rPr>
          <w:rFonts w:ascii="Times New Roman" w:hAnsi="Times New Roman" w:cs="Times New Roman"/>
          <w:sz w:val="22"/>
          <w:szCs w:val="22"/>
          <w:lang w:val="en-US"/>
        </w:rPr>
        <w:t xml:space="preserve">of </w:t>
      </w:r>
      <w:r w:rsidR="002053E8" w:rsidRPr="006D4277">
        <w:rPr>
          <w:rFonts w:ascii="Times New Roman" w:hAnsi="Times New Roman" w:cs="Times New Roman"/>
          <w:sz w:val="22"/>
          <w:szCs w:val="22"/>
          <w:lang w:val="en-US"/>
        </w:rPr>
        <w:t>7.7%</w:t>
      </w:r>
      <w:r w:rsidR="00B949DF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(</w:t>
      </w:r>
      <w:r w:rsidR="009F6318" w:rsidRPr="006D4277">
        <w:rPr>
          <w:rFonts w:ascii="Times New Roman" w:hAnsi="Times New Roman" w:cs="Times New Roman"/>
          <w:sz w:val="22"/>
          <w:szCs w:val="22"/>
          <w:lang w:val="en-US"/>
        </w:rPr>
        <w:t>2,8</w:t>
      </w:r>
      <w:r w:rsidR="00423C6D" w:rsidRPr="006D4277">
        <w:rPr>
          <w:rFonts w:ascii="Times New Roman" w:hAnsi="Times New Roman" w:cs="Times New Roman"/>
          <w:sz w:val="22"/>
          <w:szCs w:val="22"/>
          <w:lang w:val="en-US"/>
        </w:rPr>
        <w:t>91</w:t>
      </w:r>
      <w:r w:rsidR="00B949DF" w:rsidRPr="006D4277">
        <w:rPr>
          <w:rFonts w:ascii="Times New Roman" w:hAnsi="Times New Roman" w:cs="Times New Roman"/>
          <w:sz w:val="22"/>
          <w:szCs w:val="22"/>
          <w:lang w:val="en-US"/>
        </w:rPr>
        <w:t>/</w:t>
      </w:r>
      <w:r w:rsidR="00190995" w:rsidRPr="006D4277">
        <w:rPr>
          <w:rFonts w:ascii="Times New Roman" w:hAnsi="Times New Roman" w:cs="Times New Roman"/>
          <w:sz w:val="22"/>
          <w:szCs w:val="22"/>
          <w:lang w:val="en-US"/>
        </w:rPr>
        <w:t>37,592)</w:t>
      </w:r>
      <w:r w:rsidR="002053E8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. </w:t>
      </w:r>
      <w:r w:rsidR="00156F4E" w:rsidRPr="00467CA8">
        <w:rPr>
          <w:rFonts w:ascii="Times New Roman" w:hAnsi="Times New Roman" w:cs="Times New Roman"/>
          <w:sz w:val="22"/>
          <w:szCs w:val="22"/>
          <w:lang w:val="en-US"/>
        </w:rPr>
        <w:t xml:space="preserve">Among the </w:t>
      </w:r>
      <w:r w:rsidR="00EC7BB5">
        <w:rPr>
          <w:rFonts w:ascii="Times New Roman" w:hAnsi="Times New Roman" w:cs="Times New Roman"/>
          <w:sz w:val="22"/>
          <w:szCs w:val="22"/>
          <w:lang w:val="en-US"/>
        </w:rPr>
        <w:t xml:space="preserve">HPV </w:t>
      </w:r>
      <w:r w:rsidR="00156F4E" w:rsidRPr="00467CA8">
        <w:rPr>
          <w:rFonts w:ascii="Times New Roman" w:hAnsi="Times New Roman" w:cs="Times New Roman"/>
          <w:sz w:val="22"/>
          <w:szCs w:val="22"/>
          <w:lang w:val="en-US"/>
        </w:rPr>
        <w:t>positive samples, 2</w:t>
      </w:r>
      <w:r w:rsidR="00467CA8" w:rsidRPr="00467CA8">
        <w:rPr>
          <w:rFonts w:ascii="Times New Roman" w:hAnsi="Times New Roman" w:cs="Times New Roman"/>
          <w:sz w:val="22"/>
          <w:szCs w:val="22"/>
          <w:lang w:val="en-US"/>
        </w:rPr>
        <w:t>,</w:t>
      </w:r>
      <w:r w:rsidR="00156F4E" w:rsidRPr="00467CA8">
        <w:rPr>
          <w:rFonts w:ascii="Times New Roman" w:hAnsi="Times New Roman" w:cs="Times New Roman"/>
          <w:sz w:val="22"/>
          <w:szCs w:val="22"/>
          <w:lang w:val="en-US"/>
        </w:rPr>
        <w:t xml:space="preserve">203 samples </w:t>
      </w:r>
      <w:r w:rsidR="005109BD" w:rsidRPr="00467CA8">
        <w:rPr>
          <w:rFonts w:ascii="Times New Roman" w:hAnsi="Times New Roman" w:cs="Times New Roman"/>
          <w:sz w:val="22"/>
          <w:szCs w:val="22"/>
          <w:lang w:val="en-US"/>
        </w:rPr>
        <w:t>(76</w:t>
      </w:r>
      <w:r w:rsidR="00467CA8" w:rsidRPr="00467CA8">
        <w:rPr>
          <w:rFonts w:ascii="Times New Roman" w:hAnsi="Times New Roman" w:cs="Times New Roman"/>
          <w:sz w:val="22"/>
          <w:szCs w:val="22"/>
          <w:lang w:val="en-US"/>
        </w:rPr>
        <w:t>.</w:t>
      </w:r>
      <w:r w:rsidR="005109BD" w:rsidRPr="00467CA8">
        <w:rPr>
          <w:rFonts w:ascii="Times New Roman" w:hAnsi="Times New Roman" w:cs="Times New Roman"/>
          <w:sz w:val="22"/>
          <w:szCs w:val="22"/>
          <w:lang w:val="en-US"/>
        </w:rPr>
        <w:t xml:space="preserve">2%) </w:t>
      </w:r>
      <w:r w:rsidR="00156F4E" w:rsidRPr="00467CA8">
        <w:rPr>
          <w:rFonts w:ascii="Times New Roman" w:hAnsi="Times New Roman" w:cs="Times New Roman"/>
          <w:sz w:val="22"/>
          <w:szCs w:val="22"/>
          <w:lang w:val="en-US"/>
        </w:rPr>
        <w:t xml:space="preserve">were identified as positive for </w:t>
      </w:r>
      <w:r w:rsidRPr="00467CA8">
        <w:rPr>
          <w:rFonts w:ascii="Times New Roman" w:hAnsi="Times New Roman" w:cs="Times New Roman"/>
          <w:sz w:val="22"/>
          <w:szCs w:val="22"/>
          <w:lang w:val="en-US"/>
        </w:rPr>
        <w:t>“</w:t>
      </w:r>
      <w:r w:rsidR="00156F4E" w:rsidRPr="00467CA8">
        <w:rPr>
          <w:rFonts w:ascii="Times New Roman" w:hAnsi="Times New Roman" w:cs="Times New Roman"/>
          <w:sz w:val="22"/>
          <w:szCs w:val="22"/>
          <w:lang w:val="en-US"/>
        </w:rPr>
        <w:t>other</w:t>
      </w:r>
      <w:r w:rsidRPr="00467CA8">
        <w:rPr>
          <w:rFonts w:ascii="Times New Roman" w:hAnsi="Times New Roman" w:cs="Times New Roman"/>
          <w:sz w:val="22"/>
          <w:szCs w:val="22"/>
          <w:lang w:val="en-US"/>
        </w:rPr>
        <w:t>”</w:t>
      </w:r>
      <w:r w:rsidR="00156F4E" w:rsidRPr="00467CA8">
        <w:rPr>
          <w:rFonts w:ascii="Times New Roman" w:hAnsi="Times New Roman" w:cs="Times New Roman"/>
          <w:sz w:val="22"/>
          <w:szCs w:val="22"/>
          <w:lang w:val="en-US"/>
        </w:rPr>
        <w:t xml:space="preserve"> HR</w:t>
      </w:r>
      <w:r w:rsidR="005109BD" w:rsidRPr="00467CA8">
        <w:rPr>
          <w:rFonts w:ascii="Times New Roman" w:hAnsi="Times New Roman" w:cs="Times New Roman"/>
          <w:sz w:val="22"/>
          <w:szCs w:val="22"/>
          <w:lang w:val="en-US"/>
        </w:rPr>
        <w:t>-</w:t>
      </w:r>
      <w:r w:rsidR="00156F4E" w:rsidRPr="00467CA8">
        <w:rPr>
          <w:rFonts w:ascii="Times New Roman" w:hAnsi="Times New Roman" w:cs="Times New Roman"/>
          <w:sz w:val="22"/>
          <w:szCs w:val="22"/>
          <w:lang w:val="en-US"/>
        </w:rPr>
        <w:t xml:space="preserve">HPV types, 419 samples </w:t>
      </w:r>
      <w:r w:rsidR="005109BD" w:rsidRPr="00467CA8">
        <w:rPr>
          <w:rFonts w:ascii="Times New Roman" w:hAnsi="Times New Roman" w:cs="Times New Roman"/>
          <w:sz w:val="22"/>
          <w:szCs w:val="22"/>
          <w:lang w:val="en-US"/>
        </w:rPr>
        <w:t>(14</w:t>
      </w:r>
      <w:r w:rsidR="00467CA8" w:rsidRPr="00467CA8">
        <w:rPr>
          <w:rFonts w:ascii="Times New Roman" w:hAnsi="Times New Roman" w:cs="Times New Roman"/>
          <w:sz w:val="22"/>
          <w:szCs w:val="22"/>
          <w:lang w:val="en-US"/>
        </w:rPr>
        <w:t>.</w:t>
      </w:r>
      <w:r w:rsidR="005109BD" w:rsidRPr="00467CA8">
        <w:rPr>
          <w:rFonts w:ascii="Times New Roman" w:hAnsi="Times New Roman" w:cs="Times New Roman"/>
          <w:sz w:val="22"/>
          <w:szCs w:val="22"/>
          <w:lang w:val="en-US"/>
        </w:rPr>
        <w:t xml:space="preserve">5%) </w:t>
      </w:r>
      <w:r w:rsidR="00156F4E" w:rsidRPr="00467CA8">
        <w:rPr>
          <w:rFonts w:ascii="Times New Roman" w:hAnsi="Times New Roman" w:cs="Times New Roman"/>
          <w:sz w:val="22"/>
          <w:szCs w:val="22"/>
          <w:lang w:val="en-US"/>
        </w:rPr>
        <w:t>were positive</w:t>
      </w:r>
      <w:r w:rsidR="002B2693">
        <w:rPr>
          <w:rFonts w:ascii="Times New Roman" w:hAnsi="Times New Roman" w:cs="Times New Roman"/>
          <w:sz w:val="22"/>
          <w:szCs w:val="22"/>
          <w:lang w:val="en-US"/>
        </w:rPr>
        <w:t xml:space="preserve"> only</w:t>
      </w:r>
      <w:r w:rsidR="00156F4E" w:rsidRPr="00467CA8">
        <w:rPr>
          <w:rFonts w:ascii="Times New Roman" w:hAnsi="Times New Roman" w:cs="Times New Roman"/>
          <w:sz w:val="22"/>
          <w:szCs w:val="22"/>
          <w:lang w:val="en-US"/>
        </w:rPr>
        <w:t xml:space="preserve"> for HPV16, 123 </w:t>
      </w:r>
      <w:r w:rsidR="005109BD" w:rsidRPr="00467CA8">
        <w:rPr>
          <w:rFonts w:ascii="Times New Roman" w:hAnsi="Times New Roman" w:cs="Times New Roman"/>
          <w:sz w:val="22"/>
          <w:szCs w:val="22"/>
          <w:lang w:val="en-US"/>
        </w:rPr>
        <w:t>(4</w:t>
      </w:r>
      <w:r w:rsidR="00467CA8" w:rsidRPr="00467CA8">
        <w:rPr>
          <w:rFonts w:ascii="Times New Roman" w:hAnsi="Times New Roman" w:cs="Times New Roman"/>
          <w:sz w:val="22"/>
          <w:szCs w:val="22"/>
          <w:lang w:val="en-US"/>
        </w:rPr>
        <w:t>.</w:t>
      </w:r>
      <w:r w:rsidR="005109BD" w:rsidRPr="00467CA8">
        <w:rPr>
          <w:rFonts w:ascii="Times New Roman" w:hAnsi="Times New Roman" w:cs="Times New Roman"/>
          <w:sz w:val="22"/>
          <w:szCs w:val="22"/>
          <w:lang w:val="en-US"/>
        </w:rPr>
        <w:t xml:space="preserve">2%) </w:t>
      </w:r>
      <w:r w:rsidR="002B2693">
        <w:rPr>
          <w:rFonts w:ascii="Times New Roman" w:hAnsi="Times New Roman" w:cs="Times New Roman"/>
          <w:sz w:val="22"/>
          <w:szCs w:val="22"/>
          <w:lang w:val="en-US"/>
        </w:rPr>
        <w:t xml:space="preserve">only </w:t>
      </w:r>
      <w:r w:rsidR="00156F4E" w:rsidRPr="00467CA8">
        <w:rPr>
          <w:rFonts w:ascii="Times New Roman" w:hAnsi="Times New Roman" w:cs="Times New Roman"/>
          <w:sz w:val="22"/>
          <w:szCs w:val="22"/>
          <w:lang w:val="en-US"/>
        </w:rPr>
        <w:t xml:space="preserve">for HPV18, 106 </w:t>
      </w:r>
      <w:r w:rsidR="005109BD" w:rsidRPr="00467CA8">
        <w:rPr>
          <w:rFonts w:ascii="Times New Roman" w:hAnsi="Times New Roman" w:cs="Times New Roman"/>
          <w:sz w:val="22"/>
          <w:szCs w:val="22"/>
          <w:lang w:val="en-US"/>
        </w:rPr>
        <w:t>(3</w:t>
      </w:r>
      <w:r w:rsidR="00467CA8" w:rsidRPr="00467CA8">
        <w:rPr>
          <w:rFonts w:ascii="Times New Roman" w:hAnsi="Times New Roman" w:cs="Times New Roman"/>
          <w:sz w:val="22"/>
          <w:szCs w:val="22"/>
          <w:lang w:val="en-US"/>
        </w:rPr>
        <w:t>.</w:t>
      </w:r>
      <w:r w:rsidR="005109BD" w:rsidRPr="00467CA8">
        <w:rPr>
          <w:rFonts w:ascii="Times New Roman" w:hAnsi="Times New Roman" w:cs="Times New Roman"/>
          <w:sz w:val="22"/>
          <w:szCs w:val="22"/>
          <w:lang w:val="en-US"/>
        </w:rPr>
        <w:t xml:space="preserve">7%) </w:t>
      </w:r>
      <w:r w:rsidR="00156F4E" w:rsidRPr="00467CA8">
        <w:rPr>
          <w:rFonts w:ascii="Times New Roman" w:hAnsi="Times New Roman" w:cs="Times New Roman"/>
          <w:sz w:val="22"/>
          <w:szCs w:val="22"/>
          <w:lang w:val="en-US"/>
        </w:rPr>
        <w:t xml:space="preserve">for HPV16 and </w:t>
      </w:r>
      <w:r w:rsidRPr="00467CA8">
        <w:rPr>
          <w:rFonts w:ascii="Times New Roman" w:hAnsi="Times New Roman" w:cs="Times New Roman"/>
          <w:sz w:val="22"/>
          <w:szCs w:val="22"/>
          <w:lang w:val="en-US"/>
        </w:rPr>
        <w:t>“</w:t>
      </w:r>
      <w:r w:rsidR="00156F4E" w:rsidRPr="00467CA8">
        <w:rPr>
          <w:rFonts w:ascii="Times New Roman" w:hAnsi="Times New Roman" w:cs="Times New Roman"/>
          <w:sz w:val="22"/>
          <w:szCs w:val="22"/>
          <w:lang w:val="en-US"/>
        </w:rPr>
        <w:t>other</w:t>
      </w:r>
      <w:r w:rsidRPr="00467CA8">
        <w:rPr>
          <w:rFonts w:ascii="Times New Roman" w:hAnsi="Times New Roman" w:cs="Times New Roman"/>
          <w:sz w:val="22"/>
          <w:szCs w:val="22"/>
          <w:lang w:val="en-US"/>
        </w:rPr>
        <w:t>”</w:t>
      </w:r>
      <w:r w:rsidR="00156F4E" w:rsidRPr="00467CA8">
        <w:rPr>
          <w:rFonts w:ascii="Times New Roman" w:hAnsi="Times New Roman" w:cs="Times New Roman"/>
          <w:sz w:val="22"/>
          <w:szCs w:val="22"/>
          <w:lang w:val="en-US"/>
        </w:rPr>
        <w:t xml:space="preserve"> HR types, 34 </w:t>
      </w:r>
      <w:r w:rsidR="005109BD" w:rsidRPr="00467CA8">
        <w:rPr>
          <w:rFonts w:ascii="Times New Roman" w:hAnsi="Times New Roman" w:cs="Times New Roman"/>
          <w:sz w:val="22"/>
          <w:szCs w:val="22"/>
          <w:lang w:val="en-US"/>
        </w:rPr>
        <w:t>(1</w:t>
      </w:r>
      <w:r w:rsidR="00467CA8" w:rsidRPr="00467CA8">
        <w:rPr>
          <w:rFonts w:ascii="Times New Roman" w:hAnsi="Times New Roman" w:cs="Times New Roman"/>
          <w:sz w:val="22"/>
          <w:szCs w:val="22"/>
          <w:lang w:val="en-US"/>
        </w:rPr>
        <w:t>.</w:t>
      </w:r>
      <w:r w:rsidR="005109BD" w:rsidRPr="00467CA8">
        <w:rPr>
          <w:rFonts w:ascii="Times New Roman" w:hAnsi="Times New Roman" w:cs="Times New Roman"/>
          <w:sz w:val="22"/>
          <w:szCs w:val="22"/>
          <w:lang w:val="en-US"/>
        </w:rPr>
        <w:t xml:space="preserve">2%) </w:t>
      </w:r>
      <w:r w:rsidR="00156F4E" w:rsidRPr="00467CA8">
        <w:rPr>
          <w:rFonts w:ascii="Times New Roman" w:hAnsi="Times New Roman" w:cs="Times New Roman"/>
          <w:sz w:val="22"/>
          <w:szCs w:val="22"/>
          <w:lang w:val="en-US"/>
        </w:rPr>
        <w:t xml:space="preserve">for HPV18 and </w:t>
      </w:r>
      <w:r w:rsidRPr="00467CA8">
        <w:rPr>
          <w:rFonts w:ascii="Times New Roman" w:hAnsi="Times New Roman" w:cs="Times New Roman"/>
          <w:sz w:val="22"/>
          <w:szCs w:val="22"/>
          <w:lang w:val="en-US"/>
        </w:rPr>
        <w:t>“</w:t>
      </w:r>
      <w:r w:rsidR="00156F4E" w:rsidRPr="00467CA8">
        <w:rPr>
          <w:rFonts w:ascii="Times New Roman" w:hAnsi="Times New Roman" w:cs="Times New Roman"/>
          <w:sz w:val="22"/>
          <w:szCs w:val="22"/>
          <w:lang w:val="en-US"/>
        </w:rPr>
        <w:t>other</w:t>
      </w:r>
      <w:r w:rsidRPr="00467CA8">
        <w:rPr>
          <w:rFonts w:ascii="Times New Roman" w:hAnsi="Times New Roman" w:cs="Times New Roman"/>
          <w:sz w:val="22"/>
          <w:szCs w:val="22"/>
          <w:lang w:val="en-US"/>
        </w:rPr>
        <w:t>”</w:t>
      </w:r>
      <w:r w:rsidR="00156F4E" w:rsidRPr="00467CA8">
        <w:rPr>
          <w:rFonts w:ascii="Times New Roman" w:hAnsi="Times New Roman" w:cs="Times New Roman"/>
          <w:sz w:val="22"/>
          <w:szCs w:val="22"/>
          <w:lang w:val="en-US"/>
        </w:rPr>
        <w:t xml:space="preserve"> HR types, 2 samples </w:t>
      </w:r>
      <w:r w:rsidR="005109BD" w:rsidRPr="00467CA8">
        <w:rPr>
          <w:rFonts w:ascii="Times New Roman" w:hAnsi="Times New Roman" w:cs="Times New Roman"/>
          <w:sz w:val="22"/>
          <w:szCs w:val="22"/>
          <w:lang w:val="en-US"/>
        </w:rPr>
        <w:t>(0</w:t>
      </w:r>
      <w:r w:rsidR="00467CA8" w:rsidRPr="00467CA8">
        <w:rPr>
          <w:rFonts w:ascii="Times New Roman" w:hAnsi="Times New Roman" w:cs="Times New Roman"/>
          <w:sz w:val="22"/>
          <w:szCs w:val="22"/>
          <w:lang w:val="en-US"/>
        </w:rPr>
        <w:t>.</w:t>
      </w:r>
      <w:r w:rsidR="007E5FF9" w:rsidRPr="00467CA8">
        <w:rPr>
          <w:rFonts w:ascii="Times New Roman" w:hAnsi="Times New Roman" w:cs="Times New Roman"/>
          <w:sz w:val="22"/>
          <w:szCs w:val="22"/>
          <w:lang w:val="en-US"/>
        </w:rPr>
        <w:t>06</w:t>
      </w:r>
      <w:r w:rsidR="005109BD" w:rsidRPr="00467CA8">
        <w:rPr>
          <w:rFonts w:ascii="Times New Roman" w:hAnsi="Times New Roman" w:cs="Times New Roman"/>
          <w:sz w:val="22"/>
          <w:szCs w:val="22"/>
          <w:lang w:val="en-US"/>
        </w:rPr>
        <w:t xml:space="preserve">%) </w:t>
      </w:r>
      <w:r w:rsidR="00156F4E" w:rsidRPr="00467CA8">
        <w:rPr>
          <w:rFonts w:ascii="Times New Roman" w:hAnsi="Times New Roman" w:cs="Times New Roman"/>
          <w:sz w:val="22"/>
          <w:szCs w:val="22"/>
          <w:lang w:val="en-US"/>
        </w:rPr>
        <w:t xml:space="preserve">were co-positive for HPV16 and HPV18, and 4 </w:t>
      </w:r>
      <w:r w:rsidR="007E5FF9" w:rsidRPr="00467CA8">
        <w:rPr>
          <w:rFonts w:ascii="Times New Roman" w:hAnsi="Times New Roman" w:cs="Times New Roman"/>
          <w:sz w:val="22"/>
          <w:szCs w:val="22"/>
          <w:lang w:val="en-US"/>
        </w:rPr>
        <w:t>(0</w:t>
      </w:r>
      <w:r w:rsidR="00467CA8" w:rsidRPr="00467CA8">
        <w:rPr>
          <w:rFonts w:ascii="Times New Roman" w:hAnsi="Times New Roman" w:cs="Times New Roman"/>
          <w:sz w:val="22"/>
          <w:szCs w:val="22"/>
          <w:lang w:val="en-US"/>
        </w:rPr>
        <w:t>.</w:t>
      </w:r>
      <w:r w:rsidR="007E5FF9" w:rsidRPr="00467CA8">
        <w:rPr>
          <w:rFonts w:ascii="Times New Roman" w:hAnsi="Times New Roman" w:cs="Times New Roman"/>
          <w:sz w:val="22"/>
          <w:szCs w:val="22"/>
          <w:lang w:val="en-US"/>
        </w:rPr>
        <w:t>14%)</w:t>
      </w:r>
      <w:r w:rsidR="007E5FF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156F4E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samples showed positivity for a combination of HPV16, HPV18, and </w:t>
      </w:r>
      <w:r>
        <w:rPr>
          <w:rFonts w:ascii="Times New Roman" w:hAnsi="Times New Roman" w:cs="Times New Roman"/>
          <w:sz w:val="22"/>
          <w:szCs w:val="22"/>
          <w:lang w:val="en-US"/>
        </w:rPr>
        <w:t>“</w:t>
      </w:r>
      <w:r w:rsidR="00156F4E" w:rsidRPr="006D4277">
        <w:rPr>
          <w:rFonts w:ascii="Times New Roman" w:hAnsi="Times New Roman" w:cs="Times New Roman"/>
          <w:sz w:val="22"/>
          <w:szCs w:val="22"/>
          <w:lang w:val="en-US"/>
        </w:rPr>
        <w:t>other</w:t>
      </w:r>
      <w:r>
        <w:rPr>
          <w:rFonts w:ascii="Times New Roman" w:hAnsi="Times New Roman" w:cs="Times New Roman"/>
          <w:sz w:val="22"/>
          <w:szCs w:val="22"/>
          <w:lang w:val="en-US"/>
        </w:rPr>
        <w:t>”</w:t>
      </w:r>
      <w:r w:rsidR="00156F4E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HR types.</w:t>
      </w:r>
    </w:p>
    <w:p w14:paraId="1F56EA19" w14:textId="76954DFA" w:rsidR="00187E78" w:rsidRDefault="00F962B8" w:rsidP="00625B50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GB"/>
        </w:rPr>
        <w:t>As part of the laboratory quality assurance assessment</w:t>
      </w:r>
      <w:r w:rsidR="00BB65F2">
        <w:rPr>
          <w:rFonts w:ascii="Times New Roman" w:hAnsi="Times New Roman" w:cs="Times New Roman"/>
          <w:sz w:val="22"/>
          <w:szCs w:val="22"/>
          <w:lang w:val="en-GB"/>
        </w:rPr>
        <w:t>,</w:t>
      </w:r>
      <w:r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A22780" w:rsidRPr="004324AE">
        <w:rPr>
          <w:rFonts w:ascii="Times New Roman" w:hAnsi="Times New Roman" w:cs="Times New Roman"/>
          <w:sz w:val="22"/>
          <w:szCs w:val="22"/>
          <w:lang w:val="en-US"/>
        </w:rPr>
        <w:t>HPV</w:t>
      </w:r>
      <w:r w:rsidR="00912D2B">
        <w:rPr>
          <w:rFonts w:ascii="Times New Roman" w:hAnsi="Times New Roman" w:cs="Times New Roman"/>
          <w:sz w:val="22"/>
          <w:szCs w:val="22"/>
          <w:lang w:val="en-US"/>
        </w:rPr>
        <w:t>-</w:t>
      </w:r>
      <w:r w:rsidR="00A22780" w:rsidRPr="004324AE">
        <w:rPr>
          <w:rFonts w:ascii="Times New Roman" w:hAnsi="Times New Roman" w:cs="Times New Roman"/>
          <w:sz w:val="22"/>
          <w:szCs w:val="22"/>
          <w:lang w:val="en-US"/>
        </w:rPr>
        <w:t>PR</w:t>
      </w:r>
      <w:r w:rsidR="00A22780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GB"/>
        </w:rPr>
        <w:t xml:space="preserve">were </w:t>
      </w:r>
      <w:r w:rsidR="006E722A" w:rsidRPr="004324AE">
        <w:rPr>
          <w:rFonts w:ascii="Times New Roman" w:hAnsi="Times New Roman" w:cs="Times New Roman"/>
          <w:sz w:val="22"/>
          <w:szCs w:val="22"/>
          <w:lang w:val="en-GB"/>
        </w:rPr>
        <w:t xml:space="preserve">analysed </w:t>
      </w:r>
      <w:r w:rsidR="00A22780">
        <w:rPr>
          <w:rFonts w:ascii="Times New Roman" w:hAnsi="Times New Roman" w:cs="Times New Roman"/>
          <w:sz w:val="22"/>
          <w:szCs w:val="22"/>
          <w:lang w:val="en-GB"/>
        </w:rPr>
        <w:t xml:space="preserve">in </w:t>
      </w:r>
      <w:r w:rsidR="00A22780">
        <w:rPr>
          <w:rFonts w:ascii="Times New Roman" w:hAnsi="Times New Roman" w:cs="Times New Roman"/>
          <w:sz w:val="22"/>
          <w:szCs w:val="22"/>
          <w:lang w:val="en-US"/>
        </w:rPr>
        <w:t>association with</w:t>
      </w:r>
      <w:r w:rsidR="00A22780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β-globin Ct </w:t>
      </w:r>
      <w:r w:rsidR="00A22780">
        <w:rPr>
          <w:rFonts w:ascii="Times New Roman" w:hAnsi="Times New Roman" w:cs="Times New Roman"/>
          <w:sz w:val="22"/>
          <w:szCs w:val="22"/>
          <w:lang w:val="en-US"/>
        </w:rPr>
        <w:t>values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.</w:t>
      </w:r>
      <w:r w:rsidR="006E722A" w:rsidRPr="004324AE">
        <w:rPr>
          <w:lang w:val="en-US"/>
        </w:rPr>
        <w:t xml:space="preserve"> </w:t>
      </w:r>
      <w:r w:rsidR="00212B30">
        <w:rPr>
          <w:rFonts w:ascii="Times New Roman" w:hAnsi="Times New Roman" w:cs="Times New Roman"/>
          <w:sz w:val="22"/>
          <w:szCs w:val="22"/>
          <w:lang w:val="en-US"/>
        </w:rPr>
        <w:t>Data showed a</w:t>
      </w:r>
      <w:r w:rsidR="007D6862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marked decrease </w:t>
      </w:r>
      <w:r w:rsidR="00212B30">
        <w:rPr>
          <w:rFonts w:ascii="Times New Roman" w:hAnsi="Times New Roman" w:cs="Times New Roman"/>
          <w:sz w:val="22"/>
          <w:szCs w:val="22"/>
          <w:lang w:val="en-US"/>
        </w:rPr>
        <w:t>in HR-HPV</w:t>
      </w:r>
      <w:r w:rsidR="00212B30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 PR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as the β-globin Ct value</w:t>
      </w:r>
      <w:r w:rsidR="00212B30">
        <w:rPr>
          <w:rFonts w:ascii="Times New Roman" w:hAnsi="Times New Roman" w:cs="Times New Roman"/>
          <w:sz w:val="22"/>
          <w:szCs w:val="22"/>
          <w:lang w:val="en-US"/>
        </w:rPr>
        <w:t>s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 increased. Specifically, </w:t>
      </w:r>
      <w:r w:rsidR="007D6862" w:rsidRPr="004324AE">
        <w:rPr>
          <w:rFonts w:ascii="Times New Roman" w:hAnsi="Times New Roman" w:cs="Times New Roman"/>
          <w:sz w:val="22"/>
          <w:szCs w:val="22"/>
          <w:lang w:val="en-US"/>
        </w:rPr>
        <w:t>PR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 were highest</w:t>
      </w:r>
      <w:r w:rsidR="00430A83">
        <w:rPr>
          <w:rFonts w:ascii="Times New Roman" w:hAnsi="Times New Roman" w:cs="Times New Roman"/>
          <w:sz w:val="22"/>
          <w:szCs w:val="22"/>
          <w:lang w:val="en-US"/>
        </w:rPr>
        <w:t>,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 at 9.7%</w:t>
      </w:r>
      <w:r w:rsidR="00430A83">
        <w:rPr>
          <w:rFonts w:ascii="Times New Roman" w:hAnsi="Times New Roman" w:cs="Times New Roman"/>
          <w:sz w:val="22"/>
          <w:szCs w:val="22"/>
          <w:lang w:val="en-US"/>
        </w:rPr>
        <w:t>,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 for β-globin</w:t>
      </w:r>
      <w:r w:rsidR="004C66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E32C72" w:rsidRPr="004324AE">
        <w:rPr>
          <w:rFonts w:ascii="Times New Roman" w:hAnsi="Times New Roman" w:cs="Times New Roman"/>
          <w:sz w:val="22"/>
          <w:szCs w:val="22"/>
          <w:lang w:val="en-US"/>
        </w:rPr>
        <w:t>≤</w:t>
      </w:r>
      <w:r w:rsidR="00231D9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28 Ct, </w:t>
      </w:r>
      <w:r w:rsidR="00212B30">
        <w:rPr>
          <w:rFonts w:ascii="Times New Roman" w:hAnsi="Times New Roman" w:cs="Times New Roman"/>
          <w:sz w:val="22"/>
          <w:szCs w:val="22"/>
          <w:lang w:val="en-US"/>
        </w:rPr>
        <w:t>decreasing to</w:t>
      </w:r>
      <w:r w:rsidR="007D6862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726DA4" w:rsidRPr="004324AE">
        <w:rPr>
          <w:rFonts w:ascii="Times New Roman" w:hAnsi="Times New Roman" w:cs="Times New Roman"/>
          <w:sz w:val="22"/>
          <w:szCs w:val="22"/>
          <w:lang w:val="en-US"/>
        </w:rPr>
        <w:t>5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.</w:t>
      </w:r>
      <w:r w:rsidR="00726DA4" w:rsidRPr="004324AE">
        <w:rPr>
          <w:rFonts w:ascii="Times New Roman" w:hAnsi="Times New Roman" w:cs="Times New Roman"/>
          <w:sz w:val="22"/>
          <w:szCs w:val="22"/>
          <w:lang w:val="en-US"/>
        </w:rPr>
        <w:t>8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% for the</w:t>
      </w:r>
      <w:r w:rsidR="00212B30">
        <w:rPr>
          <w:rFonts w:ascii="Times New Roman" w:hAnsi="Times New Roman" w:cs="Times New Roman"/>
          <w:sz w:val="22"/>
          <w:szCs w:val="22"/>
          <w:lang w:val="en-US"/>
        </w:rPr>
        <w:t xml:space="preserve"> range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 28</w:t>
      </w:r>
      <w:r w:rsidR="004C66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E32C72" w:rsidRPr="004324AE">
        <w:rPr>
          <w:rFonts w:ascii="Times New Roman" w:hAnsi="Times New Roman" w:cs="Times New Roman"/>
          <w:sz w:val="22"/>
          <w:szCs w:val="22"/>
          <w:lang w:val="en-US"/>
        </w:rPr>
        <w:t>&lt;</w:t>
      </w:r>
      <w:r w:rsidR="00231D9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Ct</w:t>
      </w:r>
      <w:r w:rsidR="004C66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E32C72" w:rsidRPr="004324AE">
        <w:rPr>
          <w:rFonts w:ascii="Times New Roman" w:hAnsi="Times New Roman" w:cs="Times New Roman"/>
          <w:sz w:val="22"/>
          <w:szCs w:val="22"/>
          <w:lang w:val="en-US"/>
        </w:rPr>
        <w:t>≤</w:t>
      </w:r>
      <w:r w:rsidR="00231D9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32, further dropping to 1.</w:t>
      </w:r>
      <w:r w:rsidR="00726DA4" w:rsidRPr="004324AE">
        <w:rPr>
          <w:rFonts w:ascii="Times New Roman" w:hAnsi="Times New Roman" w:cs="Times New Roman"/>
          <w:sz w:val="22"/>
          <w:szCs w:val="22"/>
          <w:lang w:val="en-US"/>
        </w:rPr>
        <w:t>4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% in the β-globin </w:t>
      </w:r>
      <w:r w:rsidR="00212B30" w:rsidRPr="004324AE">
        <w:rPr>
          <w:rFonts w:ascii="Times New Roman" w:hAnsi="Times New Roman" w:cs="Times New Roman"/>
          <w:sz w:val="22"/>
          <w:szCs w:val="22"/>
          <w:lang w:val="en-US"/>
        </w:rPr>
        <w:t>Ct range</w:t>
      </w:r>
      <w:r w:rsidR="004C66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≥</w:t>
      </w:r>
      <w:r w:rsidR="00231D9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34 (Table </w:t>
      </w:r>
      <w:r w:rsidR="00F56F9F">
        <w:rPr>
          <w:rFonts w:ascii="Times New Roman" w:hAnsi="Times New Roman" w:cs="Times New Roman"/>
          <w:sz w:val="22"/>
          <w:szCs w:val="22"/>
          <w:lang w:val="en-US"/>
        </w:rPr>
        <w:t>I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). From logistic regression β-globin Ct values showed a strong inverse association with HPV </w:t>
      </w:r>
      <w:r w:rsidR="00266582" w:rsidRPr="004324AE">
        <w:rPr>
          <w:rFonts w:ascii="Times New Roman" w:hAnsi="Times New Roman" w:cs="Times New Roman"/>
          <w:sz w:val="22"/>
          <w:szCs w:val="22"/>
          <w:lang w:val="en-US"/>
        </w:rPr>
        <w:t>PR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9C0C66" w:rsidRPr="004324AE">
        <w:rPr>
          <w:rFonts w:ascii="Times New Roman" w:hAnsi="Times New Roman" w:cs="Times New Roman"/>
          <w:sz w:val="22"/>
          <w:szCs w:val="22"/>
          <w:lang w:val="en-US"/>
        </w:rPr>
        <w:t>(χ²=219.8, p&lt;0.001</w:t>
      </w:r>
      <w:r w:rsidR="009C0C66">
        <w:rPr>
          <w:rFonts w:ascii="Times New Roman" w:hAnsi="Times New Roman" w:cs="Times New Roman"/>
          <w:sz w:val="22"/>
          <w:szCs w:val="22"/>
          <w:lang w:val="en-US"/>
        </w:rPr>
        <w:t xml:space="preserve">, </w:t>
      </w:r>
      <w:r w:rsidR="00266582" w:rsidRPr="004324AE">
        <w:rPr>
          <w:rFonts w:ascii="Times New Roman" w:hAnsi="Times New Roman" w:cs="Times New Roman"/>
          <w:sz w:val="22"/>
          <w:szCs w:val="22"/>
          <w:lang w:val="en-US"/>
        </w:rPr>
        <w:t>T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able </w:t>
      </w:r>
      <w:r w:rsidR="00F56F9F">
        <w:rPr>
          <w:rFonts w:ascii="Times New Roman" w:hAnsi="Times New Roman" w:cs="Times New Roman"/>
          <w:sz w:val="22"/>
          <w:szCs w:val="22"/>
          <w:lang w:val="en-US"/>
        </w:rPr>
        <w:t>II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). In both univariate and multivariate analyses, samples with</w:t>
      </w:r>
      <w:r w:rsidR="00212B30">
        <w:rPr>
          <w:rFonts w:ascii="Times New Roman" w:hAnsi="Times New Roman" w:cs="Times New Roman"/>
          <w:sz w:val="22"/>
          <w:szCs w:val="22"/>
          <w:lang w:val="en-US"/>
        </w:rPr>
        <w:t xml:space="preserve"> a range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 28</w:t>
      </w:r>
      <w:r w:rsidR="004C66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˂</w:t>
      </w:r>
      <w:r w:rsidR="00231D9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β-globin</w:t>
      </w:r>
      <w:r w:rsidR="004C66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≤</w:t>
      </w:r>
      <w:r w:rsidR="00231D9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32 had significantly lower odds of HPV </w:t>
      </w:r>
      <w:r w:rsidR="00266582" w:rsidRPr="004324AE">
        <w:rPr>
          <w:rFonts w:ascii="Times New Roman" w:hAnsi="Times New Roman" w:cs="Times New Roman"/>
          <w:sz w:val="22"/>
          <w:szCs w:val="22"/>
          <w:lang w:val="en-US"/>
        </w:rPr>
        <w:t>PR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 compared to the reference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lastRenderedPageBreak/>
        <w:t>group (β-globin</w:t>
      </w:r>
      <w:r w:rsidR="004C66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D877CA" w:rsidRPr="004324AE">
        <w:rPr>
          <w:rFonts w:ascii="Times New Roman" w:hAnsi="Times New Roman" w:cs="Times New Roman"/>
          <w:sz w:val="22"/>
          <w:szCs w:val="22"/>
          <w:lang w:val="en-US"/>
        </w:rPr>
        <w:t>≤</w:t>
      </w:r>
      <w:r w:rsidR="00231D9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28), with ORs of 0.</w:t>
      </w:r>
      <w:r w:rsidR="00E32C72" w:rsidRPr="004324AE">
        <w:rPr>
          <w:rFonts w:ascii="Times New Roman" w:hAnsi="Times New Roman" w:cs="Times New Roman"/>
          <w:sz w:val="22"/>
          <w:szCs w:val="22"/>
          <w:lang w:val="en-US"/>
        </w:rPr>
        <w:t>58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 (95% CI: 0.5</w:t>
      </w:r>
      <w:r w:rsidR="00E32C72" w:rsidRPr="004324AE">
        <w:rPr>
          <w:rFonts w:ascii="Times New Roman" w:hAnsi="Times New Roman" w:cs="Times New Roman"/>
          <w:sz w:val="22"/>
          <w:szCs w:val="22"/>
          <w:lang w:val="en-US"/>
        </w:rPr>
        <w:t>3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–0.6</w:t>
      </w:r>
      <w:r w:rsidR="00E32C72" w:rsidRPr="004324AE">
        <w:rPr>
          <w:rFonts w:ascii="Times New Roman" w:hAnsi="Times New Roman" w:cs="Times New Roman"/>
          <w:sz w:val="22"/>
          <w:szCs w:val="22"/>
          <w:lang w:val="en-US"/>
        </w:rPr>
        <w:t>3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, p&lt;0.001) and 0.6</w:t>
      </w:r>
      <w:r w:rsidR="00E32C72" w:rsidRPr="004324AE">
        <w:rPr>
          <w:rFonts w:ascii="Times New Roman" w:hAnsi="Times New Roman" w:cs="Times New Roman"/>
          <w:sz w:val="22"/>
          <w:szCs w:val="22"/>
          <w:lang w:val="en-US"/>
        </w:rPr>
        <w:t>3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 (95% CI: 0.</w:t>
      </w:r>
      <w:r w:rsidR="00E32C72" w:rsidRPr="004324AE">
        <w:rPr>
          <w:rFonts w:ascii="Times New Roman" w:hAnsi="Times New Roman" w:cs="Times New Roman"/>
          <w:sz w:val="22"/>
          <w:szCs w:val="22"/>
          <w:lang w:val="en-US"/>
        </w:rPr>
        <w:t>58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–0.</w:t>
      </w:r>
      <w:r w:rsidR="00E32C72" w:rsidRPr="004324AE">
        <w:rPr>
          <w:rFonts w:ascii="Times New Roman" w:hAnsi="Times New Roman" w:cs="Times New Roman"/>
          <w:sz w:val="22"/>
          <w:szCs w:val="22"/>
          <w:lang w:val="en-US"/>
        </w:rPr>
        <w:t>68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, p</w:t>
      </w:r>
      <w:r w:rsidR="00342198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&lt;</w:t>
      </w:r>
      <w:r w:rsidR="00342198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0.001), respectively. The association was even stronger for samples with 32</w:t>
      </w:r>
      <w:r w:rsidR="004C66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266582" w:rsidRPr="004324AE">
        <w:rPr>
          <w:rFonts w:ascii="Times New Roman" w:hAnsi="Times New Roman" w:cs="Times New Roman"/>
          <w:sz w:val="22"/>
          <w:szCs w:val="22"/>
          <w:lang w:val="en-US"/>
        </w:rPr>
        <w:t>≤</w:t>
      </w:r>
      <w:r w:rsidR="00231D9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β-globin</w:t>
      </w:r>
      <w:r w:rsidR="004C66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266582" w:rsidRPr="004324AE">
        <w:rPr>
          <w:rFonts w:ascii="Times New Roman" w:hAnsi="Times New Roman" w:cs="Times New Roman"/>
          <w:sz w:val="22"/>
          <w:szCs w:val="22"/>
          <w:lang w:val="en-US"/>
        </w:rPr>
        <w:t>&lt;</w:t>
      </w:r>
      <w:r w:rsidR="00231D9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34, which had ORs of 0.</w:t>
      </w:r>
      <w:r w:rsidR="00E32C72" w:rsidRPr="004324AE">
        <w:rPr>
          <w:rFonts w:ascii="Times New Roman" w:hAnsi="Times New Roman" w:cs="Times New Roman"/>
          <w:sz w:val="22"/>
          <w:szCs w:val="22"/>
          <w:lang w:val="en-US"/>
        </w:rPr>
        <w:t>38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 (95% CI: 0.2</w:t>
      </w:r>
      <w:r w:rsidR="00E32C72" w:rsidRPr="004324AE">
        <w:rPr>
          <w:rFonts w:ascii="Times New Roman" w:hAnsi="Times New Roman" w:cs="Times New Roman"/>
          <w:sz w:val="22"/>
          <w:szCs w:val="22"/>
          <w:lang w:val="en-US"/>
        </w:rPr>
        <w:t>7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–0.5</w:t>
      </w:r>
      <w:r w:rsidR="00E32C72" w:rsidRPr="004324AE">
        <w:rPr>
          <w:rFonts w:ascii="Times New Roman" w:hAnsi="Times New Roman" w:cs="Times New Roman"/>
          <w:sz w:val="22"/>
          <w:szCs w:val="22"/>
          <w:lang w:val="en-US"/>
        </w:rPr>
        <w:t>7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, p</w:t>
      </w:r>
      <w:r w:rsidR="00342198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&lt;</w:t>
      </w:r>
      <w:r w:rsidR="00342198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0.001) and 0.4</w:t>
      </w:r>
      <w:r w:rsidR="00E32C72" w:rsidRPr="004324AE">
        <w:rPr>
          <w:rFonts w:ascii="Times New Roman" w:hAnsi="Times New Roman" w:cs="Times New Roman"/>
          <w:sz w:val="22"/>
          <w:szCs w:val="22"/>
          <w:lang w:val="en-US"/>
        </w:rPr>
        <w:t>2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 (95% CI: 0.</w:t>
      </w:r>
      <w:r w:rsidR="00E32C72" w:rsidRPr="004324AE">
        <w:rPr>
          <w:rFonts w:ascii="Times New Roman" w:hAnsi="Times New Roman" w:cs="Times New Roman"/>
          <w:sz w:val="22"/>
          <w:szCs w:val="22"/>
          <w:lang w:val="en-US"/>
        </w:rPr>
        <w:t>30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–0.6</w:t>
      </w:r>
      <w:r w:rsidR="00E32C72" w:rsidRPr="004324AE">
        <w:rPr>
          <w:rFonts w:ascii="Times New Roman" w:hAnsi="Times New Roman" w:cs="Times New Roman"/>
          <w:sz w:val="22"/>
          <w:szCs w:val="22"/>
          <w:lang w:val="en-US"/>
        </w:rPr>
        <w:t>0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, p</w:t>
      </w:r>
      <w:r w:rsidR="00342198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&lt;</w:t>
      </w:r>
      <w:r w:rsidR="00342198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0.001). Samples with 34</w:t>
      </w:r>
      <w:r w:rsidR="004C66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266582" w:rsidRPr="004324AE">
        <w:rPr>
          <w:rFonts w:ascii="Times New Roman" w:hAnsi="Times New Roman" w:cs="Times New Roman"/>
          <w:sz w:val="22"/>
          <w:szCs w:val="22"/>
          <w:lang w:val="en-US"/>
        </w:rPr>
        <w:t>≤</w:t>
      </w:r>
      <w:r w:rsidR="00231D9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β-globin</w:t>
      </w:r>
      <w:r w:rsidR="004C66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≤</w:t>
      </w:r>
      <w:r w:rsidR="00231D9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40 </w:t>
      </w:r>
      <w:r w:rsidR="00212B30">
        <w:rPr>
          <w:rFonts w:ascii="Times New Roman" w:hAnsi="Times New Roman" w:cs="Times New Roman"/>
          <w:sz w:val="22"/>
          <w:szCs w:val="22"/>
          <w:lang w:val="en-US"/>
        </w:rPr>
        <w:t xml:space="preserve">range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had the lowest odds of HPV-</w:t>
      </w:r>
      <w:r w:rsidR="00266582" w:rsidRPr="004324AE">
        <w:rPr>
          <w:rFonts w:ascii="Times New Roman" w:hAnsi="Times New Roman" w:cs="Times New Roman"/>
          <w:sz w:val="22"/>
          <w:szCs w:val="22"/>
          <w:lang w:val="en-US"/>
        </w:rPr>
        <w:t>PR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, with ORs of 0.1</w:t>
      </w:r>
      <w:r w:rsidR="00E32C72" w:rsidRPr="004324AE">
        <w:rPr>
          <w:rFonts w:ascii="Times New Roman" w:hAnsi="Times New Roman" w:cs="Times New Roman"/>
          <w:sz w:val="22"/>
          <w:szCs w:val="22"/>
          <w:lang w:val="en-US"/>
        </w:rPr>
        <w:t>3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 (95% CI: 0.04–0.</w:t>
      </w:r>
      <w:r w:rsidR="00E32C72" w:rsidRPr="004324AE">
        <w:rPr>
          <w:rFonts w:ascii="Times New Roman" w:hAnsi="Times New Roman" w:cs="Times New Roman"/>
          <w:sz w:val="22"/>
          <w:szCs w:val="22"/>
          <w:lang w:val="en-US"/>
        </w:rPr>
        <w:t>41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, p</w:t>
      </w:r>
      <w:r w:rsidR="00342198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&lt;</w:t>
      </w:r>
      <w:r w:rsidR="00342198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0.001) in the univariate model and 0.1</w:t>
      </w:r>
      <w:r w:rsidR="00E32C72" w:rsidRPr="004324AE">
        <w:rPr>
          <w:rFonts w:ascii="Times New Roman" w:hAnsi="Times New Roman" w:cs="Times New Roman"/>
          <w:sz w:val="22"/>
          <w:szCs w:val="22"/>
          <w:lang w:val="en-US"/>
        </w:rPr>
        <w:t>4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 (95% CI: 0.0</w:t>
      </w:r>
      <w:r w:rsidR="00E32C72" w:rsidRPr="004324AE">
        <w:rPr>
          <w:rFonts w:ascii="Times New Roman" w:hAnsi="Times New Roman" w:cs="Times New Roman"/>
          <w:sz w:val="22"/>
          <w:szCs w:val="22"/>
          <w:lang w:val="en-US"/>
        </w:rPr>
        <w:t>5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–0.4</w:t>
      </w:r>
      <w:r w:rsidR="00E32C72" w:rsidRPr="004324AE">
        <w:rPr>
          <w:rFonts w:ascii="Times New Roman" w:hAnsi="Times New Roman" w:cs="Times New Roman"/>
          <w:sz w:val="22"/>
          <w:szCs w:val="22"/>
          <w:lang w:val="en-US"/>
        </w:rPr>
        <w:t>5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, p</w:t>
      </w:r>
      <w:r w:rsidR="00342198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=</w:t>
      </w:r>
      <w:r w:rsidR="00342198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0.001) in the multivariate model.</w:t>
      </w:r>
    </w:p>
    <w:p w14:paraId="27FF790E" w14:textId="77777777" w:rsidR="000E7569" w:rsidRPr="006D4277" w:rsidRDefault="000E7569" w:rsidP="00625B50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14:paraId="074CEB03" w14:textId="2D3E1517" w:rsidR="00F60F92" w:rsidRPr="006D4277" w:rsidRDefault="004D595C" w:rsidP="00752AC2">
      <w:pPr>
        <w:jc w:val="both"/>
        <w:rPr>
          <w:rFonts w:ascii="Times New Roman" w:hAnsi="Times New Roman" w:cs="Times New Roman"/>
          <w:i/>
          <w:iCs/>
          <w:sz w:val="22"/>
          <w:szCs w:val="22"/>
          <w:lang w:val="en-US"/>
        </w:rPr>
      </w:pPr>
      <w:r w:rsidRPr="006D4277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3.2 </w:t>
      </w:r>
      <w:r w:rsidR="00F60F92" w:rsidRPr="006D4277">
        <w:rPr>
          <w:rFonts w:ascii="Times New Roman" w:hAnsi="Times New Roman" w:cs="Times New Roman"/>
          <w:i/>
          <w:iCs/>
          <w:sz w:val="22"/>
          <w:szCs w:val="22"/>
          <w:lang w:val="en-US"/>
        </w:rPr>
        <w:t>Age-related</w:t>
      </w:r>
      <w:r w:rsidR="00735B49" w:rsidRPr="006D4277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 sample cellularity and</w:t>
      </w:r>
      <w:r w:rsidR="00F60F92" w:rsidRPr="006D4277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 HPV</w:t>
      </w:r>
      <w:r w:rsidR="00912D2B">
        <w:rPr>
          <w:rFonts w:ascii="Times New Roman" w:hAnsi="Times New Roman" w:cs="Times New Roman"/>
          <w:i/>
          <w:iCs/>
          <w:sz w:val="22"/>
          <w:szCs w:val="22"/>
          <w:lang w:val="en-US"/>
        </w:rPr>
        <w:t>-</w:t>
      </w:r>
      <w:r w:rsidR="00F60F92" w:rsidRPr="006D4277">
        <w:rPr>
          <w:rFonts w:ascii="Times New Roman" w:hAnsi="Times New Roman" w:cs="Times New Roman"/>
          <w:i/>
          <w:iCs/>
          <w:sz w:val="22"/>
          <w:szCs w:val="22"/>
          <w:lang w:val="en-US"/>
        </w:rPr>
        <w:t>P</w:t>
      </w:r>
      <w:r w:rsidR="00266582">
        <w:rPr>
          <w:rFonts w:ascii="Times New Roman" w:hAnsi="Times New Roman" w:cs="Times New Roman"/>
          <w:i/>
          <w:iCs/>
          <w:sz w:val="22"/>
          <w:szCs w:val="22"/>
          <w:lang w:val="en-US"/>
        </w:rPr>
        <w:t>R</w:t>
      </w:r>
    </w:p>
    <w:p w14:paraId="6F831445" w14:textId="460C3802" w:rsidR="00420D06" w:rsidRDefault="00251ECC" w:rsidP="004D595C">
      <w:p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6D4277">
        <w:rPr>
          <w:rFonts w:ascii="Times New Roman" w:hAnsi="Times New Roman" w:cs="Times New Roman"/>
          <w:sz w:val="22"/>
          <w:szCs w:val="22"/>
          <w:lang w:val="en-US"/>
        </w:rPr>
        <w:t>DNA yields and HPV</w:t>
      </w:r>
      <w:r w:rsidR="00912D2B">
        <w:rPr>
          <w:rFonts w:ascii="Times New Roman" w:hAnsi="Times New Roman" w:cs="Times New Roman"/>
          <w:sz w:val="22"/>
          <w:szCs w:val="22"/>
          <w:lang w:val="en-US"/>
        </w:rPr>
        <w:t>-</w:t>
      </w:r>
      <w:r w:rsidR="00CD0FDB">
        <w:rPr>
          <w:rFonts w:ascii="Times New Roman" w:hAnsi="Times New Roman" w:cs="Times New Roman"/>
          <w:sz w:val="22"/>
          <w:szCs w:val="22"/>
          <w:lang w:val="en-US"/>
        </w:rPr>
        <w:t xml:space="preserve">PR </w:t>
      </w:r>
      <w:r w:rsidR="00212B30">
        <w:rPr>
          <w:rFonts w:ascii="Times New Roman" w:hAnsi="Times New Roman" w:cs="Times New Roman"/>
          <w:sz w:val="22"/>
          <w:szCs w:val="22"/>
          <w:lang w:val="en-US"/>
        </w:rPr>
        <w:t xml:space="preserve">were </w:t>
      </w:r>
      <w:r w:rsidR="00CD0FDB">
        <w:rPr>
          <w:rFonts w:ascii="Times New Roman" w:hAnsi="Times New Roman" w:cs="Times New Roman"/>
          <w:sz w:val="22"/>
          <w:szCs w:val="22"/>
          <w:lang w:val="en-US"/>
        </w:rPr>
        <w:t>influenced by patients’ age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. </w:t>
      </w:r>
      <w:r w:rsidR="00AF2D5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Table </w:t>
      </w:r>
      <w:r w:rsidR="00F56F9F">
        <w:rPr>
          <w:rFonts w:ascii="Times New Roman" w:hAnsi="Times New Roman" w:cs="Times New Roman"/>
          <w:sz w:val="22"/>
          <w:szCs w:val="22"/>
          <w:lang w:val="en-US"/>
        </w:rPr>
        <w:t>III</w:t>
      </w:r>
      <w:r w:rsidR="00AF2D5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AF2D56">
        <w:rPr>
          <w:rFonts w:ascii="Times New Roman" w:hAnsi="Times New Roman" w:cs="Times New Roman"/>
          <w:sz w:val="22"/>
          <w:szCs w:val="22"/>
          <w:lang w:val="en-US"/>
        </w:rPr>
        <w:t>shows</w:t>
      </w:r>
      <w:r w:rsidR="00AF2D5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slight but significant differences in mean age across the </w:t>
      </w:r>
      <w:r w:rsidR="00CD0FDB" w:rsidRPr="00CD0FDB">
        <w:rPr>
          <w:rFonts w:ascii="Symbol" w:hAnsi="Symbol" w:cs="Times New Roman"/>
          <w:sz w:val="22"/>
          <w:szCs w:val="22"/>
          <w:lang w:val="en-US"/>
        </w:rPr>
        <w:t>b</w:t>
      </w:r>
      <w:r w:rsidR="00AF2D5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-globin Ct groups (unpaired t-test </w:t>
      </w:r>
      <w:r w:rsidR="00AF2D56" w:rsidRPr="006D4277">
        <w:rPr>
          <w:rFonts w:ascii="Times New Roman" w:hAnsi="Times New Roman" w:cs="Times New Roman"/>
          <w:i/>
          <w:iCs/>
          <w:sz w:val="22"/>
          <w:szCs w:val="22"/>
          <w:lang w:val="en-US"/>
        </w:rPr>
        <w:t>p</w:t>
      </w:r>
      <w:r w:rsidR="00AF2D5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value &lt;</w:t>
      </w:r>
      <w:r w:rsidR="004C66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D877CA">
        <w:rPr>
          <w:rFonts w:ascii="Times New Roman" w:hAnsi="Times New Roman" w:cs="Times New Roman"/>
          <w:sz w:val="22"/>
          <w:szCs w:val="22"/>
          <w:lang w:val="en-US"/>
        </w:rPr>
        <w:t>0</w:t>
      </w:r>
      <w:r w:rsidR="00AF2D5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.0001). Generally, lower Ct values (indicating higher DNA quantity) </w:t>
      </w:r>
      <w:r w:rsidR="00212B30">
        <w:rPr>
          <w:rFonts w:ascii="Times New Roman" w:hAnsi="Times New Roman" w:cs="Times New Roman"/>
          <w:sz w:val="22"/>
          <w:szCs w:val="22"/>
          <w:lang w:val="en-US"/>
        </w:rPr>
        <w:t>were</w:t>
      </w:r>
      <w:r w:rsidR="00212B30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AF2D5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associated with </w:t>
      </w:r>
      <w:r w:rsidR="00BB65F2">
        <w:rPr>
          <w:rFonts w:ascii="Times New Roman" w:hAnsi="Times New Roman" w:cs="Times New Roman"/>
          <w:sz w:val="22"/>
          <w:szCs w:val="22"/>
          <w:lang w:val="en-US"/>
        </w:rPr>
        <w:t xml:space="preserve">women’s </w:t>
      </w:r>
      <w:r w:rsidR="00AF2D5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younger mean ages. This trend may suggest that sample quality, as reflected by </w:t>
      </w:r>
      <w:r w:rsidR="00AF2D56" w:rsidRPr="00266582">
        <w:rPr>
          <w:rFonts w:ascii="Symbol" w:hAnsi="Symbol" w:cs="Times New Roman"/>
          <w:sz w:val="22"/>
          <w:szCs w:val="22"/>
          <w:lang w:val="en-US"/>
        </w:rPr>
        <w:t>b</w:t>
      </w:r>
      <w:r w:rsidR="00AF2D5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-globin Ct, could vary with age. However, the differences are not substantial, suggesting that age may not be the only factor influencing sample </w:t>
      </w:r>
      <w:r w:rsidR="00CD0FDB">
        <w:rPr>
          <w:rFonts w:ascii="Times New Roman" w:hAnsi="Times New Roman" w:cs="Times New Roman"/>
          <w:sz w:val="22"/>
          <w:szCs w:val="22"/>
          <w:lang w:val="en-US"/>
        </w:rPr>
        <w:t>cellularity</w:t>
      </w:r>
      <w:r w:rsidR="00AF2D5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.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The association between age </w:t>
      </w:r>
      <w:r w:rsidR="000E7569" w:rsidRPr="004324AE">
        <w:rPr>
          <w:rFonts w:ascii="Times New Roman" w:hAnsi="Times New Roman" w:cs="Times New Roman"/>
          <w:sz w:val="22"/>
          <w:szCs w:val="22"/>
          <w:lang w:val="en-US"/>
        </w:rPr>
        <w:t>ranges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 and </w:t>
      </w:r>
      <w:r w:rsidR="000E7569" w:rsidRPr="004324AE">
        <w:rPr>
          <w:rFonts w:ascii="Times New Roman" w:hAnsi="Times New Roman" w:cs="Times New Roman"/>
          <w:sz w:val="22"/>
          <w:szCs w:val="22"/>
          <w:lang w:val="en-US"/>
        </w:rPr>
        <w:t>HPV</w:t>
      </w:r>
      <w:r w:rsidR="00912D2B">
        <w:rPr>
          <w:rFonts w:ascii="Times New Roman" w:hAnsi="Times New Roman" w:cs="Times New Roman"/>
          <w:sz w:val="22"/>
          <w:szCs w:val="22"/>
          <w:lang w:val="en-US"/>
        </w:rPr>
        <w:t>-</w:t>
      </w:r>
      <w:r w:rsidR="00CD0FDB" w:rsidRPr="004324AE">
        <w:rPr>
          <w:rFonts w:ascii="Times New Roman" w:hAnsi="Times New Roman" w:cs="Times New Roman"/>
          <w:sz w:val="22"/>
          <w:szCs w:val="22"/>
          <w:lang w:val="en-US"/>
        </w:rPr>
        <w:t>PR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 was statistically significant (χ²</w:t>
      </w:r>
      <w:r w:rsidR="004C66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= 273.0, p</w:t>
      </w:r>
      <w:r w:rsidR="00342198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&lt;</w:t>
      </w:r>
      <w:r w:rsidR="004C66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0.001) (</w:t>
      </w:r>
      <w:r w:rsidR="000E7569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Table </w:t>
      </w:r>
      <w:r w:rsidR="00F56F9F">
        <w:rPr>
          <w:rFonts w:ascii="Times New Roman" w:hAnsi="Times New Roman" w:cs="Times New Roman"/>
          <w:sz w:val="22"/>
          <w:szCs w:val="22"/>
          <w:lang w:val="en-US"/>
        </w:rPr>
        <w:t>IV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)</w:t>
      </w:r>
      <w:r w:rsidR="00266582" w:rsidRPr="004324AE">
        <w:rPr>
          <w:rFonts w:ascii="Times New Roman" w:hAnsi="Times New Roman" w:cs="Times New Roman"/>
          <w:sz w:val="22"/>
          <w:szCs w:val="22"/>
          <w:lang w:val="en-US"/>
        </w:rPr>
        <w:t>,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266582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confirming </w:t>
      </w:r>
      <w:r w:rsidR="00C14BD7">
        <w:rPr>
          <w:rFonts w:ascii="Times New Roman" w:hAnsi="Times New Roman" w:cs="Times New Roman"/>
          <w:sz w:val="22"/>
          <w:szCs w:val="22"/>
          <w:lang w:val="en-US"/>
        </w:rPr>
        <w:t xml:space="preserve">previously reported </w:t>
      </w:r>
      <w:r w:rsidR="00266582" w:rsidRPr="004324AE">
        <w:rPr>
          <w:rFonts w:ascii="Times New Roman" w:hAnsi="Times New Roman" w:cs="Times New Roman"/>
          <w:sz w:val="22"/>
          <w:szCs w:val="22"/>
          <w:lang w:val="en-US"/>
        </w:rPr>
        <w:t>data</w:t>
      </w:r>
      <w:r w:rsidR="00266582" w:rsidRPr="004324AE">
        <w:rPr>
          <w:rFonts w:ascii="Times New Roman" w:hAnsi="Times New Roman" w:cs="Times New Roman"/>
          <w:sz w:val="22"/>
          <w:szCs w:val="22"/>
          <w:vertAlign w:val="superscript"/>
          <w:lang w:val="en-US"/>
        </w:rPr>
        <w:t>39,40</w:t>
      </w:r>
      <w:r w:rsidR="00266582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. </w:t>
      </w:r>
      <w:r w:rsidR="00C14BD7">
        <w:rPr>
          <w:rFonts w:ascii="Times New Roman" w:hAnsi="Times New Roman" w:cs="Times New Roman"/>
          <w:sz w:val="22"/>
          <w:szCs w:val="22"/>
          <w:lang w:val="en-US"/>
        </w:rPr>
        <w:t>In the present study</w:t>
      </w:r>
      <w:r w:rsidR="00BB65F2">
        <w:rPr>
          <w:rFonts w:ascii="Times New Roman" w:hAnsi="Times New Roman" w:cs="Times New Roman"/>
          <w:sz w:val="22"/>
          <w:szCs w:val="22"/>
          <w:lang w:val="en-US"/>
        </w:rPr>
        <w:t>,</w:t>
      </w:r>
      <w:r w:rsidR="00C14BD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3D58CA">
        <w:rPr>
          <w:rFonts w:ascii="Times New Roman" w:hAnsi="Times New Roman" w:cs="Times New Roman"/>
          <w:sz w:val="22"/>
          <w:szCs w:val="22"/>
          <w:lang w:val="en-US"/>
        </w:rPr>
        <w:t>a</w:t>
      </w:r>
      <w:r w:rsidR="003D58CA" w:rsidRPr="004324AE">
        <w:rPr>
          <w:rFonts w:ascii="Times New Roman" w:hAnsi="Times New Roman" w:cs="Times New Roman"/>
          <w:sz w:val="22"/>
          <w:szCs w:val="22"/>
          <w:lang w:val="en-US"/>
        </w:rPr>
        <w:t>ge was a significant factor in HPV</w:t>
      </w:r>
      <w:r w:rsidR="00912D2B">
        <w:rPr>
          <w:rFonts w:ascii="Times New Roman" w:hAnsi="Times New Roman" w:cs="Times New Roman"/>
          <w:sz w:val="22"/>
          <w:szCs w:val="22"/>
          <w:lang w:val="en-US"/>
        </w:rPr>
        <w:t>-</w:t>
      </w:r>
      <w:r w:rsidR="003D58CA" w:rsidRPr="004324AE">
        <w:rPr>
          <w:rFonts w:ascii="Times New Roman" w:hAnsi="Times New Roman" w:cs="Times New Roman"/>
          <w:sz w:val="22"/>
          <w:szCs w:val="22"/>
          <w:lang w:val="en-US"/>
        </w:rPr>
        <w:t>PR</w:t>
      </w:r>
      <w:r w:rsidR="00BB65F2">
        <w:rPr>
          <w:rFonts w:ascii="Times New Roman" w:hAnsi="Times New Roman" w:cs="Times New Roman"/>
          <w:sz w:val="22"/>
          <w:szCs w:val="22"/>
          <w:lang w:val="en-US"/>
        </w:rPr>
        <w:t>:</w:t>
      </w:r>
      <w:r w:rsidR="003D58CA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C14BD7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11.5% of samples were HPV-positive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in the 30–39 </w:t>
      </w:r>
      <w:r w:rsidR="00BB65F2">
        <w:rPr>
          <w:rFonts w:ascii="Times New Roman" w:hAnsi="Times New Roman" w:cs="Times New Roman"/>
          <w:sz w:val="22"/>
          <w:szCs w:val="22"/>
          <w:lang w:val="en-US"/>
        </w:rPr>
        <w:t xml:space="preserve">yrs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age group, compared to 4.8% in the 60–64 </w:t>
      </w:r>
      <w:r w:rsidR="00BB65F2">
        <w:rPr>
          <w:rFonts w:ascii="Times New Roman" w:hAnsi="Times New Roman" w:cs="Times New Roman"/>
          <w:sz w:val="22"/>
          <w:szCs w:val="22"/>
          <w:lang w:val="en-US"/>
        </w:rPr>
        <w:t xml:space="preserve">yrs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age group. The 30–39 years age group had the highest odds of HPV</w:t>
      </w:r>
      <w:r w:rsidR="00912D2B">
        <w:rPr>
          <w:rFonts w:ascii="Times New Roman" w:hAnsi="Times New Roman" w:cs="Times New Roman"/>
          <w:sz w:val="22"/>
          <w:szCs w:val="22"/>
          <w:lang w:val="en-US"/>
        </w:rPr>
        <w:t>-</w:t>
      </w:r>
      <w:r w:rsidR="00D877CA" w:rsidRPr="004324AE">
        <w:rPr>
          <w:rFonts w:ascii="Times New Roman" w:hAnsi="Times New Roman" w:cs="Times New Roman"/>
          <w:sz w:val="22"/>
          <w:szCs w:val="22"/>
          <w:lang w:val="en-US"/>
        </w:rPr>
        <w:t>PR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, with ORs of 2.55 (95% CI: 2.20–2.96, p</w:t>
      </w:r>
      <w:r w:rsidR="004C66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&lt;</w:t>
      </w:r>
      <w:r w:rsidR="004C66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0.001) in the univariate model and 2.1</w:t>
      </w:r>
      <w:r w:rsidR="00911AEE" w:rsidRPr="004324AE">
        <w:rPr>
          <w:rFonts w:ascii="Times New Roman" w:hAnsi="Times New Roman" w:cs="Times New Roman"/>
          <w:sz w:val="22"/>
          <w:szCs w:val="22"/>
          <w:lang w:val="en-US"/>
        </w:rPr>
        <w:t>8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 (95% CI: 1.</w:t>
      </w:r>
      <w:r w:rsidR="00911AEE" w:rsidRPr="004324AE">
        <w:rPr>
          <w:rFonts w:ascii="Times New Roman" w:hAnsi="Times New Roman" w:cs="Times New Roman"/>
          <w:sz w:val="22"/>
          <w:szCs w:val="22"/>
          <w:lang w:val="en-US"/>
        </w:rPr>
        <w:t>87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–2.5</w:t>
      </w:r>
      <w:r w:rsidR="00911AEE" w:rsidRPr="004324AE">
        <w:rPr>
          <w:rFonts w:ascii="Times New Roman" w:hAnsi="Times New Roman" w:cs="Times New Roman"/>
          <w:sz w:val="22"/>
          <w:szCs w:val="22"/>
          <w:lang w:val="en-US"/>
        </w:rPr>
        <w:t>3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, p</w:t>
      </w:r>
      <w:r w:rsidR="004C66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&lt;</w:t>
      </w:r>
      <w:r w:rsidR="004C66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0.001) in the multivariate model. The 40–49 years group had ORs of 1.70 (95% CI: 1.46–1.97, p</w:t>
      </w:r>
      <w:r w:rsidR="004C66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&lt;</w:t>
      </w:r>
      <w:r w:rsidR="004C66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0.001) and 1.50 (95% CI: 1.2</w:t>
      </w:r>
      <w:r w:rsidR="00911AEE" w:rsidRPr="004324AE">
        <w:rPr>
          <w:rFonts w:ascii="Times New Roman" w:hAnsi="Times New Roman" w:cs="Times New Roman"/>
          <w:sz w:val="22"/>
          <w:szCs w:val="22"/>
          <w:lang w:val="en-US"/>
        </w:rPr>
        <w:t>8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–1.74, p</w:t>
      </w:r>
      <w:r w:rsidR="004C66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&lt;</w:t>
      </w:r>
      <w:r w:rsidR="004C66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0.001) in univariate and multivariate analyses, respectively. The 50–59 years </w:t>
      </w:r>
      <w:r w:rsidR="00BB65F2">
        <w:rPr>
          <w:rFonts w:ascii="Times New Roman" w:hAnsi="Times New Roman" w:cs="Times New Roman"/>
          <w:sz w:val="22"/>
          <w:szCs w:val="22"/>
          <w:lang w:val="en-US"/>
        </w:rPr>
        <w:t xml:space="preserve">age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group had lower but still significant odds, with ORs of 1.26 (95% CI: 1.08–1.47, p = 0.003) and 1.19 (95% CI: 1.02–1.3</w:t>
      </w:r>
      <w:r w:rsidR="00911AEE" w:rsidRPr="004324AE">
        <w:rPr>
          <w:rFonts w:ascii="Times New Roman" w:hAnsi="Times New Roman" w:cs="Times New Roman"/>
          <w:sz w:val="22"/>
          <w:szCs w:val="22"/>
          <w:lang w:val="en-US"/>
        </w:rPr>
        <w:t>8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, p</w:t>
      </w:r>
      <w:r w:rsidR="004C66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722A" w:rsidRPr="004324AE">
        <w:rPr>
          <w:rFonts w:ascii="Times New Roman" w:hAnsi="Times New Roman" w:cs="Times New Roman"/>
          <w:sz w:val="22"/>
          <w:szCs w:val="22"/>
          <w:lang w:val="en-US"/>
        </w:rPr>
        <w:t>= 0.025) in the univariate and multivariate models, respectively</w:t>
      </w:r>
      <w:r w:rsidR="003D58CA">
        <w:rPr>
          <w:rFonts w:ascii="Times New Roman" w:hAnsi="Times New Roman" w:cs="Times New Roman"/>
          <w:sz w:val="22"/>
          <w:szCs w:val="22"/>
          <w:lang w:val="en-US"/>
        </w:rPr>
        <w:t>,</w:t>
      </w:r>
      <w:r w:rsidR="006E722A" w:rsidRPr="006E722A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3D58CA" w:rsidRPr="004324AE">
        <w:rPr>
          <w:rFonts w:ascii="Times New Roman" w:hAnsi="Times New Roman" w:cs="Times New Roman"/>
          <w:sz w:val="22"/>
          <w:szCs w:val="22"/>
          <w:lang w:val="en-US"/>
        </w:rPr>
        <w:t xml:space="preserve">(Table </w:t>
      </w:r>
      <w:r w:rsidR="00F56F9F">
        <w:rPr>
          <w:rFonts w:ascii="Times New Roman" w:hAnsi="Times New Roman" w:cs="Times New Roman"/>
          <w:sz w:val="22"/>
          <w:szCs w:val="22"/>
          <w:lang w:val="en-US"/>
        </w:rPr>
        <w:t>II</w:t>
      </w:r>
      <w:r w:rsidR="003D58CA" w:rsidRPr="004324AE">
        <w:rPr>
          <w:rFonts w:ascii="Times New Roman" w:hAnsi="Times New Roman" w:cs="Times New Roman"/>
          <w:sz w:val="22"/>
          <w:szCs w:val="22"/>
          <w:lang w:val="en-US"/>
        </w:rPr>
        <w:t>).</w:t>
      </w:r>
    </w:p>
    <w:p w14:paraId="626C67F9" w14:textId="77777777" w:rsidR="00042362" w:rsidRPr="006D4277" w:rsidRDefault="00042362" w:rsidP="004D595C">
      <w:pPr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14:paraId="4029BD9B" w14:textId="2B38D995" w:rsidR="00C23F39" w:rsidRPr="006D4277" w:rsidRDefault="004D595C" w:rsidP="007008F3">
      <w:pPr>
        <w:jc w:val="both"/>
        <w:rPr>
          <w:rFonts w:ascii="Times New Roman" w:hAnsi="Times New Roman" w:cs="Times New Roman"/>
          <w:i/>
          <w:iCs/>
          <w:sz w:val="22"/>
          <w:szCs w:val="22"/>
          <w:lang w:val="en-US"/>
        </w:rPr>
      </w:pPr>
      <w:r w:rsidRPr="006D4277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3.3 </w:t>
      </w:r>
      <w:r w:rsidR="00C23F39" w:rsidRPr="006D4277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Sample Collection Variability Across </w:t>
      </w:r>
      <w:r w:rsidR="005073D6">
        <w:rPr>
          <w:rFonts w:ascii="Times New Roman" w:hAnsi="Times New Roman" w:cs="Times New Roman"/>
          <w:i/>
          <w:iCs/>
          <w:sz w:val="22"/>
          <w:szCs w:val="22"/>
          <w:lang w:val="en-US"/>
        </w:rPr>
        <w:t>Screening Out-</w:t>
      </w:r>
      <w:r w:rsidR="00C14BD7">
        <w:rPr>
          <w:rFonts w:ascii="Times New Roman" w:hAnsi="Times New Roman" w:cs="Times New Roman"/>
          <w:i/>
          <w:iCs/>
          <w:sz w:val="22"/>
          <w:szCs w:val="22"/>
          <w:lang w:val="en-US"/>
        </w:rPr>
        <w:t>P</w:t>
      </w:r>
      <w:r w:rsidR="005073D6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atients </w:t>
      </w:r>
      <w:r w:rsidR="00C23F39" w:rsidRPr="006D4277">
        <w:rPr>
          <w:rFonts w:ascii="Times New Roman" w:hAnsi="Times New Roman" w:cs="Times New Roman"/>
          <w:i/>
          <w:iCs/>
          <w:sz w:val="22"/>
          <w:szCs w:val="22"/>
          <w:lang w:val="en-US"/>
        </w:rPr>
        <w:t>Clinics</w:t>
      </w:r>
    </w:p>
    <w:p w14:paraId="19A62820" w14:textId="605A635A" w:rsidR="002C4D60" w:rsidRPr="006D4277" w:rsidRDefault="00C23F39" w:rsidP="004D595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The </w:t>
      </w:r>
      <w:r w:rsidR="005073D6">
        <w:rPr>
          <w:rFonts w:ascii="Times New Roman" w:hAnsi="Times New Roman" w:cs="Times New Roman"/>
          <w:sz w:val="22"/>
          <w:szCs w:val="22"/>
          <w:lang w:val="en-US"/>
        </w:rPr>
        <w:t>s</w:t>
      </w:r>
      <w:r w:rsidR="001D6863">
        <w:rPr>
          <w:rFonts w:ascii="Times New Roman" w:hAnsi="Times New Roman" w:cs="Times New Roman"/>
          <w:sz w:val="22"/>
          <w:szCs w:val="22"/>
          <w:lang w:val="en-US"/>
        </w:rPr>
        <w:t xml:space="preserve">tudy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also </w:t>
      </w:r>
      <w:r w:rsidR="001D6863" w:rsidRPr="006D4277">
        <w:rPr>
          <w:rFonts w:ascii="Times New Roman" w:hAnsi="Times New Roman" w:cs="Times New Roman"/>
          <w:sz w:val="22"/>
          <w:szCs w:val="22"/>
          <w:lang w:val="en-US"/>
        </w:rPr>
        <w:t>e</w:t>
      </w:r>
      <w:r w:rsidR="001D6863">
        <w:rPr>
          <w:rFonts w:ascii="Times New Roman" w:hAnsi="Times New Roman" w:cs="Times New Roman"/>
          <w:sz w:val="22"/>
          <w:szCs w:val="22"/>
          <w:lang w:val="en-US"/>
        </w:rPr>
        <w:t xml:space="preserve">valuated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the variation in sample cellularity across </w:t>
      </w:r>
      <w:r w:rsidR="002C0220">
        <w:rPr>
          <w:rFonts w:ascii="Times New Roman" w:hAnsi="Times New Roman" w:cs="Times New Roman"/>
          <w:sz w:val="22"/>
          <w:szCs w:val="22"/>
          <w:lang w:val="en-US"/>
        </w:rPr>
        <w:t xml:space="preserve">45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different women's </w:t>
      </w:r>
      <w:r w:rsidR="001D6863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screening </w:t>
      </w:r>
      <w:r w:rsidR="00C14BD7">
        <w:rPr>
          <w:rFonts w:ascii="Times New Roman" w:hAnsi="Times New Roman" w:cs="Times New Roman"/>
          <w:sz w:val="22"/>
          <w:szCs w:val="22"/>
          <w:lang w:val="en-US"/>
        </w:rPr>
        <w:t>out-</w:t>
      </w:r>
      <w:r w:rsidR="00BB65F2">
        <w:rPr>
          <w:rFonts w:ascii="Times New Roman" w:hAnsi="Times New Roman" w:cs="Times New Roman"/>
          <w:sz w:val="22"/>
          <w:szCs w:val="22"/>
          <w:lang w:val="en-US"/>
        </w:rPr>
        <w:t>patients’</w:t>
      </w:r>
      <w:r w:rsidR="00C14BD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clinics </w:t>
      </w:r>
      <w:r w:rsidR="00702ADA">
        <w:rPr>
          <w:rFonts w:ascii="Times New Roman" w:hAnsi="Times New Roman" w:cs="Times New Roman"/>
          <w:sz w:val="22"/>
          <w:szCs w:val="22"/>
          <w:lang w:val="en-US"/>
        </w:rPr>
        <w:t xml:space="preserve">(SC)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>in the metropolitan area</w:t>
      </w:r>
      <w:r w:rsidR="001D6863">
        <w:rPr>
          <w:rFonts w:ascii="Times New Roman" w:hAnsi="Times New Roman" w:cs="Times New Roman"/>
          <w:sz w:val="22"/>
          <w:szCs w:val="22"/>
          <w:lang w:val="en-US"/>
        </w:rPr>
        <w:t xml:space="preserve"> of Bari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, where samples were collected for HPV testing. β-globin Ct distributions were assessed in samples </w:t>
      </w:r>
      <w:r w:rsidR="001D6863">
        <w:rPr>
          <w:rFonts w:ascii="Times New Roman" w:hAnsi="Times New Roman" w:cs="Times New Roman"/>
          <w:sz w:val="22"/>
          <w:szCs w:val="22"/>
          <w:lang w:val="en-US"/>
        </w:rPr>
        <w:t>collected from</w:t>
      </w:r>
      <w:r w:rsidR="00576810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different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3D58CA">
        <w:rPr>
          <w:rFonts w:ascii="Times New Roman" w:hAnsi="Times New Roman" w:cs="Times New Roman"/>
          <w:sz w:val="22"/>
          <w:szCs w:val="22"/>
          <w:lang w:val="en-US"/>
        </w:rPr>
        <w:t>SC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, and it was observed that </w:t>
      </w:r>
      <w:r w:rsidR="001D6863">
        <w:rPr>
          <w:rFonts w:ascii="Times New Roman" w:hAnsi="Times New Roman" w:cs="Times New Roman"/>
          <w:sz w:val="22"/>
          <w:szCs w:val="22"/>
          <w:lang w:val="en-US"/>
        </w:rPr>
        <w:t xml:space="preserve">in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>some clinics</w:t>
      </w:r>
      <w:r w:rsidR="001D6863">
        <w:rPr>
          <w:rFonts w:ascii="Times New Roman" w:hAnsi="Times New Roman" w:cs="Times New Roman"/>
          <w:sz w:val="22"/>
          <w:szCs w:val="22"/>
          <w:lang w:val="en-US"/>
        </w:rPr>
        <w:t xml:space="preserve"> the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samples </w:t>
      </w:r>
      <w:r w:rsidR="001D6863">
        <w:rPr>
          <w:rFonts w:ascii="Times New Roman" w:hAnsi="Times New Roman" w:cs="Times New Roman"/>
          <w:sz w:val="22"/>
          <w:szCs w:val="22"/>
          <w:lang w:val="en-US"/>
        </w:rPr>
        <w:t>collected showed a</w:t>
      </w:r>
      <w:r w:rsidR="001D6863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significantly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>high</w:t>
      </w:r>
      <w:r w:rsidR="00124792" w:rsidRPr="006D4277">
        <w:rPr>
          <w:rFonts w:ascii="Times New Roman" w:hAnsi="Times New Roman" w:cs="Times New Roman"/>
          <w:sz w:val="22"/>
          <w:szCs w:val="22"/>
          <w:lang w:val="en-US"/>
        </w:rPr>
        <w:t>er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cellularity </w:t>
      </w:r>
      <w:r w:rsidR="001D6863">
        <w:rPr>
          <w:rFonts w:ascii="Times New Roman" w:hAnsi="Times New Roman" w:cs="Times New Roman"/>
          <w:sz w:val="22"/>
          <w:szCs w:val="22"/>
          <w:lang w:val="en-US"/>
        </w:rPr>
        <w:t>compared to</w:t>
      </w:r>
      <w:r w:rsidR="001D6863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>others</w:t>
      </w:r>
      <w:r w:rsidR="002C0220" w:rsidRPr="002C0220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1D6863">
        <w:rPr>
          <w:rFonts w:ascii="Times New Roman" w:hAnsi="Times New Roman" w:cs="Times New Roman"/>
          <w:sz w:val="22"/>
          <w:szCs w:val="22"/>
          <w:lang w:val="en-US"/>
        </w:rPr>
        <w:t xml:space="preserve">as indicated by </w:t>
      </w:r>
      <w:r w:rsidR="002C0220">
        <w:rPr>
          <w:rFonts w:ascii="Times New Roman" w:hAnsi="Times New Roman" w:cs="Times New Roman"/>
          <w:sz w:val="22"/>
          <w:szCs w:val="22"/>
          <w:lang w:val="en-US"/>
        </w:rPr>
        <w:t>t</w:t>
      </w:r>
      <w:r w:rsidR="002C0220" w:rsidRPr="002C0220">
        <w:rPr>
          <w:rFonts w:ascii="Times New Roman" w:hAnsi="Times New Roman" w:cs="Times New Roman"/>
          <w:sz w:val="22"/>
          <w:szCs w:val="22"/>
          <w:lang w:val="en-US"/>
        </w:rPr>
        <w:t>he distribution of β-globin Ct values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. </w:t>
      </w:r>
      <w:r w:rsidR="002C4D60" w:rsidRPr="006D4277">
        <w:rPr>
          <w:rFonts w:ascii="Times New Roman" w:hAnsi="Times New Roman" w:cs="Times New Roman"/>
          <w:sz w:val="22"/>
          <w:szCs w:val="22"/>
          <w:lang w:val="en-US"/>
        </w:rPr>
        <w:t>Given that patient age d</w:t>
      </w:r>
      <w:r w:rsidR="001D6863">
        <w:rPr>
          <w:rFonts w:ascii="Times New Roman" w:hAnsi="Times New Roman" w:cs="Times New Roman"/>
          <w:sz w:val="22"/>
          <w:szCs w:val="22"/>
          <w:lang w:val="en-US"/>
        </w:rPr>
        <w:t>id</w:t>
      </w:r>
      <w:r w:rsidR="002C4D60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not significantly </w:t>
      </w:r>
      <w:r w:rsidR="001D6863">
        <w:rPr>
          <w:rFonts w:ascii="Times New Roman" w:hAnsi="Times New Roman" w:cs="Times New Roman"/>
          <w:sz w:val="22"/>
          <w:szCs w:val="22"/>
          <w:lang w:val="en-US"/>
        </w:rPr>
        <w:t xml:space="preserve">differ </w:t>
      </w:r>
      <w:r w:rsidR="002C4D60" w:rsidRPr="006D4277">
        <w:rPr>
          <w:rFonts w:ascii="Times New Roman" w:hAnsi="Times New Roman" w:cs="Times New Roman"/>
          <w:sz w:val="22"/>
          <w:szCs w:val="22"/>
          <w:lang w:val="en-US"/>
        </w:rPr>
        <w:t>across centers</w:t>
      </w:r>
      <w:r w:rsidR="00940E2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(patient age mean in clinics </w:t>
      </w:r>
      <w:r w:rsidR="00F56734" w:rsidRPr="006D4277">
        <w:rPr>
          <w:rFonts w:ascii="Times New Roman" w:hAnsi="Times New Roman" w:cs="Times New Roman"/>
          <w:sz w:val="22"/>
          <w:szCs w:val="22"/>
          <w:lang w:val="en-US"/>
        </w:rPr>
        <w:t>47.5</w:t>
      </w:r>
      <w:r w:rsidR="00940E26" w:rsidRPr="006D4277">
        <w:rPr>
          <w:rFonts w:ascii="Times New Roman" w:hAnsi="Times New Roman" w:cs="Times New Roman"/>
          <w:sz w:val="22"/>
          <w:szCs w:val="22"/>
          <w:lang w:val="en-US"/>
        </w:rPr>
        <w:t>±</w:t>
      </w:r>
      <w:r w:rsidR="00F56734" w:rsidRPr="006D4277">
        <w:rPr>
          <w:rFonts w:ascii="Times New Roman" w:hAnsi="Times New Roman" w:cs="Times New Roman"/>
          <w:sz w:val="22"/>
          <w:szCs w:val="22"/>
          <w:lang w:val="en-US"/>
        </w:rPr>
        <w:t>1.7</w:t>
      </w:r>
      <w:r w:rsidR="00940E26" w:rsidRPr="006D4277">
        <w:rPr>
          <w:rFonts w:ascii="Times New Roman" w:hAnsi="Times New Roman" w:cs="Times New Roman"/>
          <w:sz w:val="22"/>
          <w:szCs w:val="22"/>
          <w:lang w:val="en-US"/>
        </w:rPr>
        <w:t>)</w:t>
      </w:r>
      <w:r w:rsidR="002C4D60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, these variations </w:t>
      </w:r>
      <w:r w:rsidR="001D6863">
        <w:rPr>
          <w:rFonts w:ascii="Times New Roman" w:hAnsi="Times New Roman" w:cs="Times New Roman"/>
          <w:sz w:val="22"/>
          <w:szCs w:val="22"/>
          <w:lang w:val="en-US"/>
        </w:rPr>
        <w:t xml:space="preserve">are </w:t>
      </w:r>
      <w:r w:rsidR="002C4D60" w:rsidRPr="006D4277">
        <w:rPr>
          <w:rFonts w:ascii="Times New Roman" w:hAnsi="Times New Roman" w:cs="Times New Roman"/>
          <w:sz w:val="22"/>
          <w:szCs w:val="22"/>
          <w:lang w:val="en-US"/>
        </w:rPr>
        <w:t>likely</w:t>
      </w:r>
      <w:r w:rsidR="001D6863">
        <w:rPr>
          <w:rFonts w:ascii="Times New Roman" w:hAnsi="Times New Roman" w:cs="Times New Roman"/>
          <w:sz w:val="22"/>
          <w:szCs w:val="22"/>
          <w:lang w:val="en-US"/>
        </w:rPr>
        <w:t xml:space="preserve"> to</w:t>
      </w:r>
      <w:r w:rsidR="002C4D60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reflect differences in </w:t>
      </w:r>
      <w:r w:rsidR="00124792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performing sample </w:t>
      </w:r>
      <w:r w:rsidR="002C4D60" w:rsidRPr="006D4277">
        <w:rPr>
          <w:rFonts w:ascii="Times New Roman" w:hAnsi="Times New Roman" w:cs="Times New Roman"/>
          <w:sz w:val="22"/>
          <w:szCs w:val="22"/>
          <w:lang w:val="en-US"/>
        </w:rPr>
        <w:t>collection</w:t>
      </w:r>
      <w:r w:rsidR="001D6863">
        <w:rPr>
          <w:rFonts w:ascii="Times New Roman" w:hAnsi="Times New Roman" w:cs="Times New Roman"/>
          <w:sz w:val="22"/>
          <w:szCs w:val="22"/>
          <w:lang w:val="en-US"/>
        </w:rPr>
        <w:t xml:space="preserve"> by the health </w:t>
      </w:r>
      <w:r w:rsidR="001D6863" w:rsidRPr="006D4277">
        <w:rPr>
          <w:rFonts w:ascii="Times New Roman" w:hAnsi="Times New Roman" w:cs="Times New Roman"/>
          <w:sz w:val="22"/>
          <w:szCs w:val="22"/>
          <w:lang w:val="en-US"/>
        </w:rPr>
        <w:t>professional</w:t>
      </w:r>
      <w:r w:rsidR="001D6863">
        <w:rPr>
          <w:rFonts w:ascii="Times New Roman" w:hAnsi="Times New Roman" w:cs="Times New Roman"/>
          <w:sz w:val="22"/>
          <w:szCs w:val="22"/>
          <w:lang w:val="en-US"/>
        </w:rPr>
        <w:t xml:space="preserve">s operating in the different </w:t>
      </w:r>
      <w:r w:rsidR="00702ADA">
        <w:rPr>
          <w:rFonts w:ascii="Times New Roman" w:hAnsi="Times New Roman" w:cs="Times New Roman"/>
          <w:sz w:val="22"/>
          <w:szCs w:val="22"/>
          <w:lang w:val="en-US"/>
        </w:rPr>
        <w:t>SC</w:t>
      </w:r>
      <w:r w:rsidR="001D4BED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14:paraId="33B2630B" w14:textId="21748A6F" w:rsidR="00D877CA" w:rsidRPr="00153855" w:rsidRDefault="002C0220" w:rsidP="00153855">
      <w:pPr>
        <w:spacing w:after="0"/>
        <w:jc w:val="both"/>
        <w:rPr>
          <w:rFonts w:ascii="Times New Roman" w:hAnsi="Times New Roman" w:cs="Times New Roman"/>
          <w:sz w:val="22"/>
          <w:szCs w:val="22"/>
          <w:highlight w:val="green"/>
          <w:lang w:val="en-US"/>
        </w:rPr>
      </w:pPr>
      <w:r w:rsidRPr="001B1609">
        <w:rPr>
          <w:rFonts w:ascii="Times New Roman" w:hAnsi="Times New Roman" w:cs="Times New Roman"/>
          <w:sz w:val="22"/>
          <w:szCs w:val="22"/>
          <w:lang w:val="en-US"/>
        </w:rPr>
        <w:t>Therefore</w:t>
      </w:r>
      <w:r w:rsidR="00116A89" w:rsidRPr="001B1609">
        <w:rPr>
          <w:rFonts w:ascii="Times New Roman" w:hAnsi="Times New Roman" w:cs="Times New Roman"/>
          <w:sz w:val="22"/>
          <w:szCs w:val="22"/>
          <w:lang w:val="en-US"/>
        </w:rPr>
        <w:t>,</w:t>
      </w:r>
      <w:r w:rsidRPr="001B1609">
        <w:rPr>
          <w:rFonts w:ascii="Times New Roman" w:hAnsi="Times New Roman" w:cs="Times New Roman"/>
          <w:sz w:val="22"/>
          <w:szCs w:val="22"/>
          <w:lang w:val="en-US"/>
        </w:rPr>
        <w:t xml:space="preserve"> we sorted </w:t>
      </w:r>
      <w:r w:rsidR="00702ADA">
        <w:rPr>
          <w:rFonts w:ascii="Times New Roman" w:hAnsi="Times New Roman" w:cs="Times New Roman"/>
          <w:sz w:val="22"/>
          <w:szCs w:val="22"/>
          <w:lang w:val="en-US"/>
        </w:rPr>
        <w:t>SC</w:t>
      </w:r>
      <w:r w:rsidR="00C14BD7" w:rsidRPr="001B160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1B1609">
        <w:rPr>
          <w:rFonts w:ascii="Times New Roman" w:hAnsi="Times New Roman" w:cs="Times New Roman"/>
          <w:sz w:val="22"/>
          <w:szCs w:val="22"/>
          <w:lang w:val="en-US"/>
        </w:rPr>
        <w:t>in 4 groups</w:t>
      </w:r>
      <w:r w:rsidR="00EA31E6" w:rsidRPr="001B160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374090" w:rsidRPr="001B1609">
        <w:rPr>
          <w:rFonts w:ascii="Times New Roman" w:hAnsi="Times New Roman" w:cs="Times New Roman"/>
          <w:sz w:val="22"/>
          <w:szCs w:val="22"/>
          <w:lang w:val="en-US"/>
        </w:rPr>
        <w:t xml:space="preserve">(Supplementary Table </w:t>
      </w:r>
      <w:r w:rsidR="00F56F9F">
        <w:rPr>
          <w:rFonts w:ascii="Times New Roman" w:hAnsi="Times New Roman" w:cs="Times New Roman"/>
          <w:sz w:val="22"/>
          <w:szCs w:val="22"/>
          <w:lang w:val="en-US"/>
        </w:rPr>
        <w:t>II</w:t>
      </w:r>
      <w:r w:rsidR="00374090" w:rsidRPr="001B1609">
        <w:rPr>
          <w:rFonts w:ascii="Times New Roman" w:hAnsi="Times New Roman" w:cs="Times New Roman"/>
          <w:sz w:val="22"/>
          <w:szCs w:val="22"/>
          <w:lang w:val="en-US"/>
        </w:rPr>
        <w:t>)</w:t>
      </w:r>
      <w:r w:rsidR="001B1609" w:rsidRPr="001B1609">
        <w:rPr>
          <w:rFonts w:ascii="Times New Roman" w:hAnsi="Times New Roman" w:cs="Times New Roman"/>
          <w:sz w:val="22"/>
          <w:szCs w:val="22"/>
          <w:lang w:val="en-US"/>
        </w:rPr>
        <w:t>.</w:t>
      </w:r>
      <w:r w:rsidR="001B160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B062DB">
        <w:rPr>
          <w:rFonts w:ascii="Times New Roman" w:hAnsi="Times New Roman" w:cs="Times New Roman"/>
          <w:sz w:val="22"/>
          <w:szCs w:val="22"/>
          <w:lang w:val="en-US"/>
        </w:rPr>
        <w:t xml:space="preserve">As shown in Table </w:t>
      </w:r>
      <w:r w:rsidR="00F56F9F">
        <w:rPr>
          <w:rFonts w:ascii="Times New Roman" w:hAnsi="Times New Roman" w:cs="Times New Roman"/>
          <w:sz w:val="22"/>
          <w:szCs w:val="22"/>
          <w:lang w:val="en-US"/>
        </w:rPr>
        <w:t>V</w:t>
      </w:r>
      <w:r w:rsidR="00B062DB">
        <w:rPr>
          <w:rFonts w:ascii="Times New Roman" w:hAnsi="Times New Roman" w:cs="Times New Roman"/>
          <w:sz w:val="22"/>
          <w:szCs w:val="22"/>
          <w:lang w:val="en-US"/>
        </w:rPr>
        <w:t xml:space="preserve">, some </w:t>
      </w:r>
      <w:r w:rsidR="00702ADA">
        <w:rPr>
          <w:rFonts w:ascii="Times New Roman" w:hAnsi="Times New Roman" w:cs="Times New Roman"/>
          <w:sz w:val="22"/>
          <w:szCs w:val="22"/>
          <w:lang w:val="en-US"/>
        </w:rPr>
        <w:t>SC</w:t>
      </w:r>
      <w:r w:rsidR="00C14BD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B062DB">
        <w:rPr>
          <w:rFonts w:ascii="Times New Roman" w:hAnsi="Times New Roman" w:cs="Times New Roman"/>
          <w:sz w:val="22"/>
          <w:szCs w:val="22"/>
          <w:lang w:val="en-US"/>
        </w:rPr>
        <w:t>ha</w:t>
      </w:r>
      <w:r w:rsidR="00C14BD7">
        <w:rPr>
          <w:rFonts w:ascii="Times New Roman" w:hAnsi="Times New Roman" w:cs="Times New Roman"/>
          <w:sz w:val="22"/>
          <w:szCs w:val="22"/>
          <w:lang w:val="en-US"/>
        </w:rPr>
        <w:t>d</w:t>
      </w:r>
      <w:r w:rsidR="00B062DB">
        <w:rPr>
          <w:rFonts w:ascii="Times New Roman" w:hAnsi="Times New Roman" w:cs="Times New Roman"/>
          <w:sz w:val="22"/>
          <w:szCs w:val="22"/>
          <w:lang w:val="en-US"/>
        </w:rPr>
        <w:t xml:space="preserve"> a higher percentage of samples </w:t>
      </w:r>
      <w:r w:rsidR="00EA31E6" w:rsidRPr="001B1609">
        <w:rPr>
          <w:rFonts w:ascii="Times New Roman" w:hAnsi="Times New Roman" w:cs="Times New Roman"/>
          <w:sz w:val="22"/>
          <w:szCs w:val="22"/>
          <w:lang w:val="en-US"/>
        </w:rPr>
        <w:t>in the β-globin</w:t>
      </w:r>
      <w:r w:rsidR="00B062DB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374090" w:rsidRPr="001B1609">
        <w:rPr>
          <w:rFonts w:ascii="Times New Roman" w:hAnsi="Times New Roman" w:cs="Times New Roman"/>
          <w:sz w:val="22"/>
          <w:szCs w:val="22"/>
          <w:lang w:val="en-US"/>
        </w:rPr>
        <w:t>≤</w:t>
      </w:r>
      <w:r w:rsidR="009D7FE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EA31E6" w:rsidRPr="001B1609">
        <w:rPr>
          <w:rFonts w:ascii="Times New Roman" w:hAnsi="Times New Roman" w:cs="Times New Roman"/>
          <w:sz w:val="22"/>
          <w:szCs w:val="22"/>
          <w:lang w:val="en-US"/>
        </w:rPr>
        <w:t>28 Ct range</w:t>
      </w:r>
      <w:r w:rsidRPr="001B160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C14BD7">
        <w:rPr>
          <w:rFonts w:ascii="Times New Roman" w:hAnsi="Times New Roman" w:cs="Times New Roman"/>
          <w:sz w:val="22"/>
          <w:szCs w:val="22"/>
          <w:lang w:val="en-US"/>
        </w:rPr>
        <w:t xml:space="preserve">as compared to </w:t>
      </w:r>
      <w:r w:rsidR="00B062DB">
        <w:rPr>
          <w:rFonts w:ascii="Times New Roman" w:hAnsi="Times New Roman" w:cs="Times New Roman"/>
          <w:sz w:val="22"/>
          <w:szCs w:val="22"/>
          <w:lang w:val="en-US"/>
        </w:rPr>
        <w:t>others wh</w:t>
      </w:r>
      <w:r w:rsidR="00C14BD7">
        <w:rPr>
          <w:rFonts w:ascii="Times New Roman" w:hAnsi="Times New Roman" w:cs="Times New Roman"/>
          <w:sz w:val="22"/>
          <w:szCs w:val="22"/>
          <w:lang w:val="en-US"/>
        </w:rPr>
        <w:t>ich</w:t>
      </w:r>
      <w:r w:rsidR="00B062DB">
        <w:rPr>
          <w:rFonts w:ascii="Times New Roman" w:hAnsi="Times New Roman" w:cs="Times New Roman"/>
          <w:sz w:val="22"/>
          <w:szCs w:val="22"/>
          <w:lang w:val="en-US"/>
        </w:rPr>
        <w:t xml:space="preserve"> ha</w:t>
      </w:r>
      <w:r w:rsidR="00C14BD7">
        <w:rPr>
          <w:rFonts w:ascii="Times New Roman" w:hAnsi="Times New Roman" w:cs="Times New Roman"/>
          <w:sz w:val="22"/>
          <w:szCs w:val="22"/>
          <w:lang w:val="en-US"/>
        </w:rPr>
        <w:t>d</w:t>
      </w:r>
      <w:r w:rsidR="00116A89" w:rsidRPr="001B160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C14BD7">
        <w:rPr>
          <w:rFonts w:ascii="Times New Roman" w:hAnsi="Times New Roman" w:cs="Times New Roman"/>
          <w:sz w:val="22"/>
          <w:szCs w:val="22"/>
          <w:lang w:val="en-US"/>
        </w:rPr>
        <w:t>a</w:t>
      </w:r>
      <w:r w:rsidR="00C14BD7" w:rsidRPr="001B160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702ADA">
        <w:rPr>
          <w:rFonts w:ascii="Times New Roman" w:hAnsi="Times New Roman" w:cs="Times New Roman"/>
          <w:sz w:val="22"/>
          <w:szCs w:val="22"/>
          <w:lang w:val="en-US"/>
        </w:rPr>
        <w:t>greater</w:t>
      </w:r>
      <w:r w:rsidR="00116A89" w:rsidRPr="001B1609">
        <w:rPr>
          <w:rFonts w:ascii="Times New Roman" w:hAnsi="Times New Roman" w:cs="Times New Roman"/>
          <w:sz w:val="22"/>
          <w:szCs w:val="22"/>
          <w:lang w:val="en-US"/>
        </w:rPr>
        <w:t xml:space="preserve"> proportion of samples with </w:t>
      </w:r>
      <w:r w:rsidR="00702ADA">
        <w:rPr>
          <w:rFonts w:ascii="Times New Roman" w:hAnsi="Times New Roman" w:cs="Times New Roman"/>
          <w:sz w:val="22"/>
          <w:szCs w:val="22"/>
          <w:lang w:val="en-US"/>
        </w:rPr>
        <w:t xml:space="preserve">higher intervals of </w:t>
      </w:r>
      <w:r w:rsidR="00912D2B" w:rsidRPr="001B1609">
        <w:rPr>
          <w:rFonts w:ascii="Times New Roman" w:hAnsi="Times New Roman" w:cs="Times New Roman"/>
          <w:sz w:val="22"/>
          <w:szCs w:val="22"/>
          <w:lang w:val="en-US"/>
        </w:rPr>
        <w:t>β-globin</w:t>
      </w:r>
      <w:r w:rsidR="00912D2B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702ADA">
        <w:rPr>
          <w:rFonts w:ascii="Times New Roman" w:hAnsi="Times New Roman" w:cs="Times New Roman"/>
          <w:sz w:val="22"/>
          <w:szCs w:val="22"/>
          <w:lang w:val="en-US"/>
        </w:rPr>
        <w:t>Ct values (</w:t>
      </w:r>
      <w:r w:rsidR="00116A89" w:rsidRPr="001B1609">
        <w:rPr>
          <w:rFonts w:ascii="Times New Roman" w:hAnsi="Times New Roman" w:cs="Times New Roman"/>
          <w:sz w:val="22"/>
          <w:szCs w:val="22"/>
          <w:lang w:val="en-US"/>
        </w:rPr>
        <w:t>28</w:t>
      </w:r>
      <w:r w:rsidR="00B062DB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116A89" w:rsidRPr="001B1609">
        <w:rPr>
          <w:rFonts w:ascii="Times New Roman" w:hAnsi="Times New Roman" w:cs="Times New Roman"/>
          <w:sz w:val="22"/>
          <w:szCs w:val="22"/>
          <w:lang w:val="en-US"/>
        </w:rPr>
        <w:t>&lt;</w:t>
      </w:r>
      <w:r w:rsidR="001B160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116A89" w:rsidRPr="001B1609">
        <w:rPr>
          <w:rFonts w:ascii="Times New Roman" w:hAnsi="Times New Roman" w:cs="Times New Roman"/>
          <w:sz w:val="22"/>
          <w:szCs w:val="22"/>
          <w:lang w:val="en-US"/>
        </w:rPr>
        <w:t>β-globin</w:t>
      </w:r>
      <w:r w:rsidR="00B062DB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116A89" w:rsidRPr="001B1609">
        <w:rPr>
          <w:rFonts w:ascii="Times New Roman" w:hAnsi="Times New Roman" w:cs="Times New Roman"/>
          <w:sz w:val="22"/>
          <w:szCs w:val="22"/>
          <w:lang w:val="en-US"/>
        </w:rPr>
        <w:t>≤</w:t>
      </w:r>
      <w:r w:rsidR="001B160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116A89" w:rsidRPr="001B1609">
        <w:rPr>
          <w:rFonts w:ascii="Times New Roman" w:hAnsi="Times New Roman" w:cs="Times New Roman"/>
          <w:sz w:val="22"/>
          <w:szCs w:val="22"/>
          <w:lang w:val="en-US"/>
        </w:rPr>
        <w:t>32</w:t>
      </w:r>
      <w:r w:rsidR="004C66B7">
        <w:rPr>
          <w:rFonts w:ascii="Times New Roman" w:hAnsi="Times New Roman" w:cs="Times New Roman"/>
          <w:sz w:val="22"/>
          <w:szCs w:val="22"/>
          <w:lang w:val="en-US"/>
        </w:rPr>
        <w:t>,</w:t>
      </w:r>
      <w:r w:rsidR="00116A89" w:rsidRPr="001B1609">
        <w:rPr>
          <w:rFonts w:ascii="Times New Roman" w:hAnsi="Times New Roman" w:cs="Times New Roman"/>
          <w:sz w:val="22"/>
          <w:szCs w:val="22"/>
          <w:lang w:val="en-US"/>
        </w:rPr>
        <w:t xml:space="preserve"> 32&lt;</w:t>
      </w:r>
      <w:r w:rsidR="009D7FE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116A89" w:rsidRPr="001B1609">
        <w:rPr>
          <w:rFonts w:ascii="Times New Roman" w:hAnsi="Times New Roman" w:cs="Times New Roman"/>
          <w:sz w:val="22"/>
          <w:szCs w:val="22"/>
          <w:lang w:val="en-US"/>
        </w:rPr>
        <w:t>β-globin</w:t>
      </w:r>
      <w:r w:rsidR="00B062DB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116A89" w:rsidRPr="001B1609">
        <w:rPr>
          <w:rFonts w:ascii="Times New Roman" w:hAnsi="Times New Roman" w:cs="Times New Roman"/>
          <w:sz w:val="22"/>
          <w:szCs w:val="22"/>
          <w:lang w:val="en-US"/>
        </w:rPr>
        <w:t>≤</w:t>
      </w:r>
      <w:r w:rsidR="009D7FE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116A89" w:rsidRPr="001B1609">
        <w:rPr>
          <w:rFonts w:ascii="Times New Roman" w:hAnsi="Times New Roman" w:cs="Times New Roman"/>
          <w:sz w:val="22"/>
          <w:szCs w:val="22"/>
          <w:lang w:val="en-US"/>
        </w:rPr>
        <w:t>34 and 34</w:t>
      </w:r>
      <w:r w:rsidR="00B062DB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116A89" w:rsidRPr="001B1609">
        <w:rPr>
          <w:rFonts w:ascii="Times New Roman" w:hAnsi="Times New Roman" w:cs="Times New Roman"/>
          <w:sz w:val="22"/>
          <w:szCs w:val="22"/>
          <w:lang w:val="en-US"/>
        </w:rPr>
        <w:t>&lt;</w:t>
      </w:r>
      <w:r w:rsidR="009D7FE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116A89" w:rsidRPr="001B1609">
        <w:rPr>
          <w:rFonts w:ascii="Times New Roman" w:hAnsi="Times New Roman" w:cs="Times New Roman"/>
          <w:sz w:val="22"/>
          <w:szCs w:val="22"/>
          <w:lang w:val="en-US"/>
        </w:rPr>
        <w:t>β-globin</w:t>
      </w:r>
      <w:r w:rsidR="00B062DB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9D7FE6">
        <w:rPr>
          <w:rFonts w:ascii="Times New Roman" w:hAnsi="Times New Roman" w:cs="Times New Roman"/>
          <w:sz w:val="22"/>
          <w:szCs w:val="22"/>
          <w:lang w:val="en-US"/>
        </w:rPr>
        <w:t xml:space="preserve">≤ </w:t>
      </w:r>
      <w:r w:rsidR="00116A89" w:rsidRPr="001B1609">
        <w:rPr>
          <w:rFonts w:ascii="Times New Roman" w:hAnsi="Times New Roman" w:cs="Times New Roman"/>
          <w:sz w:val="22"/>
          <w:szCs w:val="22"/>
          <w:lang w:val="en-US"/>
        </w:rPr>
        <w:t>40</w:t>
      </w:r>
      <w:r w:rsidR="00702ADA">
        <w:rPr>
          <w:rFonts w:ascii="Times New Roman" w:hAnsi="Times New Roman" w:cs="Times New Roman"/>
          <w:sz w:val="22"/>
          <w:szCs w:val="22"/>
          <w:lang w:val="en-US"/>
        </w:rPr>
        <w:t>)</w:t>
      </w:r>
      <w:r w:rsidR="00116A89" w:rsidRPr="001B1609">
        <w:rPr>
          <w:rFonts w:ascii="Times New Roman" w:hAnsi="Times New Roman" w:cs="Times New Roman"/>
          <w:sz w:val="22"/>
          <w:szCs w:val="22"/>
          <w:lang w:val="en-US"/>
        </w:rPr>
        <w:t>.</w:t>
      </w:r>
      <w:r w:rsidR="00116A89" w:rsidRPr="00116A89">
        <w:rPr>
          <w:rFonts w:ascii="Times New Roman" w:hAnsi="Times New Roman" w:cs="Times New Roman"/>
          <w:sz w:val="22"/>
          <w:szCs w:val="22"/>
          <w:lang w:val="en-US"/>
        </w:rPr>
        <w:t xml:space="preserve"> The association between </w:t>
      </w:r>
      <w:r w:rsidR="00702ADA">
        <w:rPr>
          <w:rFonts w:ascii="Times New Roman" w:hAnsi="Times New Roman" w:cs="Times New Roman"/>
          <w:sz w:val="22"/>
          <w:szCs w:val="22"/>
          <w:lang w:val="en-US"/>
        </w:rPr>
        <w:t>SC</w:t>
      </w:r>
      <w:r w:rsidR="00702ADA" w:rsidRPr="00116A8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116A89" w:rsidRPr="00116A89">
        <w:rPr>
          <w:rFonts w:ascii="Times New Roman" w:hAnsi="Times New Roman" w:cs="Times New Roman"/>
          <w:sz w:val="22"/>
          <w:szCs w:val="22"/>
          <w:lang w:val="en-US"/>
        </w:rPr>
        <w:t>performance and β-globin Ct values was statistically significant (χ²= 859.8, p</w:t>
      </w:r>
      <w:r w:rsidR="004C66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116A89" w:rsidRPr="00116A89">
        <w:rPr>
          <w:rFonts w:ascii="Times New Roman" w:hAnsi="Times New Roman" w:cs="Times New Roman"/>
          <w:sz w:val="22"/>
          <w:szCs w:val="22"/>
          <w:lang w:val="en-US"/>
        </w:rPr>
        <w:t>&lt; 0.001)</w:t>
      </w:r>
      <w:r w:rsidR="00E95C71">
        <w:rPr>
          <w:rFonts w:ascii="Times New Roman" w:hAnsi="Times New Roman" w:cs="Times New Roman"/>
          <w:sz w:val="22"/>
          <w:szCs w:val="22"/>
          <w:lang w:val="en-US"/>
        </w:rPr>
        <w:t xml:space="preserve">, (Supplementary Table </w:t>
      </w:r>
      <w:r w:rsidR="00F56F9F">
        <w:rPr>
          <w:rFonts w:ascii="Times New Roman" w:hAnsi="Times New Roman" w:cs="Times New Roman"/>
          <w:sz w:val="22"/>
          <w:szCs w:val="22"/>
          <w:lang w:val="en-US"/>
        </w:rPr>
        <w:t>III</w:t>
      </w:r>
      <w:r w:rsidR="00E95C71" w:rsidRPr="004324AE">
        <w:rPr>
          <w:rFonts w:ascii="Times New Roman" w:hAnsi="Times New Roman" w:cs="Times New Roman"/>
          <w:sz w:val="22"/>
          <w:szCs w:val="22"/>
          <w:lang w:val="en-US"/>
        </w:rPr>
        <w:t>)</w:t>
      </w:r>
      <w:r w:rsidR="00116A89" w:rsidRPr="00116A89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14:paraId="08BB1ADB" w14:textId="382CF252" w:rsidR="002C4D60" w:rsidRPr="006D4277" w:rsidRDefault="002C0220" w:rsidP="004D595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6E7F92">
        <w:rPr>
          <w:rFonts w:ascii="Times New Roman" w:hAnsi="Times New Roman" w:cs="Times New Roman"/>
          <w:sz w:val="22"/>
          <w:szCs w:val="22"/>
          <w:lang w:val="en-US"/>
        </w:rPr>
        <w:t xml:space="preserve">The </w:t>
      </w:r>
      <w:r w:rsidR="004C66B7">
        <w:rPr>
          <w:rFonts w:ascii="Times New Roman" w:hAnsi="Times New Roman" w:cs="Times New Roman"/>
          <w:sz w:val="22"/>
          <w:szCs w:val="22"/>
          <w:lang w:val="en-US"/>
        </w:rPr>
        <w:t xml:space="preserve">correlation between </w:t>
      </w:r>
      <w:r w:rsidRPr="006E7F92">
        <w:rPr>
          <w:rFonts w:ascii="Times New Roman" w:hAnsi="Times New Roman" w:cs="Times New Roman"/>
          <w:sz w:val="22"/>
          <w:szCs w:val="22"/>
          <w:lang w:val="en-US"/>
        </w:rPr>
        <w:t xml:space="preserve">performance of </w:t>
      </w:r>
      <w:r w:rsidR="00194C79" w:rsidRPr="006E7F92">
        <w:rPr>
          <w:rFonts w:ascii="Times New Roman" w:hAnsi="Times New Roman" w:cs="Times New Roman"/>
          <w:sz w:val="22"/>
          <w:szCs w:val="22"/>
          <w:lang w:val="en-US"/>
        </w:rPr>
        <w:t>SC</w:t>
      </w:r>
      <w:r w:rsidRPr="006E7F92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4C66B7">
        <w:rPr>
          <w:rFonts w:ascii="Times New Roman" w:hAnsi="Times New Roman" w:cs="Times New Roman"/>
          <w:sz w:val="22"/>
          <w:szCs w:val="22"/>
          <w:lang w:val="en-US"/>
        </w:rPr>
        <w:t>and</w:t>
      </w:r>
      <w:r w:rsidRPr="006E7F92">
        <w:rPr>
          <w:rFonts w:ascii="Times New Roman" w:hAnsi="Times New Roman" w:cs="Times New Roman"/>
          <w:sz w:val="22"/>
          <w:szCs w:val="22"/>
          <w:lang w:val="en-US"/>
        </w:rPr>
        <w:t xml:space="preserve"> HPV </w:t>
      </w:r>
      <w:r w:rsidR="00194C79" w:rsidRPr="006E7F92">
        <w:rPr>
          <w:rFonts w:ascii="Times New Roman" w:hAnsi="Times New Roman" w:cs="Times New Roman"/>
          <w:sz w:val="22"/>
          <w:szCs w:val="22"/>
          <w:lang w:val="en-US"/>
        </w:rPr>
        <w:t>PR</w:t>
      </w:r>
      <w:r w:rsidRPr="006E7F92">
        <w:rPr>
          <w:rFonts w:ascii="Times New Roman" w:hAnsi="Times New Roman" w:cs="Times New Roman"/>
          <w:sz w:val="22"/>
          <w:szCs w:val="22"/>
          <w:lang w:val="en-US"/>
        </w:rPr>
        <w:t xml:space="preserve"> was assessed with a regression model (Tab</w:t>
      </w:r>
      <w:r w:rsidR="00EA31E6" w:rsidRPr="006E7F92">
        <w:rPr>
          <w:rFonts w:ascii="Times New Roman" w:hAnsi="Times New Roman" w:cs="Times New Roman"/>
          <w:sz w:val="22"/>
          <w:szCs w:val="22"/>
          <w:lang w:val="en-US"/>
        </w:rPr>
        <w:t>le</w:t>
      </w:r>
      <w:r w:rsidRPr="006E7F92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F56F9F">
        <w:rPr>
          <w:rFonts w:ascii="Times New Roman" w:hAnsi="Times New Roman" w:cs="Times New Roman"/>
          <w:sz w:val="22"/>
          <w:szCs w:val="22"/>
          <w:lang w:val="en-US"/>
        </w:rPr>
        <w:t>II</w:t>
      </w:r>
      <w:r w:rsidRPr="006E7F92">
        <w:rPr>
          <w:rFonts w:ascii="Times New Roman" w:hAnsi="Times New Roman" w:cs="Times New Roman"/>
          <w:sz w:val="22"/>
          <w:szCs w:val="22"/>
          <w:lang w:val="en-US"/>
        </w:rPr>
        <w:t>).</w:t>
      </w:r>
      <w:r w:rsidR="006E7F92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083941" w:rsidRPr="006E7F92">
        <w:rPr>
          <w:rFonts w:ascii="Times New Roman" w:hAnsi="Times New Roman" w:cs="Times New Roman"/>
          <w:sz w:val="22"/>
          <w:szCs w:val="22"/>
          <w:lang w:val="en-US"/>
        </w:rPr>
        <w:t>GPSC</w:t>
      </w:r>
      <w:r w:rsidRPr="006E7F92">
        <w:rPr>
          <w:rFonts w:ascii="Times New Roman" w:hAnsi="Times New Roman" w:cs="Times New Roman"/>
          <w:sz w:val="22"/>
          <w:szCs w:val="22"/>
          <w:lang w:val="en-US"/>
        </w:rPr>
        <w:t xml:space="preserve"> showed reduced odds of HPV</w:t>
      </w:r>
      <w:r w:rsidR="00912D2B">
        <w:rPr>
          <w:rFonts w:ascii="Times New Roman" w:hAnsi="Times New Roman" w:cs="Times New Roman"/>
          <w:sz w:val="22"/>
          <w:szCs w:val="22"/>
          <w:lang w:val="en-US"/>
        </w:rPr>
        <w:t>-</w:t>
      </w:r>
      <w:r w:rsidR="00194C79" w:rsidRPr="006E7F92">
        <w:rPr>
          <w:rFonts w:ascii="Times New Roman" w:hAnsi="Times New Roman" w:cs="Times New Roman"/>
          <w:sz w:val="22"/>
          <w:szCs w:val="22"/>
          <w:lang w:val="en-US"/>
        </w:rPr>
        <w:t>PR</w:t>
      </w:r>
      <w:r w:rsidRPr="006E7F92">
        <w:rPr>
          <w:rFonts w:ascii="Times New Roman" w:hAnsi="Times New Roman" w:cs="Times New Roman"/>
          <w:sz w:val="22"/>
          <w:szCs w:val="22"/>
          <w:lang w:val="en-US"/>
        </w:rPr>
        <w:t xml:space="preserve"> compared to </w:t>
      </w:r>
      <w:r w:rsidR="00083941" w:rsidRPr="006E7F92">
        <w:rPr>
          <w:rFonts w:ascii="Times New Roman" w:hAnsi="Times New Roman" w:cs="Times New Roman"/>
          <w:sz w:val="22"/>
          <w:szCs w:val="22"/>
          <w:lang w:val="en-US"/>
        </w:rPr>
        <w:t>TPSC</w:t>
      </w:r>
      <w:r w:rsidRPr="006E7F92">
        <w:rPr>
          <w:rFonts w:ascii="Times New Roman" w:hAnsi="Times New Roman" w:cs="Times New Roman"/>
          <w:sz w:val="22"/>
          <w:szCs w:val="22"/>
          <w:lang w:val="en-US"/>
        </w:rPr>
        <w:t xml:space="preserve"> in both univariate (OR=0.77, 95% CI: 0.64–0.93, p</w:t>
      </w:r>
      <w:r w:rsidR="004C66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E7F92">
        <w:rPr>
          <w:rFonts w:ascii="Times New Roman" w:hAnsi="Times New Roman" w:cs="Times New Roman"/>
          <w:sz w:val="22"/>
          <w:szCs w:val="22"/>
          <w:lang w:val="en-US"/>
        </w:rPr>
        <w:t>=</w:t>
      </w:r>
      <w:r w:rsidR="009D7FE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E7F92">
        <w:rPr>
          <w:rFonts w:ascii="Times New Roman" w:hAnsi="Times New Roman" w:cs="Times New Roman"/>
          <w:sz w:val="22"/>
          <w:szCs w:val="22"/>
          <w:lang w:val="en-US"/>
        </w:rPr>
        <w:t>0.006) and multivariate analyses (OR=0.81, 95% CI: 0.67–0.98, p</w:t>
      </w:r>
      <w:r w:rsidR="004C66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E7F92">
        <w:rPr>
          <w:rFonts w:ascii="Times New Roman" w:hAnsi="Times New Roman" w:cs="Times New Roman"/>
          <w:sz w:val="22"/>
          <w:szCs w:val="22"/>
          <w:lang w:val="en-US"/>
        </w:rPr>
        <w:t>=</w:t>
      </w:r>
      <w:r w:rsidR="004C66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E7F92">
        <w:rPr>
          <w:rFonts w:ascii="Times New Roman" w:hAnsi="Times New Roman" w:cs="Times New Roman"/>
          <w:sz w:val="22"/>
          <w:szCs w:val="22"/>
          <w:lang w:val="en-US"/>
        </w:rPr>
        <w:t>0.028).</w:t>
      </w:r>
      <w:r w:rsidR="006E7F92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083941" w:rsidRPr="006E7F92">
        <w:rPr>
          <w:rFonts w:ascii="Times New Roman" w:hAnsi="Times New Roman" w:cs="Times New Roman"/>
          <w:sz w:val="22"/>
          <w:szCs w:val="22"/>
          <w:lang w:val="en-US"/>
        </w:rPr>
        <w:t>MPSC</w:t>
      </w:r>
      <w:r w:rsidRPr="006E7F92">
        <w:rPr>
          <w:rFonts w:ascii="Times New Roman" w:hAnsi="Times New Roman" w:cs="Times New Roman"/>
          <w:sz w:val="22"/>
          <w:szCs w:val="22"/>
          <w:lang w:val="en-US"/>
        </w:rPr>
        <w:t xml:space="preserve"> had ORs of 0.69 (95% CI: 0.58–0.82, p</w:t>
      </w:r>
      <w:r w:rsidR="004C66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E7F92">
        <w:rPr>
          <w:rFonts w:ascii="Times New Roman" w:hAnsi="Times New Roman" w:cs="Times New Roman"/>
          <w:sz w:val="22"/>
          <w:szCs w:val="22"/>
          <w:lang w:val="en-US"/>
        </w:rPr>
        <w:t>&lt;</w:t>
      </w:r>
      <w:r w:rsidR="004C66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E7F92">
        <w:rPr>
          <w:rFonts w:ascii="Times New Roman" w:hAnsi="Times New Roman" w:cs="Times New Roman"/>
          <w:sz w:val="22"/>
          <w:szCs w:val="22"/>
          <w:lang w:val="en-US"/>
        </w:rPr>
        <w:t>0.001) and 0.76 (95% CI: 0.63–0.91, p= 0.003) in univariate and multivariate models, respectively.</w:t>
      </w:r>
      <w:r w:rsidR="006E7F92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083941" w:rsidRPr="006E7F92">
        <w:rPr>
          <w:rFonts w:ascii="Times New Roman" w:hAnsi="Times New Roman" w:cs="Times New Roman"/>
          <w:sz w:val="22"/>
          <w:szCs w:val="22"/>
          <w:lang w:val="en-US"/>
        </w:rPr>
        <w:t>PPSC</w:t>
      </w:r>
      <w:r w:rsidRPr="006E7F92">
        <w:rPr>
          <w:rFonts w:ascii="Times New Roman" w:hAnsi="Times New Roman" w:cs="Times New Roman"/>
          <w:sz w:val="22"/>
          <w:szCs w:val="22"/>
          <w:lang w:val="en-US"/>
        </w:rPr>
        <w:t xml:space="preserve"> were significantly associated with reduced odds of HPV </w:t>
      </w:r>
      <w:r w:rsidR="00083941" w:rsidRPr="006E7F92">
        <w:rPr>
          <w:rFonts w:ascii="Times New Roman" w:hAnsi="Times New Roman" w:cs="Times New Roman"/>
          <w:sz w:val="22"/>
          <w:szCs w:val="22"/>
          <w:lang w:val="en-US"/>
        </w:rPr>
        <w:t>PR</w:t>
      </w:r>
      <w:r w:rsidRPr="006E7F92">
        <w:rPr>
          <w:rFonts w:ascii="Times New Roman" w:hAnsi="Times New Roman" w:cs="Times New Roman"/>
          <w:sz w:val="22"/>
          <w:szCs w:val="22"/>
          <w:lang w:val="en-US"/>
        </w:rPr>
        <w:t xml:space="preserve"> only in the univariate analysis (OR=0.79, 95% CI: 0.66–0.95, p</w:t>
      </w:r>
      <w:r w:rsidR="004C66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E7F92">
        <w:rPr>
          <w:rFonts w:ascii="Times New Roman" w:hAnsi="Times New Roman" w:cs="Times New Roman"/>
          <w:sz w:val="22"/>
          <w:szCs w:val="22"/>
          <w:lang w:val="en-US"/>
        </w:rPr>
        <w:t>=</w:t>
      </w:r>
      <w:r w:rsidR="009D7FE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E7F92">
        <w:rPr>
          <w:rFonts w:ascii="Times New Roman" w:hAnsi="Times New Roman" w:cs="Times New Roman"/>
          <w:sz w:val="22"/>
          <w:szCs w:val="22"/>
          <w:lang w:val="en-US"/>
        </w:rPr>
        <w:t>0.011), but not in the multivariate model (OR=0.92, 95% CI: 0.77–1.11, p</w:t>
      </w:r>
      <w:r w:rsidR="004C66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E7F92">
        <w:rPr>
          <w:rFonts w:ascii="Times New Roman" w:hAnsi="Times New Roman" w:cs="Times New Roman"/>
          <w:sz w:val="22"/>
          <w:szCs w:val="22"/>
          <w:lang w:val="en-US"/>
        </w:rPr>
        <w:t>=</w:t>
      </w:r>
      <w:r w:rsidR="009D7FE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E7F92">
        <w:rPr>
          <w:rFonts w:ascii="Times New Roman" w:hAnsi="Times New Roman" w:cs="Times New Roman"/>
          <w:sz w:val="22"/>
          <w:szCs w:val="22"/>
          <w:lang w:val="en-US"/>
        </w:rPr>
        <w:t>0.402)</w:t>
      </w:r>
      <w:r w:rsidR="00083941" w:rsidRPr="006E7F92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483D4D">
        <w:rPr>
          <w:rFonts w:ascii="Times New Roman" w:hAnsi="Times New Roman" w:cs="Times New Roman"/>
          <w:sz w:val="22"/>
          <w:szCs w:val="22"/>
          <w:lang w:val="en-US"/>
        </w:rPr>
        <w:t xml:space="preserve">possibly </w:t>
      </w:r>
      <w:r w:rsidR="00083941" w:rsidRPr="006E7F92">
        <w:rPr>
          <w:rFonts w:ascii="Times New Roman" w:hAnsi="Times New Roman" w:cs="Times New Roman"/>
          <w:sz w:val="22"/>
          <w:szCs w:val="22"/>
          <w:lang w:val="en-US"/>
        </w:rPr>
        <w:t xml:space="preserve">due to the epidemiology of the </w:t>
      </w:r>
      <w:r w:rsidR="00483D4D">
        <w:rPr>
          <w:rFonts w:ascii="Times New Roman" w:hAnsi="Times New Roman" w:cs="Times New Roman"/>
          <w:sz w:val="22"/>
          <w:szCs w:val="22"/>
          <w:lang w:val="en-US"/>
        </w:rPr>
        <w:t xml:space="preserve">population living in the </w:t>
      </w:r>
      <w:r w:rsidR="00083941" w:rsidRPr="006E7F92">
        <w:rPr>
          <w:rFonts w:ascii="Times New Roman" w:hAnsi="Times New Roman" w:cs="Times New Roman"/>
          <w:sz w:val="22"/>
          <w:szCs w:val="22"/>
          <w:lang w:val="en-US"/>
        </w:rPr>
        <w:t>suburbs</w:t>
      </w:r>
      <w:r w:rsidRPr="006E7F92">
        <w:rPr>
          <w:rFonts w:ascii="Times New Roman" w:hAnsi="Times New Roman" w:cs="Times New Roman"/>
          <w:sz w:val="22"/>
          <w:szCs w:val="22"/>
          <w:lang w:val="en-US"/>
        </w:rPr>
        <w:t>.</w:t>
      </w:r>
      <w:r w:rsidR="0008394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</w:p>
    <w:p w14:paraId="4E200D35" w14:textId="30CFCF2B" w:rsidR="00231D91" w:rsidRDefault="00C23F39" w:rsidP="002430EC">
      <w:p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This variability across centers underscores the importance of </w:t>
      </w:r>
      <w:r w:rsidR="001D6863">
        <w:rPr>
          <w:rFonts w:ascii="Times New Roman" w:hAnsi="Times New Roman" w:cs="Times New Roman"/>
          <w:sz w:val="22"/>
          <w:szCs w:val="22"/>
          <w:lang w:val="en-US"/>
        </w:rPr>
        <w:t>evaluating sample cellularity when performing HPV-based primary screening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, as variations in </w:t>
      </w:r>
      <w:r w:rsidR="00DC2251">
        <w:rPr>
          <w:rFonts w:ascii="Times New Roman" w:hAnsi="Times New Roman" w:cs="Times New Roman"/>
          <w:sz w:val="22"/>
          <w:szCs w:val="22"/>
          <w:lang w:val="en-US"/>
        </w:rPr>
        <w:t xml:space="preserve">operators’ </w:t>
      </w:r>
      <w:r w:rsidR="00912D2B">
        <w:rPr>
          <w:rFonts w:ascii="Times New Roman" w:hAnsi="Times New Roman" w:cs="Times New Roman"/>
          <w:sz w:val="22"/>
          <w:szCs w:val="22"/>
          <w:lang w:val="en-US"/>
        </w:rPr>
        <w:t>dependent</w:t>
      </w:r>
      <w:r w:rsidR="00DC2251">
        <w:rPr>
          <w:rFonts w:ascii="Times New Roman" w:hAnsi="Times New Roman" w:cs="Times New Roman"/>
          <w:sz w:val="22"/>
          <w:szCs w:val="22"/>
          <w:lang w:val="en-US"/>
        </w:rPr>
        <w:t xml:space="preserve"> sample collection </w:t>
      </w:r>
      <w:r w:rsidR="00DF5558">
        <w:rPr>
          <w:rFonts w:ascii="Times New Roman" w:hAnsi="Times New Roman" w:cs="Times New Roman"/>
          <w:sz w:val="22"/>
          <w:szCs w:val="22"/>
          <w:lang w:val="en-US"/>
        </w:rPr>
        <w:t>from a mucosal surface can influence samples’</w:t>
      </w:r>
      <w:r w:rsidR="00DC225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cellular yield </w:t>
      </w:r>
      <w:r w:rsidR="00DF5558">
        <w:rPr>
          <w:rFonts w:ascii="Times New Roman" w:hAnsi="Times New Roman" w:cs="Times New Roman"/>
          <w:sz w:val="22"/>
          <w:szCs w:val="22"/>
          <w:lang w:val="en-US"/>
        </w:rPr>
        <w:t>and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directly affect the reliability of HPV testing.</w:t>
      </w:r>
    </w:p>
    <w:p w14:paraId="424AB81B" w14:textId="77777777" w:rsidR="00752AC2" w:rsidRPr="006D4277" w:rsidRDefault="00752AC2" w:rsidP="002430EC">
      <w:pPr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14:paraId="3089A97E" w14:textId="6508423D" w:rsidR="003C7DC7" w:rsidRPr="006D4277" w:rsidRDefault="004D595C" w:rsidP="003C7DC7">
      <w:pPr>
        <w:jc w:val="both"/>
        <w:rPr>
          <w:rFonts w:ascii="Times New Roman" w:hAnsi="Times New Roman" w:cs="Times New Roman"/>
          <w:i/>
          <w:iCs/>
          <w:sz w:val="22"/>
          <w:szCs w:val="22"/>
          <w:lang w:val="en-US"/>
        </w:rPr>
      </w:pPr>
      <w:r w:rsidRPr="006D4277">
        <w:rPr>
          <w:rFonts w:ascii="Times New Roman" w:hAnsi="Times New Roman" w:cs="Times New Roman"/>
          <w:i/>
          <w:iCs/>
          <w:sz w:val="22"/>
          <w:szCs w:val="22"/>
          <w:lang w:val="en-US"/>
        </w:rPr>
        <w:lastRenderedPageBreak/>
        <w:t xml:space="preserve">3.4 </w:t>
      </w:r>
      <w:r w:rsidR="003C7DC7" w:rsidRPr="006D4277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Correlation Between </w:t>
      </w:r>
      <w:r w:rsidR="00DF5558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Sample </w:t>
      </w:r>
      <w:r w:rsidR="003C7DC7" w:rsidRPr="006D4277">
        <w:rPr>
          <w:rFonts w:ascii="Times New Roman" w:hAnsi="Times New Roman" w:cs="Times New Roman"/>
          <w:i/>
          <w:iCs/>
          <w:sz w:val="22"/>
          <w:szCs w:val="22"/>
          <w:lang w:val="en-US"/>
        </w:rPr>
        <w:t>Cellularity and β-Globin Ct Values</w:t>
      </w:r>
    </w:p>
    <w:p w14:paraId="14D1EC74" w14:textId="6CF37559" w:rsidR="0081720C" w:rsidRPr="006D4277" w:rsidRDefault="003C7DC7" w:rsidP="004D595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The study further </w:t>
      </w:r>
      <w:r w:rsidR="001D6863">
        <w:rPr>
          <w:rFonts w:ascii="Times New Roman" w:hAnsi="Times New Roman" w:cs="Times New Roman"/>
          <w:sz w:val="22"/>
          <w:szCs w:val="22"/>
          <w:lang w:val="en-US"/>
        </w:rPr>
        <w:t>evaluated</w:t>
      </w:r>
      <w:r w:rsidR="001D6863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the relationship between β-globin Ct values and </w:t>
      </w:r>
      <w:r w:rsidR="001D6863">
        <w:rPr>
          <w:rFonts w:ascii="Times New Roman" w:hAnsi="Times New Roman" w:cs="Times New Roman"/>
          <w:sz w:val="22"/>
          <w:szCs w:val="22"/>
          <w:lang w:val="en-US"/>
        </w:rPr>
        <w:t xml:space="preserve">a quantitative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>sample cellularity</w:t>
      </w:r>
      <w:r w:rsidR="001D6863">
        <w:rPr>
          <w:rFonts w:ascii="Times New Roman" w:hAnsi="Times New Roman" w:cs="Times New Roman"/>
          <w:sz w:val="22"/>
          <w:szCs w:val="22"/>
          <w:lang w:val="en-US"/>
        </w:rPr>
        <w:t xml:space="preserve"> assessment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. </w:t>
      </w:r>
      <w:r w:rsidR="001C55D7" w:rsidRPr="006D4277">
        <w:rPr>
          <w:rFonts w:ascii="Times New Roman" w:hAnsi="Times New Roman" w:cs="Times New Roman"/>
          <w:sz w:val="22"/>
          <w:szCs w:val="22"/>
          <w:lang w:val="en-US"/>
        </w:rPr>
        <w:t>T</w:t>
      </w:r>
      <w:r w:rsidR="00665C25">
        <w:rPr>
          <w:rFonts w:ascii="Times New Roman" w:hAnsi="Times New Roman" w:cs="Times New Roman"/>
          <w:sz w:val="22"/>
          <w:szCs w:val="22"/>
          <w:lang w:val="en-US"/>
        </w:rPr>
        <w:t>he results of t</w:t>
      </w:r>
      <w:r w:rsidR="001C55D7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esting </w:t>
      </w:r>
      <w:r w:rsidR="007F44ED" w:rsidRPr="006D4277">
        <w:rPr>
          <w:rFonts w:ascii="Times New Roman" w:hAnsi="Times New Roman" w:cs="Times New Roman"/>
          <w:sz w:val="22"/>
          <w:szCs w:val="22"/>
          <w:lang w:val="en-US"/>
        </w:rPr>
        <w:t>125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1C55D7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HPV-negative </w:t>
      </w:r>
      <w:r w:rsidR="00AA050A">
        <w:rPr>
          <w:rFonts w:ascii="Times New Roman" w:hAnsi="Times New Roman" w:cs="Times New Roman"/>
          <w:sz w:val="22"/>
          <w:szCs w:val="22"/>
          <w:lang w:val="en-US"/>
        </w:rPr>
        <w:t xml:space="preserve">random </w:t>
      </w:r>
      <w:r w:rsidR="001C55D7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samples with </w:t>
      </w:r>
      <w:proofErr w:type="spellStart"/>
      <w:r w:rsidR="001C55D7" w:rsidRPr="006D4277">
        <w:rPr>
          <w:rFonts w:ascii="Times New Roman" w:hAnsi="Times New Roman" w:cs="Times New Roman"/>
          <w:sz w:val="22"/>
          <w:szCs w:val="22"/>
          <w:lang w:val="en-US"/>
        </w:rPr>
        <w:t>OncoPredict</w:t>
      </w:r>
      <w:proofErr w:type="spellEnd"/>
      <w:r w:rsidR="001C55D7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HPV QC module</w:t>
      </w:r>
      <w:r w:rsidR="007D320F">
        <w:rPr>
          <w:rFonts w:ascii="Times New Roman" w:hAnsi="Times New Roman" w:cs="Times New Roman"/>
          <w:sz w:val="22"/>
          <w:szCs w:val="22"/>
          <w:vertAlign w:val="superscript"/>
          <w:lang w:val="en-US"/>
        </w:rPr>
        <w:t xml:space="preserve">36,37 </w:t>
      </w:r>
      <w:r w:rsidR="001C55D7" w:rsidRPr="006D4277">
        <w:rPr>
          <w:rFonts w:ascii="Times New Roman" w:hAnsi="Times New Roman" w:cs="Times New Roman"/>
          <w:sz w:val="22"/>
          <w:szCs w:val="22"/>
          <w:lang w:val="en-US"/>
        </w:rPr>
        <w:t>underlined</w:t>
      </w:r>
      <w:r w:rsidR="0081720C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that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>h</w:t>
      </w:r>
      <w:r w:rsidR="0081720C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igher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β-globin </w:t>
      </w:r>
      <w:r w:rsidR="0081720C" w:rsidRPr="006D4277">
        <w:rPr>
          <w:rFonts w:ascii="Times New Roman" w:hAnsi="Times New Roman" w:cs="Times New Roman"/>
          <w:sz w:val="22"/>
          <w:szCs w:val="22"/>
          <w:lang w:val="en-US"/>
        </w:rPr>
        <w:t>Ct values</w:t>
      </w:r>
      <w:r w:rsidR="00F15DC3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are</w:t>
      </w:r>
      <w:r w:rsidR="0081720C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due to a lower initial amount of human DNA or cells in the sample. </w:t>
      </w:r>
      <w:r w:rsidR="00665C25">
        <w:rPr>
          <w:rFonts w:ascii="Times New Roman" w:hAnsi="Times New Roman" w:cs="Times New Roman"/>
          <w:sz w:val="22"/>
          <w:szCs w:val="22"/>
          <w:lang w:val="en-US"/>
        </w:rPr>
        <w:t>Moreover</w:t>
      </w:r>
      <w:r w:rsidR="00DF5558">
        <w:rPr>
          <w:rFonts w:ascii="Times New Roman" w:hAnsi="Times New Roman" w:cs="Times New Roman"/>
          <w:sz w:val="22"/>
          <w:szCs w:val="22"/>
          <w:lang w:val="en-US"/>
        </w:rPr>
        <w:t>,</w:t>
      </w:r>
      <w:r w:rsidR="00665C25">
        <w:rPr>
          <w:rFonts w:ascii="Times New Roman" w:hAnsi="Times New Roman" w:cs="Times New Roman"/>
          <w:sz w:val="22"/>
          <w:szCs w:val="22"/>
          <w:lang w:val="en-US"/>
        </w:rPr>
        <w:t xml:space="preserve"> the exogenous PCR inhibition control included in the </w:t>
      </w:r>
      <w:proofErr w:type="spellStart"/>
      <w:r w:rsidR="00665C25" w:rsidRPr="006D4277">
        <w:rPr>
          <w:rFonts w:ascii="Times New Roman" w:hAnsi="Times New Roman" w:cs="Times New Roman"/>
          <w:sz w:val="22"/>
          <w:szCs w:val="22"/>
          <w:lang w:val="en-US"/>
        </w:rPr>
        <w:t>OncoPredict</w:t>
      </w:r>
      <w:proofErr w:type="spellEnd"/>
      <w:r w:rsidR="00665C25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HPV QC module</w:t>
      </w:r>
      <w:r w:rsidR="00665C25">
        <w:rPr>
          <w:rFonts w:ascii="Times New Roman" w:hAnsi="Times New Roman" w:cs="Times New Roman"/>
          <w:sz w:val="22"/>
          <w:szCs w:val="22"/>
          <w:lang w:val="en-US"/>
        </w:rPr>
        <w:t xml:space="preserve"> did not show any evidence of inhibition of the reaction among tested samples</w:t>
      </w:r>
      <w:r w:rsidR="006F3E4D">
        <w:rPr>
          <w:rFonts w:ascii="Times New Roman" w:hAnsi="Times New Roman" w:cs="Times New Roman"/>
          <w:sz w:val="22"/>
          <w:szCs w:val="22"/>
          <w:lang w:val="en-US"/>
        </w:rPr>
        <w:t xml:space="preserve">, which could account for the higher </w:t>
      </w:r>
      <w:r w:rsidR="006F3E4D" w:rsidRPr="006D4277">
        <w:rPr>
          <w:rFonts w:ascii="Times New Roman" w:hAnsi="Times New Roman" w:cs="Times New Roman"/>
          <w:sz w:val="22"/>
          <w:szCs w:val="22"/>
          <w:lang w:val="en-US"/>
        </w:rPr>
        <w:t>β-globin Ct values</w:t>
      </w:r>
      <w:r w:rsidR="00665C25">
        <w:rPr>
          <w:rFonts w:ascii="Times New Roman" w:hAnsi="Times New Roman" w:cs="Times New Roman"/>
          <w:sz w:val="22"/>
          <w:szCs w:val="22"/>
          <w:lang w:val="en-US"/>
        </w:rPr>
        <w:t xml:space="preserve">. </w:t>
      </w:r>
      <w:r w:rsidR="0081720C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This is consistent with the </w:t>
      </w:r>
      <w:r w:rsidR="00F15DC3" w:rsidRPr="006D4277">
        <w:rPr>
          <w:rFonts w:ascii="Times New Roman" w:hAnsi="Times New Roman" w:cs="Times New Roman"/>
          <w:sz w:val="22"/>
          <w:szCs w:val="22"/>
          <w:lang w:val="en-US"/>
        </w:rPr>
        <w:t>hypothesis</w:t>
      </w:r>
      <w:r w:rsidR="0081720C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that </w:t>
      </w:r>
      <w:r w:rsidR="00F15DC3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β-globin </w:t>
      </w:r>
      <w:r w:rsidR="0081720C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late amplification </w:t>
      </w:r>
      <w:r w:rsidR="00665C25">
        <w:rPr>
          <w:rFonts w:ascii="Times New Roman" w:hAnsi="Times New Roman" w:cs="Times New Roman"/>
          <w:sz w:val="22"/>
          <w:szCs w:val="22"/>
          <w:lang w:val="en-US"/>
        </w:rPr>
        <w:t xml:space="preserve">using </w:t>
      </w:r>
      <w:r w:rsidR="00665C25" w:rsidRPr="00F85425">
        <w:rPr>
          <w:rFonts w:ascii="Times New Roman" w:hAnsi="Times New Roman" w:cs="Times New Roman"/>
          <w:sz w:val="22"/>
          <w:szCs w:val="22"/>
          <w:lang w:val="en-GB"/>
        </w:rPr>
        <w:t>Cobas</w:t>
      </w:r>
      <w:r w:rsidR="00665C25">
        <w:rPr>
          <w:rFonts w:ascii="Times New Roman" w:hAnsi="Times New Roman" w:cs="Times New Roman"/>
          <w:sz w:val="22"/>
          <w:szCs w:val="22"/>
          <w:lang w:val="en-GB"/>
        </w:rPr>
        <w:t>®</w:t>
      </w:r>
      <w:r w:rsidR="00665C25" w:rsidRPr="00F85425">
        <w:rPr>
          <w:rFonts w:ascii="Times New Roman" w:hAnsi="Times New Roman" w:cs="Times New Roman"/>
          <w:sz w:val="22"/>
          <w:szCs w:val="22"/>
          <w:lang w:val="en-GB"/>
        </w:rPr>
        <w:t xml:space="preserve">4800 </w:t>
      </w:r>
      <w:r w:rsidR="0081720C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correlates with samples </w:t>
      </w:r>
      <w:r w:rsidR="00665C25">
        <w:rPr>
          <w:rFonts w:ascii="Times New Roman" w:hAnsi="Times New Roman" w:cs="Times New Roman"/>
          <w:sz w:val="22"/>
          <w:szCs w:val="22"/>
          <w:lang w:val="en-US"/>
        </w:rPr>
        <w:t>with a</w:t>
      </w:r>
      <w:r w:rsidR="0081720C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lower cellular content</w:t>
      </w:r>
      <w:r w:rsidR="001C55D7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, rather than </w:t>
      </w:r>
      <w:r w:rsidR="00665C25">
        <w:rPr>
          <w:rFonts w:ascii="Times New Roman" w:hAnsi="Times New Roman" w:cs="Times New Roman"/>
          <w:sz w:val="22"/>
          <w:szCs w:val="22"/>
          <w:lang w:val="en-US"/>
        </w:rPr>
        <w:t xml:space="preserve">resulting from </w:t>
      </w:r>
      <w:r w:rsidR="006262EB" w:rsidRPr="006D4277">
        <w:rPr>
          <w:rFonts w:ascii="Times New Roman" w:hAnsi="Times New Roman" w:cs="Times New Roman"/>
          <w:sz w:val="22"/>
          <w:szCs w:val="22"/>
          <w:lang w:val="en-US"/>
        </w:rPr>
        <w:t>PCR inhibition issues</w:t>
      </w:r>
      <w:r w:rsidR="0081720C" w:rsidRPr="006D4277">
        <w:rPr>
          <w:rFonts w:ascii="Times New Roman" w:hAnsi="Times New Roman" w:cs="Times New Roman"/>
          <w:sz w:val="22"/>
          <w:szCs w:val="22"/>
          <w:lang w:val="en-US"/>
        </w:rPr>
        <w:t>.</w:t>
      </w:r>
      <w:r w:rsidR="006262EB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</w:p>
    <w:p w14:paraId="1FC03517" w14:textId="1A0CFA43" w:rsidR="0081720C" w:rsidRPr="006D4277" w:rsidRDefault="00F073F9" w:rsidP="004D595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6D4277">
        <w:rPr>
          <w:rFonts w:ascii="Times New Roman" w:hAnsi="Times New Roman" w:cs="Times New Roman"/>
          <w:sz w:val="22"/>
          <w:szCs w:val="22"/>
          <w:lang w:val="en-US"/>
        </w:rPr>
        <w:t>G</w:t>
      </w:r>
      <w:r w:rsidR="0081720C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raph </w:t>
      </w:r>
      <w:r w:rsidR="00A14250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in </w:t>
      </w:r>
      <w:r w:rsidR="00F56734" w:rsidRPr="006D4277">
        <w:rPr>
          <w:rFonts w:ascii="Times New Roman" w:hAnsi="Times New Roman" w:cs="Times New Roman"/>
          <w:sz w:val="22"/>
          <w:szCs w:val="22"/>
          <w:lang w:val="en-US"/>
        </w:rPr>
        <w:t>F</w:t>
      </w:r>
      <w:r w:rsidR="00A14250" w:rsidRPr="006D4277">
        <w:rPr>
          <w:rFonts w:ascii="Times New Roman" w:hAnsi="Times New Roman" w:cs="Times New Roman"/>
          <w:sz w:val="22"/>
          <w:szCs w:val="22"/>
          <w:lang w:val="en-US"/>
        </w:rPr>
        <w:t>igure 1</w:t>
      </w:r>
      <w:r w:rsidR="00F15DC3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81720C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plots the number of cells per </w:t>
      </w:r>
      <w:r w:rsidR="002213EB">
        <w:rPr>
          <w:rFonts w:ascii="Times New Roman" w:hAnsi="Times New Roman" w:cs="Times New Roman"/>
          <w:sz w:val="22"/>
          <w:szCs w:val="22"/>
          <w:lang w:val="en-US"/>
        </w:rPr>
        <w:t>mL</w:t>
      </w:r>
      <w:r w:rsidR="006F3E4D">
        <w:rPr>
          <w:rFonts w:ascii="Times New Roman" w:hAnsi="Times New Roman" w:cs="Times New Roman"/>
          <w:sz w:val="22"/>
          <w:szCs w:val="22"/>
          <w:lang w:val="en-US"/>
        </w:rPr>
        <w:t>,</w:t>
      </w:r>
      <w:r w:rsidR="00F15DC3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81720C" w:rsidRPr="006D4277">
        <w:rPr>
          <w:rFonts w:ascii="Times New Roman" w:hAnsi="Times New Roman" w:cs="Times New Roman"/>
          <w:sz w:val="22"/>
          <w:szCs w:val="22"/>
          <w:lang w:val="en-US"/>
        </w:rPr>
        <w:t>as a function of β-globin Ct values</w:t>
      </w:r>
      <w:r w:rsidR="006F3E4D">
        <w:rPr>
          <w:rFonts w:ascii="Times New Roman" w:hAnsi="Times New Roman" w:cs="Times New Roman"/>
          <w:sz w:val="22"/>
          <w:szCs w:val="22"/>
          <w:lang w:val="en-US"/>
        </w:rPr>
        <w:t>,</w:t>
      </w:r>
      <w:r w:rsidR="006262EB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calculated by CCR5 standard curve</w:t>
      </w:r>
      <w:r w:rsidR="00472BC9">
        <w:rPr>
          <w:rFonts w:ascii="Times New Roman" w:hAnsi="Times New Roman" w:cs="Times New Roman"/>
          <w:sz w:val="22"/>
          <w:szCs w:val="22"/>
          <w:lang w:val="en-US"/>
        </w:rPr>
        <w:t>, in</w:t>
      </w:r>
      <w:r w:rsidR="00912D2B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472BC9">
        <w:rPr>
          <w:rFonts w:ascii="Times New Roman" w:hAnsi="Times New Roman" w:cs="Times New Roman"/>
          <w:sz w:val="22"/>
          <w:szCs w:val="22"/>
          <w:lang w:val="en-US"/>
        </w:rPr>
        <w:t xml:space="preserve">125 samples with </w:t>
      </w:r>
      <w:r w:rsidR="00472BC9" w:rsidRPr="00912D2B">
        <w:rPr>
          <w:rFonts w:ascii="Symbol" w:hAnsi="Symbol" w:cs="Times New Roman"/>
          <w:sz w:val="22"/>
          <w:szCs w:val="22"/>
          <w:lang w:val="en-US"/>
        </w:rPr>
        <w:t>b</w:t>
      </w:r>
      <w:r w:rsidR="00472BC9">
        <w:rPr>
          <w:rFonts w:ascii="Times New Roman" w:hAnsi="Times New Roman" w:cs="Times New Roman"/>
          <w:sz w:val="22"/>
          <w:szCs w:val="22"/>
          <w:lang w:val="en-US"/>
        </w:rPr>
        <w:t>-globin Ct ranging from 25 to 40</w:t>
      </w:r>
      <w:r w:rsidR="0081720C" w:rsidRPr="006D4277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14:paraId="1C0E51BD" w14:textId="06A25435" w:rsidR="00E268DA" w:rsidRPr="00435496" w:rsidRDefault="00472BC9" w:rsidP="004D595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Quantification showed cellularity in the LBC sample and in </w:t>
      </w:r>
      <w:r w:rsidR="00E6398F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Cobas®4800 </w:t>
      </w:r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PCR reaction mix respectively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of</w:t>
      </w:r>
      <w:r w:rsidR="00E6398F" w:rsidRPr="00435496">
        <w:rPr>
          <w:rFonts w:ascii="Times New Roman" w:hAnsi="Times New Roman" w:cs="Times New Roman"/>
          <w:sz w:val="22"/>
          <w:szCs w:val="22"/>
          <w:lang w:val="en-US"/>
        </w:rPr>
        <w:t>about</w:t>
      </w:r>
      <w:proofErr w:type="spellEnd"/>
      <w:r w:rsidR="00E6398F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2x10^5 cells/</w:t>
      </w:r>
      <w:r w:rsidR="002213EB">
        <w:rPr>
          <w:rFonts w:ascii="Times New Roman" w:hAnsi="Times New Roman" w:cs="Times New Roman"/>
          <w:sz w:val="22"/>
          <w:szCs w:val="22"/>
          <w:lang w:val="en-US"/>
        </w:rPr>
        <w:t xml:space="preserve">mL </w:t>
      </w:r>
      <w:r w:rsidR="00E6398F" w:rsidRPr="00435496">
        <w:rPr>
          <w:rFonts w:ascii="Times New Roman" w:hAnsi="Times New Roman" w:cs="Times New Roman"/>
          <w:sz w:val="22"/>
          <w:szCs w:val="22"/>
          <w:lang w:val="en-US"/>
        </w:rPr>
        <w:t>and 1,5x10^4 cells/</w:t>
      </w:r>
      <w:proofErr w:type="spellStart"/>
      <w:r w:rsidR="00E6398F" w:rsidRPr="00435496">
        <w:rPr>
          <w:rFonts w:ascii="Times New Roman" w:hAnsi="Times New Roman" w:cs="Times New Roman"/>
          <w:sz w:val="22"/>
          <w:szCs w:val="22"/>
          <w:lang w:val="en-US"/>
        </w:rPr>
        <w:t>rxn</w:t>
      </w:r>
      <w:proofErr w:type="spellEnd"/>
      <w:r w:rsidR="00E6398F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a</w:t>
      </w:r>
      <w:r w:rsidR="00F5302D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t a β-globin Ct of 28, </w:t>
      </w:r>
      <w:r w:rsidR="00E6398F" w:rsidRPr="00435496">
        <w:rPr>
          <w:rFonts w:ascii="Times New Roman" w:hAnsi="Times New Roman" w:cs="Times New Roman"/>
          <w:sz w:val="22"/>
          <w:szCs w:val="22"/>
          <w:lang w:val="en-US"/>
        </w:rPr>
        <w:t>6x10^4 cells/</w:t>
      </w:r>
      <w:r w:rsidR="002213EB">
        <w:rPr>
          <w:rFonts w:ascii="Times New Roman" w:hAnsi="Times New Roman" w:cs="Times New Roman"/>
          <w:sz w:val="22"/>
          <w:szCs w:val="22"/>
          <w:lang w:val="en-US"/>
        </w:rPr>
        <w:t xml:space="preserve">mL </w:t>
      </w:r>
      <w:r w:rsidR="00E6398F" w:rsidRPr="00435496">
        <w:rPr>
          <w:rFonts w:ascii="Times New Roman" w:hAnsi="Times New Roman" w:cs="Times New Roman"/>
          <w:sz w:val="22"/>
          <w:szCs w:val="22"/>
          <w:lang w:val="en-US"/>
        </w:rPr>
        <w:t>and 4x10^3 cells/</w:t>
      </w:r>
      <w:proofErr w:type="spellStart"/>
      <w:r w:rsidR="00E6398F" w:rsidRPr="00435496">
        <w:rPr>
          <w:rFonts w:ascii="Times New Roman" w:hAnsi="Times New Roman" w:cs="Times New Roman"/>
          <w:sz w:val="22"/>
          <w:szCs w:val="22"/>
          <w:lang w:val="en-US"/>
        </w:rPr>
        <w:t>rxn</w:t>
      </w:r>
      <w:proofErr w:type="spellEnd"/>
      <w:r w:rsidR="00E6398F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at a β-globin Ct of</w:t>
      </w:r>
      <w:r w:rsidR="00F5302D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32, </w:t>
      </w:r>
      <w:bookmarkStart w:id="2" w:name="_Hlk186404407"/>
      <w:r w:rsidR="007A54E0" w:rsidRPr="00435496">
        <w:rPr>
          <w:rFonts w:ascii="Times New Roman" w:hAnsi="Times New Roman" w:cs="Times New Roman"/>
          <w:sz w:val="22"/>
          <w:szCs w:val="22"/>
          <w:lang w:val="en-US"/>
        </w:rPr>
        <w:t>2,5</w:t>
      </w:r>
      <w:r w:rsidR="00E6398F" w:rsidRPr="00435496">
        <w:rPr>
          <w:rFonts w:ascii="Times New Roman" w:hAnsi="Times New Roman" w:cs="Times New Roman"/>
          <w:sz w:val="22"/>
          <w:szCs w:val="22"/>
          <w:lang w:val="en-US"/>
        </w:rPr>
        <w:t>x10^4 cells/</w:t>
      </w:r>
      <w:r w:rsidR="002213EB">
        <w:rPr>
          <w:rFonts w:ascii="Times New Roman" w:hAnsi="Times New Roman" w:cs="Times New Roman"/>
          <w:sz w:val="22"/>
          <w:szCs w:val="22"/>
          <w:lang w:val="en-US"/>
        </w:rPr>
        <w:t xml:space="preserve">mL </w:t>
      </w:r>
      <w:r w:rsidR="00E6398F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and </w:t>
      </w:r>
      <w:r w:rsidR="007A54E0" w:rsidRPr="00435496">
        <w:rPr>
          <w:rFonts w:ascii="Times New Roman" w:hAnsi="Times New Roman" w:cs="Times New Roman"/>
          <w:sz w:val="22"/>
          <w:szCs w:val="22"/>
          <w:lang w:val="en-US"/>
        </w:rPr>
        <w:t>1,5</w:t>
      </w:r>
      <w:r w:rsidR="00E6398F" w:rsidRPr="00435496">
        <w:rPr>
          <w:rFonts w:ascii="Times New Roman" w:hAnsi="Times New Roman" w:cs="Times New Roman"/>
          <w:sz w:val="22"/>
          <w:szCs w:val="22"/>
          <w:lang w:val="en-US"/>
        </w:rPr>
        <w:t>x10^3 cells/</w:t>
      </w:r>
      <w:proofErr w:type="spellStart"/>
      <w:r w:rsidR="00E6398F" w:rsidRPr="00435496">
        <w:rPr>
          <w:rFonts w:ascii="Times New Roman" w:hAnsi="Times New Roman" w:cs="Times New Roman"/>
          <w:sz w:val="22"/>
          <w:szCs w:val="22"/>
          <w:lang w:val="en-US"/>
        </w:rPr>
        <w:t>rxn</w:t>
      </w:r>
      <w:proofErr w:type="spellEnd"/>
      <w:r w:rsidR="00E6398F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bookmarkEnd w:id="2"/>
      <w:r w:rsidR="00E6398F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at a β-globin Ct of 34, </w:t>
      </w:r>
      <w:r w:rsidR="00F5302D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showing a significant drop in nucleated cells with increasing Ct. By </w:t>
      </w:r>
      <w:r w:rsidR="00AB4A00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a </w:t>
      </w:r>
      <w:r w:rsidR="00F5302D" w:rsidRPr="00435496">
        <w:rPr>
          <w:rFonts w:ascii="Times New Roman" w:hAnsi="Times New Roman" w:cs="Times New Roman"/>
          <w:sz w:val="22"/>
          <w:szCs w:val="22"/>
          <w:lang w:val="en-US"/>
        </w:rPr>
        <w:t>Ct</w:t>
      </w:r>
      <w:r w:rsidR="00AB4A00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of 39</w:t>
      </w:r>
      <w:r w:rsidR="00F5302D" w:rsidRPr="00435496">
        <w:rPr>
          <w:rFonts w:ascii="Times New Roman" w:hAnsi="Times New Roman" w:cs="Times New Roman"/>
          <w:sz w:val="22"/>
          <w:szCs w:val="22"/>
          <w:lang w:val="en-US"/>
        </w:rPr>
        <w:t>, the cellularity reaches the lowest measurable levels, close to 10 cells/</w:t>
      </w:r>
      <w:r w:rsidR="002213EB">
        <w:rPr>
          <w:rFonts w:ascii="Times New Roman" w:hAnsi="Times New Roman" w:cs="Times New Roman"/>
          <w:sz w:val="22"/>
          <w:szCs w:val="22"/>
          <w:lang w:val="en-US"/>
        </w:rPr>
        <w:t xml:space="preserve">mL </w:t>
      </w:r>
      <w:r w:rsidR="007A54E0" w:rsidRPr="00435496">
        <w:rPr>
          <w:rFonts w:ascii="Times New Roman" w:hAnsi="Times New Roman" w:cs="Times New Roman"/>
          <w:sz w:val="22"/>
          <w:szCs w:val="22"/>
          <w:lang w:val="en-US"/>
        </w:rPr>
        <w:t>and 1 equivalent genome/</w:t>
      </w:r>
      <w:proofErr w:type="spellStart"/>
      <w:r w:rsidR="007A54E0" w:rsidRPr="00435496">
        <w:rPr>
          <w:rFonts w:ascii="Times New Roman" w:hAnsi="Times New Roman" w:cs="Times New Roman"/>
          <w:sz w:val="22"/>
          <w:szCs w:val="22"/>
          <w:lang w:val="en-US"/>
        </w:rPr>
        <w:t>rxn</w:t>
      </w:r>
      <w:proofErr w:type="spellEnd"/>
      <w:r w:rsidR="00F5302D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, indicating </w:t>
      </w:r>
      <w:r w:rsidR="00AB4A00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that </w:t>
      </w:r>
      <w:r w:rsidR="00F5302D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very few nucleated cells </w:t>
      </w:r>
      <w:r w:rsidR="00AB4A00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are present </w:t>
      </w:r>
      <w:r w:rsidR="00F5302D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in the </w:t>
      </w:r>
      <w:r w:rsidR="00AB4A00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tested </w:t>
      </w:r>
      <w:r w:rsidR="00F5302D" w:rsidRPr="00435496">
        <w:rPr>
          <w:rFonts w:ascii="Times New Roman" w:hAnsi="Times New Roman" w:cs="Times New Roman"/>
          <w:sz w:val="22"/>
          <w:szCs w:val="22"/>
          <w:lang w:val="en-US"/>
        </w:rPr>
        <w:t>sample</w:t>
      </w:r>
      <w:r w:rsidR="00441A32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, but HPV </w:t>
      </w:r>
      <w:r w:rsidR="00197E36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DNA test </w:t>
      </w:r>
      <w:r w:rsidR="00AB4A00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results </w:t>
      </w:r>
      <w:r w:rsidR="00197E36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for CCS </w:t>
      </w:r>
      <w:r w:rsidR="00AB4A00" w:rsidRPr="00435496">
        <w:rPr>
          <w:rFonts w:ascii="Times New Roman" w:hAnsi="Times New Roman" w:cs="Times New Roman"/>
          <w:sz w:val="22"/>
          <w:szCs w:val="22"/>
          <w:lang w:val="en-US"/>
        </w:rPr>
        <w:t>are</w:t>
      </w:r>
      <w:r w:rsidR="00197E36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reported by Cobas</w:t>
      </w:r>
      <w:r w:rsidR="00EA31E6" w:rsidRPr="00435496">
        <w:rPr>
          <w:rFonts w:ascii="Times New Roman" w:hAnsi="Times New Roman" w:cs="Times New Roman"/>
          <w:sz w:val="22"/>
          <w:szCs w:val="22"/>
          <w:lang w:val="en-US"/>
        </w:rPr>
        <w:t>®</w:t>
      </w:r>
      <w:r w:rsidR="005E4A03" w:rsidRPr="00435496">
        <w:rPr>
          <w:rFonts w:ascii="Times New Roman" w:hAnsi="Times New Roman" w:cs="Times New Roman"/>
          <w:sz w:val="22"/>
          <w:szCs w:val="22"/>
          <w:lang w:val="en-US"/>
        </w:rPr>
        <w:t>4800 software as</w:t>
      </w:r>
      <w:r w:rsidR="00197E36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AB4A00" w:rsidRPr="00435496">
        <w:rPr>
          <w:rFonts w:ascii="Times New Roman" w:hAnsi="Times New Roman" w:cs="Times New Roman"/>
          <w:sz w:val="22"/>
          <w:szCs w:val="22"/>
          <w:lang w:val="en-US"/>
        </w:rPr>
        <w:t>“</w:t>
      </w:r>
      <w:r w:rsidR="00197E36" w:rsidRPr="00435496">
        <w:rPr>
          <w:rFonts w:ascii="Times New Roman" w:hAnsi="Times New Roman" w:cs="Times New Roman"/>
          <w:sz w:val="22"/>
          <w:szCs w:val="22"/>
          <w:lang w:val="en-US"/>
        </w:rPr>
        <w:t>valid</w:t>
      </w:r>
      <w:r w:rsidR="00AB4A00" w:rsidRPr="00435496">
        <w:rPr>
          <w:rFonts w:ascii="Times New Roman" w:hAnsi="Times New Roman" w:cs="Times New Roman"/>
          <w:sz w:val="22"/>
          <w:szCs w:val="22"/>
          <w:lang w:val="en-US"/>
        </w:rPr>
        <w:t>”</w:t>
      </w:r>
      <w:r w:rsidR="00197E36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and </w:t>
      </w:r>
      <w:r w:rsidR="00AB4A00" w:rsidRPr="00435496">
        <w:rPr>
          <w:rFonts w:ascii="Times New Roman" w:hAnsi="Times New Roman" w:cs="Times New Roman"/>
          <w:sz w:val="22"/>
          <w:szCs w:val="22"/>
          <w:lang w:val="en-US"/>
        </w:rPr>
        <w:t>“HPV-</w:t>
      </w:r>
      <w:r w:rsidR="00197E36" w:rsidRPr="00435496">
        <w:rPr>
          <w:rFonts w:ascii="Times New Roman" w:hAnsi="Times New Roman" w:cs="Times New Roman"/>
          <w:sz w:val="22"/>
          <w:szCs w:val="22"/>
          <w:lang w:val="en-US"/>
        </w:rPr>
        <w:t>negative</w:t>
      </w:r>
      <w:r w:rsidR="00AB4A00" w:rsidRPr="00435496">
        <w:rPr>
          <w:rFonts w:ascii="Times New Roman" w:hAnsi="Times New Roman" w:cs="Times New Roman"/>
          <w:sz w:val="22"/>
          <w:szCs w:val="22"/>
          <w:lang w:val="en-US"/>
        </w:rPr>
        <w:t>”</w:t>
      </w:r>
      <w:r w:rsidR="00F5302D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. </w:t>
      </w:r>
      <w:r w:rsidR="00AB4A00" w:rsidRPr="00435496">
        <w:rPr>
          <w:rFonts w:ascii="Times New Roman" w:hAnsi="Times New Roman" w:cs="Times New Roman"/>
          <w:sz w:val="22"/>
          <w:szCs w:val="22"/>
          <w:lang w:val="en-US"/>
        </w:rPr>
        <w:t>Moreover</w:t>
      </w:r>
      <w:r w:rsidR="00F5302D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, </w:t>
      </w:r>
      <w:r w:rsidR="009D7FE6" w:rsidRPr="00435496">
        <w:rPr>
          <w:rFonts w:ascii="Times New Roman" w:hAnsi="Times New Roman" w:cs="Times New Roman"/>
          <w:sz w:val="22"/>
          <w:szCs w:val="22"/>
          <w:lang w:val="en-US"/>
        </w:rPr>
        <w:t>IC</w:t>
      </w:r>
      <w:r w:rsidR="00F5302D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Ct value reflects </w:t>
      </w:r>
      <w:r w:rsidR="00AB4A00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the overall number of </w:t>
      </w:r>
      <w:r w:rsidR="00F5302D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nucleated cells in the sample, </w:t>
      </w:r>
      <w:r w:rsidR="00AB4A00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including inflammatory cells and </w:t>
      </w:r>
      <w:r w:rsidR="00F5302D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not just </w:t>
      </w:r>
      <w:r w:rsidR="00AB4A00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the </w:t>
      </w:r>
      <w:r w:rsidR="00F5302D" w:rsidRPr="00435496">
        <w:rPr>
          <w:rFonts w:ascii="Times New Roman" w:hAnsi="Times New Roman" w:cs="Times New Roman"/>
          <w:sz w:val="22"/>
          <w:szCs w:val="22"/>
          <w:lang w:val="en-US"/>
        </w:rPr>
        <w:t>squamous epithelial cells (the primary target for HPV infection</w:t>
      </w:r>
      <w:r w:rsidR="00EA31E6" w:rsidRPr="00435496">
        <w:rPr>
          <w:rFonts w:ascii="Times New Roman" w:hAnsi="Times New Roman" w:cs="Times New Roman"/>
          <w:sz w:val="22"/>
          <w:szCs w:val="22"/>
          <w:vertAlign w:val="superscript"/>
          <w:lang w:val="en-US"/>
        </w:rPr>
        <w:t>41</w:t>
      </w:r>
      <w:r w:rsidR="00F5302D" w:rsidRPr="00435496">
        <w:rPr>
          <w:rFonts w:ascii="Times New Roman" w:hAnsi="Times New Roman" w:cs="Times New Roman"/>
          <w:sz w:val="22"/>
          <w:szCs w:val="22"/>
          <w:lang w:val="en-US"/>
        </w:rPr>
        <w:t>), which means th</w:t>
      </w:r>
      <w:r w:rsidR="00EA31E6" w:rsidRPr="00435496">
        <w:rPr>
          <w:rFonts w:ascii="Times New Roman" w:hAnsi="Times New Roman" w:cs="Times New Roman"/>
          <w:sz w:val="22"/>
          <w:szCs w:val="22"/>
          <w:lang w:val="en-US"/>
        </w:rPr>
        <w:t>at</w:t>
      </w:r>
      <w:r w:rsidR="00F5302D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Ct values represent total nucleated cell content rather than solely the target cell type for HPV.</w:t>
      </w:r>
    </w:p>
    <w:p w14:paraId="22ED68F9" w14:textId="77777777" w:rsidR="00203B7E" w:rsidRPr="00435496" w:rsidRDefault="00203B7E" w:rsidP="00F80A56">
      <w:pPr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14:paraId="429D0FC9" w14:textId="63E54805" w:rsidR="00F80A56" w:rsidRPr="00435496" w:rsidRDefault="004D595C" w:rsidP="00F80A56">
      <w:pPr>
        <w:jc w:val="both"/>
        <w:rPr>
          <w:rFonts w:ascii="Times New Roman" w:hAnsi="Times New Roman" w:cs="Times New Roman"/>
          <w:i/>
          <w:iCs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3.5 </w:t>
      </w:r>
      <w:r w:rsidR="00F80A56" w:rsidRPr="00435496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Cytology and Sample Adequacy of samples with late </w:t>
      </w:r>
      <w:r w:rsidR="00153855" w:rsidRPr="00435496">
        <w:rPr>
          <w:rFonts w:ascii="Times New Roman" w:hAnsi="Times New Roman" w:cs="Times New Roman"/>
          <w:i/>
          <w:iCs/>
          <w:sz w:val="22"/>
          <w:szCs w:val="22"/>
          <w:lang w:val="en-US"/>
        </w:rPr>
        <w:t>β</w:t>
      </w:r>
      <w:r w:rsidR="00F80A56" w:rsidRPr="00435496">
        <w:rPr>
          <w:rFonts w:ascii="Times New Roman" w:hAnsi="Times New Roman" w:cs="Times New Roman"/>
          <w:i/>
          <w:iCs/>
          <w:sz w:val="22"/>
          <w:szCs w:val="22"/>
          <w:lang w:val="en-US"/>
        </w:rPr>
        <w:t>-globin amplification</w:t>
      </w:r>
    </w:p>
    <w:p w14:paraId="17101720" w14:textId="602EFEEF" w:rsidR="00F80A56" w:rsidRPr="00435496" w:rsidRDefault="00F80A56" w:rsidP="008827F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  <w:lang w:val="en-US"/>
        </w:rPr>
        <w:t>In a subset of 195 samples with β-globin</w:t>
      </w:r>
      <w:r w:rsidR="008A51D7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EA31E6" w:rsidRPr="00435496">
        <w:rPr>
          <w:rFonts w:ascii="Times New Roman" w:eastAsiaTheme="minorEastAsia" w:hAnsi="Times New Roman" w:cs="Times New Roman"/>
          <w:sz w:val="22"/>
          <w:szCs w:val="22"/>
          <w:lang w:val="en-US"/>
        </w:rPr>
        <w:t>≥</w:t>
      </w:r>
      <w:r w:rsidR="008A51D7" w:rsidRPr="00435496">
        <w:rPr>
          <w:rFonts w:ascii="Times New Roman" w:eastAsiaTheme="minorEastAsia" w:hAnsi="Times New Roman" w:cs="Times New Roman"/>
          <w:sz w:val="22"/>
          <w:szCs w:val="22"/>
          <w:lang w:val="en-US"/>
        </w:rPr>
        <w:t xml:space="preserve"> </w:t>
      </w:r>
      <w:r w:rsidRPr="00435496">
        <w:rPr>
          <w:rFonts w:ascii="Times New Roman" w:hAnsi="Times New Roman" w:cs="Times New Roman"/>
          <w:sz w:val="22"/>
          <w:szCs w:val="22"/>
          <w:lang w:val="en-US"/>
        </w:rPr>
        <w:t>34</w:t>
      </w:r>
      <w:r w:rsidR="004D4EC2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EA31E6" w:rsidRPr="00435496">
        <w:rPr>
          <w:rFonts w:ascii="Times New Roman" w:hAnsi="Times New Roman" w:cs="Times New Roman"/>
          <w:sz w:val="22"/>
          <w:szCs w:val="22"/>
          <w:lang w:val="en-US"/>
        </w:rPr>
        <w:t>Ct</w:t>
      </w:r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, </w:t>
      </w:r>
      <w:r w:rsidR="00AB4A00" w:rsidRPr="00435496">
        <w:rPr>
          <w:rFonts w:ascii="Times New Roman" w:hAnsi="Times New Roman" w:cs="Times New Roman"/>
          <w:sz w:val="22"/>
          <w:szCs w:val="22"/>
          <w:lang w:val="en-US"/>
        </w:rPr>
        <w:t>LBC</w:t>
      </w:r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slides were prepared to assess sample adequacy. Cytology revealed that 19% of these samples (37/195) exhibited inadequate cellularity, with less than 5,000 cells per slide, 8% were positive for abnormal cytology (7 ASC-US, 7 L-SIL, 1 ASC-H, 1 H-SIL), and 65% showed normal cytology with marked atrophy, suggesting that atrophic changes in the cervical epithelium may contribute to the reduced cellular yield. The remaining samples </w:t>
      </w:r>
      <w:r w:rsidR="00115ABB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(8%) </w:t>
      </w:r>
      <w:r w:rsidRPr="00435496">
        <w:rPr>
          <w:rFonts w:ascii="Times New Roman" w:hAnsi="Times New Roman" w:cs="Times New Roman"/>
          <w:sz w:val="22"/>
          <w:szCs w:val="22"/>
          <w:lang w:val="en-US"/>
        </w:rPr>
        <w:t>were NILMs but not atrophic.</w:t>
      </w:r>
    </w:p>
    <w:p w14:paraId="422145B4" w14:textId="05AF0D09" w:rsidR="006A53C9" w:rsidRPr="006D4277" w:rsidRDefault="00AB4A00" w:rsidP="008827FC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Within this subset of samples, those found to be </w:t>
      </w:r>
      <w:r w:rsidR="00D80991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HPV-negative with </w:t>
      </w:r>
      <w:r w:rsidR="00031A4F" w:rsidRPr="00435496">
        <w:rPr>
          <w:rFonts w:ascii="Times New Roman" w:hAnsi="Times New Roman" w:cs="Times New Roman"/>
          <w:sz w:val="22"/>
          <w:szCs w:val="22"/>
          <w:lang w:val="en-US"/>
        </w:rPr>
        <w:t>inadequate</w:t>
      </w:r>
      <w:r w:rsidR="00D80991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cytology or positive for ≥</w:t>
      </w:r>
      <w:r w:rsidR="00342198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D80991" w:rsidRPr="00435496">
        <w:rPr>
          <w:rFonts w:ascii="Times New Roman" w:hAnsi="Times New Roman" w:cs="Times New Roman"/>
          <w:sz w:val="22"/>
          <w:szCs w:val="22"/>
          <w:lang w:val="en-US"/>
        </w:rPr>
        <w:t>ASC-US w</w:t>
      </w:r>
      <w:r w:rsidR="00031A4F" w:rsidRPr="00435496">
        <w:rPr>
          <w:rFonts w:ascii="Times New Roman" w:hAnsi="Times New Roman" w:cs="Times New Roman"/>
          <w:sz w:val="22"/>
          <w:szCs w:val="22"/>
          <w:lang w:val="en-US"/>
        </w:rPr>
        <w:t>e</w:t>
      </w:r>
      <w:r w:rsidR="00D80991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re reported as </w:t>
      </w:r>
      <w:r w:rsidR="00031A4F" w:rsidRPr="00435496">
        <w:rPr>
          <w:rFonts w:ascii="Times New Roman" w:hAnsi="Times New Roman" w:cs="Times New Roman"/>
          <w:sz w:val="22"/>
          <w:szCs w:val="22"/>
          <w:lang w:val="en-US"/>
        </w:rPr>
        <w:t>inadequate,</w:t>
      </w:r>
      <w:r w:rsidR="00D80991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and women were invited to repeat the t</w:t>
      </w:r>
      <w:r w:rsidR="00D80991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est. </w:t>
      </w:r>
      <w:r w:rsidR="0019004B" w:rsidRPr="006D4277">
        <w:rPr>
          <w:rFonts w:ascii="Times New Roman" w:hAnsi="Times New Roman" w:cs="Times New Roman"/>
          <w:sz w:val="22"/>
          <w:szCs w:val="22"/>
          <w:lang w:val="en-US"/>
        </w:rPr>
        <w:t>Among</w:t>
      </w:r>
      <w:r w:rsidR="006E3E1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16</w:t>
      </w:r>
      <w:r w:rsidR="0019004B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samples with positive cytology, </w:t>
      </w:r>
      <w:r w:rsidR="00031A4F" w:rsidRPr="006D4277">
        <w:rPr>
          <w:rFonts w:ascii="Times New Roman" w:hAnsi="Times New Roman" w:cs="Times New Roman"/>
          <w:sz w:val="22"/>
          <w:szCs w:val="22"/>
          <w:lang w:val="en-US"/>
        </w:rPr>
        <w:t>4</w:t>
      </w:r>
      <w:r w:rsidR="00D80991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were HPV</w:t>
      </w:r>
      <w:r w:rsidR="006E3E1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D80991" w:rsidRPr="006D4277">
        <w:rPr>
          <w:rFonts w:ascii="Times New Roman" w:hAnsi="Times New Roman" w:cs="Times New Roman"/>
          <w:sz w:val="22"/>
          <w:szCs w:val="22"/>
          <w:lang w:val="en-US"/>
        </w:rPr>
        <w:t>positive at the recall</w:t>
      </w:r>
      <w:r w:rsidR="00BD3CB0">
        <w:rPr>
          <w:rFonts w:ascii="Times New Roman" w:hAnsi="Times New Roman" w:cs="Times New Roman"/>
          <w:sz w:val="22"/>
          <w:szCs w:val="22"/>
          <w:lang w:val="en-US"/>
        </w:rPr>
        <w:t xml:space="preserve"> visit</w:t>
      </w:r>
      <w:r w:rsidR="00D80991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, </w:t>
      </w:r>
      <w:r w:rsidR="0019004B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4 missed the recall, </w:t>
      </w:r>
      <w:r w:rsidR="006E3E16" w:rsidRPr="006D4277">
        <w:rPr>
          <w:rFonts w:ascii="Times New Roman" w:hAnsi="Times New Roman" w:cs="Times New Roman"/>
          <w:sz w:val="22"/>
          <w:szCs w:val="22"/>
          <w:lang w:val="en-US"/>
        </w:rPr>
        <w:t>8</w:t>
      </w:r>
      <w:r w:rsidR="0019004B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were HPV negative </w:t>
      </w:r>
      <w:r w:rsidR="006E3E16" w:rsidRPr="006D4277">
        <w:rPr>
          <w:rFonts w:ascii="Times New Roman" w:hAnsi="Times New Roman" w:cs="Times New Roman"/>
          <w:sz w:val="22"/>
          <w:szCs w:val="22"/>
          <w:lang w:val="en-US"/>
        </w:rPr>
        <w:t>(</w:t>
      </w:r>
      <w:r w:rsidR="0019004B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2 with </w:t>
      </w:r>
      <w:r w:rsidR="0019004B" w:rsidRPr="00115ABB">
        <w:rPr>
          <w:rFonts w:ascii="Symbol" w:hAnsi="Symbol" w:cs="Times New Roman"/>
          <w:sz w:val="22"/>
          <w:szCs w:val="22"/>
          <w:lang w:val="en-US"/>
        </w:rPr>
        <w:t>b</w:t>
      </w:r>
      <w:r w:rsidR="0019004B" w:rsidRPr="006D4277">
        <w:rPr>
          <w:rFonts w:ascii="Times New Roman" w:hAnsi="Times New Roman" w:cs="Times New Roman"/>
          <w:sz w:val="22"/>
          <w:szCs w:val="22"/>
          <w:lang w:val="en-US"/>
        </w:rPr>
        <w:t>-globin</w:t>
      </w:r>
      <w:r w:rsidR="002E426B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19004B" w:rsidRPr="006D4277">
        <w:rPr>
          <w:rFonts w:ascii="Times New Roman" w:hAnsi="Times New Roman" w:cs="Times New Roman"/>
          <w:sz w:val="22"/>
          <w:szCs w:val="22"/>
          <w:lang w:val="en-US"/>
        </w:rPr>
        <w:t>&gt;</w:t>
      </w:r>
      <w:r w:rsidR="002E426B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19004B" w:rsidRPr="006D4277">
        <w:rPr>
          <w:rFonts w:ascii="Times New Roman" w:hAnsi="Times New Roman" w:cs="Times New Roman"/>
          <w:sz w:val="22"/>
          <w:szCs w:val="22"/>
          <w:lang w:val="en-US"/>
        </w:rPr>
        <w:t>32 Ct</w:t>
      </w:r>
      <w:r w:rsidR="006E3E1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). </w:t>
      </w:r>
      <w:r w:rsidR="0019004B" w:rsidRPr="006D4277">
        <w:rPr>
          <w:rFonts w:ascii="Times New Roman" w:hAnsi="Times New Roman" w:cs="Times New Roman"/>
          <w:sz w:val="22"/>
          <w:szCs w:val="22"/>
          <w:lang w:val="en-US"/>
        </w:rPr>
        <w:t>Among inadequate samples</w:t>
      </w:r>
      <w:r w:rsidR="00115ABB">
        <w:rPr>
          <w:rFonts w:ascii="Times New Roman" w:hAnsi="Times New Roman" w:cs="Times New Roman"/>
          <w:sz w:val="22"/>
          <w:szCs w:val="22"/>
          <w:lang w:val="en-US"/>
        </w:rPr>
        <w:t xml:space="preserve"> (N</w:t>
      </w:r>
      <w:r w:rsidR="00342198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115ABB">
        <w:rPr>
          <w:rFonts w:ascii="Times New Roman" w:hAnsi="Times New Roman" w:cs="Times New Roman"/>
          <w:sz w:val="22"/>
          <w:szCs w:val="22"/>
          <w:lang w:val="en-US"/>
        </w:rPr>
        <w:t>=</w:t>
      </w:r>
      <w:r w:rsidR="00342198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115ABB">
        <w:rPr>
          <w:rFonts w:ascii="Times New Roman" w:hAnsi="Times New Roman" w:cs="Times New Roman"/>
          <w:sz w:val="22"/>
          <w:szCs w:val="22"/>
          <w:lang w:val="en-US"/>
        </w:rPr>
        <w:t>37)</w:t>
      </w:r>
      <w:r w:rsidR="0019004B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, 12 women missed the recall, </w:t>
      </w:r>
      <w:r w:rsidR="00031A4F" w:rsidRPr="006D4277">
        <w:rPr>
          <w:rFonts w:ascii="Times New Roman" w:hAnsi="Times New Roman" w:cs="Times New Roman"/>
          <w:sz w:val="22"/>
          <w:szCs w:val="22"/>
          <w:lang w:val="en-US"/>
        </w:rPr>
        <w:t>3</w:t>
      </w:r>
      <w:r w:rsidR="00D80991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were </w:t>
      </w:r>
      <w:r w:rsidR="00031A4F" w:rsidRPr="006D4277">
        <w:rPr>
          <w:rFonts w:ascii="Times New Roman" w:hAnsi="Times New Roman" w:cs="Times New Roman"/>
          <w:sz w:val="22"/>
          <w:szCs w:val="22"/>
          <w:lang w:val="en-US"/>
        </w:rPr>
        <w:t>inadequate</w:t>
      </w:r>
      <w:r w:rsidR="00F80A5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again</w:t>
      </w:r>
      <w:r w:rsidR="00BF3B67">
        <w:rPr>
          <w:rFonts w:ascii="Times New Roman" w:hAnsi="Times New Roman" w:cs="Times New Roman"/>
          <w:sz w:val="22"/>
          <w:szCs w:val="22"/>
          <w:lang w:val="en-US"/>
        </w:rPr>
        <w:t xml:space="preserve"> and,</w:t>
      </w:r>
      <w:r w:rsidR="00D80991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3E16" w:rsidRPr="006D4277">
        <w:rPr>
          <w:rFonts w:ascii="Times New Roman" w:hAnsi="Times New Roman" w:cs="Times New Roman"/>
          <w:sz w:val="22"/>
          <w:szCs w:val="22"/>
          <w:lang w:val="en-US"/>
        </w:rPr>
        <w:t>22</w:t>
      </w:r>
      <w:r w:rsidR="00D80991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were HPV</w:t>
      </w:r>
      <w:r w:rsidR="006E3E16" w:rsidRPr="006D4277">
        <w:rPr>
          <w:rFonts w:ascii="Times New Roman" w:hAnsi="Times New Roman" w:cs="Times New Roman"/>
          <w:sz w:val="22"/>
          <w:szCs w:val="22"/>
          <w:lang w:val="en-US"/>
        </w:rPr>
        <w:t>-</w:t>
      </w:r>
      <w:r w:rsidR="00D80991" w:rsidRPr="006D4277">
        <w:rPr>
          <w:rFonts w:ascii="Times New Roman" w:hAnsi="Times New Roman" w:cs="Times New Roman"/>
          <w:sz w:val="22"/>
          <w:szCs w:val="22"/>
          <w:lang w:val="en-US"/>
        </w:rPr>
        <w:t>n</w:t>
      </w:r>
      <w:r w:rsidR="00031A4F" w:rsidRPr="006D4277">
        <w:rPr>
          <w:rFonts w:ascii="Times New Roman" w:hAnsi="Times New Roman" w:cs="Times New Roman"/>
          <w:sz w:val="22"/>
          <w:szCs w:val="22"/>
          <w:lang w:val="en-US"/>
        </w:rPr>
        <w:t>e</w:t>
      </w:r>
      <w:r w:rsidR="00D80991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gative </w:t>
      </w:r>
      <w:r w:rsidR="006E3E1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(14 </w:t>
      </w:r>
      <w:r w:rsidR="00D80991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with </w:t>
      </w:r>
      <w:r w:rsidR="00BD3CB0" w:rsidRPr="00115ABB">
        <w:rPr>
          <w:rFonts w:ascii="Symbol" w:hAnsi="Symbol" w:cs="Times New Roman"/>
          <w:sz w:val="22"/>
          <w:szCs w:val="22"/>
          <w:lang w:val="en-US"/>
        </w:rPr>
        <w:t>b</w:t>
      </w:r>
      <w:r w:rsidR="00BD3CB0" w:rsidRPr="006D4277">
        <w:rPr>
          <w:rFonts w:ascii="Times New Roman" w:hAnsi="Times New Roman" w:cs="Times New Roman"/>
          <w:sz w:val="22"/>
          <w:szCs w:val="22"/>
          <w:lang w:val="en-US"/>
        </w:rPr>
        <w:t>-globin</w:t>
      </w:r>
      <w:r w:rsidR="00BD3CB0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3E16" w:rsidRPr="006D4277">
        <w:rPr>
          <w:rFonts w:ascii="Times New Roman" w:hAnsi="Times New Roman" w:cs="Times New Roman"/>
          <w:sz w:val="22"/>
          <w:szCs w:val="22"/>
          <w:lang w:val="en-US"/>
        </w:rPr>
        <w:t>&gt;</w:t>
      </w:r>
      <w:r w:rsidR="00031A4F" w:rsidRPr="006D4277">
        <w:rPr>
          <w:rFonts w:ascii="Times New Roman" w:hAnsi="Times New Roman" w:cs="Times New Roman"/>
          <w:sz w:val="22"/>
          <w:szCs w:val="22"/>
          <w:lang w:val="en-US"/>
        </w:rPr>
        <w:t>3</w:t>
      </w:r>
      <w:r w:rsidR="006E3E16" w:rsidRPr="006D4277">
        <w:rPr>
          <w:rFonts w:ascii="Times New Roman" w:hAnsi="Times New Roman" w:cs="Times New Roman"/>
          <w:sz w:val="22"/>
          <w:szCs w:val="22"/>
          <w:lang w:val="en-US"/>
        </w:rPr>
        <w:t>2</w:t>
      </w:r>
      <w:r w:rsidR="00D80991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031A4F" w:rsidRPr="006D4277">
        <w:rPr>
          <w:rFonts w:ascii="Times New Roman" w:hAnsi="Times New Roman" w:cs="Times New Roman"/>
          <w:sz w:val="22"/>
          <w:szCs w:val="22"/>
          <w:lang w:val="en-US"/>
        </w:rPr>
        <w:t>C</w:t>
      </w:r>
      <w:r w:rsidR="00D80991" w:rsidRPr="006D4277">
        <w:rPr>
          <w:rFonts w:ascii="Times New Roman" w:hAnsi="Times New Roman" w:cs="Times New Roman"/>
          <w:sz w:val="22"/>
          <w:szCs w:val="22"/>
          <w:lang w:val="en-US"/>
        </w:rPr>
        <w:t>t</w:t>
      </w:r>
      <w:r w:rsidR="006E3E16" w:rsidRPr="006D4277">
        <w:rPr>
          <w:rFonts w:ascii="Times New Roman" w:hAnsi="Times New Roman" w:cs="Times New Roman"/>
          <w:sz w:val="22"/>
          <w:szCs w:val="22"/>
          <w:lang w:val="en-US"/>
        </w:rPr>
        <w:t>)</w:t>
      </w:r>
      <w:r w:rsidR="0019004B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, (Supplementary </w:t>
      </w:r>
      <w:r w:rsidR="00F56F9F">
        <w:rPr>
          <w:rFonts w:ascii="Times New Roman" w:hAnsi="Times New Roman" w:cs="Times New Roman"/>
          <w:sz w:val="22"/>
          <w:szCs w:val="22"/>
          <w:lang w:val="en-US"/>
        </w:rPr>
        <w:t>T</w:t>
      </w:r>
      <w:r w:rsidR="00983721" w:rsidRPr="006D4277">
        <w:rPr>
          <w:rFonts w:ascii="Times New Roman" w:hAnsi="Times New Roman" w:cs="Times New Roman"/>
          <w:sz w:val="22"/>
          <w:szCs w:val="22"/>
          <w:lang w:val="en-US"/>
        </w:rPr>
        <w:t>able</w:t>
      </w:r>
      <w:r w:rsidR="0019004B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F56F9F">
        <w:rPr>
          <w:rFonts w:ascii="Times New Roman" w:hAnsi="Times New Roman" w:cs="Times New Roman"/>
          <w:sz w:val="22"/>
          <w:szCs w:val="22"/>
          <w:lang w:val="en-US"/>
        </w:rPr>
        <w:t>I</w:t>
      </w:r>
      <w:r w:rsidR="0019004B" w:rsidRPr="006D4277">
        <w:rPr>
          <w:rFonts w:ascii="Times New Roman" w:hAnsi="Times New Roman" w:cs="Times New Roman"/>
          <w:sz w:val="22"/>
          <w:szCs w:val="22"/>
          <w:lang w:val="en-US"/>
        </w:rPr>
        <w:t>).</w:t>
      </w:r>
      <w:r w:rsidR="006E3E1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FE3547" w:rsidRPr="006D4277">
        <w:rPr>
          <w:rFonts w:ascii="Times New Roman" w:hAnsi="Times New Roman" w:cs="Times New Roman"/>
          <w:sz w:val="22"/>
          <w:szCs w:val="22"/>
          <w:lang w:val="en-US"/>
        </w:rPr>
        <w:t>T</w:t>
      </w:r>
      <w:r w:rsidR="006E3E16" w:rsidRPr="006D4277">
        <w:rPr>
          <w:rFonts w:ascii="Times New Roman" w:hAnsi="Times New Roman" w:cs="Times New Roman"/>
          <w:sz w:val="22"/>
          <w:szCs w:val="22"/>
          <w:lang w:val="en-US"/>
        </w:rPr>
        <w:t>hese</w:t>
      </w:r>
      <w:r w:rsidR="00FE3547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E3E1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further </w:t>
      </w:r>
      <w:r w:rsidR="00FE3547" w:rsidRPr="006D4277">
        <w:rPr>
          <w:rFonts w:ascii="Times New Roman" w:hAnsi="Times New Roman" w:cs="Times New Roman"/>
          <w:sz w:val="22"/>
          <w:szCs w:val="22"/>
          <w:lang w:val="en-US"/>
        </w:rPr>
        <w:t>emphasize</w:t>
      </w:r>
      <w:r w:rsidR="006E3E16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the need for robust sample collection techniques to avoid missing clinically significant infections</w:t>
      </w:r>
      <w:r w:rsidR="00496D1A">
        <w:rPr>
          <w:rFonts w:ascii="Times New Roman" w:hAnsi="Times New Roman" w:cs="Times New Roman"/>
          <w:sz w:val="22"/>
          <w:szCs w:val="22"/>
          <w:lang w:val="en-US"/>
        </w:rPr>
        <w:t xml:space="preserve"> and need o</w:t>
      </w:r>
      <w:r w:rsidR="00AA050A">
        <w:rPr>
          <w:rFonts w:ascii="Times New Roman" w:hAnsi="Times New Roman" w:cs="Times New Roman"/>
          <w:sz w:val="22"/>
          <w:szCs w:val="22"/>
          <w:lang w:val="en-US"/>
        </w:rPr>
        <w:t>f</w:t>
      </w:r>
      <w:r w:rsidR="00496D1A">
        <w:rPr>
          <w:rFonts w:ascii="Times New Roman" w:hAnsi="Times New Roman" w:cs="Times New Roman"/>
          <w:sz w:val="22"/>
          <w:szCs w:val="22"/>
          <w:lang w:val="en-US"/>
        </w:rPr>
        <w:t xml:space="preserve"> recalling systems</w:t>
      </w:r>
      <w:r w:rsidR="00AA050A">
        <w:rPr>
          <w:rFonts w:ascii="Times New Roman" w:hAnsi="Times New Roman" w:cs="Times New Roman"/>
          <w:sz w:val="22"/>
          <w:szCs w:val="22"/>
          <w:lang w:val="en-US"/>
        </w:rPr>
        <w:t>,</w:t>
      </w:r>
      <w:r w:rsidR="00BF3B67">
        <w:rPr>
          <w:rFonts w:ascii="Times New Roman" w:hAnsi="Times New Roman" w:cs="Times New Roman"/>
          <w:sz w:val="22"/>
          <w:szCs w:val="22"/>
          <w:lang w:val="en-US"/>
        </w:rPr>
        <w:t xml:space="preserve"> (</w:t>
      </w:r>
      <w:r w:rsidR="00AA050A">
        <w:rPr>
          <w:rFonts w:ascii="Times New Roman" w:hAnsi="Times New Roman" w:cs="Times New Roman"/>
          <w:sz w:val="22"/>
          <w:szCs w:val="22"/>
          <w:lang w:val="en-US"/>
        </w:rPr>
        <w:t>n</w:t>
      </w:r>
      <w:r w:rsidR="00BF3B67">
        <w:rPr>
          <w:rFonts w:ascii="Times New Roman" w:hAnsi="Times New Roman" w:cs="Times New Roman"/>
          <w:sz w:val="22"/>
          <w:szCs w:val="22"/>
          <w:lang w:val="en-US"/>
        </w:rPr>
        <w:t xml:space="preserve">ote that </w:t>
      </w:r>
      <w:r w:rsidR="00496D1A">
        <w:rPr>
          <w:rFonts w:ascii="Times New Roman" w:hAnsi="Times New Roman" w:cs="Times New Roman"/>
          <w:sz w:val="22"/>
          <w:szCs w:val="22"/>
          <w:lang w:val="en-US"/>
        </w:rPr>
        <w:t xml:space="preserve">16/53 </w:t>
      </w:r>
      <w:r w:rsidR="00E40A22">
        <w:rPr>
          <w:rFonts w:ascii="Times New Roman" w:hAnsi="Times New Roman" w:cs="Times New Roman"/>
          <w:sz w:val="22"/>
          <w:szCs w:val="22"/>
          <w:lang w:val="en-US"/>
        </w:rPr>
        <w:t>(</w:t>
      </w:r>
      <w:r w:rsidR="00496D1A">
        <w:rPr>
          <w:rFonts w:ascii="Times New Roman" w:hAnsi="Times New Roman" w:cs="Times New Roman"/>
          <w:sz w:val="22"/>
          <w:szCs w:val="22"/>
          <w:lang w:val="en-US"/>
        </w:rPr>
        <w:t>30.2%</w:t>
      </w:r>
      <w:r w:rsidR="00E40A22">
        <w:rPr>
          <w:rFonts w:ascii="Times New Roman" w:hAnsi="Times New Roman" w:cs="Times New Roman"/>
          <w:sz w:val="22"/>
          <w:szCs w:val="22"/>
          <w:lang w:val="en-US"/>
        </w:rPr>
        <w:t>)</w:t>
      </w:r>
      <w:r w:rsidR="00496D1A">
        <w:rPr>
          <w:rFonts w:ascii="Times New Roman" w:hAnsi="Times New Roman" w:cs="Times New Roman"/>
          <w:sz w:val="22"/>
          <w:szCs w:val="22"/>
          <w:lang w:val="en-US"/>
        </w:rPr>
        <w:t xml:space="preserve"> missed the recall visit).</w:t>
      </w:r>
    </w:p>
    <w:p w14:paraId="7647461E" w14:textId="28147F42" w:rsidR="008827FC" w:rsidRDefault="006E3E16" w:rsidP="00DC4EA1">
      <w:p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6D4277">
        <w:rPr>
          <w:rFonts w:ascii="Times New Roman" w:hAnsi="Times New Roman" w:cs="Times New Roman"/>
          <w:sz w:val="22"/>
          <w:szCs w:val="22"/>
          <w:lang w:val="en-US"/>
        </w:rPr>
        <w:t>Moreover, w</w:t>
      </w:r>
      <w:r w:rsidR="007A33D4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e observed that among samples with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β-globin </w:t>
      </w:r>
      <w:r w:rsidR="007A33D4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late amplification, very little PreservCyt remained in the </w:t>
      </w:r>
      <w:proofErr w:type="spellStart"/>
      <w:r w:rsidR="007A33D4" w:rsidRPr="006D4277">
        <w:rPr>
          <w:rFonts w:ascii="Times New Roman" w:hAnsi="Times New Roman" w:cs="Times New Roman"/>
          <w:sz w:val="22"/>
          <w:szCs w:val="22"/>
          <w:lang w:val="en-US"/>
        </w:rPr>
        <w:t>ThinPrep</w:t>
      </w:r>
      <w:proofErr w:type="spellEnd"/>
      <w:r w:rsidR="0018208C">
        <w:rPr>
          <w:rFonts w:ascii="Times New Roman" w:hAnsi="Times New Roman" w:cs="Times New Roman"/>
          <w:sz w:val="22"/>
          <w:szCs w:val="22"/>
          <w:lang w:val="en-US"/>
        </w:rPr>
        <w:t>®</w:t>
      </w:r>
      <w:r w:rsidR="007A33D4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19004B" w:rsidRPr="006D4277">
        <w:rPr>
          <w:rFonts w:ascii="Times New Roman" w:hAnsi="Times New Roman" w:cs="Times New Roman"/>
          <w:sz w:val="22"/>
          <w:szCs w:val="22"/>
          <w:lang w:val="en-US"/>
        </w:rPr>
        <w:t>vial</w:t>
      </w:r>
      <w:r w:rsidR="007A33D4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after </w:t>
      </w:r>
      <w:r w:rsidR="0019004B" w:rsidRPr="006D4277">
        <w:rPr>
          <w:rFonts w:ascii="Times New Roman" w:hAnsi="Times New Roman" w:cs="Times New Roman"/>
          <w:sz w:val="22"/>
          <w:szCs w:val="22"/>
          <w:lang w:val="en-US"/>
        </w:rPr>
        <w:t>LBC</w:t>
      </w:r>
      <w:r w:rsidR="007A33D4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preparation. To investigate this further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and to assess potential differences in residual volume</w:t>
      </w:r>
      <w:r w:rsidR="007A33D4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, we </w:t>
      </w:r>
      <w:r w:rsidR="00E74EAE">
        <w:rPr>
          <w:rFonts w:ascii="Times New Roman" w:hAnsi="Times New Roman" w:cs="Times New Roman"/>
          <w:sz w:val="22"/>
          <w:szCs w:val="22"/>
          <w:lang w:val="en-US"/>
        </w:rPr>
        <w:t>measured the amount of PreservCyt in</w:t>
      </w:r>
      <w:r w:rsidR="006D4285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115ABB">
        <w:rPr>
          <w:rFonts w:ascii="Times New Roman" w:hAnsi="Times New Roman" w:cs="Times New Roman"/>
          <w:sz w:val="22"/>
          <w:szCs w:val="22"/>
          <w:lang w:val="en-US"/>
        </w:rPr>
        <w:t>110</w:t>
      </w:r>
      <w:r w:rsidR="007A33D4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="007A33D4" w:rsidRPr="006D4277">
        <w:rPr>
          <w:rFonts w:ascii="Times New Roman" w:hAnsi="Times New Roman" w:cs="Times New Roman"/>
          <w:sz w:val="22"/>
          <w:szCs w:val="22"/>
          <w:lang w:val="en-US"/>
        </w:rPr>
        <w:t>ThinPrep</w:t>
      </w:r>
      <w:proofErr w:type="spellEnd"/>
      <w:r w:rsidR="0018208C">
        <w:rPr>
          <w:rFonts w:ascii="Times New Roman" w:hAnsi="Times New Roman" w:cs="Times New Roman"/>
          <w:sz w:val="22"/>
          <w:szCs w:val="22"/>
          <w:lang w:val="en-US"/>
        </w:rPr>
        <w:t>®</w:t>
      </w:r>
      <w:r w:rsidR="007A33D4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E74EAE">
        <w:rPr>
          <w:rFonts w:ascii="Times New Roman" w:hAnsi="Times New Roman" w:cs="Times New Roman"/>
          <w:sz w:val="22"/>
          <w:szCs w:val="22"/>
          <w:lang w:val="en-US"/>
        </w:rPr>
        <w:t>vials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>,</w:t>
      </w:r>
      <w:r w:rsidR="007A33D4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with samples at varying </w:t>
      </w:r>
      <w:r w:rsidR="008B37C9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β-globin </w:t>
      </w:r>
      <w:r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Ct values, </w:t>
      </w:r>
      <w:r w:rsidR="007A33D4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before and after cytology preparation. As shown in Figure 2, there is a strong correlation between the volume aspirated for cytology preparation and the β-globin Ct. This confirms that when the </w:t>
      </w:r>
      <w:r w:rsidR="007A54E0">
        <w:rPr>
          <w:rFonts w:ascii="Times New Roman" w:hAnsi="Times New Roman" w:cs="Times New Roman"/>
          <w:sz w:val="22"/>
          <w:szCs w:val="22"/>
          <w:lang w:val="en-US"/>
        </w:rPr>
        <w:t>IC</w:t>
      </w:r>
      <w:r w:rsidR="007A33D4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Ct is higher, indicating a lower concentration of cells</w:t>
      </w:r>
      <w:r w:rsidR="00E17DEC" w:rsidRPr="006D4277">
        <w:rPr>
          <w:rFonts w:ascii="Times New Roman" w:hAnsi="Times New Roman" w:cs="Times New Roman"/>
          <w:sz w:val="22"/>
          <w:szCs w:val="22"/>
          <w:lang w:val="en-US"/>
        </w:rPr>
        <w:t>/</w:t>
      </w:r>
      <w:r w:rsidR="002213EB">
        <w:rPr>
          <w:rFonts w:ascii="Times New Roman" w:hAnsi="Times New Roman" w:cs="Times New Roman"/>
          <w:sz w:val="22"/>
          <w:szCs w:val="22"/>
          <w:lang w:val="en-US"/>
        </w:rPr>
        <w:t xml:space="preserve">mL </w:t>
      </w:r>
      <w:r w:rsidR="007A33D4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in the sample, the instrument requires </w:t>
      </w:r>
      <w:r w:rsidR="00E74EAE">
        <w:rPr>
          <w:rFonts w:ascii="Times New Roman" w:hAnsi="Times New Roman" w:cs="Times New Roman"/>
          <w:sz w:val="22"/>
          <w:szCs w:val="22"/>
          <w:lang w:val="en-US"/>
        </w:rPr>
        <w:t xml:space="preserve">to aspirate </w:t>
      </w:r>
      <w:r w:rsidR="007A33D4" w:rsidRPr="006D4277">
        <w:rPr>
          <w:rFonts w:ascii="Times New Roman" w:hAnsi="Times New Roman" w:cs="Times New Roman"/>
          <w:sz w:val="22"/>
          <w:szCs w:val="22"/>
          <w:lang w:val="en-US"/>
        </w:rPr>
        <w:t>more liquid to create an adequate</w:t>
      </w:r>
      <w:r w:rsidR="00E17DEC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BD3CB0">
        <w:rPr>
          <w:rFonts w:ascii="Times New Roman" w:hAnsi="Times New Roman" w:cs="Times New Roman"/>
          <w:sz w:val="22"/>
          <w:szCs w:val="22"/>
          <w:lang w:val="en-US"/>
        </w:rPr>
        <w:t>LBC</w:t>
      </w:r>
      <w:r w:rsidR="007A33D4" w:rsidRPr="006D4277">
        <w:rPr>
          <w:rFonts w:ascii="Times New Roman" w:hAnsi="Times New Roman" w:cs="Times New Roman"/>
          <w:sz w:val="22"/>
          <w:szCs w:val="22"/>
          <w:lang w:val="en-US"/>
        </w:rPr>
        <w:t xml:space="preserve"> slide.</w:t>
      </w:r>
    </w:p>
    <w:p w14:paraId="7D6B34DA" w14:textId="77777777" w:rsidR="00231D91" w:rsidRPr="006D4277" w:rsidRDefault="00231D91" w:rsidP="00DC4EA1">
      <w:pPr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14:paraId="49132F81" w14:textId="3969E22D" w:rsidR="00BB02C7" w:rsidRPr="00752AC2" w:rsidRDefault="00140604" w:rsidP="00752AC2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  <w:r w:rsidRPr="00203B7E">
        <w:rPr>
          <w:rFonts w:ascii="Times New Roman" w:hAnsi="Times New Roman" w:cs="Times New Roman"/>
          <w:b/>
          <w:bCs/>
          <w:sz w:val="22"/>
          <w:szCs w:val="22"/>
          <w:lang w:val="en-US"/>
        </w:rPr>
        <w:t>Discussion</w:t>
      </w:r>
    </w:p>
    <w:p w14:paraId="4F10334F" w14:textId="1ACBE841" w:rsidR="00BB02C7" w:rsidRPr="00AC7C4A" w:rsidRDefault="00BB02C7" w:rsidP="00BB02C7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HPV DNA tests validated for </w:t>
      </w:r>
      <w:r w:rsidR="00270B9F">
        <w:rPr>
          <w:rFonts w:ascii="Times New Roman" w:hAnsi="Times New Roman" w:cs="Times New Roman"/>
          <w:sz w:val="22"/>
          <w:szCs w:val="22"/>
          <w:lang w:val="en-GB"/>
        </w:rPr>
        <w:t>CCS</w:t>
      </w:r>
      <w:r w:rsidRPr="00BB02C7">
        <w:rPr>
          <w:rFonts w:ascii="Times New Roman" w:hAnsi="Times New Roman" w:cs="Times New Roman"/>
          <w:sz w:val="22"/>
          <w:szCs w:val="22"/>
          <w:lang w:val="en-GB"/>
        </w:rPr>
        <w:t>, adhering to the Meijer</w:t>
      </w:r>
      <w:r w:rsidR="00CD3C66" w:rsidRPr="00CD3C66">
        <w:rPr>
          <w:rFonts w:ascii="Times New Roman" w:hAnsi="Times New Roman" w:cs="Times New Roman"/>
          <w:sz w:val="22"/>
          <w:szCs w:val="22"/>
          <w:vertAlign w:val="superscript"/>
          <w:lang w:val="en-GB"/>
        </w:rPr>
        <w:t>20</w:t>
      </w:r>
      <w:r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 and VALGENT</w:t>
      </w:r>
      <w:r w:rsidR="00CD3C66" w:rsidRPr="00CD3C66">
        <w:rPr>
          <w:rFonts w:ascii="Times New Roman" w:hAnsi="Times New Roman" w:cs="Times New Roman"/>
          <w:sz w:val="22"/>
          <w:szCs w:val="22"/>
          <w:vertAlign w:val="superscript"/>
          <w:lang w:val="en-GB"/>
        </w:rPr>
        <w:t>21</w:t>
      </w:r>
      <w:r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 criteria, focus on achieving clinical sensitivity</w:t>
      </w:r>
      <w:r w:rsidR="008A51D7">
        <w:rPr>
          <w:rFonts w:ascii="Times New Roman" w:hAnsi="Times New Roman" w:cs="Times New Roman"/>
          <w:sz w:val="22"/>
          <w:szCs w:val="22"/>
          <w:lang w:val="en-GB"/>
        </w:rPr>
        <w:t xml:space="preserve"> and specificity</w:t>
      </w:r>
      <w:r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8A51D7">
        <w:rPr>
          <w:rFonts w:ascii="Times New Roman" w:hAnsi="Times New Roman" w:cs="Times New Roman"/>
          <w:sz w:val="22"/>
          <w:szCs w:val="22"/>
          <w:lang w:val="en-GB"/>
        </w:rPr>
        <w:t>for the detection of</w:t>
      </w:r>
      <w:r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 CIN2+ lesions </w:t>
      </w:r>
      <w:r w:rsidR="008A51D7">
        <w:rPr>
          <w:rFonts w:ascii="Times New Roman" w:hAnsi="Times New Roman" w:cs="Times New Roman"/>
          <w:sz w:val="22"/>
          <w:szCs w:val="22"/>
          <w:lang w:val="en-GB"/>
        </w:rPr>
        <w:t>by HR-HPV positivity</w:t>
      </w:r>
      <w:r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. This approach is essential to maintain consistent clinical specificity, as detecting low viral loads </w:t>
      </w:r>
      <w:r w:rsidR="008B37C9">
        <w:rPr>
          <w:rFonts w:ascii="Times New Roman" w:hAnsi="Times New Roman" w:cs="Times New Roman"/>
          <w:sz w:val="22"/>
          <w:szCs w:val="22"/>
          <w:lang w:val="en-GB"/>
        </w:rPr>
        <w:t xml:space="preserve">typically </w:t>
      </w:r>
      <w:r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associated with </w:t>
      </w:r>
      <w:r w:rsidRPr="00BB02C7">
        <w:rPr>
          <w:rFonts w:ascii="Times New Roman" w:hAnsi="Times New Roman" w:cs="Times New Roman"/>
          <w:sz w:val="22"/>
          <w:szCs w:val="22"/>
          <w:lang w:val="en-GB"/>
        </w:rPr>
        <w:lastRenderedPageBreak/>
        <w:t xml:space="preserve">transient </w:t>
      </w:r>
      <w:r w:rsidR="008A51D7">
        <w:rPr>
          <w:rFonts w:ascii="Times New Roman" w:hAnsi="Times New Roman" w:cs="Times New Roman"/>
          <w:sz w:val="22"/>
          <w:szCs w:val="22"/>
          <w:lang w:val="en-GB"/>
        </w:rPr>
        <w:t xml:space="preserve">infections with </w:t>
      </w:r>
      <w:r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HR-HPV, </w:t>
      </w:r>
      <w:r w:rsidR="00C54899">
        <w:rPr>
          <w:rFonts w:ascii="Times New Roman" w:hAnsi="Times New Roman" w:cs="Times New Roman"/>
          <w:sz w:val="22"/>
          <w:szCs w:val="22"/>
          <w:lang w:val="en-GB"/>
        </w:rPr>
        <w:t xml:space="preserve">is </w:t>
      </w:r>
      <w:r w:rsidR="008B37C9">
        <w:rPr>
          <w:rFonts w:ascii="Times New Roman" w:hAnsi="Times New Roman" w:cs="Times New Roman"/>
          <w:sz w:val="22"/>
          <w:szCs w:val="22"/>
          <w:lang w:val="en-GB"/>
        </w:rPr>
        <w:t>usually</w:t>
      </w:r>
      <w:r w:rsidR="008B37C9"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C54899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associated with </w:t>
      </w:r>
      <w:r w:rsidRPr="00AC7C4A">
        <w:rPr>
          <w:rFonts w:ascii="Times New Roman" w:hAnsi="Times New Roman" w:cs="Times New Roman"/>
          <w:sz w:val="22"/>
          <w:szCs w:val="22"/>
          <w:lang w:val="en-GB"/>
        </w:rPr>
        <w:t>clinically irrelevant</w:t>
      </w:r>
      <w:r w:rsidR="008A51D7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C54899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infections </w:t>
      </w:r>
      <w:r w:rsidR="00BD3CB0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which could </w:t>
      </w:r>
      <w:r w:rsidR="00A555D5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potentially </w:t>
      </w:r>
      <w:r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lead to overtreatment. </w:t>
      </w:r>
      <w:r w:rsidR="00A555D5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The findings of this study </w:t>
      </w:r>
      <w:r w:rsidR="00C54899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however </w:t>
      </w:r>
      <w:r w:rsidR="00A555D5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demonstrate that the performance of </w:t>
      </w:r>
      <w:r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HPV DNA molecular testing </w:t>
      </w:r>
      <w:r w:rsidR="00A555D5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is </w:t>
      </w:r>
      <w:r w:rsidR="00C54899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also </w:t>
      </w:r>
      <w:r w:rsidR="00A555D5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influenced by the </w:t>
      </w:r>
      <w:r w:rsidRPr="00AC7C4A">
        <w:rPr>
          <w:rFonts w:ascii="Times New Roman" w:hAnsi="Times New Roman" w:cs="Times New Roman"/>
          <w:sz w:val="22"/>
          <w:szCs w:val="22"/>
          <w:lang w:val="en-GB"/>
        </w:rPr>
        <w:t>adequa</w:t>
      </w:r>
      <w:r w:rsidR="00A555D5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cy </w:t>
      </w:r>
      <w:r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of </w:t>
      </w:r>
      <w:r w:rsidR="00A555D5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the sample </w:t>
      </w:r>
      <w:r w:rsidRPr="00AC7C4A">
        <w:rPr>
          <w:rFonts w:ascii="Times New Roman" w:hAnsi="Times New Roman" w:cs="Times New Roman"/>
          <w:sz w:val="22"/>
          <w:szCs w:val="22"/>
          <w:lang w:val="en-GB"/>
        </w:rPr>
        <w:t>starting material</w:t>
      </w:r>
      <w:r w:rsidR="00E75467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. </w:t>
      </w:r>
      <w:r w:rsidR="00E75467" w:rsidRPr="00AC7C4A">
        <w:rPr>
          <w:rFonts w:ascii="Times New Roman" w:hAnsi="Times New Roman" w:cs="Times New Roman"/>
          <w:sz w:val="22"/>
          <w:szCs w:val="22"/>
          <w:lang w:val="en-US"/>
        </w:rPr>
        <w:t xml:space="preserve">In </w:t>
      </w:r>
      <w:r w:rsidR="00BD3CB0" w:rsidRPr="00AC7C4A">
        <w:rPr>
          <w:rFonts w:ascii="Times New Roman" w:hAnsi="Times New Roman" w:cs="Times New Roman"/>
          <w:sz w:val="22"/>
          <w:szCs w:val="22"/>
          <w:lang w:val="en-US"/>
        </w:rPr>
        <w:t>particular</w:t>
      </w:r>
      <w:r w:rsidR="00716010" w:rsidRPr="00AC7C4A">
        <w:rPr>
          <w:rFonts w:ascii="Times New Roman" w:hAnsi="Times New Roman" w:cs="Times New Roman"/>
          <w:sz w:val="22"/>
          <w:szCs w:val="22"/>
          <w:lang w:val="en-US"/>
        </w:rPr>
        <w:t>,</w:t>
      </w:r>
      <w:r w:rsidR="00E75467" w:rsidRPr="00AC7C4A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BD3CB0" w:rsidRPr="00AC7C4A">
        <w:rPr>
          <w:rFonts w:ascii="Times New Roman" w:hAnsi="Times New Roman" w:cs="Times New Roman"/>
          <w:sz w:val="22"/>
          <w:szCs w:val="22"/>
          <w:lang w:val="en-US"/>
        </w:rPr>
        <w:t xml:space="preserve">in a subset of 195 investigated samples with a </w:t>
      </w:r>
      <w:r w:rsidR="00BD3CB0" w:rsidRPr="00AC7C4A">
        <w:rPr>
          <w:rFonts w:ascii="Symbol" w:hAnsi="Symbol" w:cs="Times New Roman"/>
          <w:sz w:val="22"/>
          <w:szCs w:val="22"/>
          <w:lang w:val="en-GB"/>
        </w:rPr>
        <w:t>b</w:t>
      </w:r>
      <w:r w:rsidR="00BD3CB0" w:rsidRPr="00AC7C4A">
        <w:rPr>
          <w:rFonts w:ascii="Times New Roman" w:hAnsi="Times New Roman" w:cs="Times New Roman"/>
          <w:sz w:val="22"/>
          <w:szCs w:val="22"/>
          <w:lang w:val="en-US"/>
        </w:rPr>
        <w:t>-globin Ct ≥ 34, the study findings demonstrated</w:t>
      </w:r>
      <w:r w:rsidR="00E75467" w:rsidRPr="00AC7C4A">
        <w:rPr>
          <w:rFonts w:ascii="Times New Roman" w:hAnsi="Times New Roman" w:cs="Times New Roman"/>
          <w:sz w:val="22"/>
          <w:szCs w:val="22"/>
          <w:lang w:val="en-US"/>
        </w:rPr>
        <w:t xml:space="preserve"> that </w:t>
      </w:r>
      <w:r w:rsidR="00C86756" w:rsidRPr="00AC7C4A">
        <w:rPr>
          <w:rFonts w:ascii="Times New Roman" w:hAnsi="Times New Roman" w:cs="Times New Roman"/>
          <w:sz w:val="22"/>
          <w:szCs w:val="22"/>
          <w:lang w:val="en-US"/>
        </w:rPr>
        <w:t xml:space="preserve">33% </w:t>
      </w:r>
      <w:r w:rsidR="00BD3CB0" w:rsidRPr="00AC7C4A">
        <w:rPr>
          <w:rFonts w:ascii="Times New Roman" w:hAnsi="Times New Roman" w:cs="Times New Roman"/>
          <w:sz w:val="22"/>
          <w:szCs w:val="22"/>
          <w:lang w:val="en-US"/>
        </w:rPr>
        <w:t>(</w:t>
      </w:r>
      <w:r w:rsidR="00483D4D" w:rsidRPr="00AC7C4A">
        <w:rPr>
          <w:rFonts w:ascii="Times New Roman" w:hAnsi="Times New Roman" w:cs="Times New Roman"/>
          <w:sz w:val="22"/>
          <w:szCs w:val="22"/>
          <w:lang w:val="en-US"/>
        </w:rPr>
        <w:t>4</w:t>
      </w:r>
      <w:r w:rsidR="00BD3CB0" w:rsidRPr="00AC7C4A">
        <w:rPr>
          <w:rFonts w:ascii="Times New Roman" w:hAnsi="Times New Roman" w:cs="Times New Roman"/>
          <w:sz w:val="22"/>
          <w:szCs w:val="22"/>
          <w:lang w:val="en-US"/>
        </w:rPr>
        <w:t>/</w:t>
      </w:r>
      <w:r w:rsidR="00483D4D" w:rsidRPr="00AC7C4A">
        <w:rPr>
          <w:rFonts w:ascii="Times New Roman" w:hAnsi="Times New Roman" w:cs="Times New Roman"/>
          <w:sz w:val="22"/>
          <w:szCs w:val="22"/>
          <w:lang w:val="en-US"/>
        </w:rPr>
        <w:t>12</w:t>
      </w:r>
      <w:r w:rsidR="00BD3CB0" w:rsidRPr="00AC7C4A">
        <w:rPr>
          <w:rFonts w:ascii="Times New Roman" w:hAnsi="Times New Roman" w:cs="Times New Roman"/>
          <w:sz w:val="22"/>
          <w:szCs w:val="22"/>
          <w:lang w:val="en-US"/>
        </w:rPr>
        <w:t xml:space="preserve">) </w:t>
      </w:r>
      <w:r w:rsidR="00C86756" w:rsidRPr="00AC7C4A">
        <w:rPr>
          <w:rFonts w:ascii="Times New Roman" w:hAnsi="Times New Roman" w:cs="Times New Roman"/>
          <w:sz w:val="22"/>
          <w:szCs w:val="22"/>
          <w:lang w:val="en-US"/>
        </w:rPr>
        <w:t xml:space="preserve">of </w:t>
      </w:r>
      <w:r w:rsidR="00E75467" w:rsidRPr="00AC7C4A">
        <w:rPr>
          <w:rFonts w:ascii="Times New Roman" w:hAnsi="Times New Roman" w:cs="Times New Roman"/>
          <w:sz w:val="22"/>
          <w:szCs w:val="22"/>
          <w:lang w:val="en-US"/>
        </w:rPr>
        <w:t xml:space="preserve">HPV-negative samples </w:t>
      </w:r>
      <w:r w:rsidR="00A555D5" w:rsidRPr="00AC7C4A">
        <w:rPr>
          <w:rFonts w:ascii="Times New Roman" w:hAnsi="Times New Roman" w:cs="Times New Roman"/>
          <w:sz w:val="22"/>
          <w:szCs w:val="22"/>
          <w:lang w:val="en-US"/>
        </w:rPr>
        <w:t>and</w:t>
      </w:r>
      <w:r w:rsidR="001D4BED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C86756" w:rsidRPr="00AC7C4A">
        <w:rPr>
          <w:rFonts w:ascii="Times New Roman" w:hAnsi="Times New Roman" w:cs="Times New Roman"/>
          <w:sz w:val="22"/>
          <w:szCs w:val="22"/>
          <w:lang w:val="en-US"/>
        </w:rPr>
        <w:t xml:space="preserve">positive cytology, </w:t>
      </w:r>
      <w:r w:rsidR="00EF4F88" w:rsidRPr="00AC7C4A">
        <w:rPr>
          <w:rFonts w:ascii="Times New Roman" w:hAnsi="Times New Roman" w:cs="Times New Roman"/>
          <w:sz w:val="22"/>
          <w:szCs w:val="22"/>
          <w:lang w:val="en-US"/>
        </w:rPr>
        <w:t xml:space="preserve">were found to be </w:t>
      </w:r>
      <w:r w:rsidR="00C86756" w:rsidRPr="00AC7C4A">
        <w:rPr>
          <w:rFonts w:ascii="Times New Roman" w:hAnsi="Times New Roman" w:cs="Times New Roman"/>
          <w:sz w:val="22"/>
          <w:szCs w:val="22"/>
          <w:lang w:val="en-US"/>
        </w:rPr>
        <w:t xml:space="preserve">HPV-positive at the </w:t>
      </w:r>
      <w:r w:rsidR="00A555D5" w:rsidRPr="00AC7C4A">
        <w:rPr>
          <w:rFonts w:ascii="Times New Roman" w:hAnsi="Times New Roman" w:cs="Times New Roman"/>
          <w:sz w:val="22"/>
          <w:szCs w:val="22"/>
          <w:lang w:val="en-US"/>
        </w:rPr>
        <w:t xml:space="preserve">subsequent </w:t>
      </w:r>
      <w:r w:rsidR="00C86756" w:rsidRPr="00AC7C4A">
        <w:rPr>
          <w:rFonts w:ascii="Times New Roman" w:hAnsi="Times New Roman" w:cs="Times New Roman"/>
          <w:sz w:val="22"/>
          <w:szCs w:val="22"/>
          <w:lang w:val="en-US"/>
        </w:rPr>
        <w:t>recall</w:t>
      </w:r>
      <w:r w:rsidR="00EF4F88" w:rsidRPr="00AC7C4A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14:paraId="7A17CF99" w14:textId="2CC7CA11" w:rsidR="003420F1" w:rsidRPr="00AC7C4A" w:rsidRDefault="00BD3CB0" w:rsidP="003420F1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GB"/>
        </w:rPr>
      </w:pPr>
      <w:r w:rsidRPr="00AC7C4A">
        <w:rPr>
          <w:rFonts w:ascii="Times New Roman" w:hAnsi="Times New Roman" w:cs="Times New Roman"/>
          <w:sz w:val="22"/>
          <w:szCs w:val="22"/>
          <w:lang w:val="en-US"/>
        </w:rPr>
        <w:t xml:space="preserve">The study </w:t>
      </w:r>
      <w:r w:rsidR="00BB02C7" w:rsidRPr="00AC7C4A">
        <w:rPr>
          <w:rFonts w:ascii="Times New Roman" w:hAnsi="Times New Roman" w:cs="Times New Roman"/>
          <w:sz w:val="22"/>
          <w:szCs w:val="22"/>
          <w:lang w:val="en-US"/>
        </w:rPr>
        <w:t>findings suggest that</w:t>
      </w:r>
      <w:r w:rsidR="00CD3C66" w:rsidRPr="00AC7C4A">
        <w:rPr>
          <w:rFonts w:ascii="Times New Roman" w:hAnsi="Times New Roman" w:cs="Times New Roman"/>
          <w:sz w:val="22"/>
          <w:szCs w:val="22"/>
          <w:lang w:val="en-US"/>
        </w:rPr>
        <w:t>,</w:t>
      </w:r>
      <w:r w:rsidR="00BB02C7" w:rsidRPr="00AC7C4A">
        <w:rPr>
          <w:rFonts w:ascii="Times New Roman" w:hAnsi="Times New Roman" w:cs="Times New Roman"/>
          <w:sz w:val="22"/>
          <w:szCs w:val="22"/>
          <w:lang w:val="en-US"/>
        </w:rPr>
        <w:t xml:space="preserve"> to ensure reliable and accurate </w:t>
      </w:r>
      <w:r w:rsidR="008A581D" w:rsidRPr="00AC7C4A">
        <w:rPr>
          <w:rFonts w:ascii="Times New Roman" w:hAnsi="Times New Roman" w:cs="Times New Roman"/>
          <w:sz w:val="22"/>
          <w:szCs w:val="22"/>
          <w:lang w:val="en-US"/>
        </w:rPr>
        <w:t xml:space="preserve">COBAS®4800 HPV test </w:t>
      </w:r>
      <w:r w:rsidR="00BB02C7" w:rsidRPr="00AC7C4A">
        <w:rPr>
          <w:rFonts w:ascii="Times New Roman" w:hAnsi="Times New Roman" w:cs="Times New Roman"/>
          <w:sz w:val="22"/>
          <w:szCs w:val="22"/>
          <w:lang w:val="en-US"/>
        </w:rPr>
        <w:t xml:space="preserve">results, sample cellularity should meet a minimum threshold of </w:t>
      </w:r>
      <w:r w:rsidRPr="00AC7C4A">
        <w:rPr>
          <w:rFonts w:ascii="Times New Roman" w:hAnsi="Times New Roman" w:cs="Times New Roman"/>
          <w:sz w:val="22"/>
          <w:szCs w:val="22"/>
          <w:lang w:val="en-US"/>
        </w:rPr>
        <w:t>1,5x10^4 cells/</w:t>
      </w:r>
      <w:proofErr w:type="spellStart"/>
      <w:r w:rsidRPr="00AC7C4A">
        <w:rPr>
          <w:rFonts w:ascii="Times New Roman" w:hAnsi="Times New Roman" w:cs="Times New Roman"/>
          <w:sz w:val="22"/>
          <w:szCs w:val="22"/>
          <w:lang w:val="en-US"/>
        </w:rPr>
        <w:t>rxn</w:t>
      </w:r>
      <w:proofErr w:type="spellEnd"/>
      <w:r w:rsidR="00CA1B56" w:rsidRPr="00AC7C4A">
        <w:rPr>
          <w:rFonts w:ascii="Times New Roman" w:hAnsi="Times New Roman" w:cs="Times New Roman"/>
          <w:sz w:val="22"/>
          <w:szCs w:val="22"/>
          <w:lang w:val="en-US"/>
        </w:rPr>
        <w:t xml:space="preserve"> or </w:t>
      </w:r>
      <w:r w:rsidR="00B00DBE" w:rsidRPr="00AC7C4A">
        <w:rPr>
          <w:rFonts w:ascii="Times New Roman" w:hAnsi="Times New Roman" w:cs="Times New Roman"/>
          <w:sz w:val="22"/>
          <w:szCs w:val="22"/>
          <w:lang w:val="en-US"/>
        </w:rPr>
        <w:t>2x10^5</w:t>
      </w:r>
      <w:r w:rsidR="00BB02C7" w:rsidRPr="00AC7C4A">
        <w:rPr>
          <w:rFonts w:ascii="Times New Roman" w:hAnsi="Times New Roman" w:cs="Times New Roman"/>
          <w:sz w:val="22"/>
          <w:szCs w:val="22"/>
          <w:lang w:val="en-US"/>
        </w:rPr>
        <w:t xml:space="preserve"> cells/</w:t>
      </w:r>
      <w:r w:rsidR="002213EB">
        <w:rPr>
          <w:rFonts w:ascii="Times New Roman" w:hAnsi="Times New Roman" w:cs="Times New Roman"/>
          <w:sz w:val="22"/>
          <w:szCs w:val="22"/>
          <w:lang w:val="en-US"/>
        </w:rPr>
        <w:t xml:space="preserve">mL </w:t>
      </w:r>
      <w:r w:rsidR="00CA1B56" w:rsidRPr="00AC7C4A">
        <w:rPr>
          <w:rFonts w:ascii="Times New Roman" w:hAnsi="Times New Roman" w:cs="Times New Roman"/>
          <w:sz w:val="22"/>
          <w:szCs w:val="22"/>
          <w:lang w:val="en-US"/>
        </w:rPr>
        <w:t>in the original sample</w:t>
      </w:r>
      <w:r w:rsidR="00F10BE0" w:rsidRPr="00AC7C4A">
        <w:rPr>
          <w:rFonts w:ascii="Times New Roman" w:hAnsi="Times New Roman" w:cs="Times New Roman"/>
          <w:sz w:val="22"/>
          <w:szCs w:val="22"/>
          <w:lang w:val="en-US"/>
        </w:rPr>
        <w:t>,</w:t>
      </w:r>
      <w:r w:rsidR="00026BF2" w:rsidRPr="00AC7C4A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CA1B56" w:rsidRPr="00AC7C4A">
        <w:rPr>
          <w:rFonts w:ascii="Times New Roman" w:hAnsi="Times New Roman" w:cs="Times New Roman"/>
          <w:sz w:val="22"/>
          <w:szCs w:val="22"/>
          <w:lang w:val="en-US"/>
        </w:rPr>
        <w:t xml:space="preserve">giving rise to a COBAS®4800 </w:t>
      </w:r>
      <w:r w:rsidR="00026BF2" w:rsidRPr="00AC7C4A">
        <w:rPr>
          <w:rFonts w:ascii="Symbol" w:hAnsi="Symbol" w:cs="Times New Roman"/>
          <w:sz w:val="22"/>
          <w:szCs w:val="22"/>
          <w:lang w:val="en-GB"/>
        </w:rPr>
        <w:t>b</w:t>
      </w:r>
      <w:r w:rsidR="00026BF2" w:rsidRPr="00AC7C4A">
        <w:rPr>
          <w:rFonts w:ascii="Times New Roman" w:hAnsi="Times New Roman" w:cs="Times New Roman"/>
          <w:sz w:val="22"/>
          <w:szCs w:val="22"/>
          <w:lang w:val="en-US"/>
        </w:rPr>
        <w:t>-globin</w:t>
      </w:r>
      <w:r w:rsidR="00CA1B56" w:rsidRPr="00AC7C4A">
        <w:rPr>
          <w:rFonts w:ascii="Times New Roman" w:hAnsi="Times New Roman" w:cs="Times New Roman"/>
          <w:sz w:val="22"/>
          <w:szCs w:val="22"/>
          <w:lang w:val="en-US"/>
        </w:rPr>
        <w:t xml:space="preserve"> IC</w:t>
      </w:r>
      <w:r w:rsidR="008A581D" w:rsidRPr="00AC7C4A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026BF2" w:rsidRPr="00AC7C4A">
        <w:rPr>
          <w:rFonts w:ascii="Times New Roman" w:hAnsi="Times New Roman" w:cs="Times New Roman"/>
          <w:sz w:val="22"/>
          <w:szCs w:val="22"/>
          <w:lang w:val="en-US"/>
        </w:rPr>
        <w:t>≤</w:t>
      </w:r>
      <w:r w:rsidR="008A581D" w:rsidRPr="00AC7C4A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026BF2" w:rsidRPr="00AC7C4A">
        <w:rPr>
          <w:rFonts w:ascii="Times New Roman" w:hAnsi="Times New Roman" w:cs="Times New Roman"/>
          <w:sz w:val="22"/>
          <w:szCs w:val="22"/>
          <w:lang w:val="en-US"/>
        </w:rPr>
        <w:t>28</w:t>
      </w:r>
      <w:r w:rsidR="00CA1B56" w:rsidRPr="00AC7C4A">
        <w:rPr>
          <w:rFonts w:ascii="Times New Roman" w:hAnsi="Times New Roman" w:cs="Times New Roman"/>
          <w:sz w:val="22"/>
          <w:szCs w:val="22"/>
          <w:lang w:val="en-US"/>
        </w:rPr>
        <w:t xml:space="preserve"> C</w:t>
      </w:r>
      <w:r w:rsidR="00026BF2" w:rsidRPr="00AC7C4A">
        <w:rPr>
          <w:rFonts w:ascii="Times New Roman" w:hAnsi="Times New Roman" w:cs="Times New Roman"/>
          <w:sz w:val="22"/>
          <w:szCs w:val="22"/>
          <w:lang w:val="en-US"/>
        </w:rPr>
        <w:t>t</w:t>
      </w:r>
      <w:r w:rsidR="00BB02C7" w:rsidRPr="00AC7C4A">
        <w:rPr>
          <w:rFonts w:ascii="Times New Roman" w:hAnsi="Times New Roman" w:cs="Times New Roman"/>
          <w:sz w:val="22"/>
          <w:szCs w:val="22"/>
          <w:lang w:val="en-US"/>
        </w:rPr>
        <w:t xml:space="preserve">. </w:t>
      </w:r>
      <w:r w:rsidR="00B00DBE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In our </w:t>
      </w:r>
      <w:r w:rsidR="00CA1B56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HPV-primary screening </w:t>
      </w:r>
      <w:r w:rsidR="00B00DBE" w:rsidRPr="00AC7C4A">
        <w:rPr>
          <w:rFonts w:ascii="Times New Roman" w:hAnsi="Times New Roman" w:cs="Times New Roman"/>
          <w:sz w:val="22"/>
          <w:szCs w:val="22"/>
          <w:lang w:val="en-GB"/>
        </w:rPr>
        <w:t>setting, only 50% of all cervical samples achieved amplification within this threshold, w</w:t>
      </w:r>
      <w:r w:rsidR="00A22780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hile </w:t>
      </w:r>
      <w:r w:rsidR="00B00DBE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in other settings, such as </w:t>
      </w:r>
      <w:r w:rsidR="00CA1B56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in </w:t>
      </w:r>
      <w:r w:rsidR="00B00DBE" w:rsidRPr="00AC7C4A">
        <w:rPr>
          <w:rFonts w:ascii="Times New Roman" w:hAnsi="Times New Roman" w:cs="Times New Roman"/>
          <w:sz w:val="22"/>
          <w:szCs w:val="22"/>
          <w:lang w:val="en-GB"/>
        </w:rPr>
        <w:t>Norway</w:t>
      </w:r>
      <w:r w:rsidR="00B00DBE" w:rsidRPr="00AC7C4A">
        <w:rPr>
          <w:rFonts w:ascii="Times New Roman" w:hAnsi="Times New Roman" w:cs="Times New Roman"/>
          <w:sz w:val="22"/>
          <w:szCs w:val="22"/>
          <w:vertAlign w:val="superscript"/>
          <w:lang w:val="en-GB"/>
        </w:rPr>
        <w:t>38</w:t>
      </w:r>
      <w:r w:rsidR="00B00DBE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="00A22780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all </w:t>
      </w:r>
      <w:r w:rsidR="00CA1B56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LBC </w:t>
      </w:r>
      <w:r w:rsidR="00A22780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samples run on Cobas®4800 </w:t>
      </w:r>
      <w:r w:rsidR="00CA1B56" w:rsidRPr="00AC7C4A">
        <w:rPr>
          <w:rFonts w:ascii="Times New Roman" w:hAnsi="Times New Roman" w:cs="Times New Roman"/>
          <w:sz w:val="22"/>
          <w:szCs w:val="22"/>
          <w:lang w:val="en-GB"/>
        </w:rPr>
        <w:t>were reported as having an</w:t>
      </w:r>
      <w:r w:rsidR="00A22780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 IC </w:t>
      </w:r>
      <w:r w:rsidR="00CA1B56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Ct value </w:t>
      </w:r>
      <w:r w:rsidR="00CA1B56" w:rsidRPr="00AC7C4A">
        <w:rPr>
          <w:rFonts w:ascii="Times New Roman" w:hAnsi="Times New Roman" w:cs="Times New Roman"/>
          <w:sz w:val="22"/>
          <w:szCs w:val="22"/>
          <w:lang w:val="en-US"/>
        </w:rPr>
        <w:t xml:space="preserve">≤ </w:t>
      </w:r>
      <w:r w:rsidR="00A22780" w:rsidRPr="00AC7C4A">
        <w:rPr>
          <w:rFonts w:ascii="Times New Roman" w:hAnsi="Times New Roman" w:cs="Times New Roman"/>
          <w:sz w:val="22"/>
          <w:szCs w:val="22"/>
          <w:lang w:val="en-GB"/>
        </w:rPr>
        <w:t>28.</w:t>
      </w:r>
    </w:p>
    <w:p w14:paraId="138E4903" w14:textId="4785BD1F" w:rsidR="00C54899" w:rsidRDefault="00CA1B56" w:rsidP="00824E0B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GB"/>
        </w:rPr>
      </w:pPr>
      <w:r w:rsidRPr="00AC7C4A">
        <w:rPr>
          <w:rFonts w:ascii="Times New Roman" w:hAnsi="Times New Roman" w:cs="Times New Roman"/>
          <w:sz w:val="22"/>
          <w:szCs w:val="22"/>
          <w:lang w:val="en-GB"/>
        </w:rPr>
        <w:t>According to the evaluation conducted in the present study, LBC s</w:t>
      </w:r>
      <w:r w:rsidR="00BB02C7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amples containing </w:t>
      </w:r>
      <w:r w:rsidR="00356E50" w:rsidRPr="00AC7C4A">
        <w:rPr>
          <w:rFonts w:ascii="Times New Roman" w:hAnsi="Times New Roman" w:cs="Times New Roman"/>
          <w:sz w:val="22"/>
          <w:szCs w:val="22"/>
          <w:lang w:val="en-GB"/>
        </w:rPr>
        <w:t>not less than</w:t>
      </w:r>
      <w:r w:rsidR="00BB02C7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B00DBE" w:rsidRPr="00AC7C4A">
        <w:rPr>
          <w:rFonts w:ascii="Times New Roman" w:hAnsi="Times New Roman" w:cs="Times New Roman"/>
          <w:sz w:val="22"/>
          <w:szCs w:val="22"/>
          <w:lang w:val="en-GB"/>
        </w:rPr>
        <w:t>2,5x10^4 cells/</w:t>
      </w:r>
      <w:r w:rsidR="002213EB">
        <w:rPr>
          <w:rFonts w:ascii="Times New Roman" w:hAnsi="Times New Roman" w:cs="Times New Roman"/>
          <w:sz w:val="22"/>
          <w:szCs w:val="22"/>
          <w:lang w:val="en-GB"/>
        </w:rPr>
        <w:t xml:space="preserve">mL </w:t>
      </w:r>
      <w:r w:rsidR="00356E50" w:rsidRPr="00AC7C4A">
        <w:rPr>
          <w:rFonts w:ascii="Times New Roman" w:hAnsi="Times New Roman" w:cs="Times New Roman"/>
          <w:sz w:val="22"/>
          <w:szCs w:val="22"/>
          <w:lang w:val="en-GB"/>
        </w:rPr>
        <w:t>or</w:t>
      </w:r>
      <w:r w:rsidR="00B00DBE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 1,5x10^3 cells/</w:t>
      </w:r>
      <w:r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PCR </w:t>
      </w:r>
      <w:proofErr w:type="spellStart"/>
      <w:r w:rsidR="00B00DBE" w:rsidRPr="00AC7C4A">
        <w:rPr>
          <w:rFonts w:ascii="Times New Roman" w:hAnsi="Times New Roman" w:cs="Times New Roman"/>
          <w:sz w:val="22"/>
          <w:szCs w:val="22"/>
          <w:lang w:val="en-GB"/>
        </w:rPr>
        <w:t>rxn</w:t>
      </w:r>
      <w:proofErr w:type="spellEnd"/>
      <w:r w:rsidR="00B00DBE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026BF2" w:rsidRPr="00AC7C4A">
        <w:rPr>
          <w:rFonts w:ascii="Times New Roman" w:hAnsi="Times New Roman" w:cs="Times New Roman"/>
          <w:sz w:val="22"/>
          <w:szCs w:val="22"/>
          <w:lang w:val="en-GB"/>
        </w:rPr>
        <w:t>(</w:t>
      </w:r>
      <w:r w:rsidR="00026BF2" w:rsidRPr="00AC7C4A">
        <w:rPr>
          <w:rFonts w:ascii="Symbol" w:hAnsi="Symbol" w:cs="Times New Roman"/>
          <w:sz w:val="22"/>
          <w:szCs w:val="22"/>
          <w:lang w:val="en-GB"/>
        </w:rPr>
        <w:t>b</w:t>
      </w:r>
      <w:r w:rsidR="00026BF2" w:rsidRPr="00AC7C4A">
        <w:rPr>
          <w:rFonts w:ascii="Times New Roman" w:hAnsi="Times New Roman" w:cs="Times New Roman"/>
          <w:sz w:val="22"/>
          <w:szCs w:val="22"/>
          <w:lang w:val="en-GB"/>
        </w:rPr>
        <w:t>-globin</w:t>
      </w:r>
      <w:r w:rsidR="008A581D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 ≤ </w:t>
      </w:r>
      <w:r w:rsidR="00026BF2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34ct) </w:t>
      </w:r>
      <w:r w:rsidR="00BB02C7" w:rsidRPr="00AC7C4A">
        <w:rPr>
          <w:rFonts w:ascii="Times New Roman" w:hAnsi="Times New Roman" w:cs="Times New Roman"/>
          <w:sz w:val="22"/>
          <w:szCs w:val="22"/>
          <w:lang w:val="en-GB"/>
        </w:rPr>
        <w:t>could be considered acceptable</w:t>
      </w:r>
      <w:r w:rsidR="00356E50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 (Table </w:t>
      </w:r>
      <w:r w:rsidR="00F56F9F">
        <w:rPr>
          <w:rFonts w:ascii="Times New Roman" w:hAnsi="Times New Roman" w:cs="Times New Roman"/>
          <w:sz w:val="22"/>
          <w:szCs w:val="22"/>
          <w:lang w:val="en-GB"/>
        </w:rPr>
        <w:t>II</w:t>
      </w:r>
      <w:r w:rsidR="00356E50" w:rsidRPr="00AC7C4A">
        <w:rPr>
          <w:rFonts w:ascii="Times New Roman" w:hAnsi="Times New Roman" w:cs="Times New Roman"/>
          <w:sz w:val="22"/>
          <w:szCs w:val="22"/>
          <w:lang w:val="en-GB"/>
        </w:rPr>
        <w:t>)</w:t>
      </w:r>
      <w:r w:rsidR="00BB02C7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. Samples with fewer than </w:t>
      </w:r>
      <w:r w:rsidR="00BE354D" w:rsidRPr="00AC7C4A">
        <w:rPr>
          <w:rFonts w:ascii="Times New Roman" w:hAnsi="Times New Roman" w:cs="Times New Roman"/>
          <w:sz w:val="22"/>
          <w:szCs w:val="22"/>
          <w:lang w:val="en-GB"/>
        </w:rPr>
        <w:t>2,5x10^4 cells/</w:t>
      </w:r>
      <w:r w:rsidR="002213EB">
        <w:rPr>
          <w:rFonts w:ascii="Times New Roman" w:hAnsi="Times New Roman" w:cs="Times New Roman"/>
          <w:sz w:val="22"/>
          <w:szCs w:val="22"/>
          <w:lang w:val="en-GB"/>
        </w:rPr>
        <w:t xml:space="preserve">mL </w:t>
      </w:r>
      <w:r w:rsidR="00716010" w:rsidRPr="00AC7C4A">
        <w:rPr>
          <w:rFonts w:ascii="Times New Roman" w:hAnsi="Times New Roman" w:cs="Times New Roman"/>
          <w:sz w:val="22"/>
          <w:szCs w:val="22"/>
          <w:lang w:val="en-GB"/>
        </w:rPr>
        <w:t>(</w:t>
      </w:r>
      <w:r w:rsidR="00716010" w:rsidRPr="00AC7C4A">
        <w:rPr>
          <w:rFonts w:ascii="Symbol" w:hAnsi="Symbol" w:cs="Times New Roman"/>
          <w:sz w:val="22"/>
          <w:szCs w:val="22"/>
          <w:lang w:val="en-GB"/>
        </w:rPr>
        <w:t>b</w:t>
      </w:r>
      <w:r w:rsidR="00716010" w:rsidRPr="00AC7C4A">
        <w:rPr>
          <w:rFonts w:ascii="Times New Roman" w:hAnsi="Times New Roman" w:cs="Times New Roman"/>
          <w:sz w:val="22"/>
          <w:szCs w:val="22"/>
          <w:lang w:val="en-GB"/>
        </w:rPr>
        <w:t>-globin</w:t>
      </w:r>
      <w:r w:rsidR="008A581D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 &gt; </w:t>
      </w:r>
      <w:r w:rsidR="00026BF2" w:rsidRPr="00AC7C4A">
        <w:rPr>
          <w:rFonts w:ascii="Times New Roman" w:hAnsi="Times New Roman" w:cs="Times New Roman"/>
          <w:sz w:val="22"/>
          <w:szCs w:val="22"/>
          <w:lang w:val="en-GB"/>
        </w:rPr>
        <w:t>34ct)</w:t>
      </w:r>
      <w:r w:rsidR="00BB02C7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 should be deemed inadequate</w:t>
      </w:r>
      <w:r w:rsidR="00BB02C7" w:rsidRPr="008A581D">
        <w:rPr>
          <w:rFonts w:ascii="Times New Roman" w:hAnsi="Times New Roman" w:cs="Times New Roman"/>
          <w:sz w:val="22"/>
          <w:szCs w:val="22"/>
          <w:lang w:val="en-GB"/>
        </w:rPr>
        <w:t xml:space="preserve"> for diagnostic purposes and flagged for recollection, since our results demonstrate that low cellularity can significantly affect the performance of </w:t>
      </w:r>
      <w:r w:rsidR="008A581D" w:rsidRPr="00BE354D">
        <w:rPr>
          <w:rFonts w:ascii="Times New Roman" w:hAnsi="Times New Roman" w:cs="Times New Roman"/>
          <w:sz w:val="22"/>
          <w:szCs w:val="22"/>
          <w:lang w:val="en-GB"/>
        </w:rPr>
        <w:t xml:space="preserve">COBAS®4800 </w:t>
      </w:r>
      <w:r w:rsidR="00BB02C7" w:rsidRPr="00BE354D">
        <w:rPr>
          <w:rFonts w:ascii="Times New Roman" w:hAnsi="Times New Roman" w:cs="Times New Roman"/>
          <w:sz w:val="22"/>
          <w:szCs w:val="22"/>
          <w:lang w:val="en-GB"/>
        </w:rPr>
        <w:t>HPV</w:t>
      </w:r>
      <w:r w:rsidR="00BB02C7" w:rsidRPr="008A581D">
        <w:rPr>
          <w:rFonts w:ascii="Times New Roman" w:hAnsi="Times New Roman" w:cs="Times New Roman"/>
          <w:sz w:val="22"/>
          <w:szCs w:val="22"/>
          <w:lang w:val="en-GB"/>
        </w:rPr>
        <w:t xml:space="preserve"> tests, undermining their ability to accurately detect clinically relevant lesions</w:t>
      </w:r>
      <w:r w:rsidR="00890D93" w:rsidRPr="008A581D">
        <w:rPr>
          <w:rFonts w:ascii="Times New Roman" w:hAnsi="Times New Roman" w:cs="Times New Roman"/>
          <w:sz w:val="22"/>
          <w:szCs w:val="22"/>
          <w:lang w:val="en-GB"/>
        </w:rPr>
        <w:t xml:space="preserve"> (82%</w:t>
      </w:r>
      <w:r w:rsidR="00026BF2" w:rsidRPr="008A581D">
        <w:rPr>
          <w:rFonts w:ascii="Times New Roman" w:hAnsi="Times New Roman" w:cs="Times New Roman"/>
          <w:sz w:val="22"/>
          <w:szCs w:val="22"/>
          <w:lang w:val="en-GB"/>
        </w:rPr>
        <w:t xml:space="preserve"> of</w:t>
      </w:r>
      <w:r w:rsidR="00890D93" w:rsidRPr="008A581D">
        <w:rPr>
          <w:rFonts w:ascii="Times New Roman" w:hAnsi="Times New Roman" w:cs="Times New Roman"/>
          <w:sz w:val="22"/>
          <w:szCs w:val="22"/>
          <w:lang w:val="en-GB"/>
        </w:rPr>
        <w:t xml:space="preserve"> probability </w:t>
      </w:r>
      <w:r w:rsidR="00026BF2" w:rsidRPr="008A581D">
        <w:rPr>
          <w:rFonts w:ascii="Times New Roman" w:hAnsi="Times New Roman" w:cs="Times New Roman"/>
          <w:sz w:val="22"/>
          <w:szCs w:val="22"/>
          <w:lang w:val="en-GB"/>
        </w:rPr>
        <w:t>to</w:t>
      </w:r>
      <w:r w:rsidR="00890D93" w:rsidRPr="008A581D">
        <w:rPr>
          <w:rFonts w:ascii="Times New Roman" w:hAnsi="Times New Roman" w:cs="Times New Roman"/>
          <w:sz w:val="22"/>
          <w:szCs w:val="22"/>
          <w:lang w:val="en-GB"/>
        </w:rPr>
        <w:t xml:space="preserve"> miss a positive diagnosis compared to a sample with at least </w:t>
      </w:r>
      <w:r w:rsidR="00BE354D">
        <w:rPr>
          <w:rFonts w:ascii="Times New Roman" w:hAnsi="Times New Roman" w:cs="Times New Roman"/>
          <w:sz w:val="22"/>
          <w:szCs w:val="22"/>
          <w:lang w:val="en-US"/>
        </w:rPr>
        <w:t>2x10^5</w:t>
      </w:r>
      <w:r w:rsidR="00BE354D" w:rsidRPr="00B00DBE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890D93" w:rsidRPr="008A581D">
        <w:rPr>
          <w:rFonts w:ascii="Times New Roman" w:hAnsi="Times New Roman" w:cs="Times New Roman"/>
          <w:sz w:val="22"/>
          <w:szCs w:val="22"/>
          <w:lang w:val="en-GB"/>
        </w:rPr>
        <w:t>cells/</w:t>
      </w:r>
      <w:r w:rsidR="002213EB">
        <w:rPr>
          <w:rFonts w:ascii="Times New Roman" w:hAnsi="Times New Roman" w:cs="Times New Roman"/>
          <w:sz w:val="22"/>
          <w:szCs w:val="22"/>
          <w:lang w:val="en-GB"/>
        </w:rPr>
        <w:t>mL</w:t>
      </w:r>
      <w:r w:rsidR="00356E50">
        <w:rPr>
          <w:rFonts w:ascii="Times New Roman" w:hAnsi="Times New Roman" w:cs="Times New Roman"/>
          <w:sz w:val="22"/>
          <w:szCs w:val="22"/>
          <w:lang w:val="en-GB"/>
        </w:rPr>
        <w:t xml:space="preserve">, Table </w:t>
      </w:r>
      <w:r w:rsidR="00F56F9F">
        <w:rPr>
          <w:rFonts w:ascii="Times New Roman" w:hAnsi="Times New Roman" w:cs="Times New Roman"/>
          <w:sz w:val="22"/>
          <w:szCs w:val="22"/>
          <w:lang w:val="en-GB"/>
        </w:rPr>
        <w:t>II</w:t>
      </w:r>
      <w:r w:rsidR="00890D93" w:rsidRPr="008A581D">
        <w:rPr>
          <w:rFonts w:ascii="Times New Roman" w:hAnsi="Times New Roman" w:cs="Times New Roman"/>
          <w:sz w:val="22"/>
          <w:szCs w:val="22"/>
          <w:lang w:val="en-GB"/>
        </w:rPr>
        <w:t>)</w:t>
      </w:r>
      <w:r w:rsidR="00BB02C7" w:rsidRPr="008A581D">
        <w:rPr>
          <w:rFonts w:ascii="Times New Roman" w:hAnsi="Times New Roman" w:cs="Times New Roman"/>
          <w:sz w:val="22"/>
          <w:szCs w:val="22"/>
          <w:lang w:val="en-GB"/>
        </w:rPr>
        <w:t>.</w:t>
      </w:r>
    </w:p>
    <w:p w14:paraId="71F79FBD" w14:textId="31061EA0" w:rsidR="00342FA8" w:rsidRDefault="00BB02C7" w:rsidP="00342FA8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GB"/>
        </w:rPr>
      </w:pPr>
      <w:r w:rsidRPr="00BB02C7">
        <w:rPr>
          <w:rFonts w:ascii="Times New Roman" w:hAnsi="Times New Roman" w:cs="Times New Roman"/>
          <w:sz w:val="22"/>
          <w:szCs w:val="22"/>
          <w:lang w:val="en-GB"/>
        </w:rPr>
        <w:t>Ensuring sufficient cellular content in samples is therefore critical to maintain the reliability and effectiveness of screening programs, reducing the risk of false-negative results.</w:t>
      </w:r>
    </w:p>
    <w:p w14:paraId="5823227A" w14:textId="477BF425" w:rsidR="00BB02C7" w:rsidRDefault="00342FA8" w:rsidP="00E37891">
      <w:pPr>
        <w:jc w:val="both"/>
        <w:rPr>
          <w:rFonts w:ascii="Times New Roman" w:hAnsi="Times New Roman" w:cs="Times New Roman"/>
          <w:sz w:val="22"/>
          <w:szCs w:val="22"/>
          <w:lang w:val="en-GB"/>
        </w:rPr>
      </w:pPr>
      <w:r w:rsidRPr="00BE354D">
        <w:rPr>
          <w:rFonts w:ascii="Times New Roman" w:hAnsi="Times New Roman" w:cs="Times New Roman"/>
          <w:sz w:val="22"/>
          <w:szCs w:val="22"/>
          <w:lang w:val="en-GB"/>
        </w:rPr>
        <w:t>Moreover</w:t>
      </w:r>
      <w:r w:rsidR="00BE354D" w:rsidRPr="00BE354D">
        <w:rPr>
          <w:rFonts w:ascii="Times New Roman" w:hAnsi="Times New Roman" w:cs="Times New Roman"/>
          <w:sz w:val="22"/>
          <w:szCs w:val="22"/>
          <w:lang w:val="en-GB"/>
        </w:rPr>
        <w:t>,</w:t>
      </w:r>
      <w:r w:rsidRPr="00BE354D">
        <w:rPr>
          <w:rFonts w:ascii="Times New Roman" w:hAnsi="Times New Roman" w:cs="Times New Roman"/>
          <w:sz w:val="22"/>
          <w:szCs w:val="22"/>
          <w:lang w:val="en-GB"/>
        </w:rPr>
        <w:t xml:space="preserve"> it is important to note that as different HPV assays require distinct volumes for DNA extraction, elution and amplification, a specific </w:t>
      </w:r>
      <w:r w:rsidR="00CA1B56">
        <w:rPr>
          <w:rFonts w:ascii="Times New Roman" w:hAnsi="Times New Roman" w:cs="Times New Roman"/>
          <w:sz w:val="22"/>
          <w:szCs w:val="22"/>
          <w:lang w:val="en-GB"/>
        </w:rPr>
        <w:t xml:space="preserve">sample </w:t>
      </w:r>
      <w:r w:rsidRPr="00BE354D">
        <w:rPr>
          <w:rFonts w:ascii="Times New Roman" w:hAnsi="Times New Roman" w:cs="Times New Roman"/>
          <w:sz w:val="22"/>
          <w:szCs w:val="22"/>
          <w:lang w:val="en-GB"/>
        </w:rPr>
        <w:t>quality assessment study is required to determine the acceptable cellular content for each assay.</w:t>
      </w:r>
    </w:p>
    <w:p w14:paraId="089994B0" w14:textId="7B8732E7" w:rsidR="00BB02C7" w:rsidRPr="00BB02C7" w:rsidRDefault="00C54899" w:rsidP="00BB02C7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GB"/>
        </w:rPr>
      </w:pPr>
      <w:r>
        <w:rPr>
          <w:rFonts w:ascii="Times New Roman" w:hAnsi="Times New Roman" w:cs="Times New Roman"/>
          <w:sz w:val="22"/>
          <w:szCs w:val="22"/>
          <w:lang w:val="en-GB"/>
        </w:rPr>
        <w:t>In particular</w:t>
      </w:r>
      <w:r w:rsidR="00CA1B56">
        <w:rPr>
          <w:rFonts w:ascii="Times New Roman" w:hAnsi="Times New Roman" w:cs="Times New Roman"/>
          <w:sz w:val="22"/>
          <w:szCs w:val="22"/>
          <w:lang w:val="en-GB"/>
        </w:rPr>
        <w:t>,</w:t>
      </w:r>
      <w:r>
        <w:rPr>
          <w:rFonts w:ascii="Times New Roman" w:hAnsi="Times New Roman" w:cs="Times New Roman"/>
          <w:sz w:val="22"/>
          <w:szCs w:val="22"/>
          <w:lang w:val="en-GB"/>
        </w:rPr>
        <w:t xml:space="preserve"> l</w:t>
      </w:r>
      <w:r w:rsidR="00BB02C7"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ow cellularity in </w:t>
      </w:r>
      <w:r w:rsidR="00D62CFF">
        <w:rPr>
          <w:rFonts w:ascii="Times New Roman" w:hAnsi="Times New Roman" w:cs="Times New Roman"/>
          <w:sz w:val="22"/>
          <w:szCs w:val="22"/>
          <w:lang w:val="en-GB"/>
        </w:rPr>
        <w:t>cervical</w:t>
      </w:r>
      <w:r w:rsidR="00001F46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BB02C7"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samples </w:t>
      </w:r>
      <w:r w:rsidR="00C86756">
        <w:rPr>
          <w:rFonts w:ascii="Times New Roman" w:hAnsi="Times New Roman" w:cs="Times New Roman"/>
          <w:sz w:val="22"/>
          <w:szCs w:val="22"/>
          <w:lang w:val="en-GB"/>
        </w:rPr>
        <w:t>could be</w:t>
      </w:r>
      <w:r w:rsidR="00BB02C7"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 due to several factors, such as:</w:t>
      </w:r>
    </w:p>
    <w:p w14:paraId="56FF17E4" w14:textId="7A8391C2" w:rsidR="00BB02C7" w:rsidRPr="00BB02C7" w:rsidRDefault="00BB02C7" w:rsidP="00BB02C7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GB"/>
        </w:rPr>
      </w:pPr>
      <w:r w:rsidRPr="00BB02C7">
        <w:rPr>
          <w:rFonts w:ascii="Times New Roman" w:hAnsi="Times New Roman" w:cs="Times New Roman"/>
          <w:sz w:val="22"/>
          <w:szCs w:val="22"/>
          <w:lang w:val="en-GB"/>
        </w:rPr>
        <w:t>1. Non-adherence to Standard Operating Procedures</w:t>
      </w:r>
      <w:r w:rsidR="00E75467">
        <w:rPr>
          <w:rFonts w:ascii="Times New Roman" w:hAnsi="Times New Roman" w:cs="Times New Roman"/>
          <w:sz w:val="22"/>
          <w:szCs w:val="22"/>
          <w:vertAlign w:val="superscript"/>
          <w:lang w:val="en-GB"/>
        </w:rPr>
        <w:t>4</w:t>
      </w:r>
      <w:r w:rsidR="00001F46">
        <w:rPr>
          <w:rFonts w:ascii="Times New Roman" w:hAnsi="Times New Roman" w:cs="Times New Roman"/>
          <w:sz w:val="22"/>
          <w:szCs w:val="22"/>
          <w:vertAlign w:val="superscript"/>
          <w:lang w:val="en-GB"/>
        </w:rPr>
        <w:t>2</w:t>
      </w:r>
      <w:r w:rsidR="00E75467">
        <w:rPr>
          <w:rFonts w:ascii="Times New Roman" w:hAnsi="Times New Roman" w:cs="Times New Roman"/>
          <w:sz w:val="22"/>
          <w:szCs w:val="22"/>
          <w:vertAlign w:val="superscript"/>
          <w:lang w:val="en-GB"/>
        </w:rPr>
        <w:t>,4</w:t>
      </w:r>
      <w:r w:rsidR="00001F46">
        <w:rPr>
          <w:rFonts w:ascii="Times New Roman" w:hAnsi="Times New Roman" w:cs="Times New Roman"/>
          <w:sz w:val="22"/>
          <w:szCs w:val="22"/>
          <w:vertAlign w:val="superscript"/>
          <w:lang w:val="en-GB"/>
        </w:rPr>
        <w:t>3</w:t>
      </w:r>
      <w:r w:rsidR="00337D36">
        <w:rPr>
          <w:rFonts w:ascii="Times New Roman" w:hAnsi="Times New Roman" w:cs="Times New Roman"/>
          <w:sz w:val="22"/>
          <w:szCs w:val="22"/>
          <w:lang w:val="en-GB"/>
        </w:rPr>
        <w:t>:</w:t>
      </w:r>
      <w:r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337D36">
        <w:rPr>
          <w:rFonts w:ascii="Times New Roman" w:hAnsi="Times New Roman" w:cs="Times New Roman"/>
          <w:sz w:val="22"/>
          <w:szCs w:val="22"/>
          <w:lang w:val="en-GB"/>
        </w:rPr>
        <w:t>i</w:t>
      </w:r>
      <w:r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nadequate sample collection, such as improper rotation of the brush, </w:t>
      </w:r>
      <w:r w:rsidR="00342FA8">
        <w:rPr>
          <w:rFonts w:ascii="Times New Roman" w:hAnsi="Times New Roman" w:cs="Times New Roman"/>
          <w:sz w:val="22"/>
          <w:szCs w:val="22"/>
          <w:lang w:val="en-GB"/>
        </w:rPr>
        <w:t xml:space="preserve">which </w:t>
      </w:r>
      <w:r w:rsidRPr="00BB02C7">
        <w:rPr>
          <w:rFonts w:ascii="Times New Roman" w:hAnsi="Times New Roman" w:cs="Times New Roman"/>
          <w:sz w:val="22"/>
          <w:szCs w:val="22"/>
          <w:lang w:val="en-GB"/>
        </w:rPr>
        <w:t>can result in insufficient cellular material being transferred</w:t>
      </w:r>
      <w:r w:rsidR="00342FA8">
        <w:rPr>
          <w:rFonts w:ascii="Times New Roman" w:hAnsi="Times New Roman" w:cs="Times New Roman"/>
          <w:sz w:val="22"/>
          <w:szCs w:val="22"/>
          <w:lang w:val="en-GB"/>
        </w:rPr>
        <w:t xml:space="preserve"> to the sample resuspension volume</w:t>
      </w:r>
      <w:r w:rsidR="00C86756" w:rsidRPr="00C86756">
        <w:rPr>
          <w:rFonts w:ascii="Times New Roman" w:hAnsi="Times New Roman" w:cs="Times New Roman"/>
          <w:sz w:val="22"/>
          <w:szCs w:val="22"/>
          <w:vertAlign w:val="superscript"/>
          <w:lang w:val="en-GB"/>
        </w:rPr>
        <w:t>4</w:t>
      </w:r>
      <w:r w:rsidR="00001F46">
        <w:rPr>
          <w:rFonts w:ascii="Times New Roman" w:hAnsi="Times New Roman" w:cs="Times New Roman"/>
          <w:sz w:val="22"/>
          <w:szCs w:val="22"/>
          <w:vertAlign w:val="superscript"/>
          <w:lang w:val="en-GB"/>
        </w:rPr>
        <w:t>4</w:t>
      </w:r>
      <w:r w:rsidRPr="00BB02C7">
        <w:rPr>
          <w:rFonts w:ascii="Times New Roman" w:hAnsi="Times New Roman" w:cs="Times New Roman"/>
          <w:sz w:val="22"/>
          <w:szCs w:val="22"/>
          <w:lang w:val="en-GB"/>
        </w:rPr>
        <w:t>.</w:t>
      </w:r>
    </w:p>
    <w:p w14:paraId="134471D7" w14:textId="23128F37" w:rsidR="00BB02C7" w:rsidRPr="00BB02C7" w:rsidRDefault="00BB02C7" w:rsidP="00BB02C7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GB"/>
        </w:rPr>
      </w:pPr>
      <w:r>
        <w:rPr>
          <w:rFonts w:ascii="Times New Roman" w:hAnsi="Times New Roman" w:cs="Times New Roman"/>
          <w:sz w:val="22"/>
          <w:szCs w:val="22"/>
          <w:lang w:val="en-GB"/>
        </w:rPr>
        <w:t>2</w:t>
      </w:r>
      <w:r w:rsidRPr="00BB02C7">
        <w:rPr>
          <w:rFonts w:ascii="Times New Roman" w:hAnsi="Times New Roman" w:cs="Times New Roman"/>
          <w:sz w:val="22"/>
          <w:szCs w:val="22"/>
          <w:lang w:val="en-GB"/>
        </w:rPr>
        <w:t>. Pre-analytical Processing Issues:</w:t>
      </w:r>
    </w:p>
    <w:p w14:paraId="43D00565" w14:textId="3D5EA953" w:rsidR="00BB02C7" w:rsidRPr="00BB02C7" w:rsidRDefault="00BB02C7" w:rsidP="00BB02C7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GB"/>
        </w:rPr>
      </w:pPr>
      <w:r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- If the </w:t>
      </w:r>
      <w:r w:rsidR="00BE354D">
        <w:rPr>
          <w:rFonts w:ascii="Times New Roman" w:hAnsi="Times New Roman" w:cs="Times New Roman"/>
          <w:sz w:val="22"/>
          <w:szCs w:val="22"/>
          <w:lang w:val="en-GB"/>
        </w:rPr>
        <w:t>brush</w:t>
      </w:r>
      <w:r w:rsidR="00001F46">
        <w:rPr>
          <w:rFonts w:ascii="Times New Roman" w:hAnsi="Times New Roman" w:cs="Times New Roman"/>
          <w:sz w:val="22"/>
          <w:szCs w:val="22"/>
          <w:lang w:val="en-GB"/>
        </w:rPr>
        <w:t>,</w:t>
      </w:r>
      <w:r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 used </w:t>
      </w:r>
      <w:r w:rsidR="00342FA8">
        <w:rPr>
          <w:rFonts w:ascii="Times New Roman" w:hAnsi="Times New Roman" w:cs="Times New Roman"/>
          <w:sz w:val="22"/>
          <w:szCs w:val="22"/>
          <w:lang w:val="en-GB"/>
        </w:rPr>
        <w:t>for sample</w:t>
      </w:r>
      <w:r w:rsidR="00342FA8"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BB02C7">
        <w:rPr>
          <w:rFonts w:ascii="Times New Roman" w:hAnsi="Times New Roman" w:cs="Times New Roman"/>
          <w:sz w:val="22"/>
          <w:szCs w:val="22"/>
          <w:lang w:val="en-GB"/>
        </w:rPr>
        <w:t>collection</w:t>
      </w:r>
      <w:r w:rsidR="00001F46">
        <w:rPr>
          <w:rFonts w:ascii="Times New Roman" w:hAnsi="Times New Roman" w:cs="Times New Roman"/>
          <w:sz w:val="22"/>
          <w:szCs w:val="22"/>
          <w:lang w:val="en-GB"/>
        </w:rPr>
        <w:t>,</w:t>
      </w:r>
      <w:r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 is not adequately and quickly rinsed in the solution through proper bristle opening and </w:t>
      </w:r>
      <w:r w:rsidR="00342FA8">
        <w:rPr>
          <w:rFonts w:ascii="Times New Roman" w:hAnsi="Times New Roman" w:cs="Times New Roman"/>
          <w:sz w:val="22"/>
          <w:szCs w:val="22"/>
          <w:lang w:val="en-GB"/>
        </w:rPr>
        <w:t>mixing</w:t>
      </w:r>
      <w:r w:rsidR="00E75467">
        <w:rPr>
          <w:rFonts w:ascii="Times New Roman" w:hAnsi="Times New Roman" w:cs="Times New Roman"/>
          <w:sz w:val="22"/>
          <w:szCs w:val="22"/>
          <w:vertAlign w:val="superscript"/>
          <w:lang w:val="en-GB"/>
        </w:rPr>
        <w:t>4</w:t>
      </w:r>
      <w:r w:rsidR="00001F46">
        <w:rPr>
          <w:rFonts w:ascii="Times New Roman" w:hAnsi="Times New Roman" w:cs="Times New Roman"/>
          <w:sz w:val="22"/>
          <w:szCs w:val="22"/>
          <w:vertAlign w:val="superscript"/>
          <w:lang w:val="en-GB"/>
        </w:rPr>
        <w:t>2</w:t>
      </w:r>
      <w:r w:rsidR="00E75467">
        <w:rPr>
          <w:rFonts w:ascii="Times New Roman" w:hAnsi="Times New Roman" w:cs="Times New Roman"/>
          <w:sz w:val="22"/>
          <w:szCs w:val="22"/>
          <w:vertAlign w:val="superscript"/>
          <w:lang w:val="en-GB"/>
        </w:rPr>
        <w:t>,4</w:t>
      </w:r>
      <w:r w:rsidR="00001F46">
        <w:rPr>
          <w:rFonts w:ascii="Times New Roman" w:hAnsi="Times New Roman" w:cs="Times New Roman"/>
          <w:sz w:val="22"/>
          <w:szCs w:val="22"/>
          <w:vertAlign w:val="superscript"/>
          <w:lang w:val="en-GB"/>
        </w:rPr>
        <w:t>3</w:t>
      </w:r>
      <w:r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, many cells may remain on the device, leading to lower </w:t>
      </w:r>
      <w:r w:rsidR="00342FA8">
        <w:rPr>
          <w:rFonts w:ascii="Times New Roman" w:hAnsi="Times New Roman" w:cs="Times New Roman"/>
          <w:sz w:val="22"/>
          <w:szCs w:val="22"/>
          <w:lang w:val="en-GB"/>
        </w:rPr>
        <w:t>sample</w:t>
      </w:r>
      <w:r w:rsidR="00CA1B56">
        <w:rPr>
          <w:rFonts w:ascii="Times New Roman" w:hAnsi="Times New Roman" w:cs="Times New Roman"/>
          <w:sz w:val="22"/>
          <w:szCs w:val="22"/>
          <w:lang w:val="en-GB"/>
        </w:rPr>
        <w:t>’s</w:t>
      </w:r>
      <w:r w:rsidR="00342FA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BB02C7">
        <w:rPr>
          <w:rFonts w:ascii="Times New Roman" w:hAnsi="Times New Roman" w:cs="Times New Roman"/>
          <w:sz w:val="22"/>
          <w:szCs w:val="22"/>
          <w:lang w:val="en-GB"/>
        </w:rPr>
        <w:t>cellularity;</w:t>
      </w:r>
    </w:p>
    <w:p w14:paraId="1E6BC7B0" w14:textId="6F0FB872" w:rsidR="00BB02C7" w:rsidRPr="00BB02C7" w:rsidRDefault="00BB02C7" w:rsidP="00BB02C7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GB"/>
        </w:rPr>
      </w:pPr>
      <w:r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- Inadequate </w:t>
      </w:r>
      <w:proofErr w:type="spellStart"/>
      <w:r w:rsidRPr="00BB02C7">
        <w:rPr>
          <w:rFonts w:ascii="Times New Roman" w:hAnsi="Times New Roman" w:cs="Times New Roman"/>
          <w:sz w:val="22"/>
          <w:szCs w:val="22"/>
          <w:lang w:val="en-GB"/>
        </w:rPr>
        <w:t>vortexing</w:t>
      </w:r>
      <w:proofErr w:type="spellEnd"/>
      <w:r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 of the vial before testing may cause cells to remain clumped or settle at the bottom of the tube, rather than being evenly suspended;</w:t>
      </w:r>
    </w:p>
    <w:p w14:paraId="27D8762B" w14:textId="40C6AED4" w:rsidR="00BB02C7" w:rsidRPr="00BB02C7" w:rsidRDefault="00BB02C7" w:rsidP="00BB02C7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GB"/>
        </w:rPr>
      </w:pPr>
      <w:r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- A delay between </w:t>
      </w:r>
      <w:proofErr w:type="spellStart"/>
      <w:r w:rsidRPr="00BB02C7">
        <w:rPr>
          <w:rFonts w:ascii="Times New Roman" w:hAnsi="Times New Roman" w:cs="Times New Roman"/>
          <w:sz w:val="22"/>
          <w:szCs w:val="22"/>
          <w:lang w:val="en-GB"/>
        </w:rPr>
        <w:t>vortexing</w:t>
      </w:r>
      <w:proofErr w:type="spellEnd"/>
      <w:r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 and sample processing can exacerbate this problem, as cells may precipitate before the test system aspirates the required volume from the meniscus of the </w:t>
      </w:r>
      <w:r w:rsidR="00001F46">
        <w:rPr>
          <w:rFonts w:ascii="Times New Roman" w:hAnsi="Times New Roman" w:cs="Times New Roman"/>
          <w:sz w:val="22"/>
          <w:szCs w:val="22"/>
          <w:lang w:val="en-GB"/>
        </w:rPr>
        <w:t xml:space="preserve">primary </w:t>
      </w:r>
      <w:r w:rsidRPr="00BB02C7">
        <w:rPr>
          <w:rFonts w:ascii="Times New Roman" w:hAnsi="Times New Roman" w:cs="Times New Roman"/>
          <w:sz w:val="22"/>
          <w:szCs w:val="22"/>
          <w:lang w:val="en-GB"/>
        </w:rPr>
        <w:t>vial</w:t>
      </w:r>
      <w:r w:rsidR="00001F46">
        <w:rPr>
          <w:rFonts w:ascii="Times New Roman" w:hAnsi="Times New Roman" w:cs="Times New Roman"/>
          <w:sz w:val="22"/>
          <w:szCs w:val="22"/>
          <w:lang w:val="en-GB"/>
        </w:rPr>
        <w:t xml:space="preserve"> after its loading on board</w:t>
      </w:r>
      <w:r w:rsidR="00413F23">
        <w:rPr>
          <w:rFonts w:ascii="Times New Roman" w:hAnsi="Times New Roman" w:cs="Times New Roman"/>
          <w:sz w:val="22"/>
          <w:szCs w:val="22"/>
          <w:lang w:val="en-GB"/>
        </w:rPr>
        <w:t xml:space="preserve"> of the assay’s liquid handler</w:t>
      </w:r>
      <w:r w:rsidRPr="00BB02C7">
        <w:rPr>
          <w:rFonts w:ascii="Times New Roman" w:hAnsi="Times New Roman" w:cs="Times New Roman"/>
          <w:sz w:val="22"/>
          <w:szCs w:val="22"/>
          <w:lang w:val="en-GB"/>
        </w:rPr>
        <w:t>.</w:t>
      </w:r>
    </w:p>
    <w:p w14:paraId="304D3641" w14:textId="42110C52" w:rsidR="00413F23" w:rsidRDefault="00BB02C7" w:rsidP="00BB02C7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GB"/>
        </w:rPr>
      </w:pPr>
      <w:r>
        <w:rPr>
          <w:rFonts w:ascii="Times New Roman" w:hAnsi="Times New Roman" w:cs="Times New Roman"/>
          <w:sz w:val="22"/>
          <w:szCs w:val="22"/>
          <w:lang w:val="en-GB"/>
        </w:rPr>
        <w:t>3</w:t>
      </w:r>
      <w:r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. </w:t>
      </w:r>
      <w:r w:rsidR="009D7FE6"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Test </w:t>
      </w:r>
      <w:r w:rsidR="00342FA8">
        <w:rPr>
          <w:rFonts w:ascii="Times New Roman" w:hAnsi="Times New Roman" w:cs="Times New Roman"/>
          <w:sz w:val="22"/>
          <w:szCs w:val="22"/>
          <w:lang w:val="en-GB"/>
        </w:rPr>
        <w:t xml:space="preserve">IC </w:t>
      </w:r>
      <w:r w:rsidR="009D7FE6">
        <w:rPr>
          <w:rFonts w:ascii="Times New Roman" w:hAnsi="Times New Roman" w:cs="Times New Roman"/>
          <w:sz w:val="22"/>
          <w:szCs w:val="22"/>
          <w:lang w:val="en-GB"/>
        </w:rPr>
        <w:t>target</w:t>
      </w:r>
      <w:r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: </w:t>
      </w:r>
      <w:r w:rsidR="00BE354D">
        <w:rPr>
          <w:rFonts w:ascii="Times New Roman" w:hAnsi="Times New Roman" w:cs="Times New Roman"/>
          <w:sz w:val="22"/>
          <w:szCs w:val="22"/>
          <w:lang w:val="en-GB"/>
        </w:rPr>
        <w:t>d</w:t>
      </w:r>
      <w:r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ifferent assays have different target genes, </w:t>
      </w:r>
      <w:r w:rsidR="00413F23">
        <w:rPr>
          <w:rFonts w:ascii="Times New Roman" w:hAnsi="Times New Roman" w:cs="Times New Roman"/>
          <w:sz w:val="22"/>
          <w:szCs w:val="22"/>
          <w:lang w:val="en-GB"/>
        </w:rPr>
        <w:t xml:space="preserve">which may be present in multiple and/or variable number of copies within human cells, influencing </w:t>
      </w:r>
      <w:r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sample adequacy </w:t>
      </w:r>
      <w:r w:rsidR="00413F23">
        <w:rPr>
          <w:rFonts w:ascii="Times New Roman" w:hAnsi="Times New Roman" w:cs="Times New Roman"/>
          <w:sz w:val="22"/>
          <w:szCs w:val="22"/>
          <w:lang w:val="en-GB"/>
        </w:rPr>
        <w:t xml:space="preserve">assessment </w:t>
      </w:r>
      <w:r w:rsidRPr="00BB02C7">
        <w:rPr>
          <w:rFonts w:ascii="Times New Roman" w:hAnsi="Times New Roman" w:cs="Times New Roman"/>
          <w:sz w:val="22"/>
          <w:szCs w:val="22"/>
          <w:lang w:val="en-GB"/>
        </w:rPr>
        <w:t>and cellular thresholds.</w:t>
      </w:r>
    </w:p>
    <w:p w14:paraId="7397FBFC" w14:textId="40A2D6A3" w:rsidR="00BB02C7" w:rsidRDefault="00B607DE" w:rsidP="00BB02C7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GB"/>
        </w:rPr>
      </w:pPr>
      <w:r>
        <w:rPr>
          <w:rFonts w:ascii="Times New Roman" w:hAnsi="Times New Roman" w:cs="Times New Roman"/>
          <w:sz w:val="22"/>
          <w:szCs w:val="22"/>
          <w:lang w:val="en-GB"/>
        </w:rPr>
        <w:t>I</w:t>
      </w:r>
      <w:r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t is possible to </w:t>
      </w:r>
      <w:r>
        <w:rPr>
          <w:rFonts w:ascii="Times New Roman" w:hAnsi="Times New Roman" w:cs="Times New Roman"/>
          <w:sz w:val="22"/>
          <w:szCs w:val="22"/>
          <w:lang w:val="en-GB"/>
        </w:rPr>
        <w:t>improve</w:t>
      </w:r>
      <w:r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BE354D">
        <w:rPr>
          <w:rFonts w:ascii="Times New Roman" w:hAnsi="Times New Roman" w:cs="Times New Roman"/>
          <w:sz w:val="22"/>
          <w:szCs w:val="22"/>
          <w:lang w:val="en-GB"/>
        </w:rPr>
        <w:t>CCS</w:t>
      </w:r>
      <w:r>
        <w:rPr>
          <w:rFonts w:ascii="Times New Roman" w:hAnsi="Times New Roman" w:cs="Times New Roman"/>
          <w:sz w:val="22"/>
          <w:szCs w:val="22"/>
          <w:lang w:val="en-GB"/>
        </w:rPr>
        <w:t xml:space="preserve"> by </w:t>
      </w:r>
      <w:r w:rsidRPr="00BB02C7">
        <w:rPr>
          <w:rFonts w:ascii="Times New Roman" w:hAnsi="Times New Roman" w:cs="Times New Roman"/>
          <w:sz w:val="22"/>
          <w:szCs w:val="22"/>
          <w:lang w:val="en-GB"/>
        </w:rPr>
        <w:t>adequa</w:t>
      </w:r>
      <w:r>
        <w:rPr>
          <w:rFonts w:ascii="Times New Roman" w:hAnsi="Times New Roman" w:cs="Times New Roman"/>
          <w:sz w:val="22"/>
          <w:szCs w:val="22"/>
          <w:lang w:val="en-GB"/>
        </w:rPr>
        <w:t>te sample collection</w:t>
      </w:r>
      <w:r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 and reliable HPV</w:t>
      </w:r>
      <w:r>
        <w:rPr>
          <w:rFonts w:ascii="Times New Roman" w:hAnsi="Times New Roman" w:cs="Times New Roman"/>
          <w:sz w:val="22"/>
          <w:szCs w:val="22"/>
          <w:lang w:val="en-GB"/>
        </w:rPr>
        <w:t xml:space="preserve">- primary </w:t>
      </w:r>
      <w:r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testing </w:t>
      </w:r>
      <w:r>
        <w:rPr>
          <w:rFonts w:ascii="Times New Roman" w:hAnsi="Times New Roman" w:cs="Times New Roman"/>
          <w:sz w:val="22"/>
          <w:szCs w:val="22"/>
          <w:lang w:val="en-GB"/>
        </w:rPr>
        <w:t>b</w:t>
      </w:r>
      <w:r w:rsidR="00BB02C7"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y addressing factors </w:t>
      </w:r>
      <w:r w:rsidR="00342FA8">
        <w:rPr>
          <w:rFonts w:ascii="Times New Roman" w:hAnsi="Times New Roman" w:cs="Times New Roman"/>
          <w:sz w:val="22"/>
          <w:szCs w:val="22"/>
          <w:lang w:val="en-GB"/>
        </w:rPr>
        <w:t>such as</w:t>
      </w:r>
      <w:r w:rsidR="00342FA8"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BB02C7" w:rsidRPr="00BB02C7">
        <w:rPr>
          <w:rFonts w:ascii="Times New Roman" w:hAnsi="Times New Roman" w:cs="Times New Roman"/>
          <w:sz w:val="22"/>
          <w:szCs w:val="22"/>
          <w:lang w:val="en-GB"/>
        </w:rPr>
        <w:t>improved training</w:t>
      </w:r>
      <w:r w:rsidR="00342FA8">
        <w:rPr>
          <w:rFonts w:ascii="Times New Roman" w:hAnsi="Times New Roman" w:cs="Times New Roman"/>
          <w:sz w:val="22"/>
          <w:szCs w:val="22"/>
          <w:lang w:val="en-GB"/>
        </w:rPr>
        <w:t xml:space="preserve"> of </w:t>
      </w:r>
      <w:r>
        <w:rPr>
          <w:rFonts w:ascii="Times New Roman" w:hAnsi="Times New Roman" w:cs="Times New Roman"/>
          <w:sz w:val="22"/>
          <w:szCs w:val="22"/>
          <w:lang w:val="en-GB"/>
        </w:rPr>
        <w:t>health operators on the procedure of sample collection</w:t>
      </w:r>
      <w:r w:rsidR="00BE354D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BB02C7"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and </w:t>
      </w:r>
      <w:r>
        <w:rPr>
          <w:rFonts w:ascii="Times New Roman" w:hAnsi="Times New Roman" w:cs="Times New Roman"/>
          <w:sz w:val="22"/>
          <w:szCs w:val="22"/>
          <w:lang w:val="en-GB"/>
        </w:rPr>
        <w:t xml:space="preserve">on performing </w:t>
      </w:r>
      <w:r w:rsidR="00BB02C7"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pre-analytical </w:t>
      </w:r>
      <w:r>
        <w:rPr>
          <w:rFonts w:ascii="Times New Roman" w:hAnsi="Times New Roman" w:cs="Times New Roman"/>
          <w:sz w:val="22"/>
          <w:szCs w:val="22"/>
          <w:lang w:val="en-GB"/>
        </w:rPr>
        <w:t xml:space="preserve">and analytical </w:t>
      </w:r>
      <w:r w:rsidR="00BB02C7" w:rsidRPr="00BB02C7">
        <w:rPr>
          <w:rFonts w:ascii="Times New Roman" w:hAnsi="Times New Roman" w:cs="Times New Roman"/>
          <w:sz w:val="22"/>
          <w:szCs w:val="22"/>
          <w:lang w:val="en-GB"/>
        </w:rPr>
        <w:t>quality control</w:t>
      </w:r>
      <w:r>
        <w:rPr>
          <w:rFonts w:ascii="Times New Roman" w:hAnsi="Times New Roman" w:cs="Times New Roman"/>
          <w:sz w:val="22"/>
          <w:szCs w:val="22"/>
          <w:lang w:val="en-GB"/>
        </w:rPr>
        <w:t>s during sample processing</w:t>
      </w:r>
      <w:r w:rsidR="00413F23">
        <w:rPr>
          <w:rFonts w:ascii="Times New Roman" w:hAnsi="Times New Roman" w:cs="Times New Roman"/>
          <w:sz w:val="22"/>
          <w:szCs w:val="22"/>
          <w:lang w:val="en-GB"/>
        </w:rPr>
        <w:t xml:space="preserve"> and testing</w:t>
      </w:r>
      <w:r w:rsidR="00BB02C7" w:rsidRPr="00BB02C7">
        <w:rPr>
          <w:rFonts w:ascii="Times New Roman" w:hAnsi="Times New Roman" w:cs="Times New Roman"/>
          <w:sz w:val="22"/>
          <w:szCs w:val="22"/>
          <w:lang w:val="en-GB"/>
        </w:rPr>
        <w:t>.</w:t>
      </w:r>
    </w:p>
    <w:p w14:paraId="64C2A932" w14:textId="419A2BAB" w:rsidR="00BB02C7" w:rsidRPr="00BB02C7" w:rsidRDefault="00B607DE" w:rsidP="00BB02C7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GB"/>
        </w:rPr>
      </w:pPr>
      <w:r>
        <w:rPr>
          <w:rFonts w:ascii="Times New Roman" w:hAnsi="Times New Roman" w:cs="Times New Roman"/>
          <w:sz w:val="22"/>
          <w:szCs w:val="22"/>
          <w:lang w:val="en-GB"/>
        </w:rPr>
        <w:t>Moreover</w:t>
      </w:r>
      <w:r w:rsidR="00D85646">
        <w:rPr>
          <w:rFonts w:ascii="Times New Roman" w:hAnsi="Times New Roman" w:cs="Times New Roman"/>
          <w:sz w:val="22"/>
          <w:szCs w:val="22"/>
          <w:lang w:val="en-GB"/>
        </w:rPr>
        <w:t>,</w:t>
      </w:r>
      <w:r>
        <w:rPr>
          <w:rFonts w:ascii="Times New Roman" w:hAnsi="Times New Roman" w:cs="Times New Roman"/>
          <w:sz w:val="22"/>
          <w:szCs w:val="22"/>
          <w:lang w:val="en-GB"/>
        </w:rPr>
        <w:t xml:space="preserve"> among</w:t>
      </w:r>
      <w:r w:rsidRPr="009D233B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9D233B" w:rsidRPr="009D233B">
        <w:rPr>
          <w:rFonts w:ascii="Times New Roman" w:hAnsi="Times New Roman" w:cs="Times New Roman"/>
          <w:sz w:val="22"/>
          <w:szCs w:val="22"/>
          <w:lang w:val="en-GB"/>
        </w:rPr>
        <w:t xml:space="preserve">the causes of poor </w:t>
      </w:r>
      <w:r>
        <w:rPr>
          <w:rFonts w:ascii="Times New Roman" w:hAnsi="Times New Roman" w:cs="Times New Roman"/>
          <w:sz w:val="22"/>
          <w:szCs w:val="22"/>
          <w:lang w:val="en-GB"/>
        </w:rPr>
        <w:t xml:space="preserve">sample </w:t>
      </w:r>
      <w:r w:rsidR="009D233B" w:rsidRPr="009D233B">
        <w:rPr>
          <w:rFonts w:ascii="Times New Roman" w:hAnsi="Times New Roman" w:cs="Times New Roman"/>
          <w:sz w:val="22"/>
          <w:szCs w:val="22"/>
          <w:lang w:val="en-GB"/>
        </w:rPr>
        <w:t>cellularity</w:t>
      </w:r>
      <w:r w:rsidR="00337D36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="009D233B">
        <w:rPr>
          <w:rFonts w:ascii="Times New Roman" w:hAnsi="Times New Roman" w:cs="Times New Roman"/>
          <w:sz w:val="22"/>
          <w:szCs w:val="22"/>
          <w:lang w:val="en-GB"/>
        </w:rPr>
        <w:t>p</w:t>
      </w:r>
      <w:r w:rsidR="00BB02C7"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atient’s </w:t>
      </w:r>
      <w:r w:rsidR="009A26F5">
        <w:rPr>
          <w:rFonts w:ascii="Times New Roman" w:hAnsi="Times New Roman" w:cs="Times New Roman"/>
          <w:sz w:val="22"/>
          <w:szCs w:val="22"/>
          <w:lang w:val="en-GB"/>
        </w:rPr>
        <w:t>a</w:t>
      </w:r>
      <w:r w:rsidR="00BB02C7"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ge and </w:t>
      </w:r>
      <w:r w:rsidR="009A26F5">
        <w:rPr>
          <w:rFonts w:ascii="Times New Roman" w:hAnsi="Times New Roman" w:cs="Times New Roman"/>
          <w:sz w:val="22"/>
          <w:szCs w:val="22"/>
          <w:lang w:val="en-GB"/>
        </w:rPr>
        <w:t>h</w:t>
      </w:r>
      <w:r w:rsidR="00BB02C7"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ormonal </w:t>
      </w:r>
      <w:r w:rsidR="009A26F5">
        <w:rPr>
          <w:rFonts w:ascii="Times New Roman" w:hAnsi="Times New Roman" w:cs="Times New Roman"/>
          <w:sz w:val="22"/>
          <w:szCs w:val="22"/>
          <w:lang w:val="en-GB"/>
        </w:rPr>
        <w:t>s</w:t>
      </w:r>
      <w:r w:rsidR="00BB02C7" w:rsidRPr="00BB02C7">
        <w:rPr>
          <w:rFonts w:ascii="Times New Roman" w:hAnsi="Times New Roman" w:cs="Times New Roman"/>
          <w:sz w:val="22"/>
          <w:szCs w:val="22"/>
          <w:lang w:val="en-GB"/>
        </w:rPr>
        <w:t>tatus</w:t>
      </w:r>
      <w:r w:rsidR="00337D36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413F23">
        <w:rPr>
          <w:rFonts w:ascii="Times New Roman" w:hAnsi="Times New Roman" w:cs="Times New Roman"/>
          <w:sz w:val="22"/>
          <w:szCs w:val="22"/>
          <w:lang w:val="en-GB"/>
        </w:rPr>
        <w:t>must</w:t>
      </w:r>
      <w:r w:rsidR="00337D36">
        <w:rPr>
          <w:rFonts w:ascii="Times New Roman" w:hAnsi="Times New Roman" w:cs="Times New Roman"/>
          <w:sz w:val="22"/>
          <w:szCs w:val="22"/>
          <w:lang w:val="en-GB"/>
        </w:rPr>
        <w:t xml:space="preserve"> be taken in consideration</w:t>
      </w:r>
      <w:r w:rsidR="009D233B">
        <w:rPr>
          <w:rFonts w:ascii="Times New Roman" w:hAnsi="Times New Roman" w:cs="Times New Roman"/>
          <w:sz w:val="22"/>
          <w:szCs w:val="22"/>
          <w:lang w:val="en-GB"/>
        </w:rPr>
        <w:t>.</w:t>
      </w:r>
      <w:r w:rsidR="00BB02C7"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 In older or postmenopausal</w:t>
      </w:r>
      <w:r w:rsidR="009D233B">
        <w:rPr>
          <w:rFonts w:ascii="Times New Roman" w:hAnsi="Times New Roman" w:cs="Times New Roman"/>
          <w:sz w:val="22"/>
          <w:szCs w:val="22"/>
          <w:lang w:val="en-GB"/>
        </w:rPr>
        <w:t xml:space="preserve"> and postpartum</w:t>
      </w:r>
      <w:r w:rsidR="00BB02C7" w:rsidRPr="00BB02C7">
        <w:rPr>
          <w:rFonts w:ascii="Times New Roman" w:hAnsi="Times New Roman" w:cs="Times New Roman"/>
          <w:sz w:val="22"/>
          <w:szCs w:val="22"/>
          <w:lang w:val="en-GB"/>
        </w:rPr>
        <w:t xml:space="preserve"> patients, the cervix may exhibit </w:t>
      </w:r>
      <w:r w:rsidR="009D233B">
        <w:rPr>
          <w:rFonts w:ascii="Times New Roman" w:hAnsi="Times New Roman" w:cs="Times New Roman"/>
          <w:sz w:val="22"/>
          <w:szCs w:val="22"/>
          <w:lang w:val="en-GB"/>
        </w:rPr>
        <w:t xml:space="preserve">mucosal </w:t>
      </w:r>
      <w:r w:rsidR="00BB02C7" w:rsidRPr="00BB02C7">
        <w:rPr>
          <w:rFonts w:ascii="Times New Roman" w:hAnsi="Times New Roman" w:cs="Times New Roman"/>
          <w:sz w:val="22"/>
          <w:szCs w:val="22"/>
          <w:lang w:val="en-GB"/>
        </w:rPr>
        <w:t>atrophic changes. Atrophy often leads to a reduced cellular yield and the formation of cellular clumps, which can negatively impact the quality and quantity of material available for analysis.</w:t>
      </w:r>
    </w:p>
    <w:p w14:paraId="1385692F" w14:textId="42AF4308" w:rsidR="006D4285" w:rsidRPr="006D4285" w:rsidRDefault="006D4285" w:rsidP="00BB02C7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GB"/>
        </w:rPr>
      </w:pPr>
      <w:r w:rsidRPr="006D4285">
        <w:rPr>
          <w:rFonts w:ascii="Times New Roman" w:hAnsi="Times New Roman" w:cs="Times New Roman"/>
          <w:sz w:val="22"/>
          <w:szCs w:val="22"/>
          <w:lang w:val="en-GB"/>
        </w:rPr>
        <w:t>Despite th</w:t>
      </w:r>
      <w:r w:rsidR="00B607DE">
        <w:rPr>
          <w:rFonts w:ascii="Times New Roman" w:hAnsi="Times New Roman" w:cs="Times New Roman"/>
          <w:sz w:val="22"/>
          <w:szCs w:val="22"/>
          <w:lang w:val="en-GB"/>
        </w:rPr>
        <w:t>e</w:t>
      </w:r>
      <w:r w:rsidRPr="006D4285">
        <w:rPr>
          <w:rFonts w:ascii="Times New Roman" w:hAnsi="Times New Roman" w:cs="Times New Roman"/>
          <w:sz w:val="22"/>
          <w:szCs w:val="22"/>
          <w:lang w:val="en-GB"/>
        </w:rPr>
        <w:t>s</w:t>
      </w:r>
      <w:r w:rsidR="00B607DE">
        <w:rPr>
          <w:rFonts w:ascii="Times New Roman" w:hAnsi="Times New Roman" w:cs="Times New Roman"/>
          <w:sz w:val="22"/>
          <w:szCs w:val="22"/>
          <w:lang w:val="en-GB"/>
        </w:rPr>
        <w:t>e</w:t>
      </w:r>
      <w:r w:rsidRPr="006D4285">
        <w:rPr>
          <w:rFonts w:ascii="Times New Roman" w:hAnsi="Times New Roman" w:cs="Times New Roman"/>
          <w:sz w:val="22"/>
          <w:szCs w:val="22"/>
          <w:lang w:val="en-GB"/>
        </w:rPr>
        <w:t xml:space="preserve"> challenge</w:t>
      </w:r>
      <w:r w:rsidR="00B607DE">
        <w:rPr>
          <w:rFonts w:ascii="Times New Roman" w:hAnsi="Times New Roman" w:cs="Times New Roman"/>
          <w:sz w:val="22"/>
          <w:szCs w:val="22"/>
          <w:lang w:val="en-GB"/>
        </w:rPr>
        <w:t>s</w:t>
      </w:r>
      <w:r w:rsidRPr="006D4285">
        <w:rPr>
          <w:rFonts w:ascii="Times New Roman" w:hAnsi="Times New Roman" w:cs="Times New Roman"/>
          <w:sz w:val="22"/>
          <w:szCs w:val="22"/>
          <w:lang w:val="en-GB"/>
        </w:rPr>
        <w:t>, LBC systems</w:t>
      </w:r>
      <w:r w:rsidR="00B607DE">
        <w:rPr>
          <w:rFonts w:ascii="Times New Roman" w:hAnsi="Times New Roman" w:cs="Times New Roman"/>
          <w:sz w:val="22"/>
          <w:szCs w:val="22"/>
          <w:lang w:val="en-GB"/>
        </w:rPr>
        <w:t>,</w:t>
      </w:r>
      <w:r w:rsidRPr="006D4285">
        <w:rPr>
          <w:rFonts w:ascii="Times New Roman" w:hAnsi="Times New Roman" w:cs="Times New Roman"/>
          <w:sz w:val="22"/>
          <w:szCs w:val="22"/>
          <w:lang w:val="en-GB"/>
        </w:rPr>
        <w:t xml:space="preserve"> like ThinPrep®2000</w:t>
      </w:r>
      <w:r w:rsidR="00B607DE">
        <w:rPr>
          <w:rFonts w:ascii="Times New Roman" w:hAnsi="Times New Roman" w:cs="Times New Roman"/>
          <w:sz w:val="22"/>
          <w:szCs w:val="22"/>
          <w:lang w:val="en-GB"/>
        </w:rPr>
        <w:t>,</w:t>
      </w:r>
      <w:r w:rsidRPr="006D4285">
        <w:rPr>
          <w:rFonts w:ascii="Times New Roman" w:hAnsi="Times New Roman" w:cs="Times New Roman"/>
          <w:sz w:val="22"/>
          <w:szCs w:val="22"/>
          <w:lang w:val="en-GB"/>
        </w:rPr>
        <w:t xml:space="preserve"> partially mitigate the</w:t>
      </w:r>
      <w:r w:rsidR="00B607DE">
        <w:rPr>
          <w:rFonts w:ascii="Times New Roman" w:hAnsi="Times New Roman" w:cs="Times New Roman"/>
          <w:sz w:val="22"/>
          <w:szCs w:val="22"/>
          <w:lang w:val="en-GB"/>
        </w:rPr>
        <w:t>se</w:t>
      </w:r>
      <w:r w:rsidRPr="006D4285">
        <w:rPr>
          <w:rFonts w:ascii="Times New Roman" w:hAnsi="Times New Roman" w:cs="Times New Roman"/>
          <w:sz w:val="22"/>
          <w:szCs w:val="22"/>
          <w:lang w:val="en-GB"/>
        </w:rPr>
        <w:t xml:space="preserve"> issue</w:t>
      </w:r>
      <w:r w:rsidR="00B607DE">
        <w:rPr>
          <w:rFonts w:ascii="Times New Roman" w:hAnsi="Times New Roman" w:cs="Times New Roman"/>
          <w:sz w:val="22"/>
          <w:szCs w:val="22"/>
          <w:lang w:val="en-GB"/>
        </w:rPr>
        <w:t>s</w:t>
      </w:r>
      <w:r w:rsidRPr="006D4285">
        <w:rPr>
          <w:rFonts w:ascii="Times New Roman" w:hAnsi="Times New Roman" w:cs="Times New Roman"/>
          <w:sz w:val="22"/>
          <w:szCs w:val="22"/>
          <w:lang w:val="en-GB"/>
        </w:rPr>
        <w:t xml:space="preserve"> by aspirating a larger volume of medium (ranging from 2–18 </w:t>
      </w:r>
      <w:r w:rsidR="002213EB">
        <w:rPr>
          <w:rFonts w:ascii="Times New Roman" w:hAnsi="Times New Roman" w:cs="Times New Roman"/>
          <w:sz w:val="22"/>
          <w:szCs w:val="22"/>
          <w:lang w:val="en-GB"/>
        </w:rPr>
        <w:t xml:space="preserve">mL </w:t>
      </w:r>
      <w:r w:rsidRPr="006D4285">
        <w:rPr>
          <w:rFonts w:ascii="Times New Roman" w:hAnsi="Times New Roman" w:cs="Times New Roman"/>
          <w:sz w:val="22"/>
          <w:szCs w:val="22"/>
          <w:lang w:val="en-GB"/>
        </w:rPr>
        <w:t xml:space="preserve">depending on cellular concentration) and transferring cells onto a slide for optimal microscopic evaluation. This flexibility ensures </w:t>
      </w:r>
      <w:r w:rsidR="00B607DE">
        <w:rPr>
          <w:rFonts w:ascii="Times New Roman" w:hAnsi="Times New Roman" w:cs="Times New Roman"/>
          <w:sz w:val="22"/>
          <w:szCs w:val="22"/>
          <w:lang w:val="en-GB"/>
        </w:rPr>
        <w:t xml:space="preserve">the presence of </w:t>
      </w:r>
      <w:r w:rsidRPr="006D4285">
        <w:rPr>
          <w:rFonts w:ascii="Times New Roman" w:hAnsi="Times New Roman" w:cs="Times New Roman"/>
          <w:sz w:val="22"/>
          <w:szCs w:val="22"/>
          <w:lang w:val="en-GB"/>
        </w:rPr>
        <w:t xml:space="preserve">a sufficient number of cells for cytological examination. Additionally, LBC protocols include established quality assurance </w:t>
      </w:r>
      <w:r w:rsidRPr="006D4285">
        <w:rPr>
          <w:rFonts w:ascii="Times New Roman" w:hAnsi="Times New Roman" w:cs="Times New Roman"/>
          <w:sz w:val="22"/>
          <w:szCs w:val="22"/>
          <w:lang w:val="en-GB"/>
        </w:rPr>
        <w:lastRenderedPageBreak/>
        <w:t>benchmarks based on the number of cells, which provide a reference for sample adequacy and enhance reliability in cytolog</w:t>
      </w:r>
      <w:r w:rsidR="00B607DE">
        <w:rPr>
          <w:rFonts w:ascii="Times New Roman" w:hAnsi="Times New Roman" w:cs="Times New Roman"/>
          <w:sz w:val="22"/>
          <w:szCs w:val="22"/>
          <w:lang w:val="en-GB"/>
        </w:rPr>
        <w:t>ical assessment</w:t>
      </w:r>
      <w:r w:rsidR="009D233B">
        <w:rPr>
          <w:rFonts w:ascii="Times New Roman" w:hAnsi="Times New Roman" w:cs="Times New Roman"/>
          <w:sz w:val="22"/>
          <w:szCs w:val="22"/>
          <w:lang w:val="en-GB"/>
        </w:rPr>
        <w:t xml:space="preserve"> as </w:t>
      </w:r>
      <w:r w:rsidR="00B607DE">
        <w:rPr>
          <w:rFonts w:ascii="Times New Roman" w:hAnsi="Times New Roman" w:cs="Times New Roman"/>
          <w:sz w:val="22"/>
          <w:szCs w:val="22"/>
          <w:lang w:val="en-GB"/>
        </w:rPr>
        <w:t xml:space="preserve">previously </w:t>
      </w:r>
      <w:r w:rsidR="009D233B">
        <w:rPr>
          <w:rFonts w:ascii="Times New Roman" w:hAnsi="Times New Roman" w:cs="Times New Roman"/>
          <w:sz w:val="22"/>
          <w:szCs w:val="22"/>
          <w:lang w:val="en-GB"/>
        </w:rPr>
        <w:t>discussed</w:t>
      </w:r>
      <w:r w:rsidR="00E216FE" w:rsidRPr="00E216FE">
        <w:rPr>
          <w:rFonts w:ascii="Times New Roman" w:hAnsi="Times New Roman" w:cs="Times New Roman"/>
          <w:sz w:val="22"/>
          <w:szCs w:val="22"/>
          <w:vertAlign w:val="superscript"/>
          <w:lang w:val="en-GB"/>
        </w:rPr>
        <w:t>23,24,25,26</w:t>
      </w:r>
      <w:r w:rsidRPr="006D4285">
        <w:rPr>
          <w:rFonts w:ascii="Times New Roman" w:hAnsi="Times New Roman" w:cs="Times New Roman"/>
          <w:sz w:val="22"/>
          <w:szCs w:val="22"/>
          <w:lang w:val="en-GB"/>
        </w:rPr>
        <w:t>.</w:t>
      </w:r>
    </w:p>
    <w:p w14:paraId="1ADCBDB6" w14:textId="70B53BE1" w:rsidR="00435496" w:rsidRDefault="006D4285" w:rsidP="006D4285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GB"/>
        </w:rPr>
      </w:pPr>
      <w:r w:rsidRPr="006D4285">
        <w:rPr>
          <w:rFonts w:ascii="Times New Roman" w:hAnsi="Times New Roman" w:cs="Times New Roman"/>
          <w:sz w:val="22"/>
          <w:szCs w:val="22"/>
          <w:lang w:val="en-GB"/>
        </w:rPr>
        <w:t>In contrast, HPV testing lacks similar quality assurance benchmarks for cellularity.</w:t>
      </w:r>
    </w:p>
    <w:p w14:paraId="53D7E4CB" w14:textId="12D2EB8A" w:rsidR="00D85646" w:rsidRDefault="00413F23" w:rsidP="006D4285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GB"/>
        </w:rPr>
      </w:pPr>
      <w:r>
        <w:rPr>
          <w:rFonts w:ascii="Times New Roman" w:hAnsi="Times New Roman" w:cs="Times New Roman"/>
          <w:sz w:val="22"/>
          <w:szCs w:val="22"/>
          <w:lang w:val="en-GB"/>
        </w:rPr>
        <w:t>Moreover, s</w:t>
      </w:r>
      <w:r w:rsidR="006D4285" w:rsidRPr="006D4285">
        <w:rPr>
          <w:rFonts w:ascii="Times New Roman" w:hAnsi="Times New Roman" w:cs="Times New Roman"/>
          <w:sz w:val="22"/>
          <w:szCs w:val="22"/>
          <w:lang w:val="en-GB"/>
        </w:rPr>
        <w:t xml:space="preserve">tandard workflows use a fixed starting </w:t>
      </w:r>
      <w:r w:rsidR="00B607DE">
        <w:rPr>
          <w:rFonts w:ascii="Times New Roman" w:hAnsi="Times New Roman" w:cs="Times New Roman"/>
          <w:sz w:val="22"/>
          <w:szCs w:val="22"/>
          <w:lang w:val="en-GB"/>
        </w:rPr>
        <w:t xml:space="preserve">sample </w:t>
      </w:r>
      <w:r w:rsidR="006D4285" w:rsidRPr="006D4285">
        <w:rPr>
          <w:rFonts w:ascii="Times New Roman" w:hAnsi="Times New Roman" w:cs="Times New Roman"/>
          <w:sz w:val="22"/>
          <w:szCs w:val="22"/>
          <w:lang w:val="en-GB"/>
        </w:rPr>
        <w:t xml:space="preserve">volume, typically 0.2–0.4 </w:t>
      </w:r>
      <w:r w:rsidR="002213EB">
        <w:rPr>
          <w:rFonts w:ascii="Times New Roman" w:hAnsi="Times New Roman" w:cs="Times New Roman"/>
          <w:sz w:val="22"/>
          <w:szCs w:val="22"/>
          <w:lang w:val="en-GB"/>
        </w:rPr>
        <w:t xml:space="preserve">mL </w:t>
      </w:r>
      <w:r w:rsidR="006D4285" w:rsidRPr="006D4285">
        <w:rPr>
          <w:rFonts w:ascii="Times New Roman" w:hAnsi="Times New Roman" w:cs="Times New Roman"/>
          <w:sz w:val="22"/>
          <w:szCs w:val="22"/>
          <w:lang w:val="en-GB"/>
        </w:rPr>
        <w:t xml:space="preserve">of the resuspended </w:t>
      </w:r>
      <w:r>
        <w:rPr>
          <w:rFonts w:ascii="Times New Roman" w:hAnsi="Times New Roman" w:cs="Times New Roman"/>
          <w:sz w:val="22"/>
          <w:szCs w:val="22"/>
          <w:lang w:val="en-GB"/>
        </w:rPr>
        <w:t xml:space="preserve">cervical </w:t>
      </w:r>
      <w:r w:rsidR="006D4285" w:rsidRPr="006D4285">
        <w:rPr>
          <w:rFonts w:ascii="Times New Roman" w:hAnsi="Times New Roman" w:cs="Times New Roman"/>
          <w:sz w:val="22"/>
          <w:szCs w:val="22"/>
          <w:lang w:val="en-GB"/>
        </w:rPr>
        <w:t xml:space="preserve">sample, </w:t>
      </w:r>
      <w:r w:rsidR="00B607DE">
        <w:rPr>
          <w:rFonts w:ascii="Times New Roman" w:hAnsi="Times New Roman" w:cs="Times New Roman"/>
          <w:sz w:val="22"/>
          <w:szCs w:val="22"/>
          <w:lang w:val="en-GB"/>
        </w:rPr>
        <w:t xml:space="preserve">used </w:t>
      </w:r>
      <w:r w:rsidR="006D4285" w:rsidRPr="006D4285">
        <w:rPr>
          <w:rFonts w:ascii="Times New Roman" w:hAnsi="Times New Roman" w:cs="Times New Roman"/>
          <w:sz w:val="22"/>
          <w:szCs w:val="22"/>
          <w:lang w:val="en-GB"/>
        </w:rPr>
        <w:t>for DNA extraction</w:t>
      </w:r>
      <w:r>
        <w:rPr>
          <w:rFonts w:ascii="Times New Roman" w:hAnsi="Times New Roman" w:cs="Times New Roman"/>
          <w:sz w:val="22"/>
          <w:szCs w:val="22"/>
          <w:lang w:val="en-GB"/>
        </w:rPr>
        <w:t>,</w:t>
      </w:r>
      <w:r w:rsidR="00B607DE">
        <w:rPr>
          <w:rFonts w:ascii="Times New Roman" w:hAnsi="Times New Roman" w:cs="Times New Roman"/>
          <w:sz w:val="22"/>
          <w:szCs w:val="22"/>
          <w:lang w:val="en-GB"/>
        </w:rPr>
        <w:t xml:space="preserve"> irrespective of </w:t>
      </w:r>
      <w:r>
        <w:rPr>
          <w:rFonts w:ascii="Times New Roman" w:hAnsi="Times New Roman" w:cs="Times New Roman"/>
          <w:sz w:val="22"/>
          <w:szCs w:val="22"/>
          <w:lang w:val="en-GB"/>
        </w:rPr>
        <w:t xml:space="preserve">the starting </w:t>
      </w:r>
      <w:r w:rsidR="00B607DE">
        <w:rPr>
          <w:rFonts w:ascii="Times New Roman" w:hAnsi="Times New Roman" w:cs="Times New Roman"/>
          <w:sz w:val="22"/>
          <w:szCs w:val="22"/>
          <w:lang w:val="en-GB"/>
        </w:rPr>
        <w:t>sample cellularity</w:t>
      </w:r>
      <w:r w:rsidR="006D4285" w:rsidRPr="006D4285">
        <w:rPr>
          <w:rFonts w:ascii="Times New Roman" w:hAnsi="Times New Roman" w:cs="Times New Roman"/>
          <w:sz w:val="22"/>
          <w:szCs w:val="22"/>
          <w:lang w:val="en-GB"/>
        </w:rPr>
        <w:t>.</w:t>
      </w:r>
    </w:p>
    <w:p w14:paraId="0BED0470" w14:textId="253FEF65" w:rsidR="00140604" w:rsidRPr="00E37891" w:rsidRDefault="00E216FE" w:rsidP="00E37891">
      <w:pPr>
        <w:jc w:val="both"/>
        <w:rPr>
          <w:rFonts w:ascii="Times New Roman" w:hAnsi="Times New Roman" w:cs="Times New Roman"/>
          <w:sz w:val="22"/>
          <w:szCs w:val="22"/>
          <w:lang w:val="en-GB"/>
        </w:rPr>
      </w:pPr>
      <w:r>
        <w:rPr>
          <w:rFonts w:ascii="Times New Roman" w:hAnsi="Times New Roman" w:cs="Times New Roman"/>
          <w:sz w:val="22"/>
          <w:szCs w:val="22"/>
          <w:lang w:val="en-GB"/>
        </w:rPr>
        <w:t>M</w:t>
      </w:r>
      <w:r w:rsidR="006D4285" w:rsidRPr="006D4285">
        <w:rPr>
          <w:rFonts w:ascii="Times New Roman" w:hAnsi="Times New Roman" w:cs="Times New Roman"/>
          <w:sz w:val="22"/>
          <w:szCs w:val="22"/>
          <w:lang w:val="en-GB"/>
        </w:rPr>
        <w:t xml:space="preserve">olecular testing is </w:t>
      </w:r>
      <w:r>
        <w:rPr>
          <w:rFonts w:ascii="Times New Roman" w:hAnsi="Times New Roman" w:cs="Times New Roman"/>
          <w:sz w:val="22"/>
          <w:szCs w:val="22"/>
          <w:lang w:val="en-GB"/>
        </w:rPr>
        <w:t xml:space="preserve">usually </w:t>
      </w:r>
      <w:r w:rsidR="006D4285" w:rsidRPr="006D4285">
        <w:rPr>
          <w:rFonts w:ascii="Times New Roman" w:hAnsi="Times New Roman" w:cs="Times New Roman"/>
          <w:sz w:val="22"/>
          <w:szCs w:val="22"/>
          <w:lang w:val="en-GB"/>
        </w:rPr>
        <w:t xml:space="preserve">highly sensitive, requiring only a minimal amount of target DNA, </w:t>
      </w:r>
      <w:r>
        <w:rPr>
          <w:rFonts w:ascii="Times New Roman" w:hAnsi="Times New Roman" w:cs="Times New Roman"/>
          <w:sz w:val="22"/>
          <w:szCs w:val="22"/>
          <w:lang w:val="en-GB"/>
        </w:rPr>
        <w:t xml:space="preserve">but </w:t>
      </w:r>
      <w:r w:rsidR="006D4285" w:rsidRPr="006D4285">
        <w:rPr>
          <w:rFonts w:ascii="Times New Roman" w:hAnsi="Times New Roman" w:cs="Times New Roman"/>
          <w:sz w:val="22"/>
          <w:szCs w:val="22"/>
          <w:lang w:val="en-GB"/>
        </w:rPr>
        <w:t>the reduced cellularity in samples</w:t>
      </w:r>
      <w:r>
        <w:rPr>
          <w:rFonts w:ascii="Times New Roman" w:hAnsi="Times New Roman" w:cs="Times New Roman"/>
          <w:sz w:val="22"/>
          <w:szCs w:val="22"/>
          <w:lang w:val="en-GB"/>
        </w:rPr>
        <w:t>,</w:t>
      </w:r>
      <w:r w:rsidR="006D4285" w:rsidRPr="006D428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9D233B">
        <w:rPr>
          <w:rFonts w:ascii="Times New Roman" w:hAnsi="Times New Roman" w:cs="Times New Roman"/>
          <w:sz w:val="22"/>
          <w:szCs w:val="22"/>
          <w:lang w:val="en-GB"/>
        </w:rPr>
        <w:t xml:space="preserve">such as </w:t>
      </w:r>
      <w:r w:rsidRPr="00435496">
        <w:rPr>
          <w:rFonts w:ascii="Times New Roman" w:hAnsi="Times New Roman" w:cs="Times New Roman"/>
          <w:sz w:val="22"/>
          <w:szCs w:val="22"/>
          <w:lang w:val="en-GB"/>
        </w:rPr>
        <w:t xml:space="preserve">for </w:t>
      </w:r>
      <w:r w:rsidR="00337D36" w:rsidRPr="00435496">
        <w:rPr>
          <w:rFonts w:ascii="Times New Roman" w:hAnsi="Times New Roman" w:cs="Times New Roman"/>
          <w:sz w:val="22"/>
          <w:szCs w:val="22"/>
          <w:lang w:val="en-GB"/>
        </w:rPr>
        <w:t>instance</w:t>
      </w:r>
      <w:r w:rsidRPr="00435496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6D4285" w:rsidRPr="00435496">
        <w:rPr>
          <w:rFonts w:ascii="Times New Roman" w:hAnsi="Times New Roman" w:cs="Times New Roman"/>
          <w:sz w:val="22"/>
          <w:szCs w:val="22"/>
          <w:lang w:val="en-GB"/>
        </w:rPr>
        <w:t>from post-menopausal women</w:t>
      </w:r>
      <w:r w:rsidRPr="00435496">
        <w:rPr>
          <w:rFonts w:ascii="Times New Roman" w:hAnsi="Times New Roman" w:cs="Times New Roman"/>
          <w:sz w:val="22"/>
          <w:szCs w:val="22"/>
          <w:lang w:val="en-GB"/>
        </w:rPr>
        <w:t>,</w:t>
      </w:r>
      <w:r w:rsidR="006D4285" w:rsidRPr="00435496">
        <w:rPr>
          <w:rFonts w:ascii="Times New Roman" w:hAnsi="Times New Roman" w:cs="Times New Roman"/>
          <w:sz w:val="22"/>
          <w:szCs w:val="22"/>
          <w:lang w:val="en-GB"/>
        </w:rPr>
        <w:t xml:space="preserve"> can lower DNA yields, as reflected in higher β-globin Ct values. The literature highlights an elevated risk of </w:t>
      </w:r>
      <w:r w:rsidR="00270B9F" w:rsidRPr="00435496">
        <w:rPr>
          <w:rFonts w:ascii="Times New Roman" w:hAnsi="Times New Roman" w:cs="Times New Roman"/>
          <w:sz w:val="22"/>
          <w:szCs w:val="22"/>
          <w:lang w:val="en-GB"/>
        </w:rPr>
        <w:t>CC</w:t>
      </w:r>
      <w:r w:rsidR="006D4285" w:rsidRPr="00435496">
        <w:rPr>
          <w:rFonts w:ascii="Times New Roman" w:hAnsi="Times New Roman" w:cs="Times New Roman"/>
          <w:sz w:val="22"/>
          <w:szCs w:val="22"/>
          <w:lang w:val="en-GB"/>
        </w:rPr>
        <w:t xml:space="preserve"> in older women ASCUS and HPV-negative</w:t>
      </w:r>
      <w:r w:rsidR="00E74EAE" w:rsidRPr="00435496">
        <w:rPr>
          <w:rFonts w:ascii="Times New Roman" w:hAnsi="Times New Roman" w:cs="Times New Roman"/>
          <w:sz w:val="22"/>
          <w:szCs w:val="22"/>
          <w:vertAlign w:val="superscript"/>
          <w:lang w:val="en-GB"/>
        </w:rPr>
        <w:t>45</w:t>
      </w:r>
      <w:r w:rsidR="00413F23" w:rsidRPr="00435496">
        <w:rPr>
          <w:rFonts w:ascii="Times New Roman" w:hAnsi="Times New Roman" w:cs="Times New Roman"/>
          <w:sz w:val="22"/>
          <w:szCs w:val="22"/>
          <w:vertAlign w:val="superscript"/>
          <w:lang w:val="en-GB"/>
        </w:rPr>
        <w:t>,46</w:t>
      </w:r>
      <w:r w:rsidR="006D4285" w:rsidRPr="00435496">
        <w:rPr>
          <w:rFonts w:ascii="Times New Roman" w:hAnsi="Times New Roman" w:cs="Times New Roman"/>
          <w:sz w:val="22"/>
          <w:szCs w:val="22"/>
          <w:lang w:val="en-GB"/>
        </w:rPr>
        <w:t>, underscoring the age-related decline in test sensitivity due to sampling challenges.</w:t>
      </w:r>
      <w:r w:rsidR="000359AF" w:rsidRPr="00435496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413F23" w:rsidRPr="00435496">
        <w:rPr>
          <w:rFonts w:ascii="Times New Roman" w:hAnsi="Times New Roman" w:cs="Times New Roman"/>
          <w:sz w:val="22"/>
          <w:szCs w:val="22"/>
          <w:lang w:val="en-GB"/>
        </w:rPr>
        <w:t>In spite of</w:t>
      </w:r>
      <w:r w:rsidR="00421D4F" w:rsidRPr="00435496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270B9F" w:rsidRPr="00435496">
        <w:rPr>
          <w:rFonts w:ascii="Times New Roman" w:hAnsi="Times New Roman" w:cs="Times New Roman"/>
          <w:sz w:val="22"/>
          <w:szCs w:val="22"/>
          <w:lang w:val="en-GB"/>
        </w:rPr>
        <w:t>CC</w:t>
      </w:r>
      <w:r w:rsidR="006D4285" w:rsidRPr="00435496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413F23" w:rsidRPr="00435496">
        <w:rPr>
          <w:rFonts w:ascii="Times New Roman" w:hAnsi="Times New Roman" w:cs="Times New Roman"/>
          <w:sz w:val="22"/>
          <w:szCs w:val="22"/>
          <w:lang w:val="en-GB"/>
        </w:rPr>
        <w:t>being</w:t>
      </w:r>
      <w:r w:rsidR="006D4285" w:rsidRPr="00435496">
        <w:rPr>
          <w:rFonts w:ascii="Times New Roman" w:hAnsi="Times New Roman" w:cs="Times New Roman"/>
          <w:sz w:val="22"/>
          <w:szCs w:val="22"/>
          <w:lang w:val="en-GB"/>
        </w:rPr>
        <w:t xml:space="preserve"> commonly diagnosed in younger women</w:t>
      </w:r>
      <w:r w:rsidR="00413F23" w:rsidRPr="00435496">
        <w:rPr>
          <w:rFonts w:ascii="Times New Roman" w:hAnsi="Times New Roman" w:cs="Times New Roman"/>
          <w:sz w:val="22"/>
          <w:szCs w:val="22"/>
          <w:lang w:val="en-GB"/>
        </w:rPr>
        <w:t>,</w:t>
      </w:r>
      <w:r w:rsidR="006D4285" w:rsidRPr="00435496">
        <w:rPr>
          <w:rFonts w:ascii="Times New Roman" w:hAnsi="Times New Roman" w:cs="Times New Roman"/>
          <w:sz w:val="22"/>
          <w:szCs w:val="22"/>
          <w:lang w:val="en-GB"/>
        </w:rPr>
        <w:t xml:space="preserve"> due to routine screening, the median age at diagnosis remains 50 years. Women over 65 account for over 20% of new </w:t>
      </w:r>
      <w:r w:rsidR="00270B9F" w:rsidRPr="00435496">
        <w:rPr>
          <w:rFonts w:ascii="Times New Roman" w:hAnsi="Times New Roman" w:cs="Times New Roman"/>
          <w:sz w:val="22"/>
          <w:szCs w:val="22"/>
          <w:lang w:val="en-GB"/>
        </w:rPr>
        <w:t>CC</w:t>
      </w:r>
      <w:r w:rsidR="006D4285" w:rsidRPr="00435496">
        <w:rPr>
          <w:rFonts w:ascii="Times New Roman" w:hAnsi="Times New Roman" w:cs="Times New Roman"/>
          <w:sz w:val="22"/>
          <w:szCs w:val="22"/>
          <w:lang w:val="en-GB"/>
        </w:rPr>
        <w:t xml:space="preserve"> cases and 37% of </w:t>
      </w:r>
      <w:r w:rsidR="00270B9F" w:rsidRPr="00435496">
        <w:rPr>
          <w:rFonts w:ascii="Times New Roman" w:hAnsi="Times New Roman" w:cs="Times New Roman"/>
          <w:sz w:val="22"/>
          <w:szCs w:val="22"/>
          <w:lang w:val="en-GB"/>
        </w:rPr>
        <w:t>CC</w:t>
      </w:r>
      <w:r w:rsidR="006D4285" w:rsidRPr="00435496">
        <w:rPr>
          <w:rFonts w:ascii="Times New Roman" w:hAnsi="Times New Roman" w:cs="Times New Roman"/>
          <w:sz w:val="22"/>
          <w:szCs w:val="22"/>
          <w:lang w:val="en-GB"/>
        </w:rPr>
        <w:t xml:space="preserve"> deaths in the United States</w:t>
      </w:r>
      <w:r w:rsidR="00711853" w:rsidRPr="00435496">
        <w:rPr>
          <w:rFonts w:ascii="Times New Roman" w:hAnsi="Times New Roman" w:cs="Times New Roman"/>
          <w:sz w:val="22"/>
          <w:szCs w:val="22"/>
          <w:vertAlign w:val="superscript"/>
          <w:lang w:val="en-GB"/>
        </w:rPr>
        <w:t>4</w:t>
      </w:r>
      <w:r w:rsidR="00001F46" w:rsidRPr="00435496">
        <w:rPr>
          <w:rFonts w:ascii="Times New Roman" w:hAnsi="Times New Roman" w:cs="Times New Roman"/>
          <w:sz w:val="22"/>
          <w:szCs w:val="22"/>
          <w:vertAlign w:val="superscript"/>
          <w:lang w:val="en-GB"/>
        </w:rPr>
        <w:t>6</w:t>
      </w:r>
      <w:r w:rsidR="006D4285" w:rsidRPr="00435496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="00413F23" w:rsidRPr="00435496">
        <w:rPr>
          <w:rFonts w:ascii="Times New Roman" w:hAnsi="Times New Roman" w:cs="Times New Roman"/>
          <w:sz w:val="22"/>
          <w:szCs w:val="22"/>
          <w:lang w:val="en-GB"/>
        </w:rPr>
        <w:t xml:space="preserve">underlining </w:t>
      </w:r>
      <w:r w:rsidR="006D4285" w:rsidRPr="00435496">
        <w:rPr>
          <w:rFonts w:ascii="Times New Roman" w:hAnsi="Times New Roman" w:cs="Times New Roman"/>
          <w:sz w:val="22"/>
          <w:szCs w:val="22"/>
          <w:lang w:val="en-GB"/>
        </w:rPr>
        <w:t xml:space="preserve">the need for improved strategies </w:t>
      </w:r>
      <w:r w:rsidR="00413F23" w:rsidRPr="00435496">
        <w:rPr>
          <w:rFonts w:ascii="Times New Roman" w:hAnsi="Times New Roman" w:cs="Times New Roman"/>
          <w:sz w:val="22"/>
          <w:szCs w:val="22"/>
          <w:lang w:val="en-GB"/>
        </w:rPr>
        <w:t xml:space="preserve">and quality assurance </w:t>
      </w:r>
      <w:r w:rsidR="006D4285" w:rsidRPr="00435496">
        <w:rPr>
          <w:rFonts w:ascii="Times New Roman" w:hAnsi="Times New Roman" w:cs="Times New Roman"/>
          <w:sz w:val="22"/>
          <w:szCs w:val="22"/>
          <w:lang w:val="en-GB"/>
        </w:rPr>
        <w:t xml:space="preserve">to prevent </w:t>
      </w:r>
      <w:r w:rsidR="00270B9F" w:rsidRPr="00435496">
        <w:rPr>
          <w:rFonts w:ascii="Times New Roman" w:hAnsi="Times New Roman" w:cs="Times New Roman"/>
          <w:sz w:val="22"/>
          <w:szCs w:val="22"/>
          <w:lang w:val="en-GB"/>
        </w:rPr>
        <w:t>CC</w:t>
      </w:r>
      <w:r w:rsidR="006D4285" w:rsidRPr="00435496">
        <w:rPr>
          <w:rFonts w:ascii="Times New Roman" w:hAnsi="Times New Roman" w:cs="Times New Roman"/>
          <w:sz w:val="22"/>
          <w:szCs w:val="22"/>
          <w:lang w:val="en-GB"/>
        </w:rPr>
        <w:t xml:space="preserve"> in older populations.</w:t>
      </w:r>
    </w:p>
    <w:p w14:paraId="2E8C05FF" w14:textId="3F1B5771" w:rsidR="00EB24F3" w:rsidRDefault="002A0ABB" w:rsidP="00191EA3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 xml:space="preserve">The results of the present study indicate the </w:t>
      </w:r>
      <w:r w:rsidR="00413F23">
        <w:rPr>
          <w:rFonts w:ascii="Times New Roman" w:hAnsi="Times New Roman" w:cs="Times New Roman"/>
          <w:sz w:val="22"/>
          <w:szCs w:val="22"/>
          <w:lang w:val="en-US"/>
        </w:rPr>
        <w:t>importance in</w:t>
      </w:r>
      <w:r w:rsidR="00413F23" w:rsidRPr="00191EA3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191EA3" w:rsidRPr="00191EA3">
        <w:rPr>
          <w:rFonts w:ascii="Times New Roman" w:hAnsi="Times New Roman" w:cs="Times New Roman"/>
          <w:sz w:val="22"/>
          <w:szCs w:val="22"/>
          <w:lang w:val="en-US"/>
        </w:rPr>
        <w:t>establish</w:t>
      </w:r>
      <w:r w:rsidR="00413F23">
        <w:rPr>
          <w:rFonts w:ascii="Times New Roman" w:hAnsi="Times New Roman" w:cs="Times New Roman"/>
          <w:sz w:val="22"/>
          <w:szCs w:val="22"/>
          <w:lang w:val="en-US"/>
        </w:rPr>
        <w:t>ing</w:t>
      </w:r>
      <w:r w:rsidR="00191EA3" w:rsidRPr="00191EA3">
        <w:rPr>
          <w:rFonts w:ascii="Times New Roman" w:hAnsi="Times New Roman" w:cs="Times New Roman"/>
          <w:sz w:val="22"/>
          <w:szCs w:val="22"/>
          <w:lang w:val="en-US"/>
        </w:rPr>
        <w:t xml:space="preserve"> clear references and benchmarks for sample adequacy and cellularity </w:t>
      </w:r>
      <w:r w:rsidR="006802DA">
        <w:rPr>
          <w:rFonts w:ascii="Times New Roman" w:hAnsi="Times New Roman" w:cs="Times New Roman"/>
          <w:sz w:val="22"/>
          <w:szCs w:val="22"/>
          <w:lang w:val="en-US"/>
        </w:rPr>
        <w:t xml:space="preserve">assessment </w:t>
      </w:r>
      <w:r w:rsidR="00191EA3" w:rsidRPr="00191EA3">
        <w:rPr>
          <w:rFonts w:ascii="Times New Roman" w:hAnsi="Times New Roman" w:cs="Times New Roman"/>
          <w:sz w:val="22"/>
          <w:szCs w:val="22"/>
          <w:lang w:val="en-US"/>
        </w:rPr>
        <w:t xml:space="preserve">within the validation criteria of </w:t>
      </w:r>
      <w:r w:rsidR="00E74EAE">
        <w:rPr>
          <w:rFonts w:ascii="Times New Roman" w:hAnsi="Times New Roman" w:cs="Times New Roman"/>
          <w:sz w:val="22"/>
          <w:szCs w:val="22"/>
          <w:lang w:val="en-US"/>
        </w:rPr>
        <w:t>CCS</w:t>
      </w:r>
      <w:r w:rsidR="00191EA3">
        <w:rPr>
          <w:rFonts w:ascii="Times New Roman" w:hAnsi="Times New Roman" w:cs="Times New Roman"/>
          <w:sz w:val="22"/>
          <w:szCs w:val="22"/>
          <w:lang w:val="en-US"/>
        </w:rPr>
        <w:t xml:space="preserve"> assays</w:t>
      </w:r>
      <w:r w:rsidR="00191EA3" w:rsidRPr="00191EA3">
        <w:rPr>
          <w:rFonts w:ascii="Times New Roman" w:hAnsi="Times New Roman" w:cs="Times New Roman"/>
          <w:sz w:val="22"/>
          <w:szCs w:val="22"/>
          <w:lang w:val="en-US"/>
        </w:rPr>
        <w:t xml:space="preserve">. These standards would help </w:t>
      </w:r>
      <w:r w:rsidR="008D68B7">
        <w:rPr>
          <w:rFonts w:ascii="Times New Roman" w:hAnsi="Times New Roman" w:cs="Times New Roman"/>
          <w:sz w:val="22"/>
          <w:szCs w:val="22"/>
          <w:lang w:val="en-US"/>
        </w:rPr>
        <w:t xml:space="preserve">to </w:t>
      </w:r>
      <w:r w:rsidR="00191EA3" w:rsidRPr="00191EA3">
        <w:rPr>
          <w:rFonts w:ascii="Times New Roman" w:hAnsi="Times New Roman" w:cs="Times New Roman"/>
          <w:sz w:val="22"/>
          <w:szCs w:val="22"/>
          <w:lang w:val="en-US"/>
        </w:rPr>
        <w:t>ensure consistent and accurate test performance across diverse clinical settings</w:t>
      </w:r>
      <w:r w:rsidR="006802DA">
        <w:rPr>
          <w:rFonts w:ascii="Times New Roman" w:hAnsi="Times New Roman" w:cs="Times New Roman"/>
          <w:sz w:val="22"/>
          <w:szCs w:val="22"/>
          <w:lang w:val="en-US"/>
        </w:rPr>
        <w:t xml:space="preserve"> and in women of different age groups</w:t>
      </w:r>
      <w:r w:rsidR="00191EA3" w:rsidRPr="00191EA3">
        <w:rPr>
          <w:rFonts w:ascii="Times New Roman" w:hAnsi="Times New Roman" w:cs="Times New Roman"/>
          <w:sz w:val="22"/>
          <w:szCs w:val="22"/>
          <w:lang w:val="en-US"/>
        </w:rPr>
        <w:t>. Without such references, the risk of false-negative results due to insufficient cellular material remains a challenge, potentially undermining the goals of early detection and prevention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of </w:t>
      </w:r>
      <w:r w:rsidR="00270B9F">
        <w:rPr>
          <w:rFonts w:ascii="Times New Roman" w:hAnsi="Times New Roman" w:cs="Times New Roman"/>
          <w:sz w:val="22"/>
          <w:szCs w:val="22"/>
          <w:lang w:val="en-US"/>
        </w:rPr>
        <w:t>CC</w:t>
      </w:r>
      <w:r w:rsidR="00191EA3" w:rsidRPr="00191EA3">
        <w:rPr>
          <w:rFonts w:ascii="Times New Roman" w:hAnsi="Times New Roman" w:cs="Times New Roman"/>
          <w:sz w:val="22"/>
          <w:szCs w:val="22"/>
          <w:lang w:val="en-US"/>
        </w:rPr>
        <w:t xml:space="preserve">. </w:t>
      </w:r>
    </w:p>
    <w:p w14:paraId="122A8054" w14:textId="7965E7AE" w:rsidR="00EB24F3" w:rsidRDefault="00191EA3" w:rsidP="00191EA3">
      <w:pPr>
        <w:spacing w:after="0"/>
        <w:jc w:val="both"/>
        <w:rPr>
          <w:lang w:val="en-GB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 xml:space="preserve">In screening programs based on </w:t>
      </w:r>
      <w:r w:rsidRPr="00203B7E">
        <w:rPr>
          <w:rFonts w:ascii="Times New Roman" w:hAnsi="Times New Roman" w:cs="Times New Roman"/>
          <w:sz w:val="22"/>
          <w:szCs w:val="22"/>
          <w:lang w:val="en-US"/>
        </w:rPr>
        <w:t>self-collected samples</w:t>
      </w:r>
      <w:r w:rsidR="006802DA">
        <w:rPr>
          <w:rFonts w:ascii="Times New Roman" w:hAnsi="Times New Roman" w:cs="Times New Roman"/>
          <w:sz w:val="22"/>
          <w:szCs w:val="22"/>
          <w:lang w:val="en-US"/>
        </w:rPr>
        <w:t>,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802DA">
        <w:rPr>
          <w:rFonts w:ascii="Times New Roman" w:hAnsi="Times New Roman" w:cs="Times New Roman"/>
          <w:sz w:val="22"/>
          <w:szCs w:val="22"/>
          <w:lang w:val="en-US"/>
        </w:rPr>
        <w:t xml:space="preserve">adequate </w:t>
      </w:r>
      <w:r w:rsidR="002A0ABB">
        <w:rPr>
          <w:rFonts w:ascii="Times New Roman" w:hAnsi="Times New Roman" w:cs="Times New Roman"/>
          <w:sz w:val="22"/>
          <w:szCs w:val="22"/>
          <w:lang w:val="en-US"/>
        </w:rPr>
        <w:t>sample cellularity will play an</w:t>
      </w:r>
      <w:r w:rsidRPr="00191EA3">
        <w:rPr>
          <w:rFonts w:ascii="Times New Roman" w:hAnsi="Times New Roman" w:cs="Times New Roman"/>
          <w:sz w:val="22"/>
          <w:szCs w:val="22"/>
          <w:lang w:val="en-US"/>
        </w:rPr>
        <w:t xml:space="preserve"> important </w:t>
      </w:r>
      <w:r w:rsidR="002A0ABB">
        <w:rPr>
          <w:rFonts w:ascii="Times New Roman" w:hAnsi="Times New Roman" w:cs="Times New Roman"/>
          <w:sz w:val="22"/>
          <w:szCs w:val="22"/>
          <w:lang w:val="en-US"/>
        </w:rPr>
        <w:t xml:space="preserve">quality assurance aspect 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to </w:t>
      </w:r>
      <w:r w:rsidR="002A0ABB">
        <w:rPr>
          <w:rFonts w:ascii="Times New Roman" w:hAnsi="Times New Roman" w:cs="Times New Roman"/>
          <w:sz w:val="22"/>
          <w:szCs w:val="22"/>
          <w:lang w:val="en-US"/>
        </w:rPr>
        <w:t xml:space="preserve">be </w:t>
      </w:r>
      <w:r>
        <w:rPr>
          <w:rFonts w:ascii="Times New Roman" w:hAnsi="Times New Roman" w:cs="Times New Roman"/>
          <w:sz w:val="22"/>
          <w:szCs w:val="22"/>
          <w:lang w:val="en-US"/>
        </w:rPr>
        <w:t>consider</w:t>
      </w:r>
      <w:r w:rsidR="002A0ABB">
        <w:rPr>
          <w:rFonts w:ascii="Times New Roman" w:hAnsi="Times New Roman" w:cs="Times New Roman"/>
          <w:sz w:val="22"/>
          <w:szCs w:val="22"/>
          <w:lang w:val="en-US"/>
        </w:rPr>
        <w:t>ed</w:t>
      </w:r>
      <w:r w:rsidR="00EB24F3">
        <w:rPr>
          <w:rFonts w:ascii="Times New Roman" w:hAnsi="Times New Roman" w:cs="Times New Roman"/>
          <w:sz w:val="22"/>
          <w:szCs w:val="22"/>
          <w:lang w:val="en-US"/>
        </w:rPr>
        <w:t xml:space="preserve">, which may also </w:t>
      </w:r>
      <w:r w:rsidR="00EB24F3" w:rsidRPr="00421D4F">
        <w:rPr>
          <w:rFonts w:ascii="Times New Roman" w:hAnsi="Times New Roman" w:cs="Times New Roman"/>
          <w:sz w:val="22"/>
          <w:szCs w:val="22"/>
          <w:lang w:val="en-US"/>
        </w:rPr>
        <w:t xml:space="preserve">increase women’s confidence in self-collection and enhance acceptability for </w:t>
      </w:r>
      <w:r w:rsidR="00EB24F3">
        <w:rPr>
          <w:rFonts w:ascii="Times New Roman" w:hAnsi="Times New Roman" w:cs="Times New Roman"/>
          <w:sz w:val="22"/>
          <w:szCs w:val="22"/>
          <w:lang w:val="en-US"/>
        </w:rPr>
        <w:t>self-sampling in screening</w:t>
      </w:r>
      <w:r w:rsidR="00EB24F3" w:rsidRPr="003F56E8">
        <w:rPr>
          <w:rFonts w:ascii="Times New Roman" w:hAnsi="Times New Roman" w:cs="Times New Roman"/>
          <w:sz w:val="22"/>
          <w:szCs w:val="22"/>
          <w:vertAlign w:val="superscript"/>
          <w:lang w:val="en-US"/>
        </w:rPr>
        <w:t>4</w:t>
      </w:r>
      <w:r w:rsidR="00EB24F3">
        <w:rPr>
          <w:rFonts w:ascii="Times New Roman" w:hAnsi="Times New Roman" w:cs="Times New Roman"/>
          <w:sz w:val="22"/>
          <w:szCs w:val="22"/>
          <w:vertAlign w:val="superscript"/>
          <w:lang w:val="en-US"/>
        </w:rPr>
        <w:t>7</w:t>
      </w:r>
      <w:r w:rsidRPr="00191EA3">
        <w:rPr>
          <w:rFonts w:ascii="Times New Roman" w:hAnsi="Times New Roman" w:cs="Times New Roman"/>
          <w:sz w:val="22"/>
          <w:szCs w:val="22"/>
          <w:lang w:val="en-US"/>
        </w:rPr>
        <w:t>.</w:t>
      </w:r>
      <w:r w:rsidR="00421D4F" w:rsidRPr="006777CE">
        <w:rPr>
          <w:lang w:val="en-GB"/>
        </w:rPr>
        <w:t xml:space="preserve"> </w:t>
      </w:r>
      <w:r w:rsidR="00EB24F3" w:rsidRPr="00421D4F">
        <w:rPr>
          <w:rFonts w:ascii="Times New Roman" w:hAnsi="Times New Roman" w:cs="Times New Roman"/>
          <w:sz w:val="22"/>
          <w:szCs w:val="22"/>
          <w:lang w:val="en-US"/>
        </w:rPr>
        <w:t xml:space="preserve">Studies on self-collection have shown that some women prefer clinician-collected samples due to concerns about the </w:t>
      </w:r>
      <w:r w:rsidR="006802DA">
        <w:rPr>
          <w:rFonts w:ascii="Times New Roman" w:hAnsi="Times New Roman" w:cs="Times New Roman"/>
          <w:sz w:val="22"/>
          <w:szCs w:val="22"/>
          <w:lang w:val="en-US"/>
        </w:rPr>
        <w:t xml:space="preserve">confidence in performing </w:t>
      </w:r>
      <w:r w:rsidR="00EB24F3" w:rsidRPr="00421D4F">
        <w:rPr>
          <w:rFonts w:ascii="Times New Roman" w:hAnsi="Times New Roman" w:cs="Times New Roman"/>
          <w:sz w:val="22"/>
          <w:szCs w:val="22"/>
          <w:lang w:val="en-US"/>
        </w:rPr>
        <w:t>their own sample collection, highlighting the need for confidence-building measures and quality assurance</w:t>
      </w:r>
      <w:r w:rsidR="00D85646" w:rsidRPr="00D85646">
        <w:rPr>
          <w:rFonts w:ascii="Times New Roman" w:hAnsi="Times New Roman" w:cs="Times New Roman"/>
          <w:sz w:val="22"/>
          <w:szCs w:val="22"/>
          <w:vertAlign w:val="superscript"/>
          <w:lang w:val="en-US"/>
        </w:rPr>
        <w:t>47</w:t>
      </w:r>
      <w:r w:rsidR="00EB24F3" w:rsidRPr="00421D4F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14:paraId="2BC2696A" w14:textId="0AAC0E52" w:rsidR="00191EA3" w:rsidRDefault="00EB24F3" w:rsidP="00191EA3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191EA3">
        <w:rPr>
          <w:rFonts w:ascii="Times New Roman" w:hAnsi="Times New Roman" w:cs="Times New Roman"/>
          <w:sz w:val="22"/>
          <w:szCs w:val="22"/>
          <w:lang w:val="en-US"/>
        </w:rPr>
        <w:t>I</w:t>
      </w:r>
      <w:r>
        <w:rPr>
          <w:rFonts w:ascii="Times New Roman" w:hAnsi="Times New Roman" w:cs="Times New Roman"/>
          <w:sz w:val="22"/>
          <w:szCs w:val="22"/>
          <w:lang w:val="en-US"/>
        </w:rPr>
        <w:t>n conclusion, s</w:t>
      </w:r>
      <w:r w:rsidRPr="00191EA3">
        <w:rPr>
          <w:rFonts w:ascii="Times New Roman" w:hAnsi="Times New Roman" w:cs="Times New Roman"/>
          <w:sz w:val="22"/>
          <w:szCs w:val="22"/>
          <w:lang w:val="en-US"/>
        </w:rPr>
        <w:t xml:space="preserve">hared guidelines for 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the definition of </w:t>
      </w:r>
      <w:r w:rsidRPr="00191EA3">
        <w:rPr>
          <w:rFonts w:ascii="Times New Roman" w:hAnsi="Times New Roman" w:cs="Times New Roman"/>
          <w:sz w:val="22"/>
          <w:szCs w:val="22"/>
          <w:lang w:val="en-US"/>
        </w:rPr>
        <w:t xml:space="preserve">minimum 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sample </w:t>
      </w:r>
      <w:r w:rsidRPr="00191EA3">
        <w:rPr>
          <w:rFonts w:ascii="Times New Roman" w:hAnsi="Times New Roman" w:cs="Times New Roman"/>
          <w:sz w:val="22"/>
          <w:szCs w:val="22"/>
          <w:lang w:val="en-US"/>
        </w:rPr>
        <w:t>cellular</w:t>
      </w:r>
      <w:r>
        <w:rPr>
          <w:rFonts w:ascii="Times New Roman" w:hAnsi="Times New Roman" w:cs="Times New Roman"/>
          <w:sz w:val="22"/>
          <w:szCs w:val="22"/>
          <w:lang w:val="en-US"/>
        </w:rPr>
        <w:t>ity for HPV molecular testing</w:t>
      </w:r>
      <w:r w:rsidRPr="00191EA3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through</w:t>
      </w:r>
      <w:r>
        <w:rPr>
          <w:rFonts w:ascii="Times New Roman" w:hAnsi="Times New Roman" w:cs="Times New Roman"/>
          <w:sz w:val="22"/>
          <w:szCs w:val="22"/>
          <w:lang w:val="en-GB"/>
        </w:rPr>
        <w:t xml:space="preserve"> future </w:t>
      </w:r>
      <w:r w:rsidR="006802DA">
        <w:rPr>
          <w:rFonts w:ascii="Times New Roman" w:hAnsi="Times New Roman" w:cs="Times New Roman"/>
          <w:sz w:val="22"/>
          <w:szCs w:val="22"/>
          <w:lang w:val="en-GB"/>
        </w:rPr>
        <w:t>clinical</w:t>
      </w:r>
      <w:r w:rsidR="006802DA" w:rsidRPr="001A6BF9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1A6BF9">
        <w:rPr>
          <w:rFonts w:ascii="Times New Roman" w:hAnsi="Times New Roman" w:cs="Times New Roman"/>
          <w:sz w:val="22"/>
          <w:szCs w:val="22"/>
          <w:lang w:val="en-GB"/>
        </w:rPr>
        <w:t>studies</w:t>
      </w:r>
      <w:r w:rsidR="006802DA">
        <w:rPr>
          <w:rFonts w:ascii="Times New Roman" w:hAnsi="Times New Roman" w:cs="Times New Roman"/>
          <w:sz w:val="22"/>
          <w:szCs w:val="22"/>
          <w:lang w:val="en-GB"/>
        </w:rPr>
        <w:t>,</w:t>
      </w:r>
      <w:r w:rsidRPr="001A6BF9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8D68B7">
        <w:rPr>
          <w:rFonts w:ascii="Times New Roman" w:hAnsi="Times New Roman" w:cs="Times New Roman"/>
          <w:sz w:val="22"/>
          <w:szCs w:val="22"/>
          <w:lang w:val="en-GB"/>
        </w:rPr>
        <w:t>allowing to</w:t>
      </w:r>
      <w:r w:rsidRPr="001A6BF9">
        <w:rPr>
          <w:rFonts w:ascii="Times New Roman" w:hAnsi="Times New Roman" w:cs="Times New Roman"/>
          <w:sz w:val="22"/>
          <w:szCs w:val="22"/>
          <w:lang w:val="en-GB"/>
        </w:rPr>
        <w:t xml:space="preserve"> establish optimal </w:t>
      </w:r>
      <w:r>
        <w:rPr>
          <w:rFonts w:ascii="Times New Roman" w:hAnsi="Times New Roman" w:cs="Times New Roman"/>
          <w:sz w:val="22"/>
          <w:szCs w:val="22"/>
          <w:lang w:val="en-GB"/>
        </w:rPr>
        <w:t>IC</w:t>
      </w:r>
      <w:r w:rsidRPr="001A6BF9">
        <w:rPr>
          <w:rFonts w:ascii="Times New Roman" w:hAnsi="Times New Roman" w:cs="Times New Roman"/>
          <w:sz w:val="22"/>
          <w:szCs w:val="22"/>
          <w:lang w:val="en-GB"/>
        </w:rPr>
        <w:t xml:space="preserve"> cut-off values across different diagnostic systems</w:t>
      </w:r>
      <w:r w:rsidR="006802DA">
        <w:rPr>
          <w:rFonts w:ascii="Times New Roman" w:hAnsi="Times New Roman" w:cs="Times New Roman"/>
          <w:sz w:val="22"/>
          <w:szCs w:val="22"/>
          <w:lang w:val="en-GB"/>
        </w:rPr>
        <w:t>,</w:t>
      </w:r>
      <w:r w:rsidR="008D68B7">
        <w:rPr>
          <w:rFonts w:ascii="Times New Roman" w:hAnsi="Times New Roman" w:cs="Times New Roman"/>
          <w:sz w:val="22"/>
          <w:szCs w:val="22"/>
          <w:lang w:val="en-US"/>
        </w:rPr>
        <w:t xml:space="preserve"> are needed in order to improve confidence in HPV-negative results in </w:t>
      </w:r>
      <w:r w:rsidR="00270B9F">
        <w:rPr>
          <w:rFonts w:ascii="Times New Roman" w:hAnsi="Times New Roman" w:cs="Times New Roman"/>
          <w:sz w:val="22"/>
          <w:szCs w:val="22"/>
          <w:lang w:val="en-US"/>
        </w:rPr>
        <w:t>CCS</w:t>
      </w:r>
      <w:r w:rsidR="008D68B7">
        <w:rPr>
          <w:rFonts w:ascii="Times New Roman" w:hAnsi="Times New Roman" w:cs="Times New Roman"/>
          <w:sz w:val="22"/>
          <w:szCs w:val="22"/>
          <w:lang w:val="en-US"/>
        </w:rPr>
        <w:t>.</w:t>
      </w:r>
      <w:r w:rsidR="008113BD">
        <w:rPr>
          <w:rFonts w:ascii="Times New Roman" w:hAnsi="Times New Roman" w:cs="Times New Roman"/>
          <w:sz w:val="22"/>
          <w:szCs w:val="22"/>
          <w:lang w:val="en-US"/>
        </w:rPr>
        <w:t xml:space="preserve"> For </w:t>
      </w:r>
      <w:r w:rsidR="008113BD" w:rsidRPr="00AC7C4A">
        <w:rPr>
          <w:rFonts w:ascii="Times New Roman" w:hAnsi="Times New Roman" w:cs="Times New Roman"/>
          <w:sz w:val="22"/>
          <w:szCs w:val="22"/>
          <w:lang w:val="en-US"/>
        </w:rPr>
        <w:t>COBAS®4800</w:t>
      </w:r>
      <w:r w:rsidR="008113BD">
        <w:rPr>
          <w:rFonts w:ascii="Times New Roman" w:hAnsi="Times New Roman" w:cs="Times New Roman"/>
          <w:sz w:val="22"/>
          <w:szCs w:val="22"/>
          <w:lang w:val="en-US"/>
        </w:rPr>
        <w:t>,</w:t>
      </w:r>
      <w:r w:rsidR="00E40A22">
        <w:rPr>
          <w:rFonts w:ascii="Times New Roman" w:hAnsi="Times New Roman" w:cs="Times New Roman"/>
          <w:sz w:val="22"/>
          <w:szCs w:val="22"/>
          <w:lang w:val="en-US"/>
        </w:rPr>
        <w:t xml:space="preserve"> samples</w:t>
      </w:r>
      <w:r w:rsidR="008113BD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8113BD" w:rsidRPr="00AC7C4A">
        <w:rPr>
          <w:rFonts w:ascii="Times New Roman" w:hAnsi="Times New Roman" w:cs="Times New Roman"/>
          <w:sz w:val="22"/>
          <w:szCs w:val="22"/>
          <w:lang w:val="en-GB"/>
        </w:rPr>
        <w:t>with fewer than 2,5x10^4 cells/</w:t>
      </w:r>
      <w:r w:rsidR="008113BD">
        <w:rPr>
          <w:rFonts w:ascii="Times New Roman" w:hAnsi="Times New Roman" w:cs="Times New Roman"/>
          <w:sz w:val="22"/>
          <w:szCs w:val="22"/>
          <w:lang w:val="en-GB"/>
        </w:rPr>
        <w:t xml:space="preserve">mL </w:t>
      </w:r>
      <w:r w:rsidR="008113BD" w:rsidRPr="00AC7C4A">
        <w:rPr>
          <w:rFonts w:ascii="Times New Roman" w:hAnsi="Times New Roman" w:cs="Times New Roman"/>
          <w:sz w:val="22"/>
          <w:szCs w:val="22"/>
          <w:lang w:val="en-GB"/>
        </w:rPr>
        <w:t>(</w:t>
      </w:r>
      <w:r w:rsidR="008113BD" w:rsidRPr="00AC7C4A">
        <w:rPr>
          <w:rFonts w:ascii="Symbol" w:hAnsi="Symbol" w:cs="Times New Roman"/>
          <w:sz w:val="22"/>
          <w:szCs w:val="22"/>
          <w:lang w:val="en-GB"/>
        </w:rPr>
        <w:t>b</w:t>
      </w:r>
      <w:r w:rsidR="008113BD" w:rsidRPr="00AC7C4A">
        <w:rPr>
          <w:rFonts w:ascii="Times New Roman" w:hAnsi="Times New Roman" w:cs="Times New Roman"/>
          <w:sz w:val="22"/>
          <w:szCs w:val="22"/>
          <w:lang w:val="en-GB"/>
        </w:rPr>
        <w:t xml:space="preserve">-globin &gt; 34ct) should be deemed </w:t>
      </w:r>
      <w:r w:rsidR="008113BD">
        <w:rPr>
          <w:rFonts w:ascii="Times New Roman" w:hAnsi="Times New Roman" w:cs="Times New Roman"/>
          <w:sz w:val="22"/>
          <w:szCs w:val="22"/>
          <w:lang w:val="en-GB"/>
        </w:rPr>
        <w:t xml:space="preserve">as </w:t>
      </w:r>
      <w:r w:rsidR="008113BD" w:rsidRPr="00AC7C4A">
        <w:rPr>
          <w:rFonts w:ascii="Times New Roman" w:hAnsi="Times New Roman" w:cs="Times New Roman"/>
          <w:sz w:val="22"/>
          <w:szCs w:val="22"/>
          <w:lang w:val="en-GB"/>
        </w:rPr>
        <w:t>inadequate</w:t>
      </w:r>
      <w:r w:rsidR="008113BD">
        <w:rPr>
          <w:rFonts w:ascii="Times New Roman" w:hAnsi="Times New Roman" w:cs="Times New Roman"/>
          <w:sz w:val="22"/>
          <w:szCs w:val="22"/>
          <w:lang w:val="en-GB"/>
        </w:rPr>
        <w:t>.</w:t>
      </w:r>
    </w:p>
    <w:p w14:paraId="449E3F0A" w14:textId="77777777" w:rsidR="002D662F" w:rsidRDefault="002D662F" w:rsidP="00191EA3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GB"/>
        </w:rPr>
      </w:pPr>
    </w:p>
    <w:p w14:paraId="33B45452" w14:textId="77777777" w:rsidR="00E37891" w:rsidRPr="009A26F5" w:rsidRDefault="00E37891" w:rsidP="00450B08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GB"/>
        </w:rPr>
      </w:pPr>
    </w:p>
    <w:p w14:paraId="158AD734" w14:textId="77777777" w:rsidR="00E37891" w:rsidRPr="009A26F5" w:rsidRDefault="00E37891" w:rsidP="00450B08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GB"/>
        </w:rPr>
      </w:pPr>
    </w:p>
    <w:p w14:paraId="23E66BF3" w14:textId="77777777" w:rsidR="00450B08" w:rsidRPr="009A26F5" w:rsidRDefault="00450B08" w:rsidP="00450B08">
      <w:pPr>
        <w:spacing w:after="0"/>
        <w:jc w:val="both"/>
        <w:rPr>
          <w:rFonts w:ascii="Times New Roman" w:hAnsi="Times New Roman" w:cs="Times New Roman"/>
          <w:b/>
          <w:bCs/>
          <w:sz w:val="22"/>
          <w:szCs w:val="22"/>
          <w:lang w:val="en-GB"/>
        </w:rPr>
      </w:pPr>
      <w:r w:rsidRPr="009A26F5">
        <w:rPr>
          <w:rFonts w:ascii="Times New Roman" w:hAnsi="Times New Roman" w:cs="Times New Roman"/>
          <w:b/>
          <w:bCs/>
          <w:sz w:val="22"/>
          <w:szCs w:val="22"/>
          <w:lang w:val="en-GB"/>
        </w:rPr>
        <w:t>Acknowledgements</w:t>
      </w:r>
    </w:p>
    <w:p w14:paraId="59C81C72" w14:textId="09634741" w:rsidR="00450B08" w:rsidRPr="009A26F5" w:rsidRDefault="00450B08" w:rsidP="00450B08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GB"/>
        </w:rPr>
      </w:pPr>
      <w:r w:rsidRPr="009A26F5">
        <w:rPr>
          <w:rFonts w:ascii="Times New Roman" w:hAnsi="Times New Roman" w:cs="Times New Roman"/>
          <w:sz w:val="22"/>
          <w:szCs w:val="22"/>
          <w:lang w:val="en-GB"/>
        </w:rPr>
        <w:t xml:space="preserve">The authors would like to thank all the staff of the U.O.S.V.D. </w:t>
      </w:r>
      <w:proofErr w:type="spellStart"/>
      <w:r w:rsidRPr="009A26F5">
        <w:rPr>
          <w:rFonts w:ascii="Times New Roman" w:hAnsi="Times New Roman" w:cs="Times New Roman"/>
          <w:sz w:val="22"/>
          <w:szCs w:val="22"/>
          <w:lang w:val="en-GB"/>
        </w:rPr>
        <w:t>Citopatologia</w:t>
      </w:r>
      <w:proofErr w:type="spellEnd"/>
      <w:r w:rsidRPr="009A26F5">
        <w:rPr>
          <w:rFonts w:ascii="Times New Roman" w:hAnsi="Times New Roman" w:cs="Times New Roman"/>
          <w:sz w:val="22"/>
          <w:szCs w:val="22"/>
          <w:lang w:val="en-GB"/>
        </w:rPr>
        <w:t xml:space="preserve"> e screening, ASL BARI</w:t>
      </w:r>
      <w:r w:rsidR="005821C7">
        <w:rPr>
          <w:rFonts w:ascii="Times New Roman" w:hAnsi="Times New Roman" w:cs="Times New Roman"/>
          <w:sz w:val="22"/>
          <w:szCs w:val="22"/>
          <w:lang w:val="en-GB"/>
        </w:rPr>
        <w:t>.</w:t>
      </w:r>
      <w:r w:rsidRPr="009A26F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</w:p>
    <w:p w14:paraId="4787B57C" w14:textId="117336E3" w:rsidR="00E74EAE" w:rsidRPr="00870A34" w:rsidRDefault="00450B08" w:rsidP="00450B08">
      <w:pPr>
        <w:spacing w:after="0"/>
        <w:jc w:val="both"/>
        <w:rPr>
          <w:rFonts w:ascii="Times New Roman" w:hAnsi="Times New Roman" w:cs="Times New Roman"/>
          <w:sz w:val="22"/>
          <w:szCs w:val="22"/>
          <w:lang w:val="en-GB"/>
        </w:rPr>
      </w:pPr>
      <w:r w:rsidRPr="009A26F5">
        <w:rPr>
          <w:rFonts w:ascii="Times New Roman" w:hAnsi="Times New Roman" w:cs="Times New Roman"/>
          <w:sz w:val="22"/>
          <w:szCs w:val="22"/>
          <w:lang w:val="en-GB"/>
        </w:rPr>
        <w:t xml:space="preserve">In particular, Serafina Stella for her help in cytology evaluation and Cecilia Violante for her help in data and samples collection. </w:t>
      </w:r>
      <w:proofErr w:type="spellStart"/>
      <w:r w:rsidR="00643130" w:rsidRPr="00435496">
        <w:rPr>
          <w:rFonts w:ascii="Times New Roman" w:hAnsi="Times New Roman" w:cs="Times New Roman"/>
          <w:sz w:val="22"/>
          <w:szCs w:val="22"/>
        </w:rPr>
        <w:t>Moreover</w:t>
      </w:r>
      <w:proofErr w:type="spellEnd"/>
      <w:r w:rsidR="009A26F5" w:rsidRPr="00435496">
        <w:rPr>
          <w:rFonts w:ascii="Times New Roman" w:hAnsi="Times New Roman" w:cs="Times New Roman"/>
          <w:sz w:val="22"/>
          <w:szCs w:val="22"/>
        </w:rPr>
        <w:t>,</w:t>
      </w:r>
      <w:r w:rsidR="00643130" w:rsidRPr="0043549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74EAE" w:rsidRPr="00435496">
        <w:rPr>
          <w:rFonts w:ascii="Times New Roman" w:hAnsi="Times New Roman" w:cs="Times New Roman"/>
          <w:sz w:val="22"/>
          <w:szCs w:val="22"/>
        </w:rPr>
        <w:t>authors</w:t>
      </w:r>
      <w:proofErr w:type="spellEnd"/>
      <w:r w:rsidR="00643130" w:rsidRPr="00435496">
        <w:rPr>
          <w:rFonts w:ascii="Times New Roman" w:hAnsi="Times New Roman" w:cs="Times New Roman"/>
          <w:sz w:val="22"/>
          <w:szCs w:val="22"/>
        </w:rPr>
        <w:t xml:space="preserve"> are </w:t>
      </w:r>
      <w:proofErr w:type="spellStart"/>
      <w:r w:rsidR="00643130" w:rsidRPr="00435496">
        <w:rPr>
          <w:rFonts w:ascii="Times New Roman" w:hAnsi="Times New Roman" w:cs="Times New Roman"/>
          <w:sz w:val="22"/>
          <w:szCs w:val="22"/>
        </w:rPr>
        <w:t>thankful</w:t>
      </w:r>
      <w:proofErr w:type="spellEnd"/>
      <w:r w:rsidR="00643130" w:rsidRPr="00435496">
        <w:rPr>
          <w:rFonts w:ascii="Times New Roman" w:hAnsi="Times New Roman" w:cs="Times New Roman"/>
          <w:sz w:val="22"/>
          <w:szCs w:val="22"/>
        </w:rPr>
        <w:t xml:space="preserve"> to </w:t>
      </w:r>
      <w:r w:rsidRPr="00435496">
        <w:rPr>
          <w:rFonts w:ascii="Times New Roman" w:hAnsi="Times New Roman" w:cs="Times New Roman"/>
          <w:sz w:val="22"/>
          <w:szCs w:val="22"/>
        </w:rPr>
        <w:t>Dr. Antonia Genco (ASL BARI screening coordinator)</w:t>
      </w:r>
      <w:r w:rsidR="00643130" w:rsidRPr="00435496">
        <w:rPr>
          <w:rFonts w:ascii="Times New Roman" w:hAnsi="Times New Roman" w:cs="Times New Roman"/>
          <w:sz w:val="22"/>
          <w:szCs w:val="22"/>
        </w:rPr>
        <w:t>,</w:t>
      </w:r>
      <w:r w:rsidRPr="00435496">
        <w:rPr>
          <w:rFonts w:ascii="Times New Roman" w:hAnsi="Times New Roman" w:cs="Times New Roman"/>
          <w:sz w:val="22"/>
          <w:szCs w:val="22"/>
        </w:rPr>
        <w:t xml:space="preserve"> Dr. Edmondo </w:t>
      </w:r>
      <w:proofErr w:type="spellStart"/>
      <w:r w:rsidRPr="00435496">
        <w:rPr>
          <w:rFonts w:ascii="Times New Roman" w:hAnsi="Times New Roman" w:cs="Times New Roman"/>
          <w:sz w:val="22"/>
          <w:szCs w:val="22"/>
        </w:rPr>
        <w:t>Adorisio</w:t>
      </w:r>
      <w:proofErr w:type="spellEnd"/>
      <w:r w:rsidRPr="00435496">
        <w:rPr>
          <w:rFonts w:ascii="Times New Roman" w:hAnsi="Times New Roman" w:cs="Times New Roman"/>
          <w:sz w:val="22"/>
          <w:szCs w:val="22"/>
        </w:rPr>
        <w:t xml:space="preserve"> (Head of the </w:t>
      </w:r>
      <w:proofErr w:type="spellStart"/>
      <w:r w:rsidR="005821C7" w:rsidRPr="00435496">
        <w:rPr>
          <w:rFonts w:ascii="Times New Roman" w:hAnsi="Times New Roman" w:cs="Times New Roman"/>
          <w:sz w:val="22"/>
          <w:szCs w:val="22"/>
        </w:rPr>
        <w:t>D</w:t>
      </w:r>
      <w:r w:rsidRPr="00435496">
        <w:rPr>
          <w:rFonts w:ascii="Times New Roman" w:hAnsi="Times New Roman" w:cs="Times New Roman"/>
          <w:sz w:val="22"/>
          <w:szCs w:val="22"/>
        </w:rPr>
        <w:t>ept</w:t>
      </w:r>
      <w:proofErr w:type="spellEnd"/>
      <w:r w:rsidRPr="00435496">
        <w:rPr>
          <w:rFonts w:ascii="Times New Roman" w:hAnsi="Times New Roman" w:cs="Times New Roman"/>
          <w:sz w:val="22"/>
          <w:szCs w:val="22"/>
        </w:rPr>
        <w:t xml:space="preserve">. of </w:t>
      </w:r>
      <w:proofErr w:type="spellStart"/>
      <w:r w:rsidRPr="00435496">
        <w:rPr>
          <w:rFonts w:ascii="Times New Roman" w:hAnsi="Times New Roman" w:cs="Times New Roman"/>
          <w:sz w:val="22"/>
          <w:szCs w:val="22"/>
        </w:rPr>
        <w:t>Laboratory</w:t>
      </w:r>
      <w:proofErr w:type="spellEnd"/>
      <w:r w:rsidRPr="00435496">
        <w:rPr>
          <w:rFonts w:ascii="Times New Roman" w:hAnsi="Times New Roman" w:cs="Times New Roman"/>
          <w:sz w:val="22"/>
          <w:szCs w:val="22"/>
        </w:rPr>
        <w:t xml:space="preserve"> </w:t>
      </w:r>
      <w:r w:rsidR="005821C7" w:rsidRPr="00435496">
        <w:rPr>
          <w:rFonts w:ascii="Times New Roman" w:hAnsi="Times New Roman" w:cs="Times New Roman"/>
          <w:sz w:val="22"/>
          <w:szCs w:val="22"/>
        </w:rPr>
        <w:t>M</w:t>
      </w:r>
      <w:r w:rsidRPr="00435496">
        <w:rPr>
          <w:rFonts w:ascii="Times New Roman" w:hAnsi="Times New Roman" w:cs="Times New Roman"/>
          <w:sz w:val="22"/>
          <w:szCs w:val="22"/>
        </w:rPr>
        <w:t xml:space="preserve">edicine), Dr. </w:t>
      </w:r>
      <w:proofErr w:type="spellStart"/>
      <w:r w:rsidRPr="00435496">
        <w:rPr>
          <w:rFonts w:ascii="Times New Roman" w:hAnsi="Times New Roman" w:cs="Times New Roman"/>
          <w:sz w:val="22"/>
          <w:szCs w:val="22"/>
        </w:rPr>
        <w:t>Nehludoff</w:t>
      </w:r>
      <w:proofErr w:type="spellEnd"/>
      <w:r w:rsidRPr="00435496">
        <w:rPr>
          <w:rFonts w:ascii="Times New Roman" w:hAnsi="Times New Roman" w:cs="Times New Roman"/>
          <w:sz w:val="22"/>
          <w:szCs w:val="22"/>
        </w:rPr>
        <w:t xml:space="preserve"> Albano and Dr. Angela </w:t>
      </w:r>
      <w:proofErr w:type="spellStart"/>
      <w:r w:rsidRPr="00435496">
        <w:rPr>
          <w:rFonts w:ascii="Times New Roman" w:hAnsi="Times New Roman" w:cs="Times New Roman"/>
          <w:sz w:val="22"/>
          <w:szCs w:val="22"/>
        </w:rPr>
        <w:t>Panzarino</w:t>
      </w:r>
      <w:proofErr w:type="spellEnd"/>
      <w:r w:rsidRPr="00435496">
        <w:rPr>
          <w:rFonts w:ascii="Times New Roman" w:hAnsi="Times New Roman" w:cs="Times New Roman"/>
          <w:sz w:val="22"/>
          <w:szCs w:val="22"/>
        </w:rPr>
        <w:t xml:space="preserve">, </w:t>
      </w:r>
      <w:hyperlink r:id="rId10" w:history="1">
        <w:r w:rsidRPr="00435496">
          <w:rPr>
            <w:rFonts w:ascii="Times New Roman" w:hAnsi="Times New Roman" w:cs="Times New Roman"/>
            <w:sz w:val="22"/>
            <w:szCs w:val="22"/>
          </w:rPr>
          <w:t xml:space="preserve">Servizio Promozione Della Salute </w:t>
        </w:r>
        <w:r w:rsidR="005821C7" w:rsidRPr="00435496">
          <w:rPr>
            <w:rFonts w:ascii="Times New Roman" w:hAnsi="Times New Roman" w:cs="Times New Roman"/>
            <w:sz w:val="22"/>
            <w:szCs w:val="22"/>
          </w:rPr>
          <w:t>e</w:t>
        </w:r>
        <w:r w:rsidRPr="00435496">
          <w:rPr>
            <w:rFonts w:ascii="Times New Roman" w:hAnsi="Times New Roman" w:cs="Times New Roman"/>
            <w:sz w:val="22"/>
            <w:szCs w:val="22"/>
          </w:rPr>
          <w:t xml:space="preserve"> Sicurezza </w:t>
        </w:r>
        <w:r w:rsidR="005821C7" w:rsidRPr="00435496">
          <w:rPr>
            <w:rFonts w:ascii="Times New Roman" w:hAnsi="Times New Roman" w:cs="Times New Roman"/>
            <w:sz w:val="22"/>
            <w:szCs w:val="22"/>
          </w:rPr>
          <w:t>n</w:t>
        </w:r>
        <w:r w:rsidRPr="00435496">
          <w:rPr>
            <w:rFonts w:ascii="Times New Roman" w:hAnsi="Times New Roman" w:cs="Times New Roman"/>
            <w:sz w:val="22"/>
            <w:szCs w:val="22"/>
          </w:rPr>
          <w:t xml:space="preserve">ei Luoghi </w:t>
        </w:r>
        <w:r w:rsidR="005821C7" w:rsidRPr="00435496">
          <w:rPr>
            <w:rFonts w:ascii="Times New Roman" w:hAnsi="Times New Roman" w:cs="Times New Roman"/>
            <w:sz w:val="22"/>
            <w:szCs w:val="22"/>
          </w:rPr>
          <w:t>d</w:t>
        </w:r>
        <w:r w:rsidRPr="00435496">
          <w:rPr>
            <w:rFonts w:ascii="Times New Roman" w:hAnsi="Times New Roman" w:cs="Times New Roman"/>
            <w:sz w:val="22"/>
            <w:szCs w:val="22"/>
          </w:rPr>
          <w:t>i Lavoro</w:t>
        </w:r>
      </w:hyperlink>
      <w:r w:rsidRPr="00435496">
        <w:rPr>
          <w:rFonts w:ascii="Times New Roman" w:hAnsi="Times New Roman" w:cs="Times New Roman"/>
          <w:sz w:val="22"/>
          <w:szCs w:val="22"/>
        </w:rPr>
        <w:t xml:space="preserve">, Regione Puglia. </w:t>
      </w:r>
      <w:r w:rsidR="00E74EAE" w:rsidRPr="009A26F5">
        <w:rPr>
          <w:rFonts w:ascii="Times New Roman" w:hAnsi="Times New Roman" w:cs="Times New Roman"/>
          <w:sz w:val="22"/>
          <w:szCs w:val="22"/>
          <w:lang w:val="en-GB"/>
        </w:rPr>
        <w:t>M.D.</w:t>
      </w:r>
      <w:r w:rsidR="00CC6285" w:rsidRPr="009A26F5">
        <w:rPr>
          <w:rFonts w:ascii="Times New Roman" w:hAnsi="Times New Roman" w:cs="Times New Roman"/>
          <w:sz w:val="22"/>
          <w:szCs w:val="22"/>
          <w:lang w:val="en-GB"/>
        </w:rPr>
        <w:t xml:space="preserve"> thanks the Eng. Giorgio </w:t>
      </w:r>
      <w:proofErr w:type="spellStart"/>
      <w:r w:rsidR="00CC6285" w:rsidRPr="009A26F5">
        <w:rPr>
          <w:rFonts w:ascii="Times New Roman" w:hAnsi="Times New Roman" w:cs="Times New Roman"/>
          <w:sz w:val="22"/>
          <w:szCs w:val="22"/>
          <w:lang w:val="en-GB"/>
        </w:rPr>
        <w:t>Santopietro</w:t>
      </w:r>
      <w:proofErr w:type="spellEnd"/>
      <w:r w:rsidR="00CC6285" w:rsidRPr="009A26F5">
        <w:rPr>
          <w:rFonts w:ascii="Times New Roman" w:hAnsi="Times New Roman" w:cs="Times New Roman"/>
          <w:sz w:val="22"/>
          <w:szCs w:val="22"/>
          <w:lang w:val="en-GB"/>
        </w:rPr>
        <w:t xml:space="preserve"> for writing the VBA algorithm</w:t>
      </w:r>
      <w:r w:rsidR="00E74EAE" w:rsidRPr="009A26F5">
        <w:rPr>
          <w:rFonts w:ascii="Times New Roman" w:hAnsi="Times New Roman" w:cs="Times New Roman"/>
          <w:sz w:val="22"/>
          <w:szCs w:val="22"/>
          <w:lang w:val="en-GB"/>
        </w:rPr>
        <w:t>,</w:t>
      </w:r>
      <w:r w:rsidR="00CC6285" w:rsidRPr="009A26F5">
        <w:rPr>
          <w:rFonts w:ascii="Times New Roman" w:hAnsi="Times New Roman" w:cs="Times New Roman"/>
          <w:sz w:val="22"/>
          <w:szCs w:val="22"/>
          <w:lang w:val="en-GB"/>
        </w:rPr>
        <w:t xml:space="preserve"> the Eng. Rosario Formicola </w:t>
      </w:r>
      <w:r w:rsidR="00E74EAE" w:rsidRPr="009A26F5">
        <w:rPr>
          <w:rFonts w:ascii="Times New Roman" w:hAnsi="Times New Roman" w:cs="Times New Roman"/>
          <w:sz w:val="22"/>
          <w:szCs w:val="22"/>
          <w:lang w:val="en-GB"/>
        </w:rPr>
        <w:t xml:space="preserve">(Dedalus) </w:t>
      </w:r>
      <w:r w:rsidR="00CC6285" w:rsidRPr="009A26F5">
        <w:rPr>
          <w:rFonts w:ascii="Times New Roman" w:hAnsi="Times New Roman" w:cs="Times New Roman"/>
          <w:sz w:val="22"/>
          <w:szCs w:val="22"/>
          <w:lang w:val="en-GB"/>
        </w:rPr>
        <w:t xml:space="preserve">for </w:t>
      </w:r>
      <w:r w:rsidR="00E74EAE" w:rsidRPr="009A26F5">
        <w:rPr>
          <w:rFonts w:ascii="Times New Roman" w:hAnsi="Times New Roman" w:cs="Times New Roman"/>
          <w:sz w:val="22"/>
          <w:szCs w:val="22"/>
          <w:lang w:val="en-GB"/>
        </w:rPr>
        <w:t>helping in Data</w:t>
      </w:r>
      <w:r w:rsidR="005821C7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E74EAE" w:rsidRPr="009A26F5">
        <w:rPr>
          <w:rFonts w:ascii="Times New Roman" w:hAnsi="Times New Roman" w:cs="Times New Roman"/>
          <w:sz w:val="22"/>
          <w:szCs w:val="22"/>
          <w:lang w:val="en-GB"/>
        </w:rPr>
        <w:t>acquisition from</w:t>
      </w:r>
      <w:r w:rsidR="00CC6285" w:rsidRPr="009A26F5">
        <w:rPr>
          <w:rFonts w:ascii="Times New Roman" w:hAnsi="Times New Roman" w:cs="Times New Roman"/>
          <w:sz w:val="22"/>
          <w:szCs w:val="22"/>
          <w:lang w:val="en-GB"/>
        </w:rPr>
        <w:t xml:space="preserve"> LIS</w:t>
      </w:r>
      <w:r w:rsidR="00D42082" w:rsidRPr="009A26F5">
        <w:rPr>
          <w:rFonts w:ascii="Times New Roman" w:hAnsi="Times New Roman" w:cs="Times New Roman"/>
          <w:sz w:val="22"/>
          <w:szCs w:val="22"/>
          <w:lang w:val="en-GB"/>
        </w:rPr>
        <w:t xml:space="preserve">. M.D. thanks </w:t>
      </w:r>
      <w:proofErr w:type="spellStart"/>
      <w:r w:rsidR="00E74EAE" w:rsidRPr="009A26F5">
        <w:rPr>
          <w:rFonts w:ascii="Times New Roman" w:hAnsi="Times New Roman" w:cs="Times New Roman"/>
          <w:sz w:val="22"/>
          <w:szCs w:val="22"/>
          <w:lang w:val="en-GB"/>
        </w:rPr>
        <w:t>Associazione</w:t>
      </w:r>
      <w:proofErr w:type="spellEnd"/>
      <w:r w:rsidR="00E74EAE" w:rsidRPr="009A26F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="00E74EAE" w:rsidRPr="009A26F5">
        <w:rPr>
          <w:rFonts w:ascii="Times New Roman" w:hAnsi="Times New Roman" w:cs="Times New Roman"/>
          <w:sz w:val="22"/>
          <w:szCs w:val="22"/>
          <w:lang w:val="en-GB"/>
        </w:rPr>
        <w:t>Microbiologi</w:t>
      </w:r>
      <w:proofErr w:type="spellEnd"/>
      <w:r w:rsidR="00E74EAE" w:rsidRPr="009A26F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="00E74EAE" w:rsidRPr="009A26F5">
        <w:rPr>
          <w:rFonts w:ascii="Times New Roman" w:hAnsi="Times New Roman" w:cs="Times New Roman"/>
          <w:sz w:val="22"/>
          <w:szCs w:val="22"/>
          <w:lang w:val="en-GB"/>
        </w:rPr>
        <w:t>Clinici</w:t>
      </w:r>
      <w:proofErr w:type="spellEnd"/>
      <w:r w:rsidR="00E74EAE" w:rsidRPr="009A26F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="00E74EAE" w:rsidRPr="009A26F5">
        <w:rPr>
          <w:rFonts w:ascii="Times New Roman" w:hAnsi="Times New Roman" w:cs="Times New Roman"/>
          <w:sz w:val="22"/>
          <w:szCs w:val="22"/>
          <w:lang w:val="en-GB"/>
        </w:rPr>
        <w:t>Italiani</w:t>
      </w:r>
      <w:proofErr w:type="spellEnd"/>
      <w:r w:rsidR="00E74EAE" w:rsidRPr="009A26F5">
        <w:rPr>
          <w:rFonts w:ascii="Times New Roman" w:hAnsi="Times New Roman" w:cs="Times New Roman"/>
          <w:sz w:val="22"/>
          <w:szCs w:val="22"/>
          <w:lang w:val="en-GB"/>
        </w:rPr>
        <w:t xml:space="preserve"> (AMCLI) for the opportunity to share </w:t>
      </w:r>
      <w:r w:rsidR="009A26F5">
        <w:rPr>
          <w:rFonts w:ascii="Times New Roman" w:hAnsi="Times New Roman" w:cs="Times New Roman"/>
          <w:sz w:val="22"/>
          <w:szCs w:val="22"/>
          <w:lang w:val="en-GB"/>
        </w:rPr>
        <w:t xml:space="preserve">our </w:t>
      </w:r>
      <w:r w:rsidR="00E74EAE" w:rsidRPr="009A26F5">
        <w:rPr>
          <w:rFonts w:ascii="Times New Roman" w:hAnsi="Times New Roman" w:cs="Times New Roman"/>
          <w:sz w:val="22"/>
          <w:szCs w:val="22"/>
          <w:lang w:val="en-GB"/>
        </w:rPr>
        <w:t xml:space="preserve">data at </w:t>
      </w:r>
      <w:r w:rsidR="009A26F5">
        <w:rPr>
          <w:rFonts w:ascii="Times New Roman" w:hAnsi="Times New Roman" w:cs="Times New Roman"/>
          <w:sz w:val="22"/>
          <w:szCs w:val="22"/>
          <w:lang w:val="en-GB"/>
        </w:rPr>
        <w:t xml:space="preserve">the </w:t>
      </w:r>
      <w:r w:rsidR="005821C7">
        <w:rPr>
          <w:rFonts w:ascii="Times New Roman" w:hAnsi="Times New Roman" w:cs="Times New Roman"/>
          <w:sz w:val="22"/>
          <w:szCs w:val="22"/>
          <w:lang w:val="en-GB"/>
        </w:rPr>
        <w:t xml:space="preserve">Italian </w:t>
      </w:r>
      <w:r w:rsidR="00E74EAE" w:rsidRPr="009A26F5">
        <w:rPr>
          <w:rFonts w:ascii="Times New Roman" w:hAnsi="Times New Roman" w:cs="Times New Roman"/>
          <w:sz w:val="22"/>
          <w:szCs w:val="22"/>
          <w:lang w:val="en-GB"/>
        </w:rPr>
        <w:t>National Conference</w:t>
      </w:r>
      <w:r w:rsidR="00CC6285" w:rsidRPr="009A26F5">
        <w:rPr>
          <w:rFonts w:ascii="Times New Roman" w:hAnsi="Times New Roman" w:cs="Times New Roman"/>
          <w:sz w:val="22"/>
          <w:szCs w:val="22"/>
          <w:lang w:val="en-GB"/>
        </w:rPr>
        <w:t>.</w:t>
      </w:r>
    </w:p>
    <w:p w14:paraId="05CB4140" w14:textId="65BEBFAF" w:rsidR="002411C9" w:rsidRDefault="002411C9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br w:type="page"/>
      </w:r>
    </w:p>
    <w:p w14:paraId="5003EF2E" w14:textId="77777777" w:rsidR="00187E78" w:rsidRPr="00E74EAE" w:rsidRDefault="00187E78" w:rsidP="00450B08">
      <w:pPr>
        <w:spacing w:after="0"/>
        <w:jc w:val="both"/>
        <w:rPr>
          <w:sz w:val="22"/>
          <w:szCs w:val="22"/>
          <w:lang w:val="en-US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134"/>
        <w:gridCol w:w="1418"/>
        <w:gridCol w:w="142"/>
        <w:gridCol w:w="1541"/>
        <w:gridCol w:w="1719"/>
        <w:gridCol w:w="1701"/>
        <w:gridCol w:w="992"/>
        <w:gridCol w:w="991"/>
      </w:tblGrid>
      <w:tr w:rsidR="00187E78" w:rsidRPr="00D37131" w14:paraId="4102F69B" w14:textId="77777777" w:rsidTr="002411C9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0AA8E2" w14:textId="77777777" w:rsidR="00187E78" w:rsidRPr="00E74EAE" w:rsidRDefault="00187E78" w:rsidP="00343033">
            <w:pPr>
              <w:rPr>
                <w:b/>
                <w:bCs/>
                <w:highlight w:val="yellow"/>
                <w:lang w:val="en-US"/>
              </w:rPr>
            </w:pPr>
            <w:bookmarkStart w:id="3" w:name="_Hlk184378050"/>
          </w:p>
        </w:tc>
        <w:tc>
          <w:tcPr>
            <w:tcW w:w="652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DCE06" w14:textId="77777777" w:rsidR="00187E78" w:rsidRDefault="00187E78" w:rsidP="0034303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C5D54">
              <w:rPr>
                <w:rFonts w:ascii="Times New Roman" w:hAnsi="Times New Roman" w:cs="Times New Roman"/>
                <w:b/>
                <w:bCs/>
              </w:rPr>
              <w:t>β</w:t>
            </w:r>
            <w:r w:rsidRPr="005C5D54">
              <w:rPr>
                <w:rFonts w:ascii="Times New Roman" w:hAnsi="Times New Roman" w:cs="Times New Roman"/>
                <w:b/>
                <w:bCs/>
                <w:lang w:val="en-US"/>
              </w:rPr>
              <w:t xml:space="preserve">-globin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(</w:t>
            </w:r>
            <w:r w:rsidRPr="005C5D54">
              <w:rPr>
                <w:rFonts w:ascii="Times New Roman" w:hAnsi="Times New Roman" w:cs="Times New Roman"/>
                <w:b/>
                <w:bCs/>
                <w:lang w:val="en-US"/>
              </w:rPr>
              <w:t>Ct values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)</w:t>
            </w:r>
          </w:p>
          <w:p w14:paraId="53D5B9E9" w14:textId="77777777" w:rsidR="00187E78" w:rsidRPr="00D37131" w:rsidRDefault="00187E78" w:rsidP="00343033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49F1B1" w14:textId="77777777" w:rsidR="00187E78" w:rsidRPr="00D37131" w:rsidRDefault="00187E78" w:rsidP="00343033">
            <w:pPr>
              <w:rPr>
                <w:rFonts w:ascii="Times New Roman" w:hAnsi="Times New Roman" w:cs="Times New Roman"/>
                <w:b/>
                <w:bCs/>
                <w:highlight w:val="yellow"/>
                <w:lang w:val="en-GB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C9E92B" w14:textId="77777777" w:rsidR="00187E78" w:rsidRPr="00D37131" w:rsidRDefault="00187E78" w:rsidP="00343033">
            <w:pPr>
              <w:rPr>
                <w:rFonts w:ascii="Times New Roman" w:hAnsi="Times New Roman" w:cs="Times New Roman"/>
                <w:b/>
                <w:bCs/>
                <w:highlight w:val="yellow"/>
                <w:lang w:val="en-GB"/>
              </w:rPr>
            </w:pPr>
          </w:p>
        </w:tc>
      </w:tr>
      <w:tr w:rsidR="00187E78" w:rsidRPr="00D37131" w14:paraId="0A924FE4" w14:textId="77777777" w:rsidTr="002411C9">
        <w:trPr>
          <w:jc w:val="center"/>
        </w:trPr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14:paraId="29BB65F0" w14:textId="77777777" w:rsidR="00187E78" w:rsidRDefault="00187E78" w:rsidP="00343033"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HPV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  <w:right w:val="nil"/>
            </w:tcBorders>
          </w:tcPr>
          <w:p w14:paraId="1542628F" w14:textId="4467C00B" w:rsidR="00187E78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β-</w:t>
            </w:r>
            <w:proofErr w:type="spellStart"/>
            <w:r w:rsidRPr="007F27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globin</w:t>
            </w:r>
            <w:proofErr w:type="spellEnd"/>
            <w:r w:rsidRPr="007F27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116C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≤</w:t>
            </w:r>
            <w:r w:rsidR="002411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7F27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</w:t>
            </w:r>
          </w:p>
          <w:p w14:paraId="2ECBCE88" w14:textId="77777777" w:rsidR="00187E78" w:rsidRPr="001323D0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3D0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  <w:p w14:paraId="5BBF154A" w14:textId="77777777" w:rsidR="00187E78" w:rsidRPr="007F27B0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(%)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A0A893" w14:textId="714849D0" w:rsidR="00187E78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</w:t>
            </w:r>
            <w:r w:rsidR="002411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116C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&lt;</w:t>
            </w:r>
            <w:r w:rsidR="002411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7F27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β-</w:t>
            </w:r>
            <w:proofErr w:type="spellStart"/>
            <w:r w:rsidRPr="007F27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globin</w:t>
            </w:r>
            <w:proofErr w:type="spellEnd"/>
            <w:r w:rsidRPr="007F27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116C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≤</w:t>
            </w:r>
            <w:r w:rsidR="002411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7F27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</w:t>
            </w:r>
          </w:p>
          <w:p w14:paraId="4A6FF06F" w14:textId="77777777" w:rsidR="00187E78" w:rsidRPr="001323D0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3D0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  <w:p w14:paraId="4367B4C8" w14:textId="77777777" w:rsidR="00187E78" w:rsidRPr="007F27B0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(%)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8F2A0E" w14:textId="4B1EAE34" w:rsidR="00187E78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</w:t>
            </w:r>
            <w:r w:rsidR="002411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116C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&lt;</w:t>
            </w:r>
            <w:r w:rsidR="002411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7F27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β-</w:t>
            </w:r>
            <w:proofErr w:type="spellStart"/>
            <w:r w:rsidRPr="007F27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globin</w:t>
            </w:r>
            <w:proofErr w:type="spellEnd"/>
            <w:r w:rsidRPr="007F27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116C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≤</w:t>
            </w:r>
            <w:r w:rsidR="002411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7F27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</w:t>
            </w:r>
          </w:p>
          <w:p w14:paraId="1B4D4D47" w14:textId="77777777" w:rsidR="00187E78" w:rsidRPr="001323D0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3D0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  <w:p w14:paraId="7F9A6FBC" w14:textId="77777777" w:rsidR="00187E78" w:rsidRPr="007F27B0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</w:tcBorders>
          </w:tcPr>
          <w:p w14:paraId="62BD826B" w14:textId="59D09DA2" w:rsidR="00187E78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</w:t>
            </w:r>
            <w:r w:rsidR="002411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116C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&lt;</w:t>
            </w:r>
            <w:r w:rsidR="002411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7F27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β-</w:t>
            </w:r>
            <w:proofErr w:type="spellStart"/>
            <w:r w:rsidRPr="007F27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globin</w:t>
            </w:r>
            <w:proofErr w:type="spellEnd"/>
            <w:r w:rsidR="002411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132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≤</w:t>
            </w:r>
            <w:r w:rsidR="002411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7F27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</w:t>
            </w:r>
          </w:p>
          <w:p w14:paraId="1B413E48" w14:textId="77777777" w:rsidR="00187E78" w:rsidRPr="001323D0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3D0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  <w:p w14:paraId="30FF09DA" w14:textId="77777777" w:rsidR="00187E78" w:rsidRPr="007F27B0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(%)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nil"/>
            </w:tcBorders>
          </w:tcPr>
          <w:p w14:paraId="4329C4CA" w14:textId="77777777" w:rsidR="00187E78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27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  <w:p w14:paraId="346F55FF" w14:textId="77777777" w:rsidR="00187E78" w:rsidRPr="001323D0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2E42DE98" w14:textId="436213D7" w:rsidR="00187E78" w:rsidRPr="007F27B0" w:rsidRDefault="00187E78" w:rsidP="001D4BE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27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991" w:type="dxa"/>
            <w:tcBorders>
              <w:top w:val="nil"/>
              <w:bottom w:val="single" w:sz="4" w:space="0" w:color="auto"/>
              <w:right w:val="nil"/>
            </w:tcBorders>
          </w:tcPr>
          <w:p w14:paraId="56624795" w14:textId="77777777" w:rsidR="00187E78" w:rsidRPr="007F27B0" w:rsidRDefault="00187E78" w:rsidP="00343033">
            <w:pPr>
              <w:spacing w:line="276" w:lineRule="auto"/>
              <w:jc w:val="center"/>
              <w:rPr>
                <w:rFonts w:ascii="Raleway" w:hAnsi="Raleway"/>
                <w:color w:val="444444"/>
                <w:sz w:val="20"/>
                <w:szCs w:val="20"/>
                <w:shd w:val="clear" w:color="auto" w:fill="FFFFFF"/>
              </w:rPr>
            </w:pPr>
            <w:r w:rsidRPr="007F27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Chi </w:t>
            </w:r>
            <w:proofErr w:type="spellStart"/>
            <w:r w:rsidRPr="007F27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squared</w:t>
            </w:r>
            <w:proofErr w:type="spellEnd"/>
            <w:r w:rsidRPr="007F27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27B0">
              <w:rPr>
                <w:rFonts w:ascii="Cambria" w:hAnsi="Cambria" w:cs="Cambria"/>
                <w:color w:val="444444"/>
                <w:sz w:val="20"/>
                <w:szCs w:val="20"/>
                <w:shd w:val="clear" w:color="auto" w:fill="FFFFFF"/>
              </w:rPr>
              <w:t>χ</w:t>
            </w:r>
            <w:r w:rsidRPr="007F27B0">
              <w:rPr>
                <w:rFonts w:ascii="Raleway" w:hAnsi="Raleway"/>
                <w:color w:val="444444"/>
                <w:sz w:val="20"/>
                <w:szCs w:val="20"/>
                <w:shd w:val="clear" w:color="auto" w:fill="FFFFFF"/>
              </w:rPr>
              <w:t>²</w:t>
            </w:r>
          </w:p>
          <w:p w14:paraId="1360FB38" w14:textId="77777777" w:rsidR="00187E78" w:rsidRPr="007F27B0" w:rsidRDefault="00187E78" w:rsidP="0034303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27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(p-</w:t>
            </w:r>
            <w:proofErr w:type="spellStart"/>
            <w:r w:rsidRPr="007F27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value</w:t>
            </w:r>
            <w:proofErr w:type="spellEnd"/>
            <w:r w:rsidRPr="007F27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187E78" w:rsidRPr="0068758A" w14:paraId="10B51C09" w14:textId="77777777" w:rsidTr="002411C9">
        <w:trPr>
          <w:jc w:val="center"/>
        </w:trPr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14:paraId="2A0F8850" w14:textId="4D498E7C" w:rsidR="00187E78" w:rsidRPr="0068758A" w:rsidRDefault="00845975" w:rsidP="00343033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Negative</w:t>
            </w:r>
          </w:p>
        </w:tc>
        <w:tc>
          <w:tcPr>
            <w:tcW w:w="1560" w:type="dxa"/>
            <w:gridSpan w:val="2"/>
            <w:tcBorders>
              <w:bottom w:val="nil"/>
              <w:right w:val="nil"/>
            </w:tcBorders>
            <w:vAlign w:val="center"/>
          </w:tcPr>
          <w:p w14:paraId="30ED3E87" w14:textId="6CA55F98" w:rsidR="00187E78" w:rsidRPr="0068758A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16CA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16CAD">
              <w:rPr>
                <w:rFonts w:ascii="Times New Roman" w:hAnsi="Times New Roman" w:cs="Times New Roman"/>
                <w:sz w:val="20"/>
                <w:szCs w:val="20"/>
              </w:rPr>
              <w:t>981</w:t>
            </w:r>
          </w:p>
        </w:tc>
        <w:tc>
          <w:tcPr>
            <w:tcW w:w="1541" w:type="dxa"/>
            <w:tcBorders>
              <w:left w:val="nil"/>
              <w:bottom w:val="nil"/>
              <w:right w:val="nil"/>
            </w:tcBorders>
            <w:vAlign w:val="center"/>
          </w:tcPr>
          <w:p w14:paraId="1884963D" w14:textId="474E29ED" w:rsidR="00187E78" w:rsidRPr="0068758A" w:rsidRDefault="00116CAD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187E7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19" w:type="dxa"/>
            <w:tcBorders>
              <w:left w:val="nil"/>
              <w:bottom w:val="nil"/>
              <w:right w:val="nil"/>
            </w:tcBorders>
            <w:vAlign w:val="center"/>
          </w:tcPr>
          <w:p w14:paraId="318469CB" w14:textId="3A41FA7C" w:rsidR="00187E78" w:rsidRPr="0068758A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16CA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701" w:type="dxa"/>
            <w:tcBorders>
              <w:left w:val="nil"/>
              <w:bottom w:val="nil"/>
            </w:tcBorders>
            <w:vAlign w:val="center"/>
          </w:tcPr>
          <w:p w14:paraId="3FDB5D19" w14:textId="3B0DE507" w:rsidR="00187E78" w:rsidRPr="0068758A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16CA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bottom w:val="nil"/>
              <w:right w:val="nil"/>
            </w:tcBorders>
            <w:vAlign w:val="center"/>
          </w:tcPr>
          <w:p w14:paraId="5D8F6571" w14:textId="77777777" w:rsidR="00187E78" w:rsidRPr="0068758A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34,701</w:t>
            </w:r>
          </w:p>
        </w:tc>
        <w:tc>
          <w:tcPr>
            <w:tcW w:w="991" w:type="dxa"/>
            <w:tcBorders>
              <w:bottom w:val="nil"/>
              <w:right w:val="nil"/>
            </w:tcBorders>
          </w:tcPr>
          <w:p w14:paraId="61338654" w14:textId="77777777" w:rsidR="00187E78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E78" w:rsidRPr="0068758A" w14:paraId="5E1F6C5F" w14:textId="77777777" w:rsidTr="002411C9">
        <w:trPr>
          <w:jc w:val="center"/>
        </w:trPr>
        <w:tc>
          <w:tcPr>
            <w:tcW w:w="1134" w:type="dxa"/>
            <w:vMerge/>
            <w:tcBorders>
              <w:left w:val="nil"/>
            </w:tcBorders>
          </w:tcPr>
          <w:p w14:paraId="0F013EBE" w14:textId="77777777" w:rsidR="00187E78" w:rsidRPr="0068758A" w:rsidRDefault="00187E78" w:rsidP="0034303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DD0BEB7" w14:textId="77777777" w:rsidR="00187E78" w:rsidRPr="001323D0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90.3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313518" w14:textId="66A4EDFE" w:rsidR="00187E78" w:rsidRPr="001323D0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="00116CAD"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="00116CAD"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CE9F8D" w14:textId="51980FF1" w:rsidR="00187E78" w:rsidRPr="001323D0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="00116CAD"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="00116CAD"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FCBC927" w14:textId="7B28F20E" w:rsidR="00187E78" w:rsidRPr="001323D0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98.</w:t>
            </w:r>
            <w:r w:rsidR="00116CAD"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7F0AA58" w14:textId="77777777" w:rsidR="00187E78" w:rsidRPr="001323D0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92.3</w:t>
            </w:r>
          </w:p>
        </w:tc>
        <w:tc>
          <w:tcPr>
            <w:tcW w:w="991" w:type="dxa"/>
            <w:vMerge w:val="restart"/>
            <w:tcBorders>
              <w:top w:val="nil"/>
              <w:right w:val="nil"/>
            </w:tcBorders>
          </w:tcPr>
          <w:p w14:paraId="46C3CF41" w14:textId="1ECB7C64" w:rsidR="00187E78" w:rsidRDefault="00116CAD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  <w:r w:rsidR="00187E7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14:paraId="60F2CFEC" w14:textId="77777777" w:rsidR="00187E78" w:rsidRPr="007F27B0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7B0">
              <w:rPr>
                <w:rFonts w:ascii="Times New Roman" w:hAnsi="Times New Roman" w:cs="Times New Roman"/>
                <w:sz w:val="20"/>
                <w:szCs w:val="20"/>
              </w:rPr>
              <w:t>˂0.001</w:t>
            </w:r>
          </w:p>
        </w:tc>
      </w:tr>
      <w:tr w:rsidR="00187E78" w:rsidRPr="0068758A" w14:paraId="0CEFA102" w14:textId="77777777" w:rsidTr="002411C9">
        <w:trPr>
          <w:jc w:val="center"/>
        </w:trPr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14:paraId="768D57F8" w14:textId="70CAF96F" w:rsidR="00187E78" w:rsidRPr="0068758A" w:rsidRDefault="00845975" w:rsidP="00343033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Positive</w:t>
            </w:r>
          </w:p>
        </w:tc>
        <w:tc>
          <w:tcPr>
            <w:tcW w:w="1560" w:type="dxa"/>
            <w:gridSpan w:val="2"/>
            <w:tcBorders>
              <w:bottom w:val="nil"/>
              <w:right w:val="nil"/>
            </w:tcBorders>
            <w:vAlign w:val="center"/>
          </w:tcPr>
          <w:p w14:paraId="2774AEAB" w14:textId="664403A5" w:rsidR="00187E78" w:rsidRPr="0068758A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116CAD">
              <w:rPr>
                <w:rFonts w:ascii="Times New Roman" w:hAnsi="Times New Roman" w:cs="Times New Roman"/>
                <w:sz w:val="20"/>
                <w:szCs w:val="20"/>
              </w:rPr>
              <w:t>820</w:t>
            </w:r>
          </w:p>
        </w:tc>
        <w:tc>
          <w:tcPr>
            <w:tcW w:w="1541" w:type="dxa"/>
            <w:tcBorders>
              <w:left w:val="nil"/>
              <w:bottom w:val="nil"/>
              <w:right w:val="nil"/>
            </w:tcBorders>
            <w:vAlign w:val="center"/>
          </w:tcPr>
          <w:p w14:paraId="425DAD6A" w14:textId="4EFD95C1" w:rsidR="00187E78" w:rsidRPr="0068758A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116C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719" w:type="dxa"/>
            <w:tcBorders>
              <w:left w:val="nil"/>
              <w:bottom w:val="nil"/>
              <w:right w:val="nil"/>
            </w:tcBorders>
            <w:vAlign w:val="center"/>
          </w:tcPr>
          <w:p w14:paraId="1ED28670" w14:textId="5AF278A8" w:rsidR="00187E78" w:rsidRPr="0068758A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16CA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left w:val="nil"/>
              <w:bottom w:val="nil"/>
            </w:tcBorders>
            <w:vAlign w:val="center"/>
          </w:tcPr>
          <w:p w14:paraId="0D7C42BE" w14:textId="77777777" w:rsidR="00187E78" w:rsidRPr="0068758A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bottom w:val="nil"/>
              <w:right w:val="nil"/>
            </w:tcBorders>
            <w:vAlign w:val="center"/>
          </w:tcPr>
          <w:p w14:paraId="73193482" w14:textId="77777777" w:rsidR="00187E78" w:rsidRPr="0068758A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2,891</w:t>
            </w:r>
          </w:p>
        </w:tc>
        <w:tc>
          <w:tcPr>
            <w:tcW w:w="991" w:type="dxa"/>
            <w:vMerge/>
            <w:tcBorders>
              <w:bottom w:val="nil"/>
              <w:right w:val="nil"/>
            </w:tcBorders>
          </w:tcPr>
          <w:p w14:paraId="290055FD" w14:textId="77777777" w:rsidR="00187E78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E78" w:rsidRPr="0068758A" w14:paraId="0BAACF7D" w14:textId="77777777" w:rsidTr="002411C9">
        <w:trPr>
          <w:jc w:val="center"/>
        </w:trPr>
        <w:tc>
          <w:tcPr>
            <w:tcW w:w="1134" w:type="dxa"/>
            <w:vMerge/>
            <w:tcBorders>
              <w:left w:val="nil"/>
            </w:tcBorders>
          </w:tcPr>
          <w:p w14:paraId="600071E3" w14:textId="77777777" w:rsidR="00187E78" w:rsidRDefault="00187E78" w:rsidP="00343033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C1DF918" w14:textId="77777777" w:rsidR="00187E78" w:rsidRPr="001323D0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E9C935" w14:textId="195D95D8" w:rsidR="00187E78" w:rsidRPr="001323D0" w:rsidRDefault="00116CAD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D8FEFF" w14:textId="302D5B1D" w:rsidR="00187E78" w:rsidRPr="001323D0" w:rsidRDefault="00116CAD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ABB6981" w14:textId="2FEE4FF1" w:rsidR="00187E78" w:rsidRPr="001323D0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="00116CAD"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2CB7725" w14:textId="77777777" w:rsidR="00187E78" w:rsidRPr="001323D0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7.7</w:t>
            </w:r>
          </w:p>
        </w:tc>
        <w:tc>
          <w:tcPr>
            <w:tcW w:w="991" w:type="dxa"/>
            <w:tcBorders>
              <w:top w:val="nil"/>
              <w:bottom w:val="single" w:sz="4" w:space="0" w:color="auto"/>
              <w:right w:val="nil"/>
            </w:tcBorders>
          </w:tcPr>
          <w:p w14:paraId="42A694E4" w14:textId="77777777" w:rsidR="00187E78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E78" w:rsidRPr="00F913D6" w14:paraId="7F3BEF91" w14:textId="77777777" w:rsidTr="002411C9">
        <w:trPr>
          <w:jc w:val="center"/>
        </w:trPr>
        <w:tc>
          <w:tcPr>
            <w:tcW w:w="1134" w:type="dxa"/>
            <w:vMerge w:val="restart"/>
            <w:tcBorders>
              <w:left w:val="nil"/>
              <w:bottom w:val="nil"/>
            </w:tcBorders>
            <w:vAlign w:val="center"/>
          </w:tcPr>
          <w:p w14:paraId="32E6AE07" w14:textId="77777777" w:rsidR="00187E78" w:rsidRPr="00F913D6" w:rsidRDefault="00187E78" w:rsidP="00343033">
            <w:pPr>
              <w:spacing w:line="60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F913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56AEFE2F" w14:textId="4DF6536B" w:rsidR="00187E78" w:rsidRPr="00F913D6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16CA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16CA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5A4165" w14:textId="54EF5309" w:rsidR="00187E78" w:rsidRPr="00F913D6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16CAD">
              <w:rPr>
                <w:rFonts w:ascii="Times New Roman" w:hAnsi="Times New Roman" w:cs="Times New Roman"/>
                <w:sz w:val="20"/>
                <w:szCs w:val="20"/>
              </w:rPr>
              <w:t>7,704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8B7DE2" w14:textId="34D150DF" w:rsidR="00187E78" w:rsidRPr="00F913D6" w:rsidRDefault="00116CAD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</w:tcBorders>
          </w:tcPr>
          <w:p w14:paraId="216917CD" w14:textId="0A048FDF" w:rsidR="00187E78" w:rsidRPr="00F913D6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16CA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  <w:right w:val="nil"/>
            </w:tcBorders>
          </w:tcPr>
          <w:p w14:paraId="57C2DF00" w14:textId="77777777" w:rsidR="00187E78" w:rsidRPr="00F913D6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37,592</w:t>
            </w:r>
          </w:p>
        </w:tc>
        <w:tc>
          <w:tcPr>
            <w:tcW w:w="991" w:type="dxa"/>
            <w:tcBorders>
              <w:top w:val="single" w:sz="4" w:space="0" w:color="auto"/>
              <w:bottom w:val="nil"/>
              <w:right w:val="nil"/>
            </w:tcBorders>
          </w:tcPr>
          <w:p w14:paraId="69F1E06F" w14:textId="77777777" w:rsidR="00187E78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E78" w:rsidRPr="00F913D6" w14:paraId="361EE8A2" w14:textId="77777777" w:rsidTr="002411C9">
        <w:trPr>
          <w:jc w:val="center"/>
        </w:trPr>
        <w:tc>
          <w:tcPr>
            <w:tcW w:w="1134" w:type="dxa"/>
            <w:vMerge/>
            <w:tcBorders>
              <w:left w:val="nil"/>
              <w:bottom w:val="nil"/>
            </w:tcBorders>
          </w:tcPr>
          <w:p w14:paraId="3962876F" w14:textId="77777777" w:rsidR="00187E78" w:rsidRDefault="00187E78" w:rsidP="00343033">
            <w:pPr>
              <w:rPr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</w:tcPr>
          <w:p w14:paraId="13F28D9C" w14:textId="77777777" w:rsidR="00187E78" w:rsidRPr="001323D0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14:paraId="5B2F5CCE" w14:textId="77777777" w:rsidR="00187E78" w:rsidRPr="001323D0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43084173" w14:textId="77777777" w:rsidR="00187E78" w:rsidRPr="001323D0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14:paraId="2EC3A0DC" w14:textId="77777777" w:rsidR="00187E78" w:rsidRPr="001323D0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</w:tcPr>
          <w:p w14:paraId="21FEE7B9" w14:textId="77777777" w:rsidR="00187E78" w:rsidRPr="001323D0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nil"/>
              <w:bottom w:val="nil"/>
              <w:right w:val="nil"/>
            </w:tcBorders>
          </w:tcPr>
          <w:p w14:paraId="4B0C68D7" w14:textId="77777777" w:rsidR="00187E78" w:rsidRDefault="00187E78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3"/>
    </w:tbl>
    <w:p w14:paraId="5ACF513D" w14:textId="77777777" w:rsidR="00187E78" w:rsidRDefault="00187E78" w:rsidP="00187E78">
      <w:pPr>
        <w:jc w:val="center"/>
        <w:rPr>
          <w:sz w:val="22"/>
          <w:szCs w:val="22"/>
          <w:lang w:val="en-US"/>
        </w:rPr>
      </w:pPr>
    </w:p>
    <w:p w14:paraId="5E6C6873" w14:textId="058034A5" w:rsidR="00187E78" w:rsidRPr="00435496" w:rsidRDefault="00187E78" w:rsidP="00187E78">
      <w:pPr>
        <w:jc w:val="both"/>
        <w:rPr>
          <w:rFonts w:ascii="Times New Roman" w:hAnsi="Times New Roman" w:cs="Times New Roman"/>
          <w:i/>
          <w:iCs/>
          <w:sz w:val="22"/>
          <w:szCs w:val="22"/>
          <w:lang w:val="en-US"/>
        </w:rPr>
      </w:pPr>
      <w:r w:rsidRPr="002B2693">
        <w:rPr>
          <w:rFonts w:ascii="Times New Roman" w:hAnsi="Times New Roman" w:cs="Times New Roman"/>
          <w:b/>
          <w:bCs/>
          <w:sz w:val="22"/>
          <w:szCs w:val="22"/>
          <w:lang w:val="en-US"/>
        </w:rPr>
        <w:t xml:space="preserve">Table </w:t>
      </w:r>
      <w:r w:rsidR="00F56F9F" w:rsidRPr="002B2693">
        <w:rPr>
          <w:rFonts w:ascii="Times New Roman" w:hAnsi="Times New Roman" w:cs="Times New Roman"/>
          <w:b/>
          <w:bCs/>
          <w:sz w:val="22"/>
          <w:szCs w:val="22"/>
          <w:lang w:val="en-US"/>
        </w:rPr>
        <w:t>I</w:t>
      </w:r>
      <w:r w:rsidRPr="002B2693">
        <w:rPr>
          <w:rFonts w:ascii="Times New Roman" w:hAnsi="Times New Roman" w:cs="Times New Roman"/>
          <w:b/>
          <w:bCs/>
          <w:sz w:val="22"/>
          <w:szCs w:val="22"/>
          <w:lang w:val="en-US"/>
        </w:rPr>
        <w:t>.</w:t>
      </w:r>
      <w:r w:rsidRPr="00435496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 </w:t>
      </w:r>
      <w:r w:rsidRPr="002B2693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HPV test results sorted by </w:t>
      </w:r>
      <w:r w:rsidR="00342388" w:rsidRPr="002B2693">
        <w:rPr>
          <w:rFonts w:ascii="Times New Roman" w:hAnsi="Times New Roman" w:cs="Times New Roman"/>
          <w:i/>
          <w:iCs/>
          <w:sz w:val="22"/>
          <w:szCs w:val="22"/>
          <w:lang w:val="en-US"/>
        </w:rPr>
        <w:t>b</w:t>
      </w:r>
      <w:r w:rsidRPr="002B2693">
        <w:rPr>
          <w:rFonts w:ascii="Times New Roman" w:hAnsi="Times New Roman" w:cs="Times New Roman"/>
          <w:i/>
          <w:iCs/>
          <w:sz w:val="22"/>
          <w:szCs w:val="22"/>
          <w:lang w:val="en-US"/>
        </w:rPr>
        <w:t>-globin Ct-value.</w:t>
      </w:r>
      <w:r w:rsidRPr="00435496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 Numbers and percentages of positive and negative HPV cases for each Ct group of </w:t>
      </w:r>
      <w:r w:rsidRPr="00435496">
        <w:rPr>
          <w:rFonts w:ascii="Times New Roman" w:hAnsi="Times New Roman" w:cs="Times New Roman" w:hint="eastAsia"/>
          <w:i/>
          <w:iCs/>
          <w:sz w:val="22"/>
          <w:szCs w:val="22"/>
          <w:lang w:val="en-US"/>
        </w:rPr>
        <w:t>β</w:t>
      </w:r>
      <w:r w:rsidRPr="00435496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-globin </w:t>
      </w:r>
      <w:r w:rsidR="005821C7" w:rsidRPr="005821C7">
        <w:rPr>
          <w:rFonts w:ascii="Times New Roman" w:hAnsi="Times New Roman" w:cs="Times New Roman"/>
          <w:i/>
          <w:iCs/>
          <w:sz w:val="22"/>
          <w:szCs w:val="22"/>
          <w:lang w:val="en-US"/>
        </w:rPr>
        <w:t>amplification.</w:t>
      </w:r>
    </w:p>
    <w:p w14:paraId="6CF729C7" w14:textId="77777777" w:rsidR="00187E78" w:rsidRPr="00CC6285" w:rsidRDefault="00187E78" w:rsidP="00450B08">
      <w:pPr>
        <w:spacing w:after="0"/>
        <w:jc w:val="both"/>
        <w:rPr>
          <w:sz w:val="22"/>
          <w:szCs w:val="22"/>
          <w:lang w:val="en-US"/>
        </w:rPr>
      </w:pPr>
    </w:p>
    <w:p w14:paraId="18856484" w14:textId="77777777" w:rsidR="00E74EAE" w:rsidRDefault="00E74EAE" w:rsidP="00E74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val="en-GB" w:eastAsia="it-IT"/>
          <w14:ligatures w14:val="none"/>
        </w:rPr>
      </w:pPr>
    </w:p>
    <w:p w14:paraId="21A9EA64" w14:textId="2699F75A" w:rsidR="00F56F9F" w:rsidRDefault="00F56F9F">
      <w:pPr>
        <w:rPr>
          <w:rFonts w:ascii="Times New Roman" w:eastAsia="Times New Roman" w:hAnsi="Times New Roman" w:cs="Times New Roman"/>
          <w:kern w:val="0"/>
          <w:lang w:val="en-GB" w:eastAsia="it-IT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en-GB" w:eastAsia="it-IT"/>
          <w14:ligatures w14:val="none"/>
        </w:rPr>
        <w:br w:type="page"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7"/>
        <w:gridCol w:w="3495"/>
        <w:gridCol w:w="3734"/>
      </w:tblGrid>
      <w:tr w:rsidR="00E74EAE" w:rsidRPr="008D11BD" w14:paraId="10CBA303" w14:textId="77777777" w:rsidTr="00342388">
        <w:trPr>
          <w:tblHeader/>
          <w:tblCellSpacing w:w="15" w:type="dxa"/>
        </w:trPr>
        <w:tc>
          <w:tcPr>
            <w:tcW w:w="2082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90EB3" w14:textId="77777777" w:rsidR="00E74EAE" w:rsidRPr="008B71E1" w:rsidRDefault="00E74EAE" w:rsidP="008D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it-IT"/>
                <w14:ligatures w14:val="none"/>
              </w:rPr>
            </w:pPr>
            <w:bookmarkStart w:id="4" w:name="_Hlk184747762"/>
            <w:proofErr w:type="spellStart"/>
            <w:r w:rsidRPr="008B71E1">
              <w:rPr>
                <w:rFonts w:ascii="Times New Roman" w:eastAsia="Times New Roman" w:hAnsi="Times New Roman" w:cs="Times New Roman"/>
                <w:b/>
                <w:bCs/>
                <w:kern w:val="0"/>
                <w:lang w:eastAsia="it-IT"/>
                <w14:ligatures w14:val="none"/>
              </w:rPr>
              <w:lastRenderedPageBreak/>
              <w:t>Variab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it-IT"/>
                <w14:ligatures w14:val="none"/>
              </w:rPr>
              <w:t>les</w:t>
            </w:r>
            <w:proofErr w:type="spellEnd"/>
          </w:p>
        </w:tc>
        <w:tc>
          <w:tcPr>
            <w:tcW w:w="3465" w:type="dxa"/>
            <w:tcBorders>
              <w:bottom w:val="single" w:sz="4" w:space="0" w:color="auto"/>
            </w:tcBorders>
            <w:vAlign w:val="center"/>
            <w:hideMark/>
          </w:tcPr>
          <w:p w14:paraId="353D9BAF" w14:textId="77777777" w:rsidR="00EF4F88" w:rsidRDefault="00E74EAE" w:rsidP="00435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</w:pPr>
            <w:r w:rsidRPr="008B71E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Univaria</w:t>
            </w:r>
            <w:r w:rsidRPr="005C327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te model</w:t>
            </w:r>
          </w:p>
          <w:p w14:paraId="798E449F" w14:textId="77A68905" w:rsidR="00E74EAE" w:rsidRPr="008B71E1" w:rsidRDefault="00E74EAE" w:rsidP="0035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</w:pPr>
            <w:r w:rsidRPr="008B71E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(OR [IC 95%]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;</w:t>
            </w:r>
            <w:r w:rsidRPr="008B71E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p-value)</w:t>
            </w:r>
          </w:p>
        </w:tc>
        <w:tc>
          <w:tcPr>
            <w:tcW w:w="3689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F715" w14:textId="77777777" w:rsidR="00EF4F88" w:rsidRDefault="00E74EAE" w:rsidP="008D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</w:pPr>
            <w:r w:rsidRPr="008B71E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Multivariat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e</w:t>
            </w:r>
            <w:r w:rsidRPr="008B71E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</w:t>
            </w:r>
            <w:r w:rsidRPr="005C327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model</w:t>
            </w:r>
          </w:p>
          <w:p w14:paraId="22F44A1B" w14:textId="1643A642" w:rsidR="00E74EAE" w:rsidRPr="008B71E1" w:rsidRDefault="00E74EAE" w:rsidP="00435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</w:pPr>
            <w:r w:rsidRPr="005C327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(O</w:t>
            </w:r>
            <w:r w:rsidRPr="008B71E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R [IC 95%]; p-value)</w:t>
            </w:r>
          </w:p>
        </w:tc>
      </w:tr>
      <w:tr w:rsidR="00E74EAE" w:rsidRPr="00116CAD" w14:paraId="028AB3C9" w14:textId="77777777" w:rsidTr="00342388">
        <w:trPr>
          <w:tblCellSpacing w:w="15" w:type="dxa"/>
        </w:trPr>
        <w:tc>
          <w:tcPr>
            <w:tcW w:w="2082" w:type="dxa"/>
            <w:tcBorders>
              <w:right w:val="single" w:sz="4" w:space="0" w:color="auto"/>
            </w:tcBorders>
            <w:vAlign w:val="center"/>
            <w:hideMark/>
          </w:tcPr>
          <w:p w14:paraId="051801B0" w14:textId="723FD7B8" w:rsidR="00356E50" w:rsidRDefault="00E74EAE" w:rsidP="008D3E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E162BD">
              <w:rPr>
                <w:rFonts w:ascii="Times New Roman" w:hAnsi="Times New Roman" w:cs="Times New Roman"/>
                <w:b/>
                <w:bCs/>
              </w:rPr>
              <w:t>β</w:t>
            </w:r>
            <w:r w:rsidRPr="00131234">
              <w:rPr>
                <w:rFonts w:ascii="Times New Roman" w:hAnsi="Times New Roman" w:cs="Times New Roman"/>
                <w:b/>
                <w:bCs/>
                <w:lang w:val="fr-FR"/>
              </w:rPr>
              <w:t>-</w:t>
            </w:r>
            <w:proofErr w:type="spellStart"/>
            <w:r w:rsidRPr="00131234">
              <w:rPr>
                <w:rFonts w:ascii="Times New Roman" w:hAnsi="Times New Roman" w:cs="Times New Roman"/>
                <w:b/>
                <w:bCs/>
                <w:lang w:val="fr-FR"/>
              </w:rPr>
              <w:t>globin</w:t>
            </w:r>
            <w:proofErr w:type="spellEnd"/>
          </w:p>
          <w:p w14:paraId="6F395C37" w14:textId="05A130CA" w:rsidR="00E74EAE" w:rsidRPr="00131234" w:rsidRDefault="00E74EAE" w:rsidP="008D3E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fr-FR" w:eastAsia="it-IT"/>
                <w14:ligatures w14:val="none"/>
              </w:rPr>
            </w:pPr>
            <w:r w:rsidRPr="00131234">
              <w:rPr>
                <w:rFonts w:ascii="Times New Roman" w:hAnsi="Times New Roman" w:cs="Times New Roman"/>
                <w:b/>
                <w:bCs/>
                <w:lang w:val="fr-FR"/>
              </w:rPr>
              <w:t>(Ct values)</w:t>
            </w:r>
          </w:p>
        </w:tc>
        <w:tc>
          <w:tcPr>
            <w:tcW w:w="3465" w:type="dxa"/>
            <w:vAlign w:val="center"/>
            <w:hideMark/>
          </w:tcPr>
          <w:p w14:paraId="069397AE" w14:textId="77777777" w:rsidR="00E74EAE" w:rsidRPr="00131234" w:rsidRDefault="00E74EAE" w:rsidP="008D3E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fr-FR" w:eastAsia="it-IT"/>
                <w14:ligatures w14:val="none"/>
              </w:rPr>
            </w:pPr>
          </w:p>
        </w:tc>
        <w:tc>
          <w:tcPr>
            <w:tcW w:w="3689" w:type="dxa"/>
            <w:tcBorders>
              <w:right w:val="single" w:sz="4" w:space="0" w:color="auto"/>
            </w:tcBorders>
            <w:vAlign w:val="center"/>
            <w:hideMark/>
          </w:tcPr>
          <w:p w14:paraId="672E9EB0" w14:textId="77777777" w:rsidR="00E74EAE" w:rsidRPr="00131234" w:rsidRDefault="00E74EAE" w:rsidP="008D3E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fr-FR" w:eastAsia="it-IT"/>
                <w14:ligatures w14:val="none"/>
              </w:rPr>
            </w:pPr>
          </w:p>
        </w:tc>
      </w:tr>
      <w:tr w:rsidR="00E74EAE" w:rsidRPr="00116CAD" w14:paraId="6B5CE8FB" w14:textId="77777777" w:rsidTr="00342388">
        <w:trPr>
          <w:tblCellSpacing w:w="15" w:type="dxa"/>
        </w:trPr>
        <w:tc>
          <w:tcPr>
            <w:tcW w:w="2082" w:type="dxa"/>
            <w:tcBorders>
              <w:right w:val="single" w:sz="4" w:space="0" w:color="auto"/>
            </w:tcBorders>
            <w:vAlign w:val="center"/>
          </w:tcPr>
          <w:p w14:paraId="1E1FE470" w14:textId="77777777" w:rsidR="00E74EAE" w:rsidRPr="00131234" w:rsidRDefault="00E74EAE" w:rsidP="008D3E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</w:p>
        </w:tc>
        <w:tc>
          <w:tcPr>
            <w:tcW w:w="3465" w:type="dxa"/>
            <w:vAlign w:val="center"/>
          </w:tcPr>
          <w:p w14:paraId="488B5BEE" w14:textId="77777777" w:rsidR="00E74EAE" w:rsidRPr="00131234" w:rsidRDefault="00E74EAE" w:rsidP="008D3E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fr-FR" w:eastAsia="it-IT"/>
                <w14:ligatures w14:val="none"/>
              </w:rPr>
            </w:pPr>
          </w:p>
        </w:tc>
        <w:tc>
          <w:tcPr>
            <w:tcW w:w="3689" w:type="dxa"/>
            <w:tcBorders>
              <w:right w:val="single" w:sz="4" w:space="0" w:color="auto"/>
            </w:tcBorders>
            <w:vAlign w:val="center"/>
          </w:tcPr>
          <w:p w14:paraId="25528FA1" w14:textId="77777777" w:rsidR="00E74EAE" w:rsidRPr="00131234" w:rsidRDefault="00E74EAE" w:rsidP="008D3E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fr-FR" w:eastAsia="it-IT"/>
                <w14:ligatures w14:val="none"/>
              </w:rPr>
            </w:pPr>
          </w:p>
        </w:tc>
      </w:tr>
      <w:tr w:rsidR="00E74EAE" w:rsidRPr="008B71E1" w14:paraId="5EBE1106" w14:textId="77777777" w:rsidTr="00342388">
        <w:trPr>
          <w:tblCellSpacing w:w="15" w:type="dxa"/>
        </w:trPr>
        <w:tc>
          <w:tcPr>
            <w:tcW w:w="2082" w:type="dxa"/>
            <w:tcBorders>
              <w:right w:val="single" w:sz="4" w:space="0" w:color="auto"/>
            </w:tcBorders>
            <w:vAlign w:val="center"/>
          </w:tcPr>
          <w:p w14:paraId="6662C8B0" w14:textId="77777777" w:rsidR="00E74EAE" w:rsidRPr="00BE4A83" w:rsidRDefault="00E74EAE" w:rsidP="008D3E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E4A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β-</w:t>
            </w:r>
            <w:proofErr w:type="spellStart"/>
            <w:r w:rsidRPr="00BE4A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globin</w:t>
            </w:r>
            <w:proofErr w:type="spellEnd"/>
            <w:r w:rsidRPr="00BE4A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 xml:space="preserve"> ≤ 28</w:t>
            </w:r>
          </w:p>
        </w:tc>
        <w:tc>
          <w:tcPr>
            <w:tcW w:w="3465" w:type="dxa"/>
            <w:vAlign w:val="center"/>
          </w:tcPr>
          <w:p w14:paraId="76B9EA2A" w14:textId="77777777" w:rsidR="00E74EAE" w:rsidRPr="00E162BD" w:rsidRDefault="00E74EAE" w:rsidP="008D3E9F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proofErr w:type="spellStart"/>
            <w:r w:rsidRPr="00E162B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reference</w:t>
            </w:r>
            <w:proofErr w:type="spellEnd"/>
          </w:p>
        </w:tc>
        <w:tc>
          <w:tcPr>
            <w:tcW w:w="3689" w:type="dxa"/>
            <w:tcBorders>
              <w:right w:val="single" w:sz="4" w:space="0" w:color="auto"/>
            </w:tcBorders>
            <w:vAlign w:val="center"/>
          </w:tcPr>
          <w:p w14:paraId="5559527B" w14:textId="77777777" w:rsidR="00E74EAE" w:rsidRPr="00E162BD" w:rsidRDefault="00E74EAE" w:rsidP="008D3E9F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proofErr w:type="spellStart"/>
            <w:r w:rsidRPr="00E162B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reference</w:t>
            </w:r>
            <w:proofErr w:type="spellEnd"/>
          </w:p>
        </w:tc>
      </w:tr>
      <w:tr w:rsidR="00E74EAE" w:rsidRPr="008B71E1" w14:paraId="1E044902" w14:textId="77777777" w:rsidTr="00342388">
        <w:trPr>
          <w:tblCellSpacing w:w="15" w:type="dxa"/>
        </w:trPr>
        <w:tc>
          <w:tcPr>
            <w:tcW w:w="2082" w:type="dxa"/>
            <w:tcBorders>
              <w:right w:val="single" w:sz="4" w:space="0" w:color="auto"/>
            </w:tcBorders>
            <w:vAlign w:val="center"/>
            <w:hideMark/>
          </w:tcPr>
          <w:p w14:paraId="3C9FF2F0" w14:textId="3F554921" w:rsidR="00E74EAE" w:rsidRPr="00BE4A83" w:rsidRDefault="00E74EAE" w:rsidP="008D3E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E4A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28˂</w:t>
            </w:r>
            <w:r w:rsidR="002411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BE4A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β-</w:t>
            </w:r>
            <w:proofErr w:type="spellStart"/>
            <w:r w:rsidRPr="00BE4A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globin</w:t>
            </w:r>
            <w:proofErr w:type="spellEnd"/>
            <w:r w:rsidRPr="00BE4A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 xml:space="preserve"> ≤</w:t>
            </w:r>
            <w:r w:rsidR="002411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BE4A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32</w:t>
            </w:r>
          </w:p>
          <w:p w14:paraId="5F37C045" w14:textId="77777777" w:rsidR="00E74EAE" w:rsidRPr="008B71E1" w:rsidRDefault="00E74EAE" w:rsidP="008D3E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3465" w:type="dxa"/>
            <w:vAlign w:val="center"/>
            <w:hideMark/>
          </w:tcPr>
          <w:p w14:paraId="78D80429" w14:textId="756934F4" w:rsidR="00E74EAE" w:rsidRPr="008B71E1" w:rsidRDefault="00E74EAE" w:rsidP="008D3E9F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0.</w:t>
            </w:r>
            <w:r w:rsidR="00726DA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58</w:t>
            </w: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 xml:space="preserve"> [0.5</w:t>
            </w:r>
            <w:r w:rsidR="00726DA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3</w:t>
            </w: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-0.6</w:t>
            </w:r>
            <w:r w:rsidR="00726DA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3</w:t>
            </w: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]; &lt;0.001</w:t>
            </w:r>
          </w:p>
        </w:tc>
        <w:tc>
          <w:tcPr>
            <w:tcW w:w="3689" w:type="dxa"/>
            <w:tcBorders>
              <w:right w:val="single" w:sz="4" w:space="0" w:color="auto"/>
            </w:tcBorders>
            <w:vAlign w:val="center"/>
            <w:hideMark/>
          </w:tcPr>
          <w:p w14:paraId="122484B8" w14:textId="13C2C342" w:rsidR="00E74EAE" w:rsidRPr="008B71E1" w:rsidRDefault="00E74EAE" w:rsidP="008D3E9F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0.6</w:t>
            </w:r>
            <w:r w:rsidR="0089386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3</w:t>
            </w: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 xml:space="preserve"> [0.</w:t>
            </w:r>
            <w:r w:rsidR="0089386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58</w:t>
            </w: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-0.</w:t>
            </w:r>
            <w:r w:rsidR="0089386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68</w:t>
            </w: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]; &lt;0.001</w:t>
            </w:r>
          </w:p>
        </w:tc>
      </w:tr>
      <w:tr w:rsidR="00E74EAE" w:rsidRPr="008B71E1" w14:paraId="0BA3CDF8" w14:textId="77777777" w:rsidTr="00342388">
        <w:trPr>
          <w:tblCellSpacing w:w="15" w:type="dxa"/>
        </w:trPr>
        <w:tc>
          <w:tcPr>
            <w:tcW w:w="2082" w:type="dxa"/>
            <w:tcBorders>
              <w:right w:val="single" w:sz="4" w:space="0" w:color="auto"/>
            </w:tcBorders>
            <w:vAlign w:val="center"/>
            <w:hideMark/>
          </w:tcPr>
          <w:p w14:paraId="2571941D" w14:textId="07D93A75" w:rsidR="00E74EAE" w:rsidRPr="008B71E1" w:rsidRDefault="00E74EAE" w:rsidP="008D3E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E4A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32</w:t>
            </w:r>
            <w:r w:rsidR="002411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BE4A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˂</w:t>
            </w:r>
            <w:r w:rsidR="002411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BE4A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β-</w:t>
            </w:r>
            <w:proofErr w:type="spellStart"/>
            <w:r w:rsidRPr="00BE4A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globin</w:t>
            </w:r>
            <w:proofErr w:type="spellEnd"/>
            <w:r w:rsidRPr="00BE4A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 xml:space="preserve"> ≤</w:t>
            </w:r>
            <w:r w:rsidR="002411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BE4A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34</w:t>
            </w:r>
          </w:p>
        </w:tc>
        <w:tc>
          <w:tcPr>
            <w:tcW w:w="3465" w:type="dxa"/>
            <w:vAlign w:val="center"/>
            <w:hideMark/>
          </w:tcPr>
          <w:p w14:paraId="114BF3D4" w14:textId="6C3ACB92" w:rsidR="00E74EAE" w:rsidRPr="008B71E1" w:rsidRDefault="00E74EAE" w:rsidP="008D3E9F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0.</w:t>
            </w:r>
            <w:r w:rsidR="00726DA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38</w:t>
            </w: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 xml:space="preserve"> [0.2</w:t>
            </w:r>
            <w:r w:rsidR="00726DA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7</w:t>
            </w: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-0.5</w:t>
            </w:r>
            <w:r w:rsidR="00726DA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3</w:t>
            </w: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]; &lt;0.001</w:t>
            </w:r>
          </w:p>
        </w:tc>
        <w:tc>
          <w:tcPr>
            <w:tcW w:w="3689" w:type="dxa"/>
            <w:tcBorders>
              <w:right w:val="single" w:sz="4" w:space="0" w:color="auto"/>
            </w:tcBorders>
            <w:vAlign w:val="center"/>
            <w:hideMark/>
          </w:tcPr>
          <w:p w14:paraId="29D5D6F2" w14:textId="22D8589D" w:rsidR="00E74EAE" w:rsidRPr="008B71E1" w:rsidRDefault="00E74EAE" w:rsidP="008D3E9F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0.</w:t>
            </w:r>
            <w:r w:rsidR="00A13A6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42</w:t>
            </w: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 xml:space="preserve"> [0.</w:t>
            </w:r>
            <w:r w:rsidR="00A13A6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30</w:t>
            </w: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-0.6</w:t>
            </w:r>
            <w:r w:rsidR="00A13A6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0</w:t>
            </w: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]; &lt;0.001</w:t>
            </w:r>
          </w:p>
        </w:tc>
      </w:tr>
      <w:tr w:rsidR="00E74EAE" w:rsidRPr="008B71E1" w14:paraId="3B8A925F" w14:textId="77777777" w:rsidTr="00342388">
        <w:trPr>
          <w:tblCellSpacing w:w="15" w:type="dxa"/>
        </w:trPr>
        <w:tc>
          <w:tcPr>
            <w:tcW w:w="2082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16495" w14:textId="0B054900" w:rsidR="00E74EAE" w:rsidRPr="008B71E1" w:rsidRDefault="00E74EAE" w:rsidP="008D3E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E4A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34</w:t>
            </w:r>
            <w:r w:rsidR="002411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BE4A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˂</w:t>
            </w:r>
            <w:r w:rsidR="002411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BE4A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β-</w:t>
            </w:r>
            <w:proofErr w:type="spellStart"/>
            <w:r w:rsidRPr="00BE4A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globin</w:t>
            </w:r>
            <w:proofErr w:type="spellEnd"/>
            <w:r w:rsidRPr="00BE4A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 xml:space="preserve"> ≤</w:t>
            </w:r>
            <w:r w:rsidR="002411C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BE4A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40</w:t>
            </w:r>
          </w:p>
        </w:tc>
        <w:tc>
          <w:tcPr>
            <w:tcW w:w="3465" w:type="dxa"/>
            <w:tcBorders>
              <w:bottom w:val="single" w:sz="4" w:space="0" w:color="auto"/>
            </w:tcBorders>
            <w:vAlign w:val="center"/>
            <w:hideMark/>
          </w:tcPr>
          <w:p w14:paraId="6A1C7886" w14:textId="314F6297" w:rsidR="00E74EAE" w:rsidRPr="008B71E1" w:rsidRDefault="00E74EAE" w:rsidP="008D3E9F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0.1</w:t>
            </w:r>
            <w:r w:rsidR="00726DA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3</w:t>
            </w: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 xml:space="preserve"> [0.04-0.</w:t>
            </w:r>
            <w:r w:rsidR="00726DA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41</w:t>
            </w: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]; &lt;0.001</w:t>
            </w:r>
          </w:p>
        </w:tc>
        <w:tc>
          <w:tcPr>
            <w:tcW w:w="3689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A90F" w14:textId="30FDEBA9" w:rsidR="00E74EAE" w:rsidRPr="008B71E1" w:rsidRDefault="00E74EAE" w:rsidP="008D3E9F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0.1</w:t>
            </w:r>
            <w:r w:rsidR="00A13A6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4</w:t>
            </w: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 xml:space="preserve"> [0.0</w:t>
            </w:r>
            <w:r w:rsidR="00A13A6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5</w:t>
            </w: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-0.4</w:t>
            </w:r>
            <w:r w:rsidR="00A13A6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5</w:t>
            </w: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]; 0.001</w:t>
            </w:r>
          </w:p>
        </w:tc>
      </w:tr>
      <w:tr w:rsidR="00E74EAE" w:rsidRPr="008B71E1" w14:paraId="6988B27A" w14:textId="77777777" w:rsidTr="00342388">
        <w:trPr>
          <w:tblCellSpacing w:w="15" w:type="dxa"/>
        </w:trPr>
        <w:tc>
          <w:tcPr>
            <w:tcW w:w="2082" w:type="dxa"/>
            <w:tcBorders>
              <w:right w:val="single" w:sz="4" w:space="0" w:color="auto"/>
            </w:tcBorders>
            <w:vAlign w:val="center"/>
            <w:hideMark/>
          </w:tcPr>
          <w:p w14:paraId="151D67A1" w14:textId="6F42D705" w:rsidR="00E74EAE" w:rsidRPr="00DD0CE6" w:rsidRDefault="00E74EAE" w:rsidP="008D3E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DD0CE6">
              <w:rPr>
                <w:rFonts w:ascii="Times New Roman" w:eastAsia="Times New Roman" w:hAnsi="Times New Roman" w:cs="Times New Roman"/>
                <w:b/>
                <w:bCs/>
                <w:kern w:val="0"/>
                <w:lang w:eastAsia="it-IT"/>
                <w14:ligatures w14:val="none"/>
              </w:rPr>
              <w:t xml:space="preserve">Age </w:t>
            </w:r>
            <w:r w:rsidR="00131234">
              <w:rPr>
                <w:rFonts w:ascii="Times New Roman" w:eastAsia="Times New Roman" w:hAnsi="Times New Roman" w:cs="Times New Roman"/>
                <w:b/>
                <w:bCs/>
                <w:kern w:val="0"/>
                <w:lang w:eastAsia="it-IT"/>
                <w14:ligatures w14:val="none"/>
              </w:rPr>
              <w:t>range</w:t>
            </w:r>
          </w:p>
        </w:tc>
        <w:tc>
          <w:tcPr>
            <w:tcW w:w="3465" w:type="dxa"/>
            <w:vAlign w:val="center"/>
            <w:hideMark/>
          </w:tcPr>
          <w:p w14:paraId="241D5B4A" w14:textId="77777777" w:rsidR="00E74EAE" w:rsidRPr="008B71E1" w:rsidRDefault="00E74EAE" w:rsidP="008D3E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3689" w:type="dxa"/>
            <w:tcBorders>
              <w:right w:val="single" w:sz="4" w:space="0" w:color="auto"/>
            </w:tcBorders>
            <w:vAlign w:val="center"/>
            <w:hideMark/>
          </w:tcPr>
          <w:p w14:paraId="1543EA85" w14:textId="77777777" w:rsidR="00E74EAE" w:rsidRPr="008B71E1" w:rsidRDefault="00E74EAE" w:rsidP="008D3E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E74EAE" w:rsidRPr="008B71E1" w14:paraId="3CCD98C1" w14:textId="77777777" w:rsidTr="00342388">
        <w:trPr>
          <w:tblCellSpacing w:w="15" w:type="dxa"/>
        </w:trPr>
        <w:tc>
          <w:tcPr>
            <w:tcW w:w="2082" w:type="dxa"/>
            <w:tcBorders>
              <w:right w:val="single" w:sz="4" w:space="0" w:color="auto"/>
            </w:tcBorders>
            <w:vAlign w:val="center"/>
          </w:tcPr>
          <w:p w14:paraId="3C33DB12" w14:textId="77777777" w:rsidR="00E74EAE" w:rsidRPr="008B71E1" w:rsidRDefault="00E74EAE" w:rsidP="008D3E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it-IT"/>
                <w14:ligatures w14:val="none"/>
              </w:rPr>
            </w:pPr>
          </w:p>
        </w:tc>
        <w:tc>
          <w:tcPr>
            <w:tcW w:w="3465" w:type="dxa"/>
            <w:vAlign w:val="center"/>
          </w:tcPr>
          <w:p w14:paraId="2C6818D5" w14:textId="77777777" w:rsidR="00E74EAE" w:rsidRPr="008B71E1" w:rsidRDefault="00E74EAE" w:rsidP="008D3E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3689" w:type="dxa"/>
            <w:tcBorders>
              <w:right w:val="single" w:sz="4" w:space="0" w:color="auto"/>
            </w:tcBorders>
            <w:vAlign w:val="center"/>
          </w:tcPr>
          <w:p w14:paraId="308D6E4F" w14:textId="77777777" w:rsidR="00E74EAE" w:rsidRPr="008B71E1" w:rsidRDefault="00E74EAE" w:rsidP="008D3E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E74EAE" w:rsidRPr="008B71E1" w14:paraId="4919C66A" w14:textId="77777777" w:rsidTr="00342388">
        <w:trPr>
          <w:tblCellSpacing w:w="15" w:type="dxa"/>
        </w:trPr>
        <w:tc>
          <w:tcPr>
            <w:tcW w:w="2082" w:type="dxa"/>
            <w:tcBorders>
              <w:right w:val="single" w:sz="4" w:space="0" w:color="auto"/>
            </w:tcBorders>
            <w:vAlign w:val="center"/>
            <w:hideMark/>
          </w:tcPr>
          <w:p w14:paraId="605863FA" w14:textId="77777777" w:rsidR="00E74EAE" w:rsidRPr="008B71E1" w:rsidRDefault="00E74EAE" w:rsidP="008D3E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8B71E1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30-39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years</w:t>
            </w:r>
            <w:proofErr w:type="spellEnd"/>
          </w:p>
        </w:tc>
        <w:tc>
          <w:tcPr>
            <w:tcW w:w="3465" w:type="dxa"/>
            <w:vAlign w:val="center"/>
            <w:hideMark/>
          </w:tcPr>
          <w:p w14:paraId="3A004F4D" w14:textId="77777777" w:rsidR="00E74EAE" w:rsidRPr="008B71E1" w:rsidRDefault="00E74EAE" w:rsidP="008D3E9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2.55 [2.20-2.96]; &lt;0.001</w:t>
            </w:r>
          </w:p>
        </w:tc>
        <w:tc>
          <w:tcPr>
            <w:tcW w:w="3689" w:type="dxa"/>
            <w:tcBorders>
              <w:right w:val="single" w:sz="4" w:space="0" w:color="auto"/>
            </w:tcBorders>
            <w:vAlign w:val="center"/>
            <w:hideMark/>
          </w:tcPr>
          <w:p w14:paraId="38EF22E0" w14:textId="3156FCF5" w:rsidR="00E74EAE" w:rsidRPr="008B71E1" w:rsidRDefault="00E74EAE" w:rsidP="008D3E9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2.</w:t>
            </w:r>
            <w:r w:rsidR="00A13A6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18</w:t>
            </w: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 xml:space="preserve"> [1.</w:t>
            </w:r>
            <w:r w:rsidR="00A13A6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87</w:t>
            </w: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-2.5</w:t>
            </w:r>
            <w:r w:rsidR="00A13A6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3</w:t>
            </w: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]; &lt;0.001</w:t>
            </w:r>
          </w:p>
        </w:tc>
      </w:tr>
      <w:tr w:rsidR="00E74EAE" w:rsidRPr="008B71E1" w14:paraId="0127C761" w14:textId="77777777" w:rsidTr="00342388">
        <w:trPr>
          <w:tblCellSpacing w:w="15" w:type="dxa"/>
        </w:trPr>
        <w:tc>
          <w:tcPr>
            <w:tcW w:w="2082" w:type="dxa"/>
            <w:tcBorders>
              <w:right w:val="single" w:sz="4" w:space="0" w:color="auto"/>
            </w:tcBorders>
            <w:vAlign w:val="center"/>
            <w:hideMark/>
          </w:tcPr>
          <w:p w14:paraId="7CDD9E94" w14:textId="77777777" w:rsidR="00E74EAE" w:rsidRPr="008B71E1" w:rsidRDefault="00E74EAE" w:rsidP="008D3E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8B71E1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40-49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years</w:t>
            </w:r>
            <w:proofErr w:type="spellEnd"/>
          </w:p>
        </w:tc>
        <w:tc>
          <w:tcPr>
            <w:tcW w:w="3465" w:type="dxa"/>
            <w:vAlign w:val="center"/>
            <w:hideMark/>
          </w:tcPr>
          <w:p w14:paraId="5D199E4E" w14:textId="77777777" w:rsidR="00E74EAE" w:rsidRPr="008B71E1" w:rsidRDefault="00E74EAE" w:rsidP="008D3E9F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1.70 [1.46-1.97]; &lt;0.001</w:t>
            </w:r>
          </w:p>
        </w:tc>
        <w:tc>
          <w:tcPr>
            <w:tcW w:w="3689" w:type="dxa"/>
            <w:tcBorders>
              <w:right w:val="single" w:sz="4" w:space="0" w:color="auto"/>
            </w:tcBorders>
            <w:vAlign w:val="center"/>
            <w:hideMark/>
          </w:tcPr>
          <w:p w14:paraId="3ADB10FF" w14:textId="50B29E78" w:rsidR="00E74EAE" w:rsidRPr="008B71E1" w:rsidRDefault="00E74EAE" w:rsidP="008D3E9F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1.50 [1.2</w:t>
            </w:r>
            <w:r w:rsidR="00A13A6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8</w:t>
            </w: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-1.74]; &lt;0.001</w:t>
            </w:r>
          </w:p>
        </w:tc>
      </w:tr>
      <w:tr w:rsidR="002F0D78" w:rsidRPr="008B71E1" w14:paraId="3254C9FF" w14:textId="77777777" w:rsidTr="00342388">
        <w:trPr>
          <w:tblCellSpacing w:w="15" w:type="dxa"/>
        </w:trPr>
        <w:tc>
          <w:tcPr>
            <w:tcW w:w="2082" w:type="dxa"/>
            <w:tcBorders>
              <w:right w:val="single" w:sz="4" w:space="0" w:color="auto"/>
            </w:tcBorders>
            <w:vAlign w:val="center"/>
          </w:tcPr>
          <w:p w14:paraId="555A4B6D" w14:textId="1FA61859" w:rsidR="002F0D78" w:rsidRPr="008B71E1" w:rsidRDefault="002F0D78" w:rsidP="002F0D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8B71E1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50-59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years</w:t>
            </w:r>
            <w:proofErr w:type="spellEnd"/>
          </w:p>
        </w:tc>
        <w:tc>
          <w:tcPr>
            <w:tcW w:w="3465" w:type="dxa"/>
            <w:vAlign w:val="center"/>
          </w:tcPr>
          <w:p w14:paraId="040C890A" w14:textId="4200C6E7" w:rsidR="002F0D78" w:rsidRPr="008B71E1" w:rsidRDefault="002F0D78" w:rsidP="002F0D7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1.26 [1.08-1.47]; 0.003</w:t>
            </w:r>
          </w:p>
        </w:tc>
        <w:tc>
          <w:tcPr>
            <w:tcW w:w="3689" w:type="dxa"/>
            <w:tcBorders>
              <w:right w:val="single" w:sz="4" w:space="0" w:color="auto"/>
            </w:tcBorders>
            <w:vAlign w:val="center"/>
          </w:tcPr>
          <w:p w14:paraId="6FF20272" w14:textId="32DB6B14" w:rsidR="002F0D78" w:rsidRPr="008B71E1" w:rsidRDefault="002F0D78" w:rsidP="002F0D7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1.19 [1.02-1.3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8</w:t>
            </w: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]; 0.0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3</w:t>
            </w:r>
          </w:p>
        </w:tc>
      </w:tr>
      <w:tr w:rsidR="002F0D78" w:rsidRPr="008B71E1" w14:paraId="2EB47FC5" w14:textId="77777777" w:rsidTr="00342388">
        <w:trPr>
          <w:tblCellSpacing w:w="15" w:type="dxa"/>
        </w:trPr>
        <w:tc>
          <w:tcPr>
            <w:tcW w:w="208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E188550" w14:textId="0E5D957F" w:rsidR="002F0D78" w:rsidRPr="008B71E1" w:rsidRDefault="002F0D78" w:rsidP="002F0D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CD3889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60-64 </w:t>
            </w:r>
            <w:proofErr w:type="spellStart"/>
            <w:r w:rsidRPr="00CD3889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year</w:t>
            </w:r>
            <w: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</w:t>
            </w:r>
            <w:proofErr w:type="spellEnd"/>
          </w:p>
        </w:tc>
        <w:tc>
          <w:tcPr>
            <w:tcW w:w="3465" w:type="dxa"/>
            <w:tcBorders>
              <w:bottom w:val="single" w:sz="4" w:space="0" w:color="auto"/>
            </w:tcBorders>
            <w:vAlign w:val="center"/>
          </w:tcPr>
          <w:p w14:paraId="3DBF4D4B" w14:textId="373CEFF2" w:rsidR="002F0D78" w:rsidRPr="008B71E1" w:rsidRDefault="002F0D78" w:rsidP="002F0D7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proofErr w:type="spellStart"/>
            <w:r w:rsidRPr="00BE4A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reference</w:t>
            </w:r>
            <w:proofErr w:type="spellEnd"/>
          </w:p>
        </w:tc>
        <w:tc>
          <w:tcPr>
            <w:tcW w:w="368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F050598" w14:textId="37CDE357" w:rsidR="002F0D78" w:rsidRPr="008B71E1" w:rsidRDefault="002F0D78" w:rsidP="002F0D7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proofErr w:type="spellStart"/>
            <w:r w:rsidRPr="00BE4A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reference</w:t>
            </w:r>
            <w:proofErr w:type="spellEnd"/>
          </w:p>
        </w:tc>
      </w:tr>
      <w:tr w:rsidR="002F0D78" w:rsidRPr="00D877CA" w14:paraId="51201E00" w14:textId="77777777" w:rsidTr="00342388">
        <w:trPr>
          <w:tblCellSpacing w:w="15" w:type="dxa"/>
        </w:trPr>
        <w:tc>
          <w:tcPr>
            <w:tcW w:w="2082" w:type="dxa"/>
            <w:tcBorders>
              <w:right w:val="single" w:sz="4" w:space="0" w:color="auto"/>
            </w:tcBorders>
            <w:vAlign w:val="center"/>
            <w:hideMark/>
          </w:tcPr>
          <w:p w14:paraId="275BD73F" w14:textId="3F6628CD" w:rsidR="002F0D78" w:rsidRPr="00A13A65" w:rsidRDefault="002F0D78" w:rsidP="002F0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val="en-GB" w:eastAsia="it-IT"/>
                <w14:ligatures w14:val="none"/>
              </w:rPr>
            </w:pPr>
            <w:r w:rsidRPr="00A13A65">
              <w:rPr>
                <w:rFonts w:ascii="Times New Roman" w:eastAsia="Times New Roman" w:hAnsi="Times New Roman" w:cs="Times New Roman"/>
                <w:b/>
                <w:bCs/>
                <w:kern w:val="0"/>
                <w:lang w:val="en-GB" w:eastAsia="it-IT"/>
                <w14:ligatures w14:val="none"/>
              </w:rPr>
              <w:t>Sampling Centres (SC)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val="en-GB" w:eastAsia="it-IT"/>
                <w14:ligatures w14:val="none"/>
              </w:rPr>
              <w:t xml:space="preserve"> </w:t>
            </w:r>
          </w:p>
          <w:p w14:paraId="095D4463" w14:textId="77777777" w:rsidR="002F0D78" w:rsidRPr="00A13A65" w:rsidRDefault="002F0D78" w:rsidP="002F0D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GB" w:eastAsia="it-IT"/>
                <w14:ligatures w14:val="none"/>
              </w:rPr>
            </w:pPr>
          </w:p>
        </w:tc>
        <w:tc>
          <w:tcPr>
            <w:tcW w:w="3465" w:type="dxa"/>
            <w:vAlign w:val="center"/>
            <w:hideMark/>
          </w:tcPr>
          <w:p w14:paraId="5A153BCA" w14:textId="77777777" w:rsidR="002F0D78" w:rsidRPr="00A13A65" w:rsidRDefault="002F0D78" w:rsidP="002F0D7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  <w:tc>
          <w:tcPr>
            <w:tcW w:w="3689" w:type="dxa"/>
            <w:tcBorders>
              <w:right w:val="single" w:sz="4" w:space="0" w:color="auto"/>
            </w:tcBorders>
            <w:vAlign w:val="center"/>
            <w:hideMark/>
          </w:tcPr>
          <w:p w14:paraId="7BA3AC91" w14:textId="77777777" w:rsidR="002F0D78" w:rsidRPr="00A13A65" w:rsidRDefault="002F0D78" w:rsidP="002F0D7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</w:tr>
      <w:tr w:rsidR="002F0D78" w:rsidRPr="00BE4A83" w14:paraId="210AA516" w14:textId="77777777" w:rsidTr="00342388">
        <w:trPr>
          <w:tblCellSpacing w:w="15" w:type="dxa"/>
        </w:trPr>
        <w:tc>
          <w:tcPr>
            <w:tcW w:w="2082" w:type="dxa"/>
            <w:tcBorders>
              <w:right w:val="single" w:sz="4" w:space="0" w:color="auto"/>
            </w:tcBorders>
            <w:vAlign w:val="center"/>
            <w:hideMark/>
          </w:tcPr>
          <w:p w14:paraId="582BD26C" w14:textId="7B0806FA" w:rsidR="002F0D78" w:rsidRPr="00A13A65" w:rsidRDefault="002F0D78" w:rsidP="002F0D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13A65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</w:t>
            </w:r>
            <w: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P</w:t>
            </w:r>
            <w:r w:rsidRPr="00A13A65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SC</w:t>
            </w:r>
          </w:p>
        </w:tc>
        <w:tc>
          <w:tcPr>
            <w:tcW w:w="3465" w:type="dxa"/>
            <w:vAlign w:val="center"/>
            <w:hideMark/>
          </w:tcPr>
          <w:p w14:paraId="24344CB5" w14:textId="77777777" w:rsidR="002F0D78" w:rsidRPr="00A13A65" w:rsidRDefault="002F0D78" w:rsidP="002F0D7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proofErr w:type="spellStart"/>
            <w:r w:rsidRPr="00BE4A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reference</w:t>
            </w:r>
            <w:proofErr w:type="spellEnd"/>
          </w:p>
        </w:tc>
        <w:tc>
          <w:tcPr>
            <w:tcW w:w="3689" w:type="dxa"/>
            <w:tcBorders>
              <w:right w:val="single" w:sz="4" w:space="0" w:color="auto"/>
            </w:tcBorders>
            <w:vAlign w:val="center"/>
            <w:hideMark/>
          </w:tcPr>
          <w:p w14:paraId="056F7C92" w14:textId="77777777" w:rsidR="002F0D78" w:rsidRPr="00A13A65" w:rsidRDefault="002F0D78" w:rsidP="002F0D7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proofErr w:type="spellStart"/>
            <w:r w:rsidRPr="00BE4A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reference</w:t>
            </w:r>
            <w:proofErr w:type="spellEnd"/>
          </w:p>
        </w:tc>
      </w:tr>
      <w:tr w:rsidR="002F0D78" w:rsidRPr="008B71E1" w14:paraId="2769C7F9" w14:textId="77777777" w:rsidTr="00342388">
        <w:trPr>
          <w:tblCellSpacing w:w="15" w:type="dxa"/>
        </w:trPr>
        <w:tc>
          <w:tcPr>
            <w:tcW w:w="2082" w:type="dxa"/>
            <w:tcBorders>
              <w:right w:val="single" w:sz="4" w:space="0" w:color="auto"/>
            </w:tcBorders>
            <w:vAlign w:val="center"/>
            <w:hideMark/>
          </w:tcPr>
          <w:p w14:paraId="306C11BD" w14:textId="7982AC07" w:rsidR="002F0D78" w:rsidRPr="00A13A65" w:rsidRDefault="002F0D78" w:rsidP="002F0D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13A65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G</w:t>
            </w:r>
            <w: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P</w:t>
            </w:r>
            <w:r w:rsidRPr="00A13A65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SC</w:t>
            </w:r>
          </w:p>
        </w:tc>
        <w:tc>
          <w:tcPr>
            <w:tcW w:w="3465" w:type="dxa"/>
            <w:vAlign w:val="center"/>
            <w:hideMark/>
          </w:tcPr>
          <w:p w14:paraId="3CF143D8" w14:textId="77777777" w:rsidR="002F0D78" w:rsidRPr="008B71E1" w:rsidRDefault="002F0D78" w:rsidP="002F0D7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0.77 [0.64-0.93]; 0.006</w:t>
            </w:r>
          </w:p>
        </w:tc>
        <w:tc>
          <w:tcPr>
            <w:tcW w:w="3689" w:type="dxa"/>
            <w:tcBorders>
              <w:right w:val="single" w:sz="4" w:space="0" w:color="auto"/>
            </w:tcBorders>
            <w:vAlign w:val="center"/>
            <w:hideMark/>
          </w:tcPr>
          <w:p w14:paraId="0EC49A8D" w14:textId="77777777" w:rsidR="002F0D78" w:rsidRPr="008B71E1" w:rsidRDefault="002F0D78" w:rsidP="002F0D7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0.81 [0.67-0.98]; 0.028</w:t>
            </w:r>
          </w:p>
        </w:tc>
      </w:tr>
      <w:tr w:rsidR="002F0D78" w:rsidRPr="008B71E1" w14:paraId="452FD92F" w14:textId="77777777" w:rsidTr="00342388">
        <w:trPr>
          <w:tblCellSpacing w:w="15" w:type="dxa"/>
        </w:trPr>
        <w:tc>
          <w:tcPr>
            <w:tcW w:w="2082" w:type="dxa"/>
            <w:tcBorders>
              <w:right w:val="single" w:sz="4" w:space="0" w:color="auto"/>
            </w:tcBorders>
            <w:vAlign w:val="center"/>
            <w:hideMark/>
          </w:tcPr>
          <w:p w14:paraId="20297081" w14:textId="3830E9B0" w:rsidR="002F0D78" w:rsidRPr="00A13A65" w:rsidRDefault="002F0D78" w:rsidP="002F0D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13A65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M</w:t>
            </w:r>
            <w: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P</w:t>
            </w:r>
            <w:r w:rsidRPr="00A13A65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SC</w:t>
            </w:r>
          </w:p>
        </w:tc>
        <w:tc>
          <w:tcPr>
            <w:tcW w:w="3465" w:type="dxa"/>
            <w:vAlign w:val="center"/>
            <w:hideMark/>
          </w:tcPr>
          <w:p w14:paraId="70CDBE8E" w14:textId="77777777" w:rsidR="002F0D78" w:rsidRPr="008B71E1" w:rsidRDefault="002F0D78" w:rsidP="002F0D7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0.69 [0.58-0.82]; &lt;0.001</w:t>
            </w:r>
          </w:p>
        </w:tc>
        <w:tc>
          <w:tcPr>
            <w:tcW w:w="3689" w:type="dxa"/>
            <w:tcBorders>
              <w:right w:val="single" w:sz="4" w:space="0" w:color="auto"/>
            </w:tcBorders>
            <w:vAlign w:val="center"/>
            <w:hideMark/>
          </w:tcPr>
          <w:p w14:paraId="2014488C" w14:textId="77777777" w:rsidR="002F0D78" w:rsidRPr="008B71E1" w:rsidRDefault="002F0D78" w:rsidP="002F0D7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0.76 [0.63-0.91]; 0.003</w:t>
            </w:r>
          </w:p>
        </w:tc>
      </w:tr>
      <w:tr w:rsidR="002F0D78" w:rsidRPr="008B71E1" w14:paraId="5D3EDD14" w14:textId="77777777" w:rsidTr="00342388">
        <w:trPr>
          <w:tblCellSpacing w:w="15" w:type="dxa"/>
        </w:trPr>
        <w:tc>
          <w:tcPr>
            <w:tcW w:w="2082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BAE00" w14:textId="5BD66F44" w:rsidR="002F0D78" w:rsidRPr="00A13A65" w:rsidRDefault="002F0D78" w:rsidP="002F0D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13A65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P</w:t>
            </w:r>
            <w: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P</w:t>
            </w:r>
            <w:r w:rsidRPr="00A13A65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SC</w:t>
            </w:r>
          </w:p>
        </w:tc>
        <w:tc>
          <w:tcPr>
            <w:tcW w:w="3465" w:type="dxa"/>
            <w:tcBorders>
              <w:bottom w:val="single" w:sz="4" w:space="0" w:color="auto"/>
            </w:tcBorders>
            <w:vAlign w:val="center"/>
            <w:hideMark/>
          </w:tcPr>
          <w:p w14:paraId="703F0C3D" w14:textId="77777777" w:rsidR="002F0D78" w:rsidRPr="008B71E1" w:rsidRDefault="002F0D78" w:rsidP="002F0D7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0.79 [0.66-0.95]; 0.011</w:t>
            </w:r>
          </w:p>
        </w:tc>
        <w:tc>
          <w:tcPr>
            <w:tcW w:w="3689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582FC" w14:textId="77777777" w:rsidR="002F0D78" w:rsidRPr="008B71E1" w:rsidRDefault="002F0D78" w:rsidP="002F0D7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B71E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0.92 [0.77-1.11]; 0.4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2</w:t>
            </w:r>
          </w:p>
        </w:tc>
      </w:tr>
      <w:bookmarkEnd w:id="4"/>
    </w:tbl>
    <w:p w14:paraId="5D96839A" w14:textId="77777777" w:rsidR="00E74EAE" w:rsidRDefault="00E74EAE" w:rsidP="00E74EAE">
      <w:pPr>
        <w:jc w:val="both"/>
        <w:rPr>
          <w:i/>
          <w:iCs/>
          <w:sz w:val="22"/>
          <w:szCs w:val="22"/>
          <w:lang w:val="en-US"/>
        </w:rPr>
      </w:pPr>
    </w:p>
    <w:p w14:paraId="72439F62" w14:textId="24D2E529" w:rsidR="00E74EAE" w:rsidRPr="009A70BC" w:rsidRDefault="00E74EAE" w:rsidP="00E74EAE">
      <w:pPr>
        <w:jc w:val="both"/>
        <w:rPr>
          <w:i/>
          <w:iCs/>
          <w:lang w:val="en-US"/>
        </w:rPr>
      </w:pPr>
      <w:r w:rsidRPr="009A70BC">
        <w:rPr>
          <w:rFonts w:ascii="Times New Roman" w:eastAsia="Times New Roman" w:hAnsi="Times New Roman" w:cs="Times New Roman"/>
          <w:b/>
          <w:bCs/>
          <w:kern w:val="0"/>
          <w:lang w:val="en-GB" w:eastAsia="it-IT"/>
          <w14:ligatures w14:val="none"/>
        </w:rPr>
        <w:t xml:space="preserve">Table </w:t>
      </w:r>
      <w:r w:rsidR="00F56F9F" w:rsidRPr="009A70BC">
        <w:rPr>
          <w:rFonts w:ascii="Times New Roman" w:eastAsia="Times New Roman" w:hAnsi="Times New Roman" w:cs="Times New Roman"/>
          <w:b/>
          <w:bCs/>
          <w:kern w:val="0"/>
          <w:lang w:val="en-GB" w:eastAsia="it-IT"/>
          <w14:ligatures w14:val="none"/>
        </w:rPr>
        <w:t>II</w:t>
      </w:r>
      <w:r w:rsidRPr="009A70BC">
        <w:rPr>
          <w:rFonts w:ascii="Times New Roman" w:eastAsia="Times New Roman" w:hAnsi="Times New Roman" w:cs="Times New Roman"/>
          <w:b/>
          <w:bCs/>
          <w:kern w:val="0"/>
          <w:lang w:val="en-GB" w:eastAsia="it-IT"/>
          <w14:ligatures w14:val="none"/>
        </w:rPr>
        <w:t xml:space="preserve">. </w:t>
      </w:r>
      <w:r w:rsidRPr="009A70BC">
        <w:rPr>
          <w:rFonts w:ascii="Times New Roman" w:eastAsia="Times New Roman" w:hAnsi="Times New Roman" w:cs="Times New Roman"/>
          <w:i/>
          <w:iCs/>
          <w:kern w:val="0"/>
          <w:lang w:val="en-GB" w:eastAsia="it-IT"/>
          <w14:ligatures w14:val="none"/>
        </w:rPr>
        <w:t>Association between</w:t>
      </w:r>
      <w:r w:rsidRPr="009A70BC">
        <w:rPr>
          <w:rFonts w:ascii="Times New Roman" w:eastAsia="Times New Roman" w:hAnsi="Times New Roman" w:cs="Times New Roman"/>
          <w:b/>
          <w:bCs/>
          <w:i/>
          <w:iCs/>
          <w:kern w:val="0"/>
          <w:lang w:val="en-GB" w:eastAsia="it-IT"/>
          <w14:ligatures w14:val="none"/>
        </w:rPr>
        <w:t xml:space="preserve"> </w:t>
      </w:r>
      <w:r w:rsidRPr="009A70BC">
        <w:rPr>
          <w:rFonts w:ascii="Times New Roman" w:eastAsia="Times New Roman" w:hAnsi="Times New Roman" w:cs="Times New Roman"/>
          <w:i/>
          <w:iCs/>
          <w:kern w:val="0"/>
          <w:lang w:val="en-GB" w:eastAsia="it-IT"/>
          <w14:ligatures w14:val="none"/>
        </w:rPr>
        <w:t xml:space="preserve">HPV </w:t>
      </w:r>
      <w:r w:rsidR="001323D0" w:rsidRPr="009A70BC">
        <w:rPr>
          <w:rFonts w:ascii="Times New Roman" w:eastAsia="Times New Roman" w:hAnsi="Times New Roman" w:cs="Times New Roman"/>
          <w:i/>
          <w:iCs/>
          <w:kern w:val="0"/>
          <w:lang w:val="en-US" w:eastAsia="it-IT"/>
          <w14:ligatures w14:val="none"/>
        </w:rPr>
        <w:t>Positivity Rate (</w:t>
      </w:r>
      <w:r w:rsidRPr="009A70BC">
        <w:rPr>
          <w:rFonts w:ascii="Times New Roman" w:eastAsia="Times New Roman" w:hAnsi="Times New Roman" w:cs="Times New Roman"/>
          <w:i/>
          <w:iCs/>
          <w:kern w:val="0"/>
          <w:lang w:val="en-GB" w:eastAsia="it-IT"/>
          <w14:ligatures w14:val="none"/>
        </w:rPr>
        <w:t>PR</w:t>
      </w:r>
      <w:r w:rsidR="001323D0" w:rsidRPr="009A70BC">
        <w:rPr>
          <w:rFonts w:ascii="Times New Roman" w:eastAsia="Times New Roman" w:hAnsi="Times New Roman" w:cs="Times New Roman"/>
          <w:i/>
          <w:iCs/>
          <w:kern w:val="0"/>
          <w:lang w:val="en-GB" w:eastAsia="it-IT"/>
          <w14:ligatures w14:val="none"/>
        </w:rPr>
        <w:t>)</w:t>
      </w:r>
      <w:r w:rsidRPr="009A70BC">
        <w:rPr>
          <w:rFonts w:ascii="Times New Roman" w:eastAsia="Times New Roman" w:hAnsi="Times New Roman" w:cs="Times New Roman"/>
          <w:i/>
          <w:iCs/>
          <w:kern w:val="0"/>
          <w:lang w:val="en-GB" w:eastAsia="it-IT"/>
          <w14:ligatures w14:val="none"/>
        </w:rPr>
        <w:t xml:space="preserve"> and </w:t>
      </w:r>
      <w:r w:rsidR="002F0D78" w:rsidRPr="009A70BC">
        <w:rPr>
          <w:rFonts w:ascii="Times New Roman" w:eastAsia="Times New Roman" w:hAnsi="Times New Roman" w:cs="Times New Roman"/>
          <w:i/>
          <w:iCs/>
          <w:kern w:val="0"/>
          <w:lang w:val="en-GB" w:eastAsia="it-IT"/>
          <w14:ligatures w14:val="none"/>
        </w:rPr>
        <w:t xml:space="preserve">respectively </w:t>
      </w:r>
      <w:r w:rsidRPr="009A70BC">
        <w:rPr>
          <w:rFonts w:ascii="Times New Roman" w:hAnsi="Times New Roman" w:cs="Times New Roman"/>
          <w:i/>
          <w:iCs/>
        </w:rPr>
        <w:t>β</w:t>
      </w:r>
      <w:r w:rsidRPr="009A70BC">
        <w:rPr>
          <w:rFonts w:ascii="Times New Roman" w:hAnsi="Times New Roman" w:cs="Times New Roman"/>
          <w:i/>
          <w:iCs/>
          <w:lang w:val="en-US"/>
        </w:rPr>
        <w:t xml:space="preserve">-globin Ct values, </w:t>
      </w:r>
      <w:r w:rsidR="00890D93" w:rsidRPr="009A70BC">
        <w:rPr>
          <w:rFonts w:ascii="Times New Roman" w:hAnsi="Times New Roman" w:cs="Times New Roman"/>
          <w:i/>
          <w:iCs/>
          <w:lang w:val="en-US"/>
        </w:rPr>
        <w:t xml:space="preserve">age </w:t>
      </w:r>
      <w:r w:rsidR="002F0D78" w:rsidRPr="009A70BC">
        <w:rPr>
          <w:rFonts w:ascii="Times New Roman" w:hAnsi="Times New Roman" w:cs="Times New Roman"/>
          <w:i/>
          <w:iCs/>
          <w:lang w:val="en-US"/>
        </w:rPr>
        <w:t xml:space="preserve">range and </w:t>
      </w:r>
      <w:r w:rsidR="00E40A22" w:rsidRPr="009A70BC">
        <w:rPr>
          <w:rFonts w:ascii="Times New Roman" w:hAnsi="Times New Roman" w:cs="Times New Roman"/>
          <w:i/>
          <w:iCs/>
          <w:lang w:val="en-US"/>
        </w:rPr>
        <w:t>screening out-patients’ clinics</w:t>
      </w:r>
      <w:r w:rsidRPr="009A70BC">
        <w:rPr>
          <w:rFonts w:ascii="Times New Roman" w:hAnsi="Times New Roman" w:cs="Times New Roman"/>
          <w:i/>
          <w:iCs/>
          <w:lang w:val="en-US"/>
        </w:rPr>
        <w:t xml:space="preserve"> </w:t>
      </w:r>
      <w:r w:rsidR="00131234" w:rsidRPr="009A70BC">
        <w:rPr>
          <w:rFonts w:ascii="Times New Roman" w:hAnsi="Times New Roman" w:cs="Times New Roman"/>
          <w:i/>
          <w:iCs/>
          <w:lang w:val="en-US"/>
        </w:rPr>
        <w:t>(</w:t>
      </w:r>
      <w:r w:rsidRPr="009A70BC">
        <w:rPr>
          <w:rFonts w:ascii="Times New Roman" w:hAnsi="Times New Roman" w:cs="Times New Roman"/>
          <w:i/>
          <w:iCs/>
          <w:lang w:val="en-US"/>
        </w:rPr>
        <w:t>SC</w:t>
      </w:r>
      <w:r w:rsidR="00131234" w:rsidRPr="009A70BC">
        <w:rPr>
          <w:rFonts w:ascii="Times New Roman" w:hAnsi="Times New Roman" w:cs="Times New Roman"/>
          <w:i/>
          <w:iCs/>
          <w:lang w:val="en-US"/>
        </w:rPr>
        <w:t>)</w:t>
      </w:r>
      <w:r w:rsidR="001323D0" w:rsidRPr="009A70BC">
        <w:rPr>
          <w:rFonts w:ascii="Times New Roman" w:hAnsi="Times New Roman" w:cs="Times New Roman"/>
          <w:i/>
          <w:iCs/>
          <w:lang w:val="en-US"/>
        </w:rPr>
        <w:t xml:space="preserve"> </w:t>
      </w:r>
      <w:r w:rsidR="001323D0" w:rsidRPr="009A70BC">
        <w:rPr>
          <w:rFonts w:ascii="Times New Roman" w:eastAsia="Times New Roman" w:hAnsi="Times New Roman" w:cs="Times New Roman"/>
          <w:i/>
          <w:iCs/>
          <w:kern w:val="0"/>
          <w:lang w:val="en-GB" w:eastAsia="it-IT"/>
          <w14:ligatures w14:val="none"/>
        </w:rPr>
        <w:t>grouped by estimated performance</w:t>
      </w:r>
      <w:r w:rsidRPr="009A70BC">
        <w:rPr>
          <w:rFonts w:ascii="Times New Roman" w:hAnsi="Times New Roman" w:cs="Times New Roman"/>
          <w:i/>
          <w:iCs/>
          <w:lang w:val="en-US"/>
        </w:rPr>
        <w:t>.</w:t>
      </w:r>
      <w:r w:rsidRPr="009A70BC">
        <w:rPr>
          <w:rFonts w:ascii="Times New Roman" w:eastAsia="Times New Roman" w:hAnsi="Times New Roman" w:cs="Times New Roman"/>
          <w:i/>
          <w:iCs/>
          <w:kern w:val="0"/>
          <w:lang w:val="en-GB" w:eastAsia="it-IT"/>
          <w14:ligatures w14:val="none"/>
        </w:rPr>
        <w:t xml:space="preserve"> Results of logistic regression analyses (univariate and multivariate) are reported as Odds Ratio and IC95%.</w:t>
      </w:r>
      <w:r w:rsidR="00131234" w:rsidRPr="009A70BC">
        <w:rPr>
          <w:rFonts w:ascii="Times New Roman" w:eastAsia="Times New Roman" w:hAnsi="Times New Roman" w:cs="Times New Roman"/>
          <w:i/>
          <w:iCs/>
          <w:kern w:val="0"/>
          <w:lang w:val="en-GB" w:eastAsia="it-IT"/>
          <w14:ligatures w14:val="none"/>
        </w:rPr>
        <w:t xml:space="preserve"> </w:t>
      </w:r>
      <w:r w:rsidR="002411C9" w:rsidRPr="009A70BC">
        <w:rPr>
          <w:rFonts w:ascii="Times New Roman" w:hAnsi="Times New Roman" w:cs="Times New Roman"/>
          <w:i/>
          <w:iCs/>
          <w:lang w:val="en-US"/>
        </w:rPr>
        <w:t>Top (TPSC), Good (GPSC), Medium (MPSC), Poor Performance SC (PPSC).</w:t>
      </w:r>
    </w:p>
    <w:p w14:paraId="510A732F" w14:textId="77777777" w:rsidR="005F1C7B" w:rsidRPr="0018208C" w:rsidRDefault="005F1C7B" w:rsidP="00F15DC3">
      <w:pPr>
        <w:jc w:val="both"/>
        <w:rPr>
          <w:sz w:val="22"/>
          <w:szCs w:val="22"/>
          <w:lang w:val="en-US"/>
        </w:rPr>
      </w:pPr>
    </w:p>
    <w:p w14:paraId="43F72B05" w14:textId="6EA38AD3" w:rsidR="00F56F9F" w:rsidRDefault="00F56F9F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br w:type="page"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2"/>
        <w:gridCol w:w="2565"/>
        <w:gridCol w:w="2838"/>
        <w:gridCol w:w="2448"/>
      </w:tblGrid>
      <w:tr w:rsidR="002F0D78" w:rsidRPr="00D877CA" w14:paraId="1DF44127" w14:textId="14780BEE" w:rsidTr="002F0D78">
        <w:trPr>
          <w:tblHeader/>
          <w:tblCellSpacing w:w="15" w:type="dxa"/>
        </w:trPr>
        <w:tc>
          <w:tcPr>
            <w:tcW w:w="1737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CDEA7" w14:textId="372C7EF1" w:rsidR="002F0D78" w:rsidRPr="008B71E1" w:rsidRDefault="002F0D78" w:rsidP="0033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it-IT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it-IT"/>
                <w14:ligatures w14:val="none"/>
              </w:rPr>
              <w:lastRenderedPageBreak/>
              <w:t>Cellularity</w:t>
            </w:r>
            <w:proofErr w:type="spellEnd"/>
          </w:p>
        </w:tc>
        <w:tc>
          <w:tcPr>
            <w:tcW w:w="2535" w:type="dxa"/>
            <w:tcBorders>
              <w:bottom w:val="single" w:sz="4" w:space="0" w:color="auto"/>
            </w:tcBorders>
            <w:vAlign w:val="center"/>
            <w:hideMark/>
          </w:tcPr>
          <w:p w14:paraId="64BF0129" w14:textId="28D4B378" w:rsidR="002F0D78" w:rsidRPr="00435496" w:rsidRDefault="002F0D78" w:rsidP="0033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GB" w:eastAsia="it-IT"/>
                <w14:ligatures w14:val="none"/>
              </w:rPr>
            </w:pPr>
            <w:r w:rsidRPr="00435496">
              <w:rPr>
                <w:rFonts w:ascii="Times New Roman" w:eastAsia="Times New Roman" w:hAnsi="Times New Roman" w:cs="Times New Roman"/>
                <w:b/>
                <w:bCs/>
                <w:kern w:val="0"/>
                <w:lang w:val="en-GB" w:eastAsia="it-IT"/>
                <w14:ligatures w14:val="none"/>
              </w:rPr>
              <w:t>Age (Mean)</w:t>
            </w:r>
          </w:p>
        </w:tc>
        <w:tc>
          <w:tcPr>
            <w:tcW w:w="2808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EA45D" w14:textId="43E6FCD5" w:rsidR="002F0D78" w:rsidRPr="00435496" w:rsidRDefault="002F0D78" w:rsidP="0033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GB" w:eastAsia="it-IT"/>
                <w14:ligatures w14:val="none"/>
              </w:rPr>
            </w:pPr>
            <w:proofErr w:type="spellStart"/>
            <w:r w:rsidRPr="00435496">
              <w:rPr>
                <w:rFonts w:ascii="Times New Roman" w:eastAsia="Times New Roman" w:hAnsi="Times New Roman" w:cs="Times New Roman"/>
                <w:b/>
                <w:bCs/>
                <w:kern w:val="0"/>
                <w:lang w:val="en-GB" w:eastAsia="it-IT"/>
                <w14:ligatures w14:val="none"/>
              </w:rPr>
              <w:t>StDev</w:t>
            </w:r>
            <w:proofErr w:type="spellEnd"/>
          </w:p>
        </w:tc>
        <w:tc>
          <w:tcPr>
            <w:tcW w:w="2403" w:type="dxa"/>
            <w:tcBorders>
              <w:bottom w:val="single" w:sz="4" w:space="0" w:color="auto"/>
              <w:right w:val="single" w:sz="4" w:space="0" w:color="auto"/>
            </w:tcBorders>
          </w:tcPr>
          <w:p w14:paraId="5C6E55D1" w14:textId="0F7E5C76" w:rsidR="002F0D78" w:rsidRPr="00435496" w:rsidRDefault="002F0D78" w:rsidP="0033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GB" w:eastAsia="it-IT"/>
                <w14:ligatures w14:val="none"/>
              </w:rPr>
            </w:pPr>
            <w:r w:rsidRPr="00435496">
              <w:rPr>
                <w:rFonts w:ascii="Times New Roman" w:eastAsia="Times New Roman" w:hAnsi="Times New Roman" w:cs="Times New Roman"/>
                <w:b/>
                <w:bCs/>
                <w:kern w:val="0"/>
                <w:lang w:val="en-GB" w:eastAsia="it-IT"/>
                <w14:ligatures w14:val="none"/>
              </w:rPr>
              <w:t>N</w:t>
            </w:r>
          </w:p>
        </w:tc>
      </w:tr>
      <w:tr w:rsidR="002F0D78" w:rsidRPr="00116CAD" w14:paraId="13C06E1C" w14:textId="0FDF2126" w:rsidTr="002F0D78">
        <w:trPr>
          <w:tblCellSpacing w:w="15" w:type="dxa"/>
        </w:trPr>
        <w:tc>
          <w:tcPr>
            <w:tcW w:w="1737" w:type="dxa"/>
            <w:tcBorders>
              <w:right w:val="single" w:sz="4" w:space="0" w:color="auto"/>
            </w:tcBorders>
            <w:vAlign w:val="center"/>
            <w:hideMark/>
          </w:tcPr>
          <w:p w14:paraId="3E7445F1" w14:textId="1B43B2B2" w:rsidR="002F0D78" w:rsidRPr="00683DD1" w:rsidRDefault="002F0D78" w:rsidP="00332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val="fr-FR" w:eastAsia="it-IT"/>
                <w14:ligatures w14:val="none"/>
              </w:rPr>
            </w:pPr>
            <w:r w:rsidRPr="00683DD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β-</w:t>
            </w:r>
            <w:proofErr w:type="spellStart"/>
            <w:r w:rsidRPr="00683DD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globin</w:t>
            </w:r>
            <w:proofErr w:type="spellEnd"/>
            <w:r w:rsidRPr="00683DD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 xml:space="preserve"> ≤ 28ct</w:t>
            </w:r>
          </w:p>
        </w:tc>
        <w:tc>
          <w:tcPr>
            <w:tcW w:w="2535" w:type="dxa"/>
            <w:vAlign w:val="center"/>
            <w:hideMark/>
          </w:tcPr>
          <w:p w14:paraId="0DAC010D" w14:textId="77777777" w:rsidR="002F0D78" w:rsidRPr="00131234" w:rsidRDefault="002F0D78" w:rsidP="00332D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fr-FR" w:eastAsia="it-IT"/>
                <w14:ligatures w14:val="none"/>
              </w:rPr>
            </w:pPr>
          </w:p>
        </w:tc>
        <w:tc>
          <w:tcPr>
            <w:tcW w:w="2808" w:type="dxa"/>
            <w:tcBorders>
              <w:right w:val="single" w:sz="4" w:space="0" w:color="auto"/>
            </w:tcBorders>
            <w:vAlign w:val="center"/>
            <w:hideMark/>
          </w:tcPr>
          <w:p w14:paraId="1AB102AD" w14:textId="77777777" w:rsidR="002F0D78" w:rsidRPr="00131234" w:rsidRDefault="002F0D78" w:rsidP="00332D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fr-FR" w:eastAsia="it-IT"/>
                <w14:ligatures w14:val="none"/>
              </w:rPr>
            </w:pPr>
          </w:p>
        </w:tc>
        <w:tc>
          <w:tcPr>
            <w:tcW w:w="2403" w:type="dxa"/>
            <w:tcBorders>
              <w:right w:val="single" w:sz="4" w:space="0" w:color="auto"/>
            </w:tcBorders>
          </w:tcPr>
          <w:p w14:paraId="7E0769B2" w14:textId="77777777" w:rsidR="002F0D78" w:rsidRPr="00131234" w:rsidRDefault="002F0D78" w:rsidP="00332D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fr-FR" w:eastAsia="it-IT"/>
                <w14:ligatures w14:val="none"/>
              </w:rPr>
            </w:pPr>
          </w:p>
        </w:tc>
      </w:tr>
      <w:tr w:rsidR="002F0D78" w:rsidRPr="008B71E1" w14:paraId="39E19540" w14:textId="38F84B07" w:rsidTr="002F0D78">
        <w:trPr>
          <w:tblCellSpacing w:w="15" w:type="dxa"/>
        </w:trPr>
        <w:tc>
          <w:tcPr>
            <w:tcW w:w="1737" w:type="dxa"/>
            <w:tcBorders>
              <w:right w:val="single" w:sz="4" w:space="0" w:color="auto"/>
            </w:tcBorders>
            <w:vAlign w:val="center"/>
          </w:tcPr>
          <w:p w14:paraId="09A38726" w14:textId="42966B1D" w:rsidR="002F0D78" w:rsidRPr="00BE4A83" w:rsidRDefault="002F0D78" w:rsidP="00332D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Positive</w:t>
            </w:r>
          </w:p>
        </w:tc>
        <w:tc>
          <w:tcPr>
            <w:tcW w:w="2535" w:type="dxa"/>
            <w:vAlign w:val="center"/>
          </w:tcPr>
          <w:p w14:paraId="61847320" w14:textId="7DDBE1C7" w:rsidR="002F0D78" w:rsidRPr="00E162BD" w:rsidRDefault="002F0D78" w:rsidP="00332D2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43.7</w:t>
            </w:r>
          </w:p>
        </w:tc>
        <w:tc>
          <w:tcPr>
            <w:tcW w:w="2808" w:type="dxa"/>
            <w:tcBorders>
              <w:right w:val="single" w:sz="4" w:space="0" w:color="auto"/>
            </w:tcBorders>
            <w:vAlign w:val="center"/>
          </w:tcPr>
          <w:p w14:paraId="314186EA" w14:textId="5B9B6575" w:rsidR="002F0D78" w:rsidRPr="00E162BD" w:rsidRDefault="002F0D78" w:rsidP="00332D2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9.1</w:t>
            </w:r>
          </w:p>
        </w:tc>
        <w:tc>
          <w:tcPr>
            <w:tcW w:w="2403" w:type="dxa"/>
            <w:tcBorders>
              <w:right w:val="single" w:sz="4" w:space="0" w:color="auto"/>
            </w:tcBorders>
          </w:tcPr>
          <w:p w14:paraId="286316C6" w14:textId="7BA4398E" w:rsidR="002F0D78" w:rsidRPr="00E162BD" w:rsidRDefault="002F0D78" w:rsidP="00332D2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1820</w:t>
            </w:r>
          </w:p>
        </w:tc>
      </w:tr>
      <w:tr w:rsidR="002F0D78" w:rsidRPr="008B71E1" w14:paraId="08C74665" w14:textId="7C6D6B7D" w:rsidTr="002F0D78">
        <w:trPr>
          <w:tblCellSpacing w:w="15" w:type="dxa"/>
        </w:trPr>
        <w:tc>
          <w:tcPr>
            <w:tcW w:w="1737" w:type="dxa"/>
            <w:tcBorders>
              <w:right w:val="single" w:sz="4" w:space="0" w:color="auto"/>
            </w:tcBorders>
            <w:vAlign w:val="center"/>
            <w:hideMark/>
          </w:tcPr>
          <w:p w14:paraId="6F80E980" w14:textId="350539AC" w:rsidR="002F0D78" w:rsidRPr="008B71E1" w:rsidRDefault="002F0D78" w:rsidP="002F0D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Negative</w:t>
            </w:r>
          </w:p>
        </w:tc>
        <w:tc>
          <w:tcPr>
            <w:tcW w:w="2535" w:type="dxa"/>
            <w:vAlign w:val="center"/>
          </w:tcPr>
          <w:p w14:paraId="3F8AB61B" w14:textId="588E236C" w:rsidR="002F0D78" w:rsidRPr="008B71E1" w:rsidRDefault="00E20484" w:rsidP="00332D2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46.1</w:t>
            </w:r>
          </w:p>
        </w:tc>
        <w:tc>
          <w:tcPr>
            <w:tcW w:w="2808" w:type="dxa"/>
            <w:tcBorders>
              <w:right w:val="single" w:sz="4" w:space="0" w:color="auto"/>
            </w:tcBorders>
            <w:vAlign w:val="center"/>
          </w:tcPr>
          <w:p w14:paraId="47790525" w14:textId="7B2B362F" w:rsidR="002F0D78" w:rsidRPr="008B71E1" w:rsidRDefault="00E20484" w:rsidP="00332D2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9.1</w:t>
            </w:r>
          </w:p>
        </w:tc>
        <w:tc>
          <w:tcPr>
            <w:tcW w:w="2403" w:type="dxa"/>
            <w:tcBorders>
              <w:right w:val="single" w:sz="4" w:space="0" w:color="auto"/>
            </w:tcBorders>
          </w:tcPr>
          <w:p w14:paraId="0CC19825" w14:textId="0AC13134" w:rsidR="002F0D78" w:rsidRPr="008B71E1" w:rsidRDefault="00E20484" w:rsidP="00332D2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16981</w:t>
            </w:r>
          </w:p>
        </w:tc>
      </w:tr>
      <w:tr w:rsidR="002F0D78" w:rsidRPr="008B71E1" w14:paraId="162DA63E" w14:textId="79F66F1F" w:rsidTr="002F0D78">
        <w:trPr>
          <w:tblCellSpacing w:w="15" w:type="dxa"/>
        </w:trPr>
        <w:tc>
          <w:tcPr>
            <w:tcW w:w="1737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8468C" w14:textId="58D22881" w:rsidR="002F0D78" w:rsidRPr="008B71E1" w:rsidRDefault="00E20484" w:rsidP="00332D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Total</w:t>
            </w:r>
          </w:p>
        </w:tc>
        <w:tc>
          <w:tcPr>
            <w:tcW w:w="2535" w:type="dxa"/>
            <w:tcBorders>
              <w:bottom w:val="single" w:sz="4" w:space="0" w:color="auto"/>
            </w:tcBorders>
            <w:vAlign w:val="center"/>
          </w:tcPr>
          <w:p w14:paraId="5537367C" w14:textId="5FF1D594" w:rsidR="002F0D78" w:rsidRPr="008B71E1" w:rsidRDefault="00E20484" w:rsidP="00332D2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45.8</w:t>
            </w:r>
          </w:p>
        </w:tc>
        <w:tc>
          <w:tcPr>
            <w:tcW w:w="280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23213C8" w14:textId="7FB342DB" w:rsidR="002F0D78" w:rsidRPr="008B71E1" w:rsidRDefault="00E20484" w:rsidP="00332D2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9.1</w:t>
            </w:r>
          </w:p>
        </w:tc>
        <w:tc>
          <w:tcPr>
            <w:tcW w:w="2403" w:type="dxa"/>
            <w:tcBorders>
              <w:bottom w:val="single" w:sz="4" w:space="0" w:color="auto"/>
              <w:right w:val="single" w:sz="4" w:space="0" w:color="auto"/>
            </w:tcBorders>
          </w:tcPr>
          <w:p w14:paraId="7E11F47D" w14:textId="030E6FE5" w:rsidR="002F0D78" w:rsidRPr="008B71E1" w:rsidRDefault="00E20484" w:rsidP="00332D2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18801</w:t>
            </w:r>
          </w:p>
        </w:tc>
      </w:tr>
      <w:tr w:rsidR="002F0D78" w:rsidRPr="008B71E1" w14:paraId="5132A28C" w14:textId="11DD65E9" w:rsidTr="002F0D78">
        <w:trPr>
          <w:tblCellSpacing w:w="15" w:type="dxa"/>
        </w:trPr>
        <w:tc>
          <w:tcPr>
            <w:tcW w:w="1737" w:type="dxa"/>
            <w:tcBorders>
              <w:right w:val="single" w:sz="4" w:space="0" w:color="auto"/>
            </w:tcBorders>
            <w:vAlign w:val="center"/>
            <w:hideMark/>
          </w:tcPr>
          <w:p w14:paraId="704F500B" w14:textId="6E41FE3A" w:rsidR="002F0D78" w:rsidRPr="009A70BC" w:rsidRDefault="002F0D78" w:rsidP="00332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683DD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28</w:t>
            </w:r>
            <w:r w:rsidR="002411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683DD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˂</w:t>
            </w:r>
            <w:r w:rsidR="002411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683DD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β-</w:t>
            </w:r>
            <w:proofErr w:type="spellStart"/>
            <w:r w:rsidRPr="00683DD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globin</w:t>
            </w:r>
            <w:proofErr w:type="spellEnd"/>
            <w:r w:rsidRPr="00683DD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 xml:space="preserve"> ≤</w:t>
            </w:r>
            <w:r w:rsidR="002411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683DD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32</w:t>
            </w:r>
          </w:p>
        </w:tc>
        <w:tc>
          <w:tcPr>
            <w:tcW w:w="2535" w:type="dxa"/>
            <w:vAlign w:val="center"/>
            <w:hideMark/>
          </w:tcPr>
          <w:p w14:paraId="2DBEA6B1" w14:textId="77777777" w:rsidR="002F0D78" w:rsidRPr="008B71E1" w:rsidRDefault="002F0D78" w:rsidP="00332D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808" w:type="dxa"/>
            <w:tcBorders>
              <w:right w:val="single" w:sz="4" w:space="0" w:color="auto"/>
            </w:tcBorders>
            <w:vAlign w:val="center"/>
            <w:hideMark/>
          </w:tcPr>
          <w:p w14:paraId="060D8EF9" w14:textId="77777777" w:rsidR="002F0D78" w:rsidRPr="008B71E1" w:rsidRDefault="002F0D78" w:rsidP="00332D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403" w:type="dxa"/>
            <w:tcBorders>
              <w:right w:val="single" w:sz="4" w:space="0" w:color="auto"/>
            </w:tcBorders>
          </w:tcPr>
          <w:p w14:paraId="759B50EA" w14:textId="77777777" w:rsidR="002F0D78" w:rsidRPr="008B71E1" w:rsidRDefault="002F0D78" w:rsidP="00332D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2F0D78" w:rsidRPr="008B71E1" w14:paraId="086E1CDB" w14:textId="71C043D0" w:rsidTr="002F0D78">
        <w:trPr>
          <w:tblCellSpacing w:w="15" w:type="dxa"/>
        </w:trPr>
        <w:tc>
          <w:tcPr>
            <w:tcW w:w="1737" w:type="dxa"/>
            <w:tcBorders>
              <w:right w:val="single" w:sz="4" w:space="0" w:color="auto"/>
            </w:tcBorders>
            <w:vAlign w:val="center"/>
            <w:hideMark/>
          </w:tcPr>
          <w:p w14:paraId="07A217E2" w14:textId="0196CBF7" w:rsidR="002F0D78" w:rsidRPr="00E20484" w:rsidRDefault="00E20484" w:rsidP="00332D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204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Positive</w:t>
            </w:r>
          </w:p>
        </w:tc>
        <w:tc>
          <w:tcPr>
            <w:tcW w:w="2535" w:type="dxa"/>
            <w:vAlign w:val="center"/>
            <w:hideMark/>
          </w:tcPr>
          <w:p w14:paraId="707AEF92" w14:textId="1B18C9D1" w:rsidR="002F0D78" w:rsidRPr="008B71E1" w:rsidRDefault="00E20484" w:rsidP="00332D2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47.0</w:t>
            </w:r>
          </w:p>
        </w:tc>
        <w:tc>
          <w:tcPr>
            <w:tcW w:w="2808" w:type="dxa"/>
            <w:tcBorders>
              <w:right w:val="single" w:sz="4" w:space="0" w:color="auto"/>
            </w:tcBorders>
            <w:vAlign w:val="center"/>
            <w:hideMark/>
          </w:tcPr>
          <w:p w14:paraId="3745B644" w14:textId="0D149EB2" w:rsidR="002F0D78" w:rsidRPr="008B71E1" w:rsidRDefault="00E20484" w:rsidP="00332D2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9.7</w:t>
            </w:r>
          </w:p>
        </w:tc>
        <w:tc>
          <w:tcPr>
            <w:tcW w:w="2403" w:type="dxa"/>
            <w:tcBorders>
              <w:right w:val="single" w:sz="4" w:space="0" w:color="auto"/>
            </w:tcBorders>
          </w:tcPr>
          <w:p w14:paraId="77F664A4" w14:textId="4EF9316C" w:rsidR="002F0D78" w:rsidRPr="008B71E1" w:rsidRDefault="00E20484" w:rsidP="00332D2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1034</w:t>
            </w:r>
          </w:p>
        </w:tc>
      </w:tr>
      <w:tr w:rsidR="002F0D78" w:rsidRPr="00D877CA" w14:paraId="38F13628" w14:textId="427FDEF0" w:rsidTr="002F0D78">
        <w:trPr>
          <w:tblCellSpacing w:w="15" w:type="dxa"/>
        </w:trPr>
        <w:tc>
          <w:tcPr>
            <w:tcW w:w="1737" w:type="dxa"/>
            <w:tcBorders>
              <w:right w:val="single" w:sz="4" w:space="0" w:color="auto"/>
            </w:tcBorders>
            <w:vAlign w:val="center"/>
            <w:hideMark/>
          </w:tcPr>
          <w:p w14:paraId="1E5729CA" w14:textId="300EE5CD" w:rsidR="002F0D78" w:rsidRPr="00E20484" w:rsidRDefault="00E20484" w:rsidP="00332D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Negative</w:t>
            </w:r>
          </w:p>
        </w:tc>
        <w:tc>
          <w:tcPr>
            <w:tcW w:w="2535" w:type="dxa"/>
            <w:vAlign w:val="center"/>
            <w:hideMark/>
          </w:tcPr>
          <w:p w14:paraId="10EAF996" w14:textId="21030CF4" w:rsidR="002F0D78" w:rsidRPr="00A13A65" w:rsidRDefault="00E20484" w:rsidP="00332D2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49.8</w:t>
            </w:r>
          </w:p>
        </w:tc>
        <w:tc>
          <w:tcPr>
            <w:tcW w:w="2808" w:type="dxa"/>
            <w:tcBorders>
              <w:right w:val="single" w:sz="4" w:space="0" w:color="auto"/>
            </w:tcBorders>
            <w:vAlign w:val="center"/>
            <w:hideMark/>
          </w:tcPr>
          <w:p w14:paraId="2175A2BF" w14:textId="56BBD87B" w:rsidR="002F0D78" w:rsidRPr="00A13A65" w:rsidRDefault="00E20484" w:rsidP="00332D2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9.2</w:t>
            </w:r>
          </w:p>
        </w:tc>
        <w:tc>
          <w:tcPr>
            <w:tcW w:w="2403" w:type="dxa"/>
            <w:tcBorders>
              <w:right w:val="single" w:sz="4" w:space="0" w:color="auto"/>
            </w:tcBorders>
          </w:tcPr>
          <w:p w14:paraId="3E9884AA" w14:textId="0BB8A8D7" w:rsidR="002F0D78" w:rsidRPr="00A13A65" w:rsidRDefault="00E20484" w:rsidP="00332D2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16670</w:t>
            </w:r>
          </w:p>
        </w:tc>
      </w:tr>
      <w:tr w:rsidR="00E20484" w:rsidRPr="00D877CA" w14:paraId="446ADFCD" w14:textId="77777777" w:rsidTr="00E20484">
        <w:trPr>
          <w:tblCellSpacing w:w="15" w:type="dxa"/>
        </w:trPr>
        <w:tc>
          <w:tcPr>
            <w:tcW w:w="173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05190C6" w14:textId="5A414B48" w:rsidR="00E20484" w:rsidRDefault="00E20484" w:rsidP="00332D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Total</w:t>
            </w:r>
          </w:p>
        </w:tc>
        <w:tc>
          <w:tcPr>
            <w:tcW w:w="2535" w:type="dxa"/>
            <w:tcBorders>
              <w:bottom w:val="single" w:sz="4" w:space="0" w:color="auto"/>
            </w:tcBorders>
            <w:vAlign w:val="center"/>
          </w:tcPr>
          <w:p w14:paraId="442BC9B5" w14:textId="11031DCF" w:rsidR="00E20484" w:rsidRPr="00A13A65" w:rsidRDefault="00E20484" w:rsidP="00332D2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49.7</w:t>
            </w:r>
          </w:p>
        </w:tc>
        <w:tc>
          <w:tcPr>
            <w:tcW w:w="280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EE5ED0F" w14:textId="5A6EDC73" w:rsidR="00E20484" w:rsidRPr="00A13A65" w:rsidRDefault="00E20484" w:rsidP="00332D2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9.2</w:t>
            </w:r>
          </w:p>
        </w:tc>
        <w:tc>
          <w:tcPr>
            <w:tcW w:w="2403" w:type="dxa"/>
            <w:tcBorders>
              <w:bottom w:val="single" w:sz="4" w:space="0" w:color="auto"/>
              <w:right w:val="single" w:sz="4" w:space="0" w:color="auto"/>
            </w:tcBorders>
          </w:tcPr>
          <w:p w14:paraId="35C43D27" w14:textId="058417CA" w:rsidR="00E20484" w:rsidRPr="00A13A65" w:rsidRDefault="00E20484" w:rsidP="00332D2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17704</w:t>
            </w:r>
          </w:p>
        </w:tc>
      </w:tr>
      <w:tr w:rsidR="00E20484" w:rsidRPr="00D877CA" w14:paraId="240AE7DF" w14:textId="77777777" w:rsidTr="00684965">
        <w:trPr>
          <w:trHeight w:val="392"/>
          <w:tblCellSpacing w:w="15" w:type="dxa"/>
        </w:trPr>
        <w:tc>
          <w:tcPr>
            <w:tcW w:w="1737" w:type="dxa"/>
            <w:tcBorders>
              <w:right w:val="single" w:sz="4" w:space="0" w:color="auto"/>
            </w:tcBorders>
            <w:vAlign w:val="center"/>
          </w:tcPr>
          <w:p w14:paraId="5318A51F" w14:textId="340695D7" w:rsidR="00E20484" w:rsidRPr="00683DD1" w:rsidRDefault="00E20484" w:rsidP="00E20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683DD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32</w:t>
            </w:r>
            <w:r w:rsidR="002411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683DD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˂</w:t>
            </w:r>
            <w:r w:rsidR="002411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683DD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β-</w:t>
            </w:r>
            <w:proofErr w:type="spellStart"/>
            <w:r w:rsidRPr="00683DD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globin</w:t>
            </w:r>
            <w:proofErr w:type="spellEnd"/>
            <w:r w:rsidRPr="00683DD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 xml:space="preserve"> ≤</w:t>
            </w:r>
            <w:r w:rsidR="002411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683DD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34</w:t>
            </w:r>
          </w:p>
        </w:tc>
        <w:tc>
          <w:tcPr>
            <w:tcW w:w="2535" w:type="dxa"/>
            <w:vAlign w:val="center"/>
          </w:tcPr>
          <w:p w14:paraId="73837472" w14:textId="77777777" w:rsidR="00E20484" w:rsidRPr="00A13A65" w:rsidRDefault="00E20484" w:rsidP="00E204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  <w:tc>
          <w:tcPr>
            <w:tcW w:w="2808" w:type="dxa"/>
            <w:tcBorders>
              <w:right w:val="single" w:sz="4" w:space="0" w:color="auto"/>
            </w:tcBorders>
            <w:vAlign w:val="center"/>
          </w:tcPr>
          <w:p w14:paraId="15171F9F" w14:textId="77777777" w:rsidR="00E20484" w:rsidRPr="00A13A65" w:rsidRDefault="00E20484" w:rsidP="00E204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  <w:tc>
          <w:tcPr>
            <w:tcW w:w="2403" w:type="dxa"/>
            <w:tcBorders>
              <w:right w:val="single" w:sz="4" w:space="0" w:color="auto"/>
            </w:tcBorders>
          </w:tcPr>
          <w:p w14:paraId="3324C0F3" w14:textId="77777777" w:rsidR="00E20484" w:rsidRPr="00A13A65" w:rsidRDefault="00E20484" w:rsidP="00E204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</w:tr>
      <w:tr w:rsidR="00E20484" w:rsidRPr="00D877CA" w14:paraId="1E60450D" w14:textId="77777777" w:rsidTr="002F0D78">
        <w:trPr>
          <w:tblCellSpacing w:w="15" w:type="dxa"/>
        </w:trPr>
        <w:tc>
          <w:tcPr>
            <w:tcW w:w="1737" w:type="dxa"/>
            <w:tcBorders>
              <w:right w:val="single" w:sz="4" w:space="0" w:color="auto"/>
            </w:tcBorders>
            <w:vAlign w:val="center"/>
          </w:tcPr>
          <w:p w14:paraId="516E1553" w14:textId="67A6B971" w:rsidR="00E20484" w:rsidRDefault="00E20484" w:rsidP="00E204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204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Positive</w:t>
            </w:r>
          </w:p>
        </w:tc>
        <w:tc>
          <w:tcPr>
            <w:tcW w:w="2535" w:type="dxa"/>
            <w:vAlign w:val="center"/>
          </w:tcPr>
          <w:p w14:paraId="0734FDA7" w14:textId="43C9A59C" w:rsidR="00E20484" w:rsidRPr="00A13A65" w:rsidRDefault="00684965" w:rsidP="00E204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48.8</w:t>
            </w:r>
          </w:p>
        </w:tc>
        <w:tc>
          <w:tcPr>
            <w:tcW w:w="2808" w:type="dxa"/>
            <w:tcBorders>
              <w:right w:val="single" w:sz="4" w:space="0" w:color="auto"/>
            </w:tcBorders>
            <w:vAlign w:val="center"/>
          </w:tcPr>
          <w:p w14:paraId="16F3A3BF" w14:textId="11D0E7B0" w:rsidR="00E20484" w:rsidRPr="00A13A65" w:rsidRDefault="00684965" w:rsidP="00E204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10</w:t>
            </w:r>
          </w:p>
        </w:tc>
        <w:tc>
          <w:tcPr>
            <w:tcW w:w="2403" w:type="dxa"/>
            <w:tcBorders>
              <w:right w:val="single" w:sz="4" w:space="0" w:color="auto"/>
            </w:tcBorders>
          </w:tcPr>
          <w:p w14:paraId="1BDD9315" w14:textId="6CC51BE3" w:rsidR="00684965" w:rsidRPr="00A13A65" w:rsidRDefault="00684965" w:rsidP="0068496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34</w:t>
            </w:r>
          </w:p>
        </w:tc>
      </w:tr>
      <w:tr w:rsidR="00E20484" w:rsidRPr="00D877CA" w14:paraId="3188CBB8" w14:textId="77777777" w:rsidTr="002F0D78">
        <w:trPr>
          <w:tblCellSpacing w:w="15" w:type="dxa"/>
        </w:trPr>
        <w:tc>
          <w:tcPr>
            <w:tcW w:w="1737" w:type="dxa"/>
            <w:tcBorders>
              <w:right w:val="single" w:sz="4" w:space="0" w:color="auto"/>
            </w:tcBorders>
            <w:vAlign w:val="center"/>
          </w:tcPr>
          <w:p w14:paraId="6E45D4F1" w14:textId="0225022A" w:rsidR="00E20484" w:rsidRDefault="00E20484" w:rsidP="00E204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Negative</w:t>
            </w:r>
          </w:p>
        </w:tc>
        <w:tc>
          <w:tcPr>
            <w:tcW w:w="2535" w:type="dxa"/>
            <w:vAlign w:val="center"/>
          </w:tcPr>
          <w:p w14:paraId="08071DDC" w14:textId="2D1995AD" w:rsidR="00E20484" w:rsidRPr="00A13A65" w:rsidRDefault="00684965" w:rsidP="00E204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52.4</w:t>
            </w:r>
          </w:p>
        </w:tc>
        <w:tc>
          <w:tcPr>
            <w:tcW w:w="2808" w:type="dxa"/>
            <w:tcBorders>
              <w:right w:val="single" w:sz="4" w:space="0" w:color="auto"/>
            </w:tcBorders>
            <w:vAlign w:val="center"/>
          </w:tcPr>
          <w:p w14:paraId="14114197" w14:textId="116C5F42" w:rsidR="00E20484" w:rsidRPr="00A13A65" w:rsidRDefault="00684965" w:rsidP="00E204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8.7</w:t>
            </w:r>
          </w:p>
        </w:tc>
        <w:tc>
          <w:tcPr>
            <w:tcW w:w="2403" w:type="dxa"/>
            <w:tcBorders>
              <w:right w:val="single" w:sz="4" w:space="0" w:color="auto"/>
            </w:tcBorders>
          </w:tcPr>
          <w:p w14:paraId="750DE7F6" w14:textId="28B8AE80" w:rsidR="00E20484" w:rsidRPr="00A13A65" w:rsidRDefault="00684965" w:rsidP="00E204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839</w:t>
            </w:r>
          </w:p>
        </w:tc>
      </w:tr>
      <w:tr w:rsidR="00E20484" w:rsidRPr="00D877CA" w14:paraId="78ECAD9B" w14:textId="77777777" w:rsidTr="00684965">
        <w:trPr>
          <w:tblCellSpacing w:w="15" w:type="dxa"/>
        </w:trPr>
        <w:tc>
          <w:tcPr>
            <w:tcW w:w="173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7FC155A" w14:textId="60D0BE20" w:rsidR="00E20484" w:rsidRDefault="00E20484" w:rsidP="00E204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Total</w:t>
            </w:r>
          </w:p>
        </w:tc>
        <w:tc>
          <w:tcPr>
            <w:tcW w:w="2535" w:type="dxa"/>
            <w:tcBorders>
              <w:bottom w:val="single" w:sz="4" w:space="0" w:color="auto"/>
            </w:tcBorders>
            <w:vAlign w:val="center"/>
          </w:tcPr>
          <w:p w14:paraId="4CCC10C9" w14:textId="71128AEB" w:rsidR="00E20484" w:rsidRPr="00A13A65" w:rsidRDefault="00684965" w:rsidP="00E204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52.3</w:t>
            </w:r>
          </w:p>
        </w:tc>
        <w:tc>
          <w:tcPr>
            <w:tcW w:w="280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BACC8DC" w14:textId="722EACAE" w:rsidR="00E20484" w:rsidRPr="00A13A65" w:rsidRDefault="00684965" w:rsidP="00E204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8.6</w:t>
            </w:r>
          </w:p>
        </w:tc>
        <w:tc>
          <w:tcPr>
            <w:tcW w:w="2403" w:type="dxa"/>
            <w:tcBorders>
              <w:bottom w:val="single" w:sz="4" w:space="0" w:color="auto"/>
              <w:right w:val="single" w:sz="4" w:space="0" w:color="auto"/>
            </w:tcBorders>
          </w:tcPr>
          <w:p w14:paraId="3EA27198" w14:textId="397184A7" w:rsidR="00E20484" w:rsidRPr="00A13A65" w:rsidRDefault="00684965" w:rsidP="00E204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873</w:t>
            </w:r>
          </w:p>
        </w:tc>
      </w:tr>
      <w:tr w:rsidR="00684965" w:rsidRPr="00D877CA" w14:paraId="0B188B75" w14:textId="77777777" w:rsidTr="002F0D78">
        <w:trPr>
          <w:tblCellSpacing w:w="15" w:type="dxa"/>
        </w:trPr>
        <w:tc>
          <w:tcPr>
            <w:tcW w:w="1737" w:type="dxa"/>
            <w:tcBorders>
              <w:right w:val="single" w:sz="4" w:space="0" w:color="auto"/>
            </w:tcBorders>
            <w:vAlign w:val="center"/>
          </w:tcPr>
          <w:p w14:paraId="2ACD07E6" w14:textId="01012809" w:rsidR="00684965" w:rsidRPr="00683DD1" w:rsidRDefault="00684965" w:rsidP="00684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683DD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34</w:t>
            </w:r>
            <w:r w:rsidR="002411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683DD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˂</w:t>
            </w:r>
            <w:r w:rsidR="002411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683DD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β-</w:t>
            </w:r>
            <w:proofErr w:type="spellStart"/>
            <w:r w:rsidRPr="00683DD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globin</w:t>
            </w:r>
            <w:proofErr w:type="spellEnd"/>
            <w:r w:rsidRPr="00683DD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 xml:space="preserve"> ≤</w:t>
            </w:r>
            <w:r w:rsidR="002411C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683DD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40</w:t>
            </w:r>
          </w:p>
        </w:tc>
        <w:tc>
          <w:tcPr>
            <w:tcW w:w="2535" w:type="dxa"/>
            <w:vAlign w:val="center"/>
          </w:tcPr>
          <w:p w14:paraId="16B4CE4F" w14:textId="77777777" w:rsidR="00684965" w:rsidRPr="00A13A65" w:rsidRDefault="00684965" w:rsidP="0068496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  <w:tc>
          <w:tcPr>
            <w:tcW w:w="2808" w:type="dxa"/>
            <w:tcBorders>
              <w:right w:val="single" w:sz="4" w:space="0" w:color="auto"/>
            </w:tcBorders>
            <w:vAlign w:val="center"/>
          </w:tcPr>
          <w:p w14:paraId="315B78AD" w14:textId="77777777" w:rsidR="00684965" w:rsidRPr="00A13A65" w:rsidRDefault="00684965" w:rsidP="0068496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  <w:tc>
          <w:tcPr>
            <w:tcW w:w="2403" w:type="dxa"/>
            <w:tcBorders>
              <w:right w:val="single" w:sz="4" w:space="0" w:color="auto"/>
            </w:tcBorders>
          </w:tcPr>
          <w:p w14:paraId="1D3165BB" w14:textId="77777777" w:rsidR="00684965" w:rsidRPr="00A13A65" w:rsidRDefault="00684965" w:rsidP="0068496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</w:tr>
      <w:tr w:rsidR="00684965" w:rsidRPr="00D877CA" w14:paraId="45A5B5E6" w14:textId="77777777" w:rsidTr="002F0D78">
        <w:trPr>
          <w:tblCellSpacing w:w="15" w:type="dxa"/>
        </w:trPr>
        <w:tc>
          <w:tcPr>
            <w:tcW w:w="1737" w:type="dxa"/>
            <w:tcBorders>
              <w:right w:val="single" w:sz="4" w:space="0" w:color="auto"/>
            </w:tcBorders>
            <w:vAlign w:val="center"/>
          </w:tcPr>
          <w:p w14:paraId="47AAB6C9" w14:textId="08D630B2" w:rsidR="00684965" w:rsidRDefault="00684965" w:rsidP="006849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204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Positive</w:t>
            </w:r>
          </w:p>
        </w:tc>
        <w:tc>
          <w:tcPr>
            <w:tcW w:w="2535" w:type="dxa"/>
            <w:vAlign w:val="center"/>
          </w:tcPr>
          <w:p w14:paraId="7B330818" w14:textId="06158B25" w:rsidR="00684965" w:rsidRPr="00A13A65" w:rsidRDefault="00684965" w:rsidP="0068496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44.3</w:t>
            </w:r>
          </w:p>
        </w:tc>
        <w:tc>
          <w:tcPr>
            <w:tcW w:w="2808" w:type="dxa"/>
            <w:tcBorders>
              <w:right w:val="single" w:sz="4" w:space="0" w:color="auto"/>
            </w:tcBorders>
            <w:vAlign w:val="center"/>
          </w:tcPr>
          <w:p w14:paraId="6FCA8111" w14:textId="6A2073EE" w:rsidR="00684965" w:rsidRPr="00A13A65" w:rsidRDefault="00684965" w:rsidP="0068496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14.6</w:t>
            </w:r>
          </w:p>
        </w:tc>
        <w:tc>
          <w:tcPr>
            <w:tcW w:w="2403" w:type="dxa"/>
            <w:tcBorders>
              <w:right w:val="single" w:sz="4" w:space="0" w:color="auto"/>
            </w:tcBorders>
          </w:tcPr>
          <w:p w14:paraId="46C66F39" w14:textId="1EFB0B90" w:rsidR="00684965" w:rsidRPr="00A13A65" w:rsidRDefault="00684965" w:rsidP="0068496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3</w:t>
            </w:r>
          </w:p>
        </w:tc>
      </w:tr>
      <w:tr w:rsidR="00684965" w:rsidRPr="00D877CA" w14:paraId="6905F517" w14:textId="77777777" w:rsidTr="002F0D78">
        <w:trPr>
          <w:tblCellSpacing w:w="15" w:type="dxa"/>
        </w:trPr>
        <w:tc>
          <w:tcPr>
            <w:tcW w:w="1737" w:type="dxa"/>
            <w:tcBorders>
              <w:right w:val="single" w:sz="4" w:space="0" w:color="auto"/>
            </w:tcBorders>
            <w:vAlign w:val="center"/>
          </w:tcPr>
          <w:p w14:paraId="005FF626" w14:textId="24986938" w:rsidR="00684965" w:rsidRPr="00E20484" w:rsidRDefault="00684965" w:rsidP="006849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Negative</w:t>
            </w:r>
          </w:p>
        </w:tc>
        <w:tc>
          <w:tcPr>
            <w:tcW w:w="2535" w:type="dxa"/>
            <w:vAlign w:val="center"/>
          </w:tcPr>
          <w:p w14:paraId="7C72C9F2" w14:textId="463EDA62" w:rsidR="00684965" w:rsidRPr="00A13A65" w:rsidRDefault="00684965" w:rsidP="0068496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51.9</w:t>
            </w:r>
          </w:p>
        </w:tc>
        <w:tc>
          <w:tcPr>
            <w:tcW w:w="2808" w:type="dxa"/>
            <w:tcBorders>
              <w:right w:val="single" w:sz="4" w:space="0" w:color="auto"/>
            </w:tcBorders>
            <w:vAlign w:val="center"/>
          </w:tcPr>
          <w:p w14:paraId="5ABA4751" w14:textId="31D96689" w:rsidR="00684965" w:rsidRPr="00A13A65" w:rsidRDefault="00684965" w:rsidP="0068496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8.9</w:t>
            </w:r>
          </w:p>
        </w:tc>
        <w:tc>
          <w:tcPr>
            <w:tcW w:w="2403" w:type="dxa"/>
            <w:tcBorders>
              <w:right w:val="single" w:sz="4" w:space="0" w:color="auto"/>
            </w:tcBorders>
          </w:tcPr>
          <w:p w14:paraId="374EE723" w14:textId="68161AB6" w:rsidR="00684965" w:rsidRPr="00A13A65" w:rsidRDefault="00684965" w:rsidP="0068496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211</w:t>
            </w:r>
          </w:p>
        </w:tc>
      </w:tr>
      <w:tr w:rsidR="00684965" w:rsidRPr="00D877CA" w14:paraId="36146FE5" w14:textId="77777777" w:rsidTr="00684965">
        <w:trPr>
          <w:tblCellSpacing w:w="15" w:type="dxa"/>
        </w:trPr>
        <w:tc>
          <w:tcPr>
            <w:tcW w:w="173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66DE34E" w14:textId="491572A4" w:rsidR="00684965" w:rsidRDefault="00684965" w:rsidP="006849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Total</w:t>
            </w:r>
          </w:p>
        </w:tc>
        <w:tc>
          <w:tcPr>
            <w:tcW w:w="2535" w:type="dxa"/>
            <w:tcBorders>
              <w:bottom w:val="single" w:sz="4" w:space="0" w:color="auto"/>
            </w:tcBorders>
            <w:vAlign w:val="center"/>
          </w:tcPr>
          <w:p w14:paraId="40B5EBE5" w14:textId="6CD85E77" w:rsidR="00684965" w:rsidRPr="00A13A65" w:rsidRDefault="00684965" w:rsidP="0068496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51.9</w:t>
            </w:r>
          </w:p>
        </w:tc>
        <w:tc>
          <w:tcPr>
            <w:tcW w:w="280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E2791C0" w14:textId="4A1579EF" w:rsidR="00684965" w:rsidRPr="00A13A65" w:rsidRDefault="00684965" w:rsidP="0068496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8.9</w:t>
            </w:r>
          </w:p>
        </w:tc>
        <w:tc>
          <w:tcPr>
            <w:tcW w:w="2403" w:type="dxa"/>
            <w:tcBorders>
              <w:bottom w:val="single" w:sz="4" w:space="0" w:color="auto"/>
              <w:right w:val="single" w:sz="4" w:space="0" w:color="auto"/>
            </w:tcBorders>
          </w:tcPr>
          <w:p w14:paraId="6F0F3941" w14:textId="227E1E62" w:rsidR="00684965" w:rsidRPr="00A13A65" w:rsidRDefault="00684965" w:rsidP="0068496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214</w:t>
            </w:r>
          </w:p>
        </w:tc>
      </w:tr>
      <w:tr w:rsidR="00684965" w:rsidRPr="00D877CA" w14:paraId="3F45F7BE" w14:textId="77777777" w:rsidTr="002F0D78">
        <w:trPr>
          <w:tblCellSpacing w:w="15" w:type="dxa"/>
        </w:trPr>
        <w:tc>
          <w:tcPr>
            <w:tcW w:w="1737" w:type="dxa"/>
            <w:tcBorders>
              <w:right w:val="single" w:sz="4" w:space="0" w:color="auto"/>
            </w:tcBorders>
            <w:vAlign w:val="center"/>
          </w:tcPr>
          <w:p w14:paraId="4B450184" w14:textId="3FA409EF" w:rsidR="00684965" w:rsidRPr="00683DD1" w:rsidRDefault="00684965" w:rsidP="00684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683DD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Total</w:t>
            </w:r>
          </w:p>
        </w:tc>
        <w:tc>
          <w:tcPr>
            <w:tcW w:w="2535" w:type="dxa"/>
            <w:vAlign w:val="center"/>
          </w:tcPr>
          <w:p w14:paraId="31580E61" w14:textId="77777777" w:rsidR="00684965" w:rsidRDefault="00684965" w:rsidP="0068496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  <w:tc>
          <w:tcPr>
            <w:tcW w:w="2808" w:type="dxa"/>
            <w:tcBorders>
              <w:right w:val="single" w:sz="4" w:space="0" w:color="auto"/>
            </w:tcBorders>
            <w:vAlign w:val="center"/>
          </w:tcPr>
          <w:p w14:paraId="1A2C6885" w14:textId="77777777" w:rsidR="00684965" w:rsidRDefault="00684965" w:rsidP="0068496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  <w:tc>
          <w:tcPr>
            <w:tcW w:w="2403" w:type="dxa"/>
            <w:tcBorders>
              <w:right w:val="single" w:sz="4" w:space="0" w:color="auto"/>
            </w:tcBorders>
          </w:tcPr>
          <w:p w14:paraId="34B28285" w14:textId="77777777" w:rsidR="00684965" w:rsidRDefault="00684965" w:rsidP="0068496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</w:tr>
      <w:tr w:rsidR="00684965" w:rsidRPr="00D877CA" w14:paraId="06F7D3D3" w14:textId="77777777" w:rsidTr="002F0D78">
        <w:trPr>
          <w:tblCellSpacing w:w="15" w:type="dxa"/>
        </w:trPr>
        <w:tc>
          <w:tcPr>
            <w:tcW w:w="1737" w:type="dxa"/>
            <w:tcBorders>
              <w:right w:val="single" w:sz="4" w:space="0" w:color="auto"/>
            </w:tcBorders>
            <w:vAlign w:val="center"/>
          </w:tcPr>
          <w:p w14:paraId="7A3DFC2D" w14:textId="35791557" w:rsidR="00684965" w:rsidRDefault="00684965" w:rsidP="006849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204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Positive</w:t>
            </w:r>
          </w:p>
        </w:tc>
        <w:tc>
          <w:tcPr>
            <w:tcW w:w="2535" w:type="dxa"/>
            <w:vAlign w:val="center"/>
          </w:tcPr>
          <w:p w14:paraId="3700477B" w14:textId="2F40B6CA" w:rsidR="00684965" w:rsidRDefault="00684965" w:rsidP="0068496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44.9</w:t>
            </w:r>
          </w:p>
        </w:tc>
        <w:tc>
          <w:tcPr>
            <w:tcW w:w="2808" w:type="dxa"/>
            <w:tcBorders>
              <w:right w:val="single" w:sz="4" w:space="0" w:color="auto"/>
            </w:tcBorders>
            <w:vAlign w:val="center"/>
          </w:tcPr>
          <w:p w14:paraId="20C2FA59" w14:textId="66A59B4E" w:rsidR="00684965" w:rsidRDefault="00684965" w:rsidP="0068496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9.6</w:t>
            </w:r>
          </w:p>
        </w:tc>
        <w:tc>
          <w:tcPr>
            <w:tcW w:w="2403" w:type="dxa"/>
            <w:tcBorders>
              <w:right w:val="single" w:sz="4" w:space="0" w:color="auto"/>
            </w:tcBorders>
          </w:tcPr>
          <w:p w14:paraId="730AF8CD" w14:textId="12DF2190" w:rsidR="00684965" w:rsidRDefault="00684965" w:rsidP="0068496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2891</w:t>
            </w:r>
          </w:p>
        </w:tc>
      </w:tr>
      <w:tr w:rsidR="00684965" w:rsidRPr="00D877CA" w14:paraId="7807E279" w14:textId="77777777" w:rsidTr="002F0D78">
        <w:trPr>
          <w:tblCellSpacing w:w="15" w:type="dxa"/>
        </w:trPr>
        <w:tc>
          <w:tcPr>
            <w:tcW w:w="1737" w:type="dxa"/>
            <w:tcBorders>
              <w:right w:val="single" w:sz="4" w:space="0" w:color="auto"/>
            </w:tcBorders>
            <w:vAlign w:val="center"/>
          </w:tcPr>
          <w:p w14:paraId="6C860929" w14:textId="01347E75" w:rsidR="00684965" w:rsidRDefault="00684965" w:rsidP="006849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Negative</w:t>
            </w:r>
          </w:p>
        </w:tc>
        <w:tc>
          <w:tcPr>
            <w:tcW w:w="2535" w:type="dxa"/>
            <w:vAlign w:val="center"/>
          </w:tcPr>
          <w:p w14:paraId="6D1A5CFB" w14:textId="0D0A7EB2" w:rsidR="00684965" w:rsidRDefault="00684965" w:rsidP="0068496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48.1</w:t>
            </w:r>
          </w:p>
        </w:tc>
        <w:tc>
          <w:tcPr>
            <w:tcW w:w="2808" w:type="dxa"/>
            <w:tcBorders>
              <w:right w:val="single" w:sz="4" w:space="0" w:color="auto"/>
            </w:tcBorders>
            <w:vAlign w:val="center"/>
          </w:tcPr>
          <w:p w14:paraId="276E0963" w14:textId="5D22662F" w:rsidR="00684965" w:rsidRDefault="00684965" w:rsidP="0068496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9.3</w:t>
            </w:r>
          </w:p>
        </w:tc>
        <w:tc>
          <w:tcPr>
            <w:tcW w:w="2403" w:type="dxa"/>
            <w:tcBorders>
              <w:right w:val="single" w:sz="4" w:space="0" w:color="auto"/>
            </w:tcBorders>
          </w:tcPr>
          <w:p w14:paraId="436AECB6" w14:textId="0F116120" w:rsidR="00684965" w:rsidRDefault="00684965" w:rsidP="0068496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34701</w:t>
            </w:r>
          </w:p>
        </w:tc>
      </w:tr>
      <w:tr w:rsidR="00684965" w:rsidRPr="00D877CA" w14:paraId="15BD8FE3" w14:textId="77777777" w:rsidTr="002F0D78">
        <w:trPr>
          <w:tblCellSpacing w:w="15" w:type="dxa"/>
        </w:trPr>
        <w:tc>
          <w:tcPr>
            <w:tcW w:w="1737" w:type="dxa"/>
            <w:tcBorders>
              <w:right w:val="single" w:sz="4" w:space="0" w:color="auto"/>
            </w:tcBorders>
            <w:vAlign w:val="center"/>
          </w:tcPr>
          <w:p w14:paraId="61882C6C" w14:textId="73E90405" w:rsidR="00684965" w:rsidRDefault="00684965" w:rsidP="0068496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Grand Total</w:t>
            </w:r>
          </w:p>
        </w:tc>
        <w:tc>
          <w:tcPr>
            <w:tcW w:w="2535" w:type="dxa"/>
            <w:vAlign w:val="center"/>
          </w:tcPr>
          <w:p w14:paraId="401D1DCD" w14:textId="5A3019EE" w:rsidR="00684965" w:rsidRDefault="00684965" w:rsidP="0068496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47.8</w:t>
            </w:r>
          </w:p>
        </w:tc>
        <w:tc>
          <w:tcPr>
            <w:tcW w:w="2808" w:type="dxa"/>
            <w:tcBorders>
              <w:right w:val="single" w:sz="4" w:space="0" w:color="auto"/>
            </w:tcBorders>
            <w:vAlign w:val="center"/>
          </w:tcPr>
          <w:p w14:paraId="380D10E6" w14:textId="33394646" w:rsidR="00684965" w:rsidRDefault="00684965" w:rsidP="0068496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9.4</w:t>
            </w:r>
          </w:p>
        </w:tc>
        <w:tc>
          <w:tcPr>
            <w:tcW w:w="2403" w:type="dxa"/>
            <w:tcBorders>
              <w:right w:val="single" w:sz="4" w:space="0" w:color="auto"/>
            </w:tcBorders>
          </w:tcPr>
          <w:p w14:paraId="684E0FB5" w14:textId="139F11F6" w:rsidR="00684965" w:rsidRDefault="00683DD1" w:rsidP="0068496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3</w:t>
            </w:r>
            <w:r w:rsidR="0068496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it-IT"/>
                <w14:ligatures w14:val="none"/>
              </w:rPr>
              <w:t>7592</w:t>
            </w:r>
          </w:p>
        </w:tc>
      </w:tr>
    </w:tbl>
    <w:p w14:paraId="2E8BAA67" w14:textId="77777777" w:rsidR="002F0D78" w:rsidRDefault="002F0D78" w:rsidP="005F1C7B">
      <w:pPr>
        <w:jc w:val="both"/>
        <w:rPr>
          <w:sz w:val="22"/>
          <w:szCs w:val="22"/>
        </w:rPr>
      </w:pPr>
    </w:p>
    <w:p w14:paraId="412D0B1A" w14:textId="1745DD28" w:rsidR="00683DD1" w:rsidRPr="009A70BC" w:rsidRDefault="005F1C7B" w:rsidP="009A70BC">
      <w:pPr>
        <w:spacing w:after="0"/>
        <w:jc w:val="both"/>
        <w:rPr>
          <w:rFonts w:ascii="Times New Roman" w:hAnsi="Times New Roman" w:cs="Times New Roman"/>
          <w:i/>
          <w:iCs/>
          <w:lang w:val="en-US"/>
        </w:rPr>
      </w:pPr>
      <w:r w:rsidRPr="009A70BC">
        <w:rPr>
          <w:rFonts w:ascii="Times New Roman" w:hAnsi="Times New Roman" w:cs="Times New Roman"/>
          <w:b/>
          <w:bCs/>
          <w:lang w:val="en-US"/>
        </w:rPr>
        <w:t xml:space="preserve">Table </w:t>
      </w:r>
      <w:r w:rsidR="00F56F9F" w:rsidRPr="009A70BC">
        <w:rPr>
          <w:rFonts w:ascii="Times New Roman" w:hAnsi="Times New Roman" w:cs="Times New Roman"/>
          <w:b/>
          <w:bCs/>
          <w:lang w:val="en-US"/>
        </w:rPr>
        <w:t>III</w:t>
      </w:r>
      <w:r w:rsidRPr="009A70BC">
        <w:rPr>
          <w:rFonts w:ascii="Times New Roman" w:hAnsi="Times New Roman" w:cs="Times New Roman"/>
          <w:b/>
          <w:bCs/>
          <w:lang w:val="en-US"/>
        </w:rPr>
        <w:t>.</w:t>
      </w:r>
      <w:r w:rsidRPr="009A70BC">
        <w:rPr>
          <w:rFonts w:ascii="Times New Roman" w:hAnsi="Times New Roman" w:cs="Times New Roman"/>
          <w:i/>
          <w:iCs/>
          <w:lang w:val="en-US"/>
        </w:rPr>
        <w:t xml:space="preserve"> Age</w:t>
      </w:r>
      <w:r w:rsidR="00403EE4" w:rsidRPr="009A70BC">
        <w:rPr>
          <w:rFonts w:ascii="Times New Roman" w:hAnsi="Times New Roman" w:cs="Times New Roman"/>
          <w:i/>
          <w:iCs/>
          <w:lang w:val="en-US"/>
        </w:rPr>
        <w:t xml:space="preserve"> </w:t>
      </w:r>
      <w:r w:rsidR="00684965" w:rsidRPr="009A70BC">
        <w:rPr>
          <w:rFonts w:ascii="Times New Roman" w:hAnsi="Times New Roman" w:cs="Times New Roman"/>
          <w:i/>
          <w:iCs/>
          <w:lang w:val="en-US"/>
        </w:rPr>
        <w:t>±</w:t>
      </w:r>
      <w:r w:rsidR="00403EE4" w:rsidRPr="009A70BC">
        <w:rPr>
          <w:rFonts w:ascii="Times New Roman" w:hAnsi="Times New Roman" w:cs="Times New Roman"/>
          <w:i/>
          <w:iCs/>
          <w:lang w:val="en-US"/>
        </w:rPr>
        <w:t xml:space="preserve"> </w:t>
      </w:r>
      <w:r w:rsidR="009C64CC" w:rsidRPr="009A70BC">
        <w:rPr>
          <w:rFonts w:ascii="Times New Roman" w:hAnsi="Times New Roman" w:cs="Times New Roman"/>
          <w:i/>
          <w:iCs/>
          <w:lang w:val="en-US"/>
        </w:rPr>
        <w:t>S</w:t>
      </w:r>
      <w:r w:rsidR="00683DD1" w:rsidRPr="009A70BC">
        <w:rPr>
          <w:rFonts w:ascii="Times New Roman" w:hAnsi="Times New Roman" w:cs="Times New Roman"/>
          <w:i/>
          <w:iCs/>
          <w:lang w:val="en-US"/>
        </w:rPr>
        <w:t>tandard Deviation (</w:t>
      </w:r>
      <w:proofErr w:type="spellStart"/>
      <w:r w:rsidR="00684965" w:rsidRPr="009A70BC">
        <w:rPr>
          <w:rFonts w:ascii="Times New Roman" w:hAnsi="Times New Roman" w:cs="Times New Roman"/>
          <w:i/>
          <w:iCs/>
          <w:lang w:val="en-US"/>
        </w:rPr>
        <w:t>StDev</w:t>
      </w:r>
      <w:proofErr w:type="spellEnd"/>
      <w:r w:rsidR="00683DD1" w:rsidRPr="009A70BC">
        <w:rPr>
          <w:rFonts w:ascii="Times New Roman" w:hAnsi="Times New Roman" w:cs="Times New Roman"/>
          <w:i/>
          <w:iCs/>
          <w:lang w:val="en-US"/>
        </w:rPr>
        <w:t>)</w:t>
      </w:r>
      <w:r w:rsidRPr="009A70BC">
        <w:rPr>
          <w:rFonts w:ascii="Times New Roman" w:hAnsi="Times New Roman" w:cs="Times New Roman"/>
          <w:i/>
          <w:iCs/>
          <w:lang w:val="en-US"/>
        </w:rPr>
        <w:t xml:space="preserve"> </w:t>
      </w:r>
      <w:r w:rsidR="00684965" w:rsidRPr="009A70BC">
        <w:rPr>
          <w:rFonts w:ascii="Times New Roman" w:hAnsi="Times New Roman" w:cs="Times New Roman"/>
          <w:i/>
          <w:iCs/>
          <w:lang w:val="en-US"/>
        </w:rPr>
        <w:t>in each</w:t>
      </w:r>
      <w:r w:rsidRPr="009A70BC">
        <w:rPr>
          <w:rFonts w:ascii="Times New Roman" w:hAnsi="Times New Roman" w:cs="Times New Roman"/>
          <w:i/>
          <w:iCs/>
          <w:lang w:val="en-US"/>
        </w:rPr>
        <w:t xml:space="preserve"> </w:t>
      </w:r>
      <w:r w:rsidR="002166A6" w:rsidRPr="009A70BC">
        <w:rPr>
          <w:rFonts w:ascii="Symbol" w:hAnsi="Symbol" w:cs="Times New Roman"/>
          <w:i/>
          <w:iCs/>
          <w:lang w:val="en-US"/>
        </w:rPr>
        <w:t>b</w:t>
      </w:r>
      <w:r w:rsidRPr="009A70BC">
        <w:rPr>
          <w:rFonts w:ascii="Times New Roman" w:hAnsi="Times New Roman" w:cs="Times New Roman"/>
          <w:i/>
          <w:iCs/>
          <w:lang w:val="en-US"/>
        </w:rPr>
        <w:t>-</w:t>
      </w:r>
      <w:r w:rsidR="00683DD1" w:rsidRPr="009A70BC">
        <w:rPr>
          <w:rFonts w:ascii="Times New Roman" w:hAnsi="Times New Roman" w:cs="Times New Roman"/>
          <w:i/>
          <w:iCs/>
          <w:lang w:val="en-US"/>
        </w:rPr>
        <w:t>g</w:t>
      </w:r>
      <w:r w:rsidRPr="009A70BC">
        <w:rPr>
          <w:rFonts w:ascii="Times New Roman" w:hAnsi="Times New Roman" w:cs="Times New Roman"/>
          <w:i/>
          <w:iCs/>
          <w:lang w:val="en-US"/>
        </w:rPr>
        <w:t>lobin Ct Range.</w:t>
      </w:r>
      <w:r w:rsidR="00683DD1" w:rsidRPr="009A70BC">
        <w:rPr>
          <w:rFonts w:ascii="Times New Roman" w:hAnsi="Times New Roman" w:cs="Times New Roman"/>
          <w:i/>
          <w:iCs/>
          <w:lang w:val="en-US"/>
        </w:rPr>
        <w:t xml:space="preserve"> N</w:t>
      </w:r>
      <w:r w:rsidR="002411C9" w:rsidRPr="009A70BC">
        <w:rPr>
          <w:rFonts w:ascii="Times New Roman" w:hAnsi="Times New Roman" w:cs="Times New Roman"/>
          <w:i/>
          <w:iCs/>
          <w:lang w:val="en-US"/>
        </w:rPr>
        <w:t xml:space="preserve"> </w:t>
      </w:r>
      <w:r w:rsidR="00683DD1" w:rsidRPr="009A70BC">
        <w:rPr>
          <w:rFonts w:ascii="Times New Roman" w:hAnsi="Times New Roman" w:cs="Times New Roman"/>
          <w:i/>
          <w:iCs/>
          <w:lang w:val="en-US"/>
        </w:rPr>
        <w:t>=</w:t>
      </w:r>
      <w:r w:rsidR="002411C9" w:rsidRPr="009A70BC">
        <w:rPr>
          <w:rFonts w:ascii="Times New Roman" w:hAnsi="Times New Roman" w:cs="Times New Roman"/>
          <w:i/>
          <w:iCs/>
          <w:lang w:val="en-US"/>
        </w:rPr>
        <w:t xml:space="preserve"> </w:t>
      </w:r>
      <w:r w:rsidR="00683DD1" w:rsidRPr="009A70BC">
        <w:rPr>
          <w:rFonts w:ascii="Times New Roman" w:hAnsi="Times New Roman" w:cs="Times New Roman"/>
          <w:i/>
          <w:iCs/>
          <w:lang w:val="en-US"/>
        </w:rPr>
        <w:t xml:space="preserve">sample count in each group. </w:t>
      </w:r>
      <w:r w:rsidR="00425B76" w:rsidRPr="009A70BC">
        <w:rPr>
          <w:rFonts w:ascii="Times New Roman" w:hAnsi="Times New Roman" w:cs="Times New Roman"/>
          <w:i/>
          <w:iCs/>
          <w:lang w:val="en-US"/>
        </w:rPr>
        <w:t>Age unpaired T-Test p</w:t>
      </w:r>
      <w:r w:rsidR="009C64CC" w:rsidRPr="009A70BC">
        <w:rPr>
          <w:rFonts w:ascii="Times New Roman" w:hAnsi="Times New Roman" w:cs="Times New Roman"/>
          <w:i/>
          <w:iCs/>
          <w:lang w:val="en-US"/>
        </w:rPr>
        <w:t xml:space="preserve"> value </w:t>
      </w:r>
      <w:r w:rsidR="00425B76" w:rsidRPr="009A70BC">
        <w:rPr>
          <w:rFonts w:ascii="Times New Roman" w:hAnsi="Times New Roman" w:cs="Times New Roman"/>
          <w:i/>
          <w:iCs/>
          <w:lang w:val="en-US"/>
        </w:rPr>
        <w:t>&lt;0.0</w:t>
      </w:r>
      <w:r w:rsidR="001323D0" w:rsidRPr="009A70BC">
        <w:rPr>
          <w:rFonts w:ascii="Times New Roman" w:hAnsi="Times New Roman" w:cs="Times New Roman"/>
          <w:i/>
          <w:iCs/>
          <w:lang w:val="en-US"/>
        </w:rPr>
        <w:t>0</w:t>
      </w:r>
      <w:r w:rsidR="00425B76" w:rsidRPr="009A70BC">
        <w:rPr>
          <w:rFonts w:ascii="Times New Roman" w:hAnsi="Times New Roman" w:cs="Times New Roman"/>
          <w:i/>
          <w:iCs/>
          <w:lang w:val="en-US"/>
        </w:rPr>
        <w:t>01 vs β-globin</w:t>
      </w:r>
      <w:r w:rsidR="002411C9" w:rsidRPr="009A70BC">
        <w:rPr>
          <w:rFonts w:ascii="Times New Roman" w:hAnsi="Times New Roman" w:cs="Times New Roman"/>
          <w:i/>
          <w:iCs/>
          <w:lang w:val="en-US"/>
        </w:rPr>
        <w:t xml:space="preserve"> </w:t>
      </w:r>
      <w:r w:rsidR="00425B76" w:rsidRPr="009A70BC">
        <w:rPr>
          <w:rFonts w:ascii="Times New Roman" w:hAnsi="Times New Roman" w:cs="Times New Roman"/>
          <w:i/>
          <w:iCs/>
          <w:lang w:val="en-US"/>
        </w:rPr>
        <w:t>≤</w:t>
      </w:r>
      <w:r w:rsidR="002411C9" w:rsidRPr="009A70BC">
        <w:rPr>
          <w:rFonts w:ascii="Times New Roman" w:hAnsi="Times New Roman" w:cs="Times New Roman"/>
          <w:i/>
          <w:iCs/>
          <w:lang w:val="en-US"/>
        </w:rPr>
        <w:t xml:space="preserve"> </w:t>
      </w:r>
      <w:r w:rsidR="00425B76" w:rsidRPr="009A70BC">
        <w:rPr>
          <w:rFonts w:ascii="Times New Roman" w:hAnsi="Times New Roman" w:cs="Times New Roman"/>
          <w:i/>
          <w:iCs/>
          <w:lang w:val="en-US"/>
        </w:rPr>
        <w:t>28ct group.</w:t>
      </w:r>
    </w:p>
    <w:p w14:paraId="4634FDC5" w14:textId="77777777" w:rsidR="00683DD1" w:rsidRDefault="00683DD1" w:rsidP="005F1C7B">
      <w:pPr>
        <w:jc w:val="both"/>
        <w:rPr>
          <w:i/>
          <w:iCs/>
          <w:sz w:val="22"/>
          <w:szCs w:val="22"/>
          <w:lang w:val="en-US"/>
        </w:rPr>
      </w:pPr>
    </w:p>
    <w:p w14:paraId="26B7F896" w14:textId="6249EDC9" w:rsidR="00F56F9F" w:rsidRDefault="00F56F9F">
      <w:pPr>
        <w:rPr>
          <w:i/>
          <w:iCs/>
          <w:sz w:val="22"/>
          <w:szCs w:val="22"/>
          <w:lang w:val="en-US"/>
        </w:rPr>
      </w:pPr>
      <w:r>
        <w:rPr>
          <w:i/>
          <w:iCs/>
          <w:sz w:val="22"/>
          <w:szCs w:val="22"/>
          <w:lang w:val="en-US"/>
        </w:rPr>
        <w:br w:type="page"/>
      </w:r>
    </w:p>
    <w:p w14:paraId="493418AD" w14:textId="77777777" w:rsidR="001B51C7" w:rsidRDefault="001B51C7" w:rsidP="001B51C7">
      <w:pPr>
        <w:jc w:val="both"/>
        <w:rPr>
          <w:i/>
          <w:iCs/>
          <w:sz w:val="22"/>
          <w:szCs w:val="22"/>
          <w:lang w:val="en-US"/>
        </w:rPr>
      </w:pPr>
    </w:p>
    <w:tbl>
      <w:tblPr>
        <w:tblStyle w:val="Grigliatabella"/>
        <w:tblpPr w:leftFromText="141" w:rightFromText="141" w:vertAnchor="text" w:horzAnchor="margin" w:tblpY="99"/>
        <w:tblW w:w="0" w:type="auto"/>
        <w:tblLook w:val="04A0" w:firstRow="1" w:lastRow="0" w:firstColumn="1" w:lastColumn="0" w:noHBand="0" w:noVBand="1"/>
      </w:tblPr>
      <w:tblGrid>
        <w:gridCol w:w="1460"/>
        <w:gridCol w:w="1390"/>
        <w:gridCol w:w="1391"/>
        <w:gridCol w:w="1389"/>
        <w:gridCol w:w="1365"/>
        <w:gridCol w:w="1391"/>
        <w:gridCol w:w="1252"/>
      </w:tblGrid>
      <w:tr w:rsidR="001B51C7" w:rsidRPr="00D37131" w14:paraId="530363E0" w14:textId="77777777" w:rsidTr="00343033"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C8503B" w14:textId="77777777" w:rsidR="001B51C7" w:rsidRPr="007500DD" w:rsidRDefault="001B51C7" w:rsidP="00343033">
            <w:pPr>
              <w:rPr>
                <w:b/>
                <w:bCs/>
                <w:highlight w:val="yellow"/>
                <w:lang w:val="en-US"/>
              </w:rPr>
            </w:pPr>
          </w:p>
        </w:tc>
        <w:tc>
          <w:tcPr>
            <w:tcW w:w="553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ADB0C" w14:textId="20BF7946" w:rsidR="001B51C7" w:rsidRDefault="001B51C7" w:rsidP="0034303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Age </w:t>
            </w:r>
            <w:r w:rsidR="00D24666">
              <w:rPr>
                <w:rFonts w:ascii="Times New Roman" w:hAnsi="Times New Roman" w:cs="Times New Roman"/>
                <w:b/>
                <w:bCs/>
              </w:rPr>
              <w:t>Range</w:t>
            </w:r>
          </w:p>
          <w:p w14:paraId="28723FB1" w14:textId="77777777" w:rsidR="001B51C7" w:rsidRPr="00D37131" w:rsidRDefault="001B51C7" w:rsidP="00343033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  <w:lang w:val="en-GB"/>
              </w:rPr>
            </w:pP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02252B" w14:textId="77777777" w:rsidR="001B51C7" w:rsidRPr="00D37131" w:rsidRDefault="001B51C7" w:rsidP="00343033">
            <w:pPr>
              <w:rPr>
                <w:rFonts w:ascii="Times New Roman" w:hAnsi="Times New Roman" w:cs="Times New Roman"/>
                <w:b/>
                <w:bCs/>
                <w:highlight w:val="yellow"/>
                <w:lang w:val="en-GB"/>
              </w:rPr>
            </w:pP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58C17A" w14:textId="77777777" w:rsidR="001B51C7" w:rsidRPr="00D37131" w:rsidRDefault="001B51C7" w:rsidP="00343033">
            <w:pPr>
              <w:rPr>
                <w:rFonts w:ascii="Times New Roman" w:hAnsi="Times New Roman" w:cs="Times New Roman"/>
                <w:b/>
                <w:bCs/>
                <w:highlight w:val="yellow"/>
                <w:lang w:val="en-GB"/>
              </w:rPr>
            </w:pPr>
          </w:p>
        </w:tc>
      </w:tr>
      <w:tr w:rsidR="001B51C7" w:rsidRPr="00D37131" w14:paraId="618D2C7E" w14:textId="77777777" w:rsidTr="00343033">
        <w:tc>
          <w:tcPr>
            <w:tcW w:w="1460" w:type="dxa"/>
            <w:tcBorders>
              <w:top w:val="nil"/>
              <w:left w:val="nil"/>
              <w:bottom w:val="single" w:sz="4" w:space="0" w:color="auto"/>
            </w:tcBorders>
          </w:tcPr>
          <w:p w14:paraId="441B5A32" w14:textId="4D8213EF" w:rsidR="001B51C7" w:rsidRDefault="00D24666" w:rsidP="00343033"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HPV</w:t>
            </w:r>
          </w:p>
        </w:tc>
        <w:tc>
          <w:tcPr>
            <w:tcW w:w="1390" w:type="dxa"/>
            <w:tcBorders>
              <w:top w:val="nil"/>
              <w:bottom w:val="single" w:sz="4" w:space="0" w:color="auto"/>
              <w:right w:val="nil"/>
            </w:tcBorders>
          </w:tcPr>
          <w:p w14:paraId="6860177D" w14:textId="77777777" w:rsidR="001B51C7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65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30-39</w:t>
            </w:r>
          </w:p>
          <w:p w14:paraId="2F6C0EEA" w14:textId="5F84FDEC" w:rsidR="00683DD1" w:rsidRPr="001323D0" w:rsidRDefault="00683DD1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97202C2" w14:textId="77777777" w:rsidR="001B51C7" w:rsidRPr="001514AD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5D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E098FB" w14:textId="77777777" w:rsidR="001B51C7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65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40-49</w:t>
            </w:r>
          </w:p>
          <w:p w14:paraId="190F4A85" w14:textId="7AAA8FED" w:rsidR="00683DD1" w:rsidRPr="001323D0" w:rsidRDefault="00683DD1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04599A1F" w14:textId="77777777" w:rsidR="001B51C7" w:rsidRPr="001514AD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5D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7A4EEE" w14:textId="77777777" w:rsidR="001B51C7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65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50-59</w:t>
            </w:r>
          </w:p>
          <w:p w14:paraId="1D06E88D" w14:textId="2D14277D" w:rsidR="00683DD1" w:rsidRPr="001323D0" w:rsidRDefault="00683DD1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7B32FF16" w14:textId="77777777" w:rsidR="001B51C7" w:rsidRPr="001514AD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5D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</w:tcBorders>
          </w:tcPr>
          <w:p w14:paraId="6E70EE4B" w14:textId="77777777" w:rsidR="001B51C7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60-64</w:t>
            </w:r>
          </w:p>
          <w:p w14:paraId="03F7CCAD" w14:textId="5473C05E" w:rsidR="00683DD1" w:rsidRPr="001323D0" w:rsidRDefault="00683DD1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7D72A476" w14:textId="77777777" w:rsidR="001B51C7" w:rsidRPr="001514AD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5D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391" w:type="dxa"/>
            <w:tcBorders>
              <w:top w:val="nil"/>
              <w:bottom w:val="single" w:sz="4" w:space="0" w:color="auto"/>
              <w:right w:val="nil"/>
            </w:tcBorders>
          </w:tcPr>
          <w:p w14:paraId="321C2E64" w14:textId="77777777" w:rsidR="001B51C7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27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  <w:p w14:paraId="7A840722" w14:textId="3612AC3F" w:rsidR="00683DD1" w:rsidRPr="001323D0" w:rsidRDefault="00683DD1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7E2C7EFA" w14:textId="77777777" w:rsidR="001B51C7" w:rsidRPr="007F27B0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27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252" w:type="dxa"/>
            <w:tcBorders>
              <w:top w:val="nil"/>
              <w:bottom w:val="single" w:sz="4" w:space="0" w:color="auto"/>
              <w:right w:val="nil"/>
            </w:tcBorders>
          </w:tcPr>
          <w:p w14:paraId="0C10360F" w14:textId="77777777" w:rsidR="001B51C7" w:rsidRPr="007F27B0" w:rsidRDefault="001B51C7" w:rsidP="00343033">
            <w:pPr>
              <w:spacing w:line="276" w:lineRule="auto"/>
              <w:jc w:val="center"/>
              <w:rPr>
                <w:rFonts w:ascii="Raleway" w:hAnsi="Raleway"/>
                <w:color w:val="444444"/>
                <w:sz w:val="20"/>
                <w:szCs w:val="20"/>
                <w:shd w:val="clear" w:color="auto" w:fill="FFFFFF"/>
              </w:rPr>
            </w:pPr>
            <w:r w:rsidRPr="007F27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Chi </w:t>
            </w:r>
            <w:proofErr w:type="spellStart"/>
            <w:r w:rsidRPr="007F27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squared</w:t>
            </w:r>
            <w:proofErr w:type="spellEnd"/>
            <w:r w:rsidRPr="007F27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27B0">
              <w:rPr>
                <w:rFonts w:ascii="Cambria" w:hAnsi="Cambria" w:cs="Cambria"/>
                <w:color w:val="444444"/>
                <w:sz w:val="20"/>
                <w:szCs w:val="20"/>
                <w:shd w:val="clear" w:color="auto" w:fill="FFFFFF"/>
              </w:rPr>
              <w:t>χ</w:t>
            </w:r>
            <w:r w:rsidRPr="007F27B0">
              <w:rPr>
                <w:rFonts w:ascii="Raleway" w:hAnsi="Raleway"/>
                <w:color w:val="444444"/>
                <w:sz w:val="20"/>
                <w:szCs w:val="20"/>
                <w:shd w:val="clear" w:color="auto" w:fill="FFFFFF"/>
              </w:rPr>
              <w:t>²</w:t>
            </w:r>
          </w:p>
          <w:p w14:paraId="64F68D07" w14:textId="77777777" w:rsidR="001B51C7" w:rsidRPr="007F27B0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27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(p-</w:t>
            </w:r>
            <w:proofErr w:type="spellStart"/>
            <w:r w:rsidRPr="007F27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value</w:t>
            </w:r>
            <w:proofErr w:type="spellEnd"/>
            <w:r w:rsidRPr="007F27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1B51C7" w:rsidRPr="0068758A" w14:paraId="48D947AD" w14:textId="77777777" w:rsidTr="00343033">
        <w:tc>
          <w:tcPr>
            <w:tcW w:w="1460" w:type="dxa"/>
            <w:vMerge w:val="restart"/>
            <w:tcBorders>
              <w:left w:val="nil"/>
            </w:tcBorders>
            <w:vAlign w:val="center"/>
          </w:tcPr>
          <w:p w14:paraId="7FF0CDA3" w14:textId="77777777" w:rsidR="001B51C7" w:rsidRPr="0068758A" w:rsidRDefault="001B51C7" w:rsidP="00343033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negative</w:t>
            </w:r>
          </w:p>
        </w:tc>
        <w:tc>
          <w:tcPr>
            <w:tcW w:w="1390" w:type="dxa"/>
            <w:tcBorders>
              <w:bottom w:val="nil"/>
              <w:right w:val="nil"/>
            </w:tcBorders>
            <w:vAlign w:val="center"/>
          </w:tcPr>
          <w:p w14:paraId="540DEDAF" w14:textId="77777777" w:rsidR="001B51C7" w:rsidRPr="0068758A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7,459</w:t>
            </w:r>
          </w:p>
        </w:tc>
        <w:tc>
          <w:tcPr>
            <w:tcW w:w="1391" w:type="dxa"/>
            <w:tcBorders>
              <w:left w:val="nil"/>
              <w:bottom w:val="nil"/>
              <w:right w:val="nil"/>
            </w:tcBorders>
            <w:vAlign w:val="center"/>
          </w:tcPr>
          <w:p w14:paraId="35643C00" w14:textId="77777777" w:rsidR="001B51C7" w:rsidRPr="0068758A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10,996</w:t>
            </w:r>
          </w:p>
        </w:tc>
        <w:tc>
          <w:tcPr>
            <w:tcW w:w="1389" w:type="dxa"/>
            <w:tcBorders>
              <w:left w:val="nil"/>
              <w:bottom w:val="nil"/>
              <w:right w:val="nil"/>
            </w:tcBorders>
            <w:vAlign w:val="center"/>
          </w:tcPr>
          <w:p w14:paraId="615E9547" w14:textId="77777777" w:rsidR="001B51C7" w:rsidRPr="0068758A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11,790</w:t>
            </w:r>
          </w:p>
        </w:tc>
        <w:tc>
          <w:tcPr>
            <w:tcW w:w="1365" w:type="dxa"/>
            <w:tcBorders>
              <w:left w:val="nil"/>
              <w:bottom w:val="nil"/>
            </w:tcBorders>
            <w:vAlign w:val="center"/>
          </w:tcPr>
          <w:p w14:paraId="0491B75D" w14:textId="77777777" w:rsidR="001B51C7" w:rsidRPr="0068758A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4,456</w:t>
            </w:r>
          </w:p>
        </w:tc>
        <w:tc>
          <w:tcPr>
            <w:tcW w:w="1391" w:type="dxa"/>
            <w:tcBorders>
              <w:bottom w:val="nil"/>
              <w:right w:val="nil"/>
            </w:tcBorders>
            <w:vAlign w:val="center"/>
          </w:tcPr>
          <w:p w14:paraId="653413D8" w14:textId="77777777" w:rsidR="001B51C7" w:rsidRPr="0068758A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34,701</w:t>
            </w:r>
          </w:p>
        </w:tc>
        <w:tc>
          <w:tcPr>
            <w:tcW w:w="1252" w:type="dxa"/>
            <w:tcBorders>
              <w:bottom w:val="nil"/>
              <w:right w:val="nil"/>
            </w:tcBorders>
          </w:tcPr>
          <w:p w14:paraId="19EA33FE" w14:textId="77777777" w:rsidR="001B51C7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51C7" w:rsidRPr="0068758A" w14:paraId="0CA8F4E2" w14:textId="77777777" w:rsidTr="00343033">
        <w:tc>
          <w:tcPr>
            <w:tcW w:w="1460" w:type="dxa"/>
            <w:vMerge/>
            <w:tcBorders>
              <w:left w:val="nil"/>
            </w:tcBorders>
          </w:tcPr>
          <w:p w14:paraId="529F9EB9" w14:textId="77777777" w:rsidR="001B51C7" w:rsidRPr="0068758A" w:rsidRDefault="001B51C7" w:rsidP="0034303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9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099081B" w14:textId="77777777" w:rsidR="001B51C7" w:rsidRPr="001323D0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88.54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D8D90A" w14:textId="77777777" w:rsidR="001B51C7" w:rsidRPr="001323D0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92.08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0B1752" w14:textId="77777777" w:rsidR="001B51C7" w:rsidRPr="001323D0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93.99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78A7197" w14:textId="77777777" w:rsidR="001B51C7" w:rsidRPr="001323D0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95.17</w:t>
            </w:r>
          </w:p>
        </w:tc>
        <w:tc>
          <w:tcPr>
            <w:tcW w:w="139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5348EA9" w14:textId="77777777" w:rsidR="001B51C7" w:rsidRPr="001323D0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92.3</w:t>
            </w:r>
          </w:p>
        </w:tc>
        <w:tc>
          <w:tcPr>
            <w:tcW w:w="1252" w:type="dxa"/>
            <w:vMerge w:val="restart"/>
            <w:tcBorders>
              <w:top w:val="nil"/>
              <w:right w:val="nil"/>
            </w:tcBorders>
          </w:tcPr>
          <w:p w14:paraId="7C51DD4E" w14:textId="77777777" w:rsidR="001B51C7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273.0</w:t>
            </w:r>
          </w:p>
          <w:p w14:paraId="6BA3F989" w14:textId="77777777" w:rsidR="001B51C7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7B0">
              <w:rPr>
                <w:rFonts w:ascii="Times New Roman" w:hAnsi="Times New Roman" w:cs="Times New Roman"/>
                <w:sz w:val="20"/>
                <w:szCs w:val="20"/>
              </w:rPr>
              <w:t>˂0.001</w:t>
            </w:r>
          </w:p>
        </w:tc>
      </w:tr>
      <w:tr w:rsidR="001B51C7" w:rsidRPr="0068758A" w14:paraId="1733AFDB" w14:textId="77777777" w:rsidTr="00343033">
        <w:tc>
          <w:tcPr>
            <w:tcW w:w="1460" w:type="dxa"/>
            <w:vMerge w:val="restart"/>
            <w:tcBorders>
              <w:left w:val="nil"/>
            </w:tcBorders>
            <w:vAlign w:val="center"/>
          </w:tcPr>
          <w:p w14:paraId="48C73C2C" w14:textId="77777777" w:rsidR="001B51C7" w:rsidRPr="0068758A" w:rsidRDefault="001B51C7" w:rsidP="00343033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positive</w:t>
            </w:r>
          </w:p>
        </w:tc>
        <w:tc>
          <w:tcPr>
            <w:tcW w:w="1390" w:type="dxa"/>
            <w:tcBorders>
              <w:bottom w:val="nil"/>
              <w:right w:val="nil"/>
            </w:tcBorders>
            <w:vAlign w:val="center"/>
          </w:tcPr>
          <w:p w14:paraId="1E5C350F" w14:textId="77777777" w:rsidR="001B51C7" w:rsidRPr="0068758A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965</w:t>
            </w:r>
          </w:p>
        </w:tc>
        <w:tc>
          <w:tcPr>
            <w:tcW w:w="1391" w:type="dxa"/>
            <w:tcBorders>
              <w:left w:val="nil"/>
              <w:bottom w:val="nil"/>
              <w:right w:val="nil"/>
            </w:tcBorders>
            <w:vAlign w:val="center"/>
          </w:tcPr>
          <w:p w14:paraId="526C4874" w14:textId="77777777" w:rsidR="001B51C7" w:rsidRPr="0068758A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946</w:t>
            </w:r>
          </w:p>
        </w:tc>
        <w:tc>
          <w:tcPr>
            <w:tcW w:w="1389" w:type="dxa"/>
            <w:tcBorders>
              <w:left w:val="nil"/>
              <w:bottom w:val="nil"/>
              <w:right w:val="nil"/>
            </w:tcBorders>
            <w:vAlign w:val="center"/>
          </w:tcPr>
          <w:p w14:paraId="1F247956" w14:textId="77777777" w:rsidR="001B51C7" w:rsidRPr="0068758A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754</w:t>
            </w:r>
          </w:p>
        </w:tc>
        <w:tc>
          <w:tcPr>
            <w:tcW w:w="1365" w:type="dxa"/>
            <w:tcBorders>
              <w:left w:val="nil"/>
              <w:bottom w:val="nil"/>
            </w:tcBorders>
            <w:vAlign w:val="center"/>
          </w:tcPr>
          <w:p w14:paraId="554FA0FF" w14:textId="77777777" w:rsidR="001B51C7" w:rsidRPr="0068758A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1391" w:type="dxa"/>
            <w:tcBorders>
              <w:bottom w:val="nil"/>
              <w:right w:val="nil"/>
            </w:tcBorders>
            <w:vAlign w:val="center"/>
          </w:tcPr>
          <w:p w14:paraId="6AE03EC9" w14:textId="77777777" w:rsidR="001B51C7" w:rsidRPr="0068758A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2,891</w:t>
            </w:r>
          </w:p>
        </w:tc>
        <w:tc>
          <w:tcPr>
            <w:tcW w:w="1252" w:type="dxa"/>
            <w:vMerge/>
            <w:tcBorders>
              <w:bottom w:val="nil"/>
              <w:right w:val="nil"/>
            </w:tcBorders>
          </w:tcPr>
          <w:p w14:paraId="37D5914B" w14:textId="77777777" w:rsidR="001B51C7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51C7" w:rsidRPr="0068758A" w14:paraId="56B748D8" w14:textId="77777777" w:rsidTr="00343033">
        <w:tc>
          <w:tcPr>
            <w:tcW w:w="1460" w:type="dxa"/>
            <w:vMerge/>
            <w:tcBorders>
              <w:left w:val="nil"/>
            </w:tcBorders>
          </w:tcPr>
          <w:p w14:paraId="34EE3495" w14:textId="77777777" w:rsidR="001B51C7" w:rsidRDefault="001B51C7" w:rsidP="00343033">
            <w:pPr>
              <w:jc w:val="center"/>
              <w:rPr>
                <w:highlight w:val="yellow"/>
              </w:rPr>
            </w:pPr>
          </w:p>
        </w:tc>
        <w:tc>
          <w:tcPr>
            <w:tcW w:w="139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16411AB" w14:textId="77777777" w:rsidR="001B51C7" w:rsidRPr="001323D0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06A948" w14:textId="77777777" w:rsidR="001B51C7" w:rsidRPr="001323D0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991909" w14:textId="77777777" w:rsidR="001B51C7" w:rsidRPr="001323D0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6.01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D6214A2" w14:textId="77777777" w:rsidR="001B51C7" w:rsidRPr="001323D0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4.8</w:t>
            </w:r>
          </w:p>
        </w:tc>
        <w:tc>
          <w:tcPr>
            <w:tcW w:w="139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6BE64B2" w14:textId="77777777" w:rsidR="001B51C7" w:rsidRPr="001323D0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7.7</w:t>
            </w:r>
          </w:p>
        </w:tc>
        <w:tc>
          <w:tcPr>
            <w:tcW w:w="1252" w:type="dxa"/>
            <w:tcBorders>
              <w:top w:val="nil"/>
              <w:bottom w:val="single" w:sz="4" w:space="0" w:color="auto"/>
              <w:right w:val="nil"/>
            </w:tcBorders>
          </w:tcPr>
          <w:p w14:paraId="2129ABFA" w14:textId="77777777" w:rsidR="001B51C7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51C7" w:rsidRPr="00F913D6" w14:paraId="3A669A6F" w14:textId="77777777" w:rsidTr="00343033">
        <w:tc>
          <w:tcPr>
            <w:tcW w:w="1460" w:type="dxa"/>
            <w:vMerge w:val="restart"/>
            <w:tcBorders>
              <w:left w:val="nil"/>
              <w:bottom w:val="nil"/>
            </w:tcBorders>
            <w:vAlign w:val="center"/>
          </w:tcPr>
          <w:p w14:paraId="50727B0E" w14:textId="77777777" w:rsidR="001B51C7" w:rsidRPr="00F913D6" w:rsidRDefault="001B51C7" w:rsidP="00343033">
            <w:pPr>
              <w:spacing w:line="60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F913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390" w:type="dxa"/>
            <w:tcBorders>
              <w:top w:val="single" w:sz="4" w:space="0" w:color="auto"/>
              <w:bottom w:val="nil"/>
              <w:right w:val="nil"/>
            </w:tcBorders>
          </w:tcPr>
          <w:p w14:paraId="52E7BA33" w14:textId="77777777" w:rsidR="001B51C7" w:rsidRPr="00F913D6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17,701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DF28DF" w14:textId="77777777" w:rsidR="001B51C7" w:rsidRPr="00F913D6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18,728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2FAD87" w14:textId="77777777" w:rsidR="001B51C7" w:rsidRPr="00F913D6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</w:tcBorders>
          </w:tcPr>
          <w:p w14:paraId="2A210EED" w14:textId="77777777" w:rsidR="001B51C7" w:rsidRPr="00F913D6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1391" w:type="dxa"/>
            <w:tcBorders>
              <w:top w:val="single" w:sz="4" w:space="0" w:color="auto"/>
              <w:bottom w:val="nil"/>
              <w:right w:val="nil"/>
            </w:tcBorders>
          </w:tcPr>
          <w:p w14:paraId="51466FBD" w14:textId="77777777" w:rsidR="001B51C7" w:rsidRPr="00F913D6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37,592</w:t>
            </w:r>
          </w:p>
        </w:tc>
        <w:tc>
          <w:tcPr>
            <w:tcW w:w="1252" w:type="dxa"/>
            <w:tcBorders>
              <w:top w:val="single" w:sz="4" w:space="0" w:color="auto"/>
              <w:bottom w:val="nil"/>
              <w:right w:val="nil"/>
            </w:tcBorders>
          </w:tcPr>
          <w:p w14:paraId="1639971B" w14:textId="77777777" w:rsidR="001B51C7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51C7" w:rsidRPr="00F913D6" w14:paraId="65DA2FEE" w14:textId="77777777" w:rsidTr="00343033">
        <w:tc>
          <w:tcPr>
            <w:tcW w:w="1460" w:type="dxa"/>
            <w:vMerge/>
            <w:tcBorders>
              <w:left w:val="nil"/>
              <w:bottom w:val="nil"/>
            </w:tcBorders>
          </w:tcPr>
          <w:p w14:paraId="0D3F73F0" w14:textId="77777777" w:rsidR="001B51C7" w:rsidRDefault="001B51C7" w:rsidP="00343033">
            <w:pPr>
              <w:rPr>
                <w:highlight w:val="yellow"/>
              </w:rPr>
            </w:pPr>
          </w:p>
        </w:tc>
        <w:tc>
          <w:tcPr>
            <w:tcW w:w="1390" w:type="dxa"/>
            <w:tcBorders>
              <w:top w:val="nil"/>
              <w:bottom w:val="nil"/>
              <w:right w:val="nil"/>
            </w:tcBorders>
          </w:tcPr>
          <w:p w14:paraId="564F68F8" w14:textId="77777777" w:rsidR="001B51C7" w:rsidRPr="001323D0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</w:tcPr>
          <w:p w14:paraId="3F7AE76F" w14:textId="77777777" w:rsidR="001B51C7" w:rsidRPr="001323D0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14:paraId="690D5208" w14:textId="77777777" w:rsidR="001B51C7" w:rsidRPr="001323D0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</w:tcBorders>
          </w:tcPr>
          <w:p w14:paraId="3F10EC66" w14:textId="77777777" w:rsidR="001B51C7" w:rsidRPr="001323D0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91" w:type="dxa"/>
            <w:tcBorders>
              <w:top w:val="nil"/>
              <w:bottom w:val="nil"/>
              <w:right w:val="nil"/>
            </w:tcBorders>
          </w:tcPr>
          <w:p w14:paraId="0749E9B0" w14:textId="77777777" w:rsidR="001B51C7" w:rsidRPr="001323D0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23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52" w:type="dxa"/>
            <w:tcBorders>
              <w:top w:val="nil"/>
              <w:bottom w:val="nil"/>
              <w:right w:val="nil"/>
            </w:tcBorders>
          </w:tcPr>
          <w:p w14:paraId="3996B63E" w14:textId="77777777" w:rsidR="001B51C7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E6D9B45" w14:textId="77777777" w:rsidR="001B51C7" w:rsidRDefault="001B51C7" w:rsidP="001B51C7">
      <w:pPr>
        <w:jc w:val="both"/>
        <w:rPr>
          <w:i/>
          <w:iCs/>
          <w:sz w:val="22"/>
          <w:szCs w:val="22"/>
          <w:lang w:val="en-US"/>
        </w:rPr>
      </w:pPr>
    </w:p>
    <w:p w14:paraId="4DEA8FCA" w14:textId="4FCD9A42" w:rsidR="001B51C7" w:rsidRPr="009A70BC" w:rsidRDefault="001B51C7" w:rsidP="001B51C7">
      <w:pPr>
        <w:jc w:val="both"/>
        <w:rPr>
          <w:rFonts w:ascii="Times New Roman" w:hAnsi="Times New Roman" w:cs="Times New Roman"/>
          <w:i/>
          <w:iCs/>
          <w:lang w:val="en-US"/>
        </w:rPr>
      </w:pPr>
      <w:r w:rsidRPr="009A70BC">
        <w:rPr>
          <w:rFonts w:ascii="Times New Roman" w:hAnsi="Times New Roman" w:cs="Times New Roman"/>
          <w:b/>
          <w:bCs/>
          <w:lang w:val="en-US"/>
        </w:rPr>
        <w:t xml:space="preserve">Table </w:t>
      </w:r>
      <w:r w:rsidR="00F56F9F" w:rsidRPr="009A70BC">
        <w:rPr>
          <w:rFonts w:ascii="Times New Roman" w:hAnsi="Times New Roman" w:cs="Times New Roman"/>
          <w:b/>
          <w:bCs/>
          <w:lang w:val="en-US"/>
        </w:rPr>
        <w:t>IV</w:t>
      </w:r>
      <w:r w:rsidRPr="009A70BC">
        <w:rPr>
          <w:rFonts w:ascii="Times New Roman" w:hAnsi="Times New Roman" w:cs="Times New Roman"/>
          <w:lang w:val="en-US"/>
        </w:rPr>
        <w:t>.</w:t>
      </w:r>
      <w:r w:rsidRPr="009A70BC">
        <w:rPr>
          <w:rFonts w:ascii="Times New Roman" w:hAnsi="Times New Roman" w:cs="Times New Roman"/>
          <w:i/>
          <w:iCs/>
          <w:lang w:val="en-US"/>
        </w:rPr>
        <w:t xml:space="preserve"> HPV test results sorted by Age </w:t>
      </w:r>
      <w:r w:rsidR="00D24666" w:rsidRPr="009A70BC">
        <w:rPr>
          <w:rFonts w:ascii="Times New Roman" w:hAnsi="Times New Roman" w:cs="Times New Roman"/>
          <w:i/>
          <w:iCs/>
          <w:lang w:val="en-US"/>
        </w:rPr>
        <w:t>range</w:t>
      </w:r>
      <w:r w:rsidRPr="009A70BC">
        <w:rPr>
          <w:rFonts w:ascii="Times New Roman" w:hAnsi="Times New Roman" w:cs="Times New Roman"/>
          <w:i/>
          <w:iCs/>
          <w:lang w:val="en-US"/>
        </w:rPr>
        <w:t xml:space="preserve">. Numbers and percentages of positive and negative cases for each age </w:t>
      </w:r>
      <w:r w:rsidR="00D24666" w:rsidRPr="009A70BC">
        <w:rPr>
          <w:rFonts w:ascii="Times New Roman" w:hAnsi="Times New Roman" w:cs="Times New Roman"/>
          <w:i/>
          <w:iCs/>
          <w:lang w:val="en-US"/>
        </w:rPr>
        <w:t>range</w:t>
      </w:r>
      <w:r w:rsidRPr="009A70BC">
        <w:rPr>
          <w:rFonts w:ascii="Times New Roman" w:hAnsi="Times New Roman" w:cs="Times New Roman"/>
          <w:i/>
          <w:iCs/>
          <w:lang w:val="en-US"/>
        </w:rPr>
        <w:t>; the p-value from the chi-square test for each group is compared to the total group.</w:t>
      </w:r>
    </w:p>
    <w:p w14:paraId="4D99F77B" w14:textId="0C0D4B9B" w:rsidR="00870A34" w:rsidRDefault="00870A34">
      <w:pPr>
        <w:rPr>
          <w:i/>
          <w:iCs/>
          <w:sz w:val="22"/>
          <w:szCs w:val="22"/>
          <w:lang w:val="en-US"/>
        </w:rPr>
      </w:pPr>
      <w:r>
        <w:rPr>
          <w:i/>
          <w:iCs/>
          <w:sz w:val="22"/>
          <w:szCs w:val="22"/>
          <w:lang w:val="en-US"/>
        </w:rPr>
        <w:br w:type="page"/>
      </w:r>
    </w:p>
    <w:p w14:paraId="751A2211" w14:textId="77777777" w:rsidR="001B51C7" w:rsidRPr="005F1C7B" w:rsidRDefault="001B51C7" w:rsidP="005F1C7B">
      <w:pPr>
        <w:jc w:val="both"/>
        <w:rPr>
          <w:i/>
          <w:iCs/>
          <w:sz w:val="22"/>
          <w:szCs w:val="22"/>
          <w:lang w:val="en-US"/>
        </w:rPr>
      </w:pP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1081"/>
        <w:gridCol w:w="1381"/>
        <w:gridCol w:w="1446"/>
        <w:gridCol w:w="1388"/>
        <w:gridCol w:w="1390"/>
        <w:gridCol w:w="1251"/>
      </w:tblGrid>
      <w:tr w:rsidR="001B51C7" w:rsidRPr="008D11BD" w14:paraId="5AED3201" w14:textId="77777777" w:rsidTr="002411C9">
        <w:trPr>
          <w:trHeight w:val="293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E1A60D" w14:textId="77777777" w:rsidR="001B51C7" w:rsidRPr="007500DD" w:rsidRDefault="001B51C7" w:rsidP="00343033">
            <w:pPr>
              <w:rPr>
                <w:b/>
                <w:bCs/>
                <w:highlight w:val="yellow"/>
                <w:lang w:val="en-US"/>
              </w:rPr>
            </w:pPr>
            <w:bookmarkStart w:id="5" w:name="_Hlk184376978"/>
          </w:p>
        </w:tc>
        <w:tc>
          <w:tcPr>
            <w:tcW w:w="529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BF77F" w14:textId="5472BAB8" w:rsidR="001B51C7" w:rsidRDefault="001B51C7" w:rsidP="00343033">
            <w:pPr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D37131">
              <w:rPr>
                <w:rFonts w:ascii="Times New Roman" w:hAnsi="Times New Roman" w:cs="Times New Roman"/>
                <w:b/>
                <w:bCs/>
                <w:lang w:val="en-GB"/>
              </w:rPr>
              <w:t>Performance of Sampling Centres (SC)</w:t>
            </w:r>
          </w:p>
          <w:p w14:paraId="51429483" w14:textId="77777777" w:rsidR="001B51C7" w:rsidRPr="00D37131" w:rsidRDefault="001B51C7" w:rsidP="00343033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  <w:lang w:val="en-GB"/>
              </w:rPr>
            </w:pP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483A1D" w14:textId="77777777" w:rsidR="001B51C7" w:rsidRPr="00D37131" w:rsidRDefault="001B51C7" w:rsidP="00343033">
            <w:pPr>
              <w:rPr>
                <w:rFonts w:ascii="Times New Roman" w:hAnsi="Times New Roman" w:cs="Times New Roman"/>
                <w:b/>
                <w:bCs/>
                <w:highlight w:val="yellow"/>
                <w:lang w:val="en-GB"/>
              </w:rPr>
            </w:pP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EA19D1" w14:textId="77777777" w:rsidR="001B51C7" w:rsidRPr="00D37131" w:rsidRDefault="001B51C7" w:rsidP="00343033">
            <w:pPr>
              <w:rPr>
                <w:rFonts w:ascii="Times New Roman" w:hAnsi="Times New Roman" w:cs="Times New Roman"/>
                <w:b/>
                <w:bCs/>
                <w:highlight w:val="yellow"/>
                <w:lang w:val="en-GB"/>
              </w:rPr>
            </w:pPr>
          </w:p>
        </w:tc>
      </w:tr>
      <w:tr w:rsidR="001B51C7" w14:paraId="5DF8A816" w14:textId="77777777" w:rsidTr="002411C9">
        <w:trPr>
          <w:jc w:val="center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</w:tcBorders>
          </w:tcPr>
          <w:p w14:paraId="58A4415B" w14:textId="77777777" w:rsidR="001B51C7" w:rsidRDefault="001B51C7" w:rsidP="00343033">
            <w:pPr>
              <w:jc w:val="center"/>
              <w:rPr>
                <w:highlight w:val="yellow"/>
              </w:rPr>
            </w:pPr>
            <w:r w:rsidRPr="005C5D54">
              <w:rPr>
                <w:rFonts w:ascii="Times New Roman" w:hAnsi="Times New Roman" w:cs="Times New Roman"/>
                <w:b/>
                <w:bCs/>
              </w:rPr>
              <w:t>β</w:t>
            </w:r>
            <w:r w:rsidRPr="005C5D54">
              <w:rPr>
                <w:rFonts w:ascii="Times New Roman" w:hAnsi="Times New Roman" w:cs="Times New Roman"/>
                <w:b/>
                <w:bCs/>
                <w:lang w:val="en-US"/>
              </w:rPr>
              <w:t xml:space="preserve">-globin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(</w:t>
            </w:r>
            <w:r w:rsidRPr="005C5D54">
              <w:rPr>
                <w:rFonts w:ascii="Times New Roman" w:hAnsi="Times New Roman" w:cs="Times New Roman"/>
                <w:b/>
                <w:bCs/>
                <w:lang w:val="en-US"/>
              </w:rPr>
              <w:t>Ct values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)</w:t>
            </w:r>
          </w:p>
        </w:tc>
        <w:tc>
          <w:tcPr>
            <w:tcW w:w="1081" w:type="dxa"/>
            <w:tcBorders>
              <w:top w:val="nil"/>
              <w:bottom w:val="single" w:sz="4" w:space="0" w:color="auto"/>
              <w:right w:val="nil"/>
            </w:tcBorders>
          </w:tcPr>
          <w:p w14:paraId="306C169A" w14:textId="75AE7C0D" w:rsidR="001B51C7" w:rsidRDefault="00683DD1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TPSC</w:t>
            </w:r>
          </w:p>
          <w:p w14:paraId="5213A88E" w14:textId="57361EC9" w:rsidR="00683DD1" w:rsidRPr="00683DD1" w:rsidRDefault="00683DD1" w:rsidP="0034303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3DD1">
              <w:rPr>
                <w:rFonts w:ascii="Times New Roman" w:hAnsi="Times New Roman" w:cs="Times New Roman"/>
              </w:rPr>
              <w:t>N</w:t>
            </w:r>
          </w:p>
          <w:p w14:paraId="3DABE3EB" w14:textId="77777777" w:rsidR="001B51C7" w:rsidRPr="00D37131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(%)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537D46" w14:textId="26172062" w:rsidR="001B51C7" w:rsidRDefault="00683DD1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GPSC</w:t>
            </w:r>
          </w:p>
          <w:p w14:paraId="2A34CFFC" w14:textId="471BB5F0" w:rsidR="00683DD1" w:rsidRPr="00683DD1" w:rsidRDefault="00683DD1" w:rsidP="0034303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3DD1">
              <w:rPr>
                <w:rFonts w:ascii="Times New Roman" w:hAnsi="Times New Roman" w:cs="Times New Roman"/>
              </w:rPr>
              <w:t>N</w:t>
            </w:r>
          </w:p>
          <w:p w14:paraId="4BF9A42C" w14:textId="77777777" w:rsidR="001B51C7" w:rsidRPr="00D37131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(%)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1BF93C" w14:textId="293ACA54" w:rsidR="001B51C7" w:rsidRDefault="00683DD1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MPSC</w:t>
            </w:r>
          </w:p>
          <w:p w14:paraId="34F82D9B" w14:textId="2FFA53E6" w:rsidR="00683DD1" w:rsidRPr="00683DD1" w:rsidRDefault="00683DD1" w:rsidP="0034303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3DD1">
              <w:rPr>
                <w:rFonts w:ascii="Times New Roman" w:hAnsi="Times New Roman" w:cs="Times New Roman"/>
              </w:rPr>
              <w:t>N</w:t>
            </w:r>
          </w:p>
          <w:p w14:paraId="2335570E" w14:textId="77777777" w:rsidR="001B51C7" w:rsidRPr="00D37131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(%)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</w:tcBorders>
          </w:tcPr>
          <w:p w14:paraId="505968E9" w14:textId="66B1E88E" w:rsidR="001B51C7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131">
              <w:rPr>
                <w:rFonts w:ascii="Times New Roman" w:hAnsi="Times New Roman" w:cs="Times New Roman"/>
                <w:b/>
                <w:bCs/>
              </w:rPr>
              <w:t>P</w:t>
            </w:r>
            <w:r w:rsidR="00683DD1">
              <w:rPr>
                <w:rFonts w:ascii="Times New Roman" w:hAnsi="Times New Roman" w:cs="Times New Roman"/>
                <w:b/>
                <w:bCs/>
              </w:rPr>
              <w:t>P</w:t>
            </w:r>
            <w:r w:rsidRPr="00D37131">
              <w:rPr>
                <w:rFonts w:ascii="Times New Roman" w:hAnsi="Times New Roman" w:cs="Times New Roman"/>
                <w:b/>
                <w:bCs/>
              </w:rPr>
              <w:t>SC</w:t>
            </w:r>
          </w:p>
          <w:p w14:paraId="1BB6315F" w14:textId="3790D5B7" w:rsidR="00683DD1" w:rsidRPr="00683DD1" w:rsidRDefault="00683DD1" w:rsidP="0034303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3DD1">
              <w:rPr>
                <w:rFonts w:ascii="Times New Roman" w:hAnsi="Times New Roman" w:cs="Times New Roman"/>
              </w:rPr>
              <w:t>N</w:t>
            </w:r>
          </w:p>
          <w:p w14:paraId="111A8EA9" w14:textId="77777777" w:rsidR="001B51C7" w:rsidRPr="00D37131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(%)</w:t>
            </w:r>
          </w:p>
        </w:tc>
        <w:tc>
          <w:tcPr>
            <w:tcW w:w="1390" w:type="dxa"/>
            <w:tcBorders>
              <w:top w:val="nil"/>
              <w:bottom w:val="single" w:sz="4" w:space="0" w:color="auto"/>
              <w:right w:val="nil"/>
            </w:tcBorders>
          </w:tcPr>
          <w:p w14:paraId="42DF9EF8" w14:textId="77777777" w:rsidR="001B51C7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131">
              <w:rPr>
                <w:rFonts w:ascii="Times New Roman" w:hAnsi="Times New Roman" w:cs="Times New Roman"/>
                <w:b/>
                <w:bCs/>
              </w:rPr>
              <w:t>Total</w:t>
            </w:r>
          </w:p>
          <w:p w14:paraId="6A87386F" w14:textId="608CF774" w:rsidR="00683DD1" w:rsidRPr="00683DD1" w:rsidRDefault="00683DD1" w:rsidP="0034303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3DD1">
              <w:rPr>
                <w:rFonts w:ascii="Times New Roman" w:hAnsi="Times New Roman" w:cs="Times New Roman"/>
              </w:rPr>
              <w:t>N</w:t>
            </w:r>
          </w:p>
          <w:p w14:paraId="17E26511" w14:textId="77777777" w:rsidR="001B51C7" w:rsidRPr="00D37131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(%)</w:t>
            </w:r>
          </w:p>
        </w:tc>
        <w:tc>
          <w:tcPr>
            <w:tcW w:w="1251" w:type="dxa"/>
            <w:tcBorders>
              <w:top w:val="nil"/>
              <w:bottom w:val="single" w:sz="4" w:space="0" w:color="auto"/>
              <w:right w:val="nil"/>
            </w:tcBorders>
          </w:tcPr>
          <w:p w14:paraId="634BEFE7" w14:textId="77777777" w:rsidR="001B51C7" w:rsidRPr="007F27B0" w:rsidRDefault="001B51C7" w:rsidP="00343033">
            <w:pPr>
              <w:spacing w:line="276" w:lineRule="auto"/>
              <w:jc w:val="center"/>
              <w:rPr>
                <w:rFonts w:ascii="Raleway" w:hAnsi="Raleway"/>
                <w:color w:val="444444"/>
                <w:sz w:val="20"/>
                <w:szCs w:val="20"/>
                <w:shd w:val="clear" w:color="auto" w:fill="FFFFFF"/>
              </w:rPr>
            </w:pPr>
            <w:r w:rsidRPr="007F27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Chi </w:t>
            </w:r>
            <w:proofErr w:type="spellStart"/>
            <w:r w:rsidRPr="007F27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squared</w:t>
            </w:r>
            <w:proofErr w:type="spellEnd"/>
            <w:r w:rsidRPr="007F27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27B0">
              <w:rPr>
                <w:rFonts w:ascii="Cambria" w:hAnsi="Cambria" w:cs="Cambria"/>
                <w:color w:val="444444"/>
                <w:sz w:val="20"/>
                <w:szCs w:val="20"/>
                <w:shd w:val="clear" w:color="auto" w:fill="FFFFFF"/>
              </w:rPr>
              <w:t>χ</w:t>
            </w:r>
            <w:r w:rsidRPr="007F27B0">
              <w:rPr>
                <w:rFonts w:ascii="Raleway" w:hAnsi="Raleway"/>
                <w:color w:val="444444"/>
                <w:sz w:val="20"/>
                <w:szCs w:val="20"/>
                <w:shd w:val="clear" w:color="auto" w:fill="FFFFFF"/>
              </w:rPr>
              <w:t>²</w:t>
            </w:r>
          </w:p>
          <w:p w14:paraId="733F49A1" w14:textId="77777777" w:rsidR="001B51C7" w:rsidRPr="00D37131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27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(p-</w:t>
            </w:r>
            <w:proofErr w:type="spellStart"/>
            <w:r w:rsidRPr="007F27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value</w:t>
            </w:r>
            <w:proofErr w:type="spellEnd"/>
            <w:r w:rsidRPr="007F27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1B51C7" w14:paraId="336DB732" w14:textId="77777777" w:rsidTr="002411C9">
        <w:trPr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14:paraId="275544E9" w14:textId="7F2E2A5C" w:rsidR="001B51C7" w:rsidRPr="0068758A" w:rsidRDefault="001B51C7" w:rsidP="00343033">
            <w:pPr>
              <w:jc w:val="center"/>
              <w:rPr>
                <w:sz w:val="18"/>
                <w:szCs w:val="18"/>
                <w:highlight w:val="yellow"/>
              </w:rPr>
            </w:pPr>
            <w:r w:rsidRPr="0068758A">
              <w:rPr>
                <w:rFonts w:ascii="Times New Roman" w:hAnsi="Times New Roman" w:cs="Times New Roman"/>
                <w:sz w:val="18"/>
                <w:szCs w:val="18"/>
              </w:rPr>
              <w:t>β</w:t>
            </w:r>
            <w:r w:rsidRPr="0068758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-globin</w:t>
            </w:r>
            <w:r w:rsidR="002411C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116CAD">
              <w:rPr>
                <w:rFonts w:ascii="Times New Roman" w:hAnsi="Times New Roman" w:cs="Times New Roman"/>
                <w:sz w:val="18"/>
                <w:szCs w:val="18"/>
              </w:rPr>
              <w:t>≤</w:t>
            </w:r>
            <w:r w:rsidR="002411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8758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28</w:t>
            </w:r>
          </w:p>
        </w:tc>
        <w:tc>
          <w:tcPr>
            <w:tcW w:w="1081" w:type="dxa"/>
            <w:tcBorders>
              <w:bottom w:val="nil"/>
              <w:right w:val="nil"/>
            </w:tcBorders>
            <w:vAlign w:val="center"/>
          </w:tcPr>
          <w:p w14:paraId="0D416E39" w14:textId="618928E6" w:rsidR="001B51C7" w:rsidRPr="0068758A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8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16CAD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381" w:type="dxa"/>
            <w:tcBorders>
              <w:left w:val="nil"/>
              <w:bottom w:val="nil"/>
              <w:right w:val="nil"/>
            </w:tcBorders>
            <w:vAlign w:val="center"/>
          </w:tcPr>
          <w:p w14:paraId="222E3070" w14:textId="37C7FAE8" w:rsidR="001B51C7" w:rsidRPr="0068758A" w:rsidRDefault="00355D15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4,036</w:t>
            </w:r>
          </w:p>
        </w:tc>
        <w:tc>
          <w:tcPr>
            <w:tcW w:w="1446" w:type="dxa"/>
            <w:tcBorders>
              <w:left w:val="nil"/>
              <w:bottom w:val="nil"/>
              <w:right w:val="nil"/>
            </w:tcBorders>
            <w:vAlign w:val="center"/>
          </w:tcPr>
          <w:p w14:paraId="61050736" w14:textId="4C3E3AB6" w:rsidR="001B51C7" w:rsidRPr="0068758A" w:rsidRDefault="00355D15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B51C7" w:rsidRPr="0068758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388" w:type="dxa"/>
            <w:tcBorders>
              <w:left w:val="nil"/>
              <w:bottom w:val="nil"/>
            </w:tcBorders>
            <w:vAlign w:val="center"/>
          </w:tcPr>
          <w:p w14:paraId="18F28A3F" w14:textId="04B36D5C" w:rsidR="001B51C7" w:rsidRPr="0068758A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8A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355D15">
              <w:rPr>
                <w:rFonts w:ascii="Times New Roman" w:hAnsi="Times New Roman" w:cs="Times New Roman"/>
                <w:sz w:val="20"/>
                <w:szCs w:val="20"/>
              </w:rPr>
              <w:t>667</w:t>
            </w:r>
          </w:p>
        </w:tc>
        <w:tc>
          <w:tcPr>
            <w:tcW w:w="1390" w:type="dxa"/>
            <w:tcBorders>
              <w:bottom w:val="nil"/>
              <w:right w:val="nil"/>
            </w:tcBorders>
            <w:vAlign w:val="center"/>
          </w:tcPr>
          <w:p w14:paraId="2BAE4E62" w14:textId="7DAD0D16" w:rsidR="001B51C7" w:rsidRPr="0068758A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55D1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8758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55D1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8758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51" w:type="dxa"/>
            <w:tcBorders>
              <w:bottom w:val="nil"/>
              <w:right w:val="nil"/>
            </w:tcBorders>
          </w:tcPr>
          <w:p w14:paraId="5901C19E" w14:textId="77777777" w:rsidR="001B51C7" w:rsidRPr="0068758A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51C7" w14:paraId="25C3D2BE" w14:textId="77777777" w:rsidTr="002411C9">
        <w:trPr>
          <w:jc w:val="center"/>
        </w:trPr>
        <w:tc>
          <w:tcPr>
            <w:tcW w:w="1701" w:type="dxa"/>
            <w:vMerge/>
            <w:tcBorders>
              <w:left w:val="nil"/>
            </w:tcBorders>
          </w:tcPr>
          <w:p w14:paraId="1319C91E" w14:textId="77777777" w:rsidR="001B51C7" w:rsidRPr="0068758A" w:rsidRDefault="001B51C7" w:rsidP="0034303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08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F45301B" w14:textId="7CD74078" w:rsidR="001B51C7" w:rsidRPr="00683DD1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D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116CAD" w:rsidRPr="00683D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535C17" w14:textId="3AF0643B" w:rsidR="001B51C7" w:rsidRPr="00683DD1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D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355D15" w:rsidRPr="00683D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00C7DB" w14:textId="2FD9A7E0" w:rsidR="001B51C7" w:rsidRPr="00683DD1" w:rsidRDefault="00355D15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D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</w:t>
            </w:r>
            <w:r w:rsidR="001B51C7" w:rsidRPr="00683D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9FFECCF" w14:textId="328A1BF6" w:rsidR="001B51C7" w:rsidRPr="00683DD1" w:rsidRDefault="00355D15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D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42.4</w:t>
            </w:r>
          </w:p>
        </w:tc>
        <w:tc>
          <w:tcPr>
            <w:tcW w:w="139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A2C8947" w14:textId="31795F7B" w:rsidR="001B51C7" w:rsidRPr="00683DD1" w:rsidRDefault="00355D15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D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251" w:type="dxa"/>
            <w:vMerge w:val="restart"/>
            <w:tcBorders>
              <w:top w:val="nil"/>
              <w:right w:val="nil"/>
            </w:tcBorders>
            <w:vAlign w:val="center"/>
          </w:tcPr>
          <w:p w14:paraId="799B5EF4" w14:textId="1CF5DDBE" w:rsidR="001B51C7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93865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9386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14:paraId="5896A1A3" w14:textId="77777777" w:rsidR="001B51C7" w:rsidRPr="0068758A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1B51C7" w14:paraId="5D92D19A" w14:textId="77777777" w:rsidTr="002411C9">
        <w:trPr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14:paraId="64788568" w14:textId="6477B820" w:rsidR="001B51C7" w:rsidRPr="0068758A" w:rsidRDefault="001B51C7" w:rsidP="00343033">
            <w:pPr>
              <w:jc w:val="center"/>
              <w:rPr>
                <w:sz w:val="18"/>
                <w:szCs w:val="18"/>
                <w:highlight w:val="yellow"/>
              </w:rPr>
            </w:pPr>
            <w:r w:rsidRPr="0068758A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  <w:r w:rsidR="002411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16CAD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="002411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8758A">
              <w:rPr>
                <w:rFonts w:ascii="Times New Roman" w:hAnsi="Times New Roman" w:cs="Times New Roman"/>
                <w:sz w:val="18"/>
                <w:szCs w:val="18"/>
              </w:rPr>
              <w:t>β</w:t>
            </w:r>
            <w:r w:rsidRPr="0068758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-globin</w:t>
            </w:r>
            <w:r w:rsidR="002411C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116CAD">
              <w:rPr>
                <w:rFonts w:ascii="Times New Roman" w:hAnsi="Times New Roman" w:cs="Times New Roman"/>
                <w:sz w:val="18"/>
                <w:szCs w:val="18"/>
              </w:rPr>
              <w:t>≤</w:t>
            </w:r>
            <w:r w:rsidR="002411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8758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32</w:t>
            </w:r>
          </w:p>
        </w:tc>
        <w:tc>
          <w:tcPr>
            <w:tcW w:w="1081" w:type="dxa"/>
            <w:tcBorders>
              <w:bottom w:val="nil"/>
              <w:right w:val="nil"/>
            </w:tcBorders>
            <w:vAlign w:val="center"/>
          </w:tcPr>
          <w:p w14:paraId="7EA2E46F" w14:textId="0F4BD247" w:rsidR="001B51C7" w:rsidRPr="0068758A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16CA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1" w:type="dxa"/>
            <w:tcBorders>
              <w:left w:val="nil"/>
              <w:bottom w:val="nil"/>
              <w:right w:val="nil"/>
            </w:tcBorders>
            <w:vAlign w:val="center"/>
          </w:tcPr>
          <w:p w14:paraId="4A22679E" w14:textId="25EB0B11" w:rsidR="001B51C7" w:rsidRPr="0068758A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55D15">
              <w:rPr>
                <w:rFonts w:ascii="Times New Roman" w:hAnsi="Times New Roman" w:cs="Times New Roman"/>
                <w:sz w:val="20"/>
                <w:szCs w:val="20"/>
              </w:rPr>
              <w:t>,221</w:t>
            </w:r>
          </w:p>
        </w:tc>
        <w:tc>
          <w:tcPr>
            <w:tcW w:w="1446" w:type="dxa"/>
            <w:tcBorders>
              <w:left w:val="nil"/>
              <w:bottom w:val="nil"/>
              <w:right w:val="nil"/>
            </w:tcBorders>
            <w:vAlign w:val="center"/>
          </w:tcPr>
          <w:p w14:paraId="24EDE474" w14:textId="14030F1A" w:rsidR="001B51C7" w:rsidRPr="0068758A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8A"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355D15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388" w:type="dxa"/>
            <w:tcBorders>
              <w:left w:val="nil"/>
              <w:bottom w:val="nil"/>
            </w:tcBorders>
            <w:vAlign w:val="center"/>
          </w:tcPr>
          <w:p w14:paraId="5561F7A1" w14:textId="71DDF9D4" w:rsidR="001B51C7" w:rsidRPr="0068758A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8A"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355D15">
              <w:rPr>
                <w:rFonts w:ascii="Times New Roman" w:hAnsi="Times New Roman" w:cs="Times New Roman"/>
                <w:sz w:val="20"/>
                <w:szCs w:val="20"/>
              </w:rPr>
              <w:t>682</w:t>
            </w:r>
          </w:p>
        </w:tc>
        <w:tc>
          <w:tcPr>
            <w:tcW w:w="1390" w:type="dxa"/>
            <w:tcBorders>
              <w:bottom w:val="nil"/>
              <w:right w:val="nil"/>
            </w:tcBorders>
            <w:vAlign w:val="center"/>
          </w:tcPr>
          <w:p w14:paraId="2A65ABE3" w14:textId="180105B5" w:rsidR="001B51C7" w:rsidRPr="0068758A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55D15">
              <w:rPr>
                <w:rFonts w:ascii="Times New Roman" w:hAnsi="Times New Roman" w:cs="Times New Roman"/>
                <w:sz w:val="20"/>
                <w:szCs w:val="20"/>
              </w:rPr>
              <w:t>7,704</w:t>
            </w:r>
          </w:p>
        </w:tc>
        <w:tc>
          <w:tcPr>
            <w:tcW w:w="1251" w:type="dxa"/>
            <w:vMerge/>
            <w:tcBorders>
              <w:right w:val="nil"/>
            </w:tcBorders>
          </w:tcPr>
          <w:p w14:paraId="197FF97C" w14:textId="77777777" w:rsidR="001B51C7" w:rsidRPr="0068758A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51C7" w14:paraId="36139784" w14:textId="77777777" w:rsidTr="002411C9">
        <w:trPr>
          <w:jc w:val="center"/>
        </w:trPr>
        <w:tc>
          <w:tcPr>
            <w:tcW w:w="1701" w:type="dxa"/>
            <w:vMerge/>
            <w:tcBorders>
              <w:left w:val="nil"/>
            </w:tcBorders>
          </w:tcPr>
          <w:p w14:paraId="647FECB1" w14:textId="77777777" w:rsidR="001B51C7" w:rsidRDefault="001B51C7" w:rsidP="00343033">
            <w:pPr>
              <w:jc w:val="center"/>
              <w:rPr>
                <w:highlight w:val="yellow"/>
              </w:rPr>
            </w:pPr>
          </w:p>
        </w:tc>
        <w:tc>
          <w:tcPr>
            <w:tcW w:w="108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AA823C9" w14:textId="542734DE" w:rsidR="001B51C7" w:rsidRPr="00683DD1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D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116CAD" w:rsidRPr="00683D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71958F" w14:textId="2325D989" w:rsidR="001B51C7" w:rsidRPr="00683DD1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D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355D15" w:rsidRPr="00683D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683D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8369FE" w14:textId="11B219AF" w:rsidR="001B51C7" w:rsidRPr="00683DD1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D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355D15" w:rsidRPr="00683D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385DCFC" w14:textId="5C8BC1EB" w:rsidR="001B51C7" w:rsidRPr="00683DD1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D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355D15" w:rsidRPr="00683D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139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17B93BA" w14:textId="1DF5FF6D" w:rsidR="001B51C7" w:rsidRPr="00683DD1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D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355D15" w:rsidRPr="00683D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7.1</w:t>
            </w:r>
          </w:p>
        </w:tc>
        <w:tc>
          <w:tcPr>
            <w:tcW w:w="1251" w:type="dxa"/>
            <w:vMerge/>
            <w:tcBorders>
              <w:right w:val="nil"/>
            </w:tcBorders>
          </w:tcPr>
          <w:p w14:paraId="1CDF1ACB" w14:textId="77777777" w:rsidR="001B51C7" w:rsidRPr="0068758A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51C7" w14:paraId="31BA6C12" w14:textId="77777777" w:rsidTr="002411C9">
        <w:trPr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14:paraId="28A87E84" w14:textId="0199AE69" w:rsidR="001B51C7" w:rsidRDefault="001B51C7" w:rsidP="00343033"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 w:rsidR="002411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16CAD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="002411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8758A">
              <w:rPr>
                <w:rFonts w:ascii="Times New Roman" w:hAnsi="Times New Roman" w:cs="Times New Roman"/>
                <w:sz w:val="18"/>
                <w:szCs w:val="18"/>
              </w:rPr>
              <w:t>β</w:t>
            </w:r>
            <w:r w:rsidRPr="0068758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-globin</w:t>
            </w:r>
            <w:r w:rsidR="002411C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116CAD">
              <w:rPr>
                <w:rFonts w:ascii="Times New Roman" w:hAnsi="Times New Roman" w:cs="Times New Roman"/>
                <w:sz w:val="18"/>
                <w:szCs w:val="18"/>
              </w:rPr>
              <w:t>≤</w:t>
            </w:r>
            <w:r w:rsidR="002411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8758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1081" w:type="dxa"/>
            <w:tcBorders>
              <w:bottom w:val="nil"/>
              <w:right w:val="nil"/>
            </w:tcBorders>
          </w:tcPr>
          <w:p w14:paraId="630A6671" w14:textId="22F64D4B" w:rsidR="001B51C7" w:rsidRPr="00F913D6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3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16C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81" w:type="dxa"/>
            <w:tcBorders>
              <w:left w:val="nil"/>
              <w:bottom w:val="nil"/>
              <w:right w:val="nil"/>
            </w:tcBorders>
          </w:tcPr>
          <w:p w14:paraId="2108EABF" w14:textId="2912360D" w:rsidR="001B51C7" w:rsidRPr="00F913D6" w:rsidRDefault="00355D15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46" w:type="dxa"/>
            <w:tcBorders>
              <w:left w:val="nil"/>
              <w:bottom w:val="nil"/>
              <w:right w:val="nil"/>
            </w:tcBorders>
          </w:tcPr>
          <w:p w14:paraId="6E22783A" w14:textId="639D0FBA" w:rsidR="001B51C7" w:rsidRPr="00F913D6" w:rsidRDefault="00355D15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</w:t>
            </w:r>
          </w:p>
        </w:tc>
        <w:tc>
          <w:tcPr>
            <w:tcW w:w="1388" w:type="dxa"/>
            <w:tcBorders>
              <w:left w:val="nil"/>
              <w:bottom w:val="nil"/>
            </w:tcBorders>
          </w:tcPr>
          <w:p w14:paraId="3B6B36EA" w14:textId="790B6874" w:rsidR="001B51C7" w:rsidRPr="00F913D6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3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55D1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913D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90" w:type="dxa"/>
            <w:tcBorders>
              <w:bottom w:val="nil"/>
              <w:right w:val="nil"/>
            </w:tcBorders>
          </w:tcPr>
          <w:p w14:paraId="1B2693F0" w14:textId="72E99158" w:rsidR="001B51C7" w:rsidRPr="00F913D6" w:rsidRDefault="00355D15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1251" w:type="dxa"/>
            <w:vMerge/>
            <w:tcBorders>
              <w:right w:val="nil"/>
            </w:tcBorders>
          </w:tcPr>
          <w:p w14:paraId="32062B5D" w14:textId="77777777" w:rsidR="001B51C7" w:rsidRPr="00F913D6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51C7" w14:paraId="157ACADA" w14:textId="77777777" w:rsidTr="002411C9">
        <w:trPr>
          <w:jc w:val="center"/>
        </w:trPr>
        <w:tc>
          <w:tcPr>
            <w:tcW w:w="1701" w:type="dxa"/>
            <w:vMerge/>
            <w:tcBorders>
              <w:left w:val="nil"/>
            </w:tcBorders>
          </w:tcPr>
          <w:p w14:paraId="57D0CDD9" w14:textId="77777777" w:rsidR="001B51C7" w:rsidRDefault="001B51C7" w:rsidP="00343033">
            <w:pPr>
              <w:rPr>
                <w:highlight w:val="yellow"/>
              </w:rPr>
            </w:pPr>
          </w:p>
        </w:tc>
        <w:tc>
          <w:tcPr>
            <w:tcW w:w="1081" w:type="dxa"/>
            <w:tcBorders>
              <w:top w:val="nil"/>
              <w:bottom w:val="single" w:sz="4" w:space="0" w:color="auto"/>
              <w:right w:val="nil"/>
            </w:tcBorders>
          </w:tcPr>
          <w:p w14:paraId="0075D979" w14:textId="66F7CF30" w:rsidR="001B51C7" w:rsidRPr="00683DD1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D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="00355D15" w:rsidRPr="00683D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24B00D" w14:textId="59F8E2F7" w:rsidR="001B51C7" w:rsidRPr="00683DD1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D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</w:t>
            </w:r>
            <w:r w:rsidR="00355D15" w:rsidRPr="00683D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82CC4C" w14:textId="08FB3BAF" w:rsidR="001B51C7" w:rsidRPr="00683DD1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D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="00355D15" w:rsidRPr="00683D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</w:tcBorders>
          </w:tcPr>
          <w:p w14:paraId="0AE4624B" w14:textId="4FC3DEC9" w:rsidR="001B51C7" w:rsidRPr="00683DD1" w:rsidRDefault="00355D15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D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4.8</w:t>
            </w:r>
          </w:p>
        </w:tc>
        <w:tc>
          <w:tcPr>
            <w:tcW w:w="1390" w:type="dxa"/>
            <w:tcBorders>
              <w:top w:val="nil"/>
              <w:bottom w:val="single" w:sz="4" w:space="0" w:color="auto"/>
              <w:right w:val="nil"/>
            </w:tcBorders>
          </w:tcPr>
          <w:p w14:paraId="769B9330" w14:textId="2DC52291" w:rsidR="001B51C7" w:rsidRPr="00683DD1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D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  <w:r w:rsidR="00355D15" w:rsidRPr="00683D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51" w:type="dxa"/>
            <w:vMerge/>
            <w:tcBorders>
              <w:right w:val="nil"/>
            </w:tcBorders>
          </w:tcPr>
          <w:p w14:paraId="496A7E44" w14:textId="77777777" w:rsidR="001B51C7" w:rsidRPr="00F913D6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51C7" w14:paraId="068BAEDD" w14:textId="77777777" w:rsidTr="002411C9">
        <w:trPr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14:paraId="22C4C000" w14:textId="356673C9" w:rsidR="001B51C7" w:rsidRDefault="001B51C7" w:rsidP="00343033"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  <w:r w:rsidR="002411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16CAD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="002411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8758A">
              <w:rPr>
                <w:rFonts w:ascii="Times New Roman" w:hAnsi="Times New Roman" w:cs="Times New Roman"/>
                <w:sz w:val="18"/>
                <w:szCs w:val="18"/>
              </w:rPr>
              <w:t>β</w:t>
            </w:r>
            <w:r w:rsidRPr="0068758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-globin</w:t>
            </w:r>
            <w:r w:rsidR="002411C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116CA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&lt;</w:t>
            </w:r>
            <w:r w:rsidR="002411C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1081" w:type="dxa"/>
            <w:tcBorders>
              <w:bottom w:val="nil"/>
              <w:right w:val="nil"/>
            </w:tcBorders>
          </w:tcPr>
          <w:p w14:paraId="71067951" w14:textId="77777777" w:rsidR="001B51C7" w:rsidRPr="00F913D6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3D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81" w:type="dxa"/>
            <w:tcBorders>
              <w:left w:val="nil"/>
              <w:bottom w:val="nil"/>
              <w:right w:val="nil"/>
            </w:tcBorders>
          </w:tcPr>
          <w:p w14:paraId="206916E8" w14:textId="77777777" w:rsidR="001B51C7" w:rsidRPr="00F913D6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3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46" w:type="dxa"/>
            <w:tcBorders>
              <w:left w:val="nil"/>
              <w:bottom w:val="nil"/>
              <w:right w:val="nil"/>
            </w:tcBorders>
          </w:tcPr>
          <w:p w14:paraId="7AA08D22" w14:textId="3B9D22E1" w:rsidR="001B51C7" w:rsidRPr="00F913D6" w:rsidRDefault="00355D15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388" w:type="dxa"/>
            <w:tcBorders>
              <w:left w:val="nil"/>
              <w:bottom w:val="nil"/>
            </w:tcBorders>
          </w:tcPr>
          <w:p w14:paraId="7C533CCC" w14:textId="709BB446" w:rsidR="001B51C7" w:rsidRPr="00F913D6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3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55D1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390" w:type="dxa"/>
            <w:tcBorders>
              <w:bottom w:val="nil"/>
              <w:right w:val="nil"/>
            </w:tcBorders>
          </w:tcPr>
          <w:p w14:paraId="20504A3C" w14:textId="2462C132" w:rsidR="001B51C7" w:rsidRPr="00F913D6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3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55D1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51" w:type="dxa"/>
            <w:vMerge/>
            <w:tcBorders>
              <w:bottom w:val="nil"/>
              <w:right w:val="nil"/>
            </w:tcBorders>
          </w:tcPr>
          <w:p w14:paraId="433C9778" w14:textId="77777777" w:rsidR="001B51C7" w:rsidRPr="00F913D6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51C7" w14:paraId="375328E3" w14:textId="77777777" w:rsidTr="002411C9">
        <w:trPr>
          <w:jc w:val="center"/>
        </w:trPr>
        <w:tc>
          <w:tcPr>
            <w:tcW w:w="1701" w:type="dxa"/>
            <w:vMerge/>
            <w:tcBorders>
              <w:left w:val="nil"/>
              <w:bottom w:val="single" w:sz="4" w:space="0" w:color="auto"/>
            </w:tcBorders>
          </w:tcPr>
          <w:p w14:paraId="37C006B6" w14:textId="77777777" w:rsidR="001B51C7" w:rsidRDefault="001B51C7" w:rsidP="00343033">
            <w:pPr>
              <w:rPr>
                <w:highlight w:val="yellow"/>
              </w:rPr>
            </w:pPr>
          </w:p>
        </w:tc>
        <w:tc>
          <w:tcPr>
            <w:tcW w:w="1081" w:type="dxa"/>
            <w:tcBorders>
              <w:top w:val="nil"/>
              <w:bottom w:val="single" w:sz="4" w:space="0" w:color="auto"/>
              <w:right w:val="nil"/>
            </w:tcBorders>
          </w:tcPr>
          <w:p w14:paraId="5CCE5752" w14:textId="77777777" w:rsidR="001B51C7" w:rsidRPr="00683DD1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D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F8D182" w14:textId="77777777" w:rsidR="001B51C7" w:rsidRPr="00683DD1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D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8A5792" w14:textId="1038FF08" w:rsidR="001B51C7" w:rsidRPr="00683DD1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D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</w:t>
            </w:r>
            <w:r w:rsidR="00355D15" w:rsidRPr="00683D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</w:tcBorders>
          </w:tcPr>
          <w:p w14:paraId="2C4E52E2" w14:textId="15BC7F81" w:rsidR="001B51C7" w:rsidRPr="00683DD1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D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="00355D15" w:rsidRPr="00683D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90" w:type="dxa"/>
            <w:tcBorders>
              <w:top w:val="nil"/>
              <w:bottom w:val="single" w:sz="4" w:space="0" w:color="auto"/>
              <w:right w:val="nil"/>
            </w:tcBorders>
          </w:tcPr>
          <w:p w14:paraId="53CE6F95" w14:textId="77777777" w:rsidR="001B51C7" w:rsidRPr="00683DD1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D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0.6</w:t>
            </w:r>
          </w:p>
        </w:tc>
        <w:tc>
          <w:tcPr>
            <w:tcW w:w="1251" w:type="dxa"/>
            <w:tcBorders>
              <w:top w:val="nil"/>
              <w:bottom w:val="single" w:sz="4" w:space="0" w:color="auto"/>
              <w:right w:val="nil"/>
            </w:tcBorders>
          </w:tcPr>
          <w:p w14:paraId="319B8BE9" w14:textId="77777777" w:rsidR="001B51C7" w:rsidRPr="00F913D6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51C7" w14:paraId="2BA22B42" w14:textId="77777777" w:rsidTr="002411C9">
        <w:trPr>
          <w:jc w:val="center"/>
        </w:trPr>
        <w:tc>
          <w:tcPr>
            <w:tcW w:w="1701" w:type="dxa"/>
            <w:vMerge w:val="restart"/>
            <w:tcBorders>
              <w:left w:val="nil"/>
              <w:bottom w:val="nil"/>
            </w:tcBorders>
            <w:vAlign w:val="center"/>
          </w:tcPr>
          <w:p w14:paraId="0C544BA2" w14:textId="77777777" w:rsidR="001B51C7" w:rsidRPr="00F913D6" w:rsidRDefault="001B51C7" w:rsidP="00343033">
            <w:pPr>
              <w:spacing w:line="60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F913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081" w:type="dxa"/>
            <w:tcBorders>
              <w:top w:val="single" w:sz="4" w:space="0" w:color="auto"/>
              <w:bottom w:val="nil"/>
              <w:right w:val="nil"/>
            </w:tcBorders>
          </w:tcPr>
          <w:p w14:paraId="18E63E0D" w14:textId="77777777" w:rsidR="001B51C7" w:rsidRPr="00F913D6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1,493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E7350A" w14:textId="77777777" w:rsidR="001B51C7" w:rsidRPr="00F913D6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7,280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EAA2F0" w14:textId="77777777" w:rsidR="001B51C7" w:rsidRPr="00F913D6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17,800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</w:tcBorders>
          </w:tcPr>
          <w:p w14:paraId="2F79B704" w14:textId="77777777" w:rsidR="001B51C7" w:rsidRPr="00F913D6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11,019</w:t>
            </w:r>
          </w:p>
        </w:tc>
        <w:tc>
          <w:tcPr>
            <w:tcW w:w="1390" w:type="dxa"/>
            <w:tcBorders>
              <w:top w:val="single" w:sz="4" w:space="0" w:color="auto"/>
              <w:bottom w:val="nil"/>
              <w:right w:val="nil"/>
            </w:tcBorders>
          </w:tcPr>
          <w:p w14:paraId="6B6EE885" w14:textId="77777777" w:rsidR="001B51C7" w:rsidRPr="00F913D6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37,592</w:t>
            </w:r>
          </w:p>
        </w:tc>
        <w:tc>
          <w:tcPr>
            <w:tcW w:w="1251" w:type="dxa"/>
            <w:tcBorders>
              <w:top w:val="single" w:sz="4" w:space="0" w:color="auto"/>
              <w:bottom w:val="nil"/>
              <w:right w:val="nil"/>
            </w:tcBorders>
          </w:tcPr>
          <w:p w14:paraId="18DB2EE1" w14:textId="77777777" w:rsidR="001B51C7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51C7" w14:paraId="20C758ED" w14:textId="77777777" w:rsidTr="002411C9">
        <w:trPr>
          <w:jc w:val="center"/>
        </w:trPr>
        <w:tc>
          <w:tcPr>
            <w:tcW w:w="1701" w:type="dxa"/>
            <w:vMerge/>
            <w:tcBorders>
              <w:left w:val="nil"/>
              <w:bottom w:val="nil"/>
            </w:tcBorders>
          </w:tcPr>
          <w:p w14:paraId="07623B54" w14:textId="77777777" w:rsidR="001B51C7" w:rsidRDefault="001B51C7" w:rsidP="00343033">
            <w:pPr>
              <w:rPr>
                <w:highlight w:val="yellow"/>
              </w:rPr>
            </w:pPr>
          </w:p>
        </w:tc>
        <w:tc>
          <w:tcPr>
            <w:tcW w:w="1081" w:type="dxa"/>
            <w:tcBorders>
              <w:top w:val="nil"/>
              <w:bottom w:val="nil"/>
              <w:right w:val="nil"/>
            </w:tcBorders>
          </w:tcPr>
          <w:p w14:paraId="5E8AA968" w14:textId="77777777" w:rsidR="001B51C7" w:rsidRPr="00F913D6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0891D4D9" w14:textId="77777777" w:rsidR="001B51C7" w:rsidRPr="00F913D6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</w:tcPr>
          <w:p w14:paraId="5D9F490B" w14:textId="77777777" w:rsidR="001B51C7" w:rsidRPr="00F913D6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</w:tcBorders>
          </w:tcPr>
          <w:p w14:paraId="42C21E63" w14:textId="77777777" w:rsidR="001B51C7" w:rsidRPr="00F913D6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0" w:type="dxa"/>
            <w:tcBorders>
              <w:top w:val="nil"/>
              <w:bottom w:val="nil"/>
              <w:right w:val="nil"/>
            </w:tcBorders>
          </w:tcPr>
          <w:p w14:paraId="2C148B51" w14:textId="77777777" w:rsidR="001B51C7" w:rsidRPr="00F913D6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51" w:type="dxa"/>
            <w:tcBorders>
              <w:top w:val="nil"/>
              <w:bottom w:val="nil"/>
              <w:right w:val="nil"/>
            </w:tcBorders>
          </w:tcPr>
          <w:p w14:paraId="2B31639D" w14:textId="77777777" w:rsidR="001B51C7" w:rsidRDefault="001B51C7" w:rsidP="0034303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5"/>
    </w:tbl>
    <w:p w14:paraId="1AAB3C3D" w14:textId="77777777" w:rsidR="001B51C7" w:rsidRPr="00415161" w:rsidRDefault="001B51C7" w:rsidP="001B51C7">
      <w:pPr>
        <w:jc w:val="both"/>
        <w:rPr>
          <w:sz w:val="22"/>
          <w:szCs w:val="22"/>
          <w:lang w:val="en-US"/>
        </w:rPr>
      </w:pPr>
    </w:p>
    <w:p w14:paraId="3632B638" w14:textId="5FD20E37" w:rsidR="001B51C7" w:rsidRPr="00752AC2" w:rsidRDefault="001B51C7" w:rsidP="001B51C7">
      <w:pPr>
        <w:jc w:val="both"/>
        <w:rPr>
          <w:rFonts w:ascii="Times New Roman" w:hAnsi="Times New Roman" w:cs="Times New Roman"/>
          <w:i/>
          <w:iCs/>
          <w:lang w:val="en-US"/>
        </w:rPr>
      </w:pPr>
      <w:r w:rsidRPr="00752AC2">
        <w:rPr>
          <w:rFonts w:ascii="Times New Roman" w:hAnsi="Times New Roman" w:cs="Times New Roman"/>
          <w:b/>
          <w:bCs/>
          <w:lang w:val="en-US"/>
        </w:rPr>
        <w:t>Table</w:t>
      </w:r>
      <w:r w:rsidR="00D24666" w:rsidRPr="00752AC2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F56F9F" w:rsidRPr="00752AC2">
        <w:rPr>
          <w:rFonts w:ascii="Times New Roman" w:hAnsi="Times New Roman" w:cs="Times New Roman"/>
          <w:b/>
          <w:bCs/>
          <w:lang w:val="en-US"/>
        </w:rPr>
        <w:t>V</w:t>
      </w:r>
      <w:r w:rsidRPr="00752AC2">
        <w:rPr>
          <w:rFonts w:ascii="Times New Roman" w:hAnsi="Times New Roman" w:cs="Times New Roman"/>
          <w:b/>
          <w:bCs/>
          <w:lang w:val="en-US"/>
        </w:rPr>
        <w:t>.</w:t>
      </w:r>
      <w:r w:rsidRPr="00752AC2">
        <w:rPr>
          <w:rFonts w:ascii="Times New Roman" w:hAnsi="Times New Roman" w:cs="Times New Roman"/>
          <w:i/>
          <w:iCs/>
          <w:lang w:val="en-US"/>
        </w:rPr>
        <w:t xml:space="preserve"> </w:t>
      </w:r>
      <w:r w:rsidR="00683DD1" w:rsidRPr="00752AC2">
        <w:rPr>
          <w:rFonts w:ascii="Times New Roman" w:hAnsi="Times New Roman" w:cs="Times New Roman"/>
          <w:i/>
          <w:iCs/>
          <w:lang w:val="en-US"/>
        </w:rPr>
        <w:t xml:space="preserve">DNA </w:t>
      </w:r>
      <w:r w:rsidRPr="00752AC2">
        <w:rPr>
          <w:rFonts w:ascii="Times New Roman" w:hAnsi="Times New Roman" w:cs="Times New Roman"/>
          <w:i/>
          <w:iCs/>
          <w:lang w:val="en-US"/>
        </w:rPr>
        <w:t xml:space="preserve">yields grouped by </w:t>
      </w:r>
      <w:r w:rsidRPr="00752AC2">
        <w:rPr>
          <w:rFonts w:ascii="Symbol" w:hAnsi="Symbol" w:cs="Times New Roman"/>
          <w:i/>
          <w:iCs/>
          <w:lang w:val="en-US"/>
        </w:rPr>
        <w:t>b</w:t>
      </w:r>
      <w:r w:rsidRPr="00752AC2">
        <w:rPr>
          <w:rFonts w:ascii="Times New Roman" w:hAnsi="Times New Roman" w:cs="Times New Roman"/>
          <w:i/>
          <w:iCs/>
          <w:lang w:val="en-US"/>
        </w:rPr>
        <w:t xml:space="preserve">-globin Ct ranges sorted by the performance of </w:t>
      </w:r>
      <w:bookmarkStart w:id="6" w:name="_Hlk187082424"/>
      <w:r w:rsidR="009A70BC" w:rsidRPr="009A70BC">
        <w:rPr>
          <w:rFonts w:ascii="Times New Roman" w:hAnsi="Times New Roman" w:cs="Times New Roman"/>
          <w:i/>
          <w:iCs/>
          <w:lang w:val="en-US"/>
        </w:rPr>
        <w:t xml:space="preserve">screening out-patients’ clinics </w:t>
      </w:r>
      <w:r w:rsidR="009A70BC">
        <w:rPr>
          <w:rFonts w:ascii="Times New Roman" w:hAnsi="Times New Roman" w:cs="Times New Roman"/>
          <w:i/>
          <w:iCs/>
          <w:lang w:val="en-US"/>
        </w:rPr>
        <w:t>(</w:t>
      </w:r>
      <w:r w:rsidR="00D24666" w:rsidRPr="00752AC2">
        <w:rPr>
          <w:rFonts w:ascii="Times New Roman" w:hAnsi="Times New Roman" w:cs="Times New Roman"/>
          <w:i/>
          <w:iCs/>
          <w:lang w:val="en-US"/>
        </w:rPr>
        <w:t>SC</w:t>
      </w:r>
      <w:r w:rsidR="009A70BC">
        <w:rPr>
          <w:rFonts w:ascii="Times New Roman" w:hAnsi="Times New Roman" w:cs="Times New Roman"/>
          <w:i/>
          <w:iCs/>
          <w:lang w:val="en-US"/>
        </w:rPr>
        <w:t>)</w:t>
      </w:r>
      <w:r w:rsidRPr="00752AC2">
        <w:rPr>
          <w:rFonts w:ascii="Times New Roman" w:hAnsi="Times New Roman" w:cs="Times New Roman"/>
          <w:i/>
          <w:iCs/>
          <w:lang w:val="en-US"/>
        </w:rPr>
        <w:t xml:space="preserve"> </w:t>
      </w:r>
      <w:bookmarkEnd w:id="6"/>
      <w:r w:rsidRPr="00752AC2">
        <w:rPr>
          <w:rFonts w:ascii="Times New Roman" w:hAnsi="Times New Roman" w:cs="Times New Roman"/>
          <w:i/>
          <w:iCs/>
          <w:lang w:val="en-US"/>
        </w:rPr>
        <w:t>involved in the study; the p-value from the chi-square test for each group is compared to the total group.</w:t>
      </w:r>
      <w:r w:rsidR="001B1609" w:rsidRPr="00752AC2">
        <w:rPr>
          <w:rFonts w:ascii="Times New Roman" w:hAnsi="Times New Roman" w:cs="Times New Roman"/>
          <w:i/>
          <w:iCs/>
          <w:lang w:val="en-US"/>
        </w:rPr>
        <w:t xml:space="preserve"> SC were sorted in 4 groups on the basis of cellularity of the samples collected: Top (TPSC), Good (GPSC), Medium (MPSC), Poor </w:t>
      </w:r>
      <w:r w:rsidR="002411C9" w:rsidRPr="00752AC2">
        <w:rPr>
          <w:rFonts w:ascii="Times New Roman" w:hAnsi="Times New Roman" w:cs="Times New Roman"/>
          <w:i/>
          <w:iCs/>
          <w:lang w:val="en-US"/>
        </w:rPr>
        <w:t>P</w:t>
      </w:r>
      <w:r w:rsidR="001B1609" w:rsidRPr="00752AC2">
        <w:rPr>
          <w:rFonts w:ascii="Times New Roman" w:hAnsi="Times New Roman" w:cs="Times New Roman"/>
          <w:i/>
          <w:iCs/>
          <w:lang w:val="en-US"/>
        </w:rPr>
        <w:t>erformance SC (PPSC).</w:t>
      </w:r>
      <w:r w:rsidR="001B1609" w:rsidRPr="00752AC2">
        <w:rPr>
          <w:rFonts w:ascii="Times New Roman" w:hAnsi="Times New Roman" w:cs="Times New Roman"/>
          <w:lang w:val="en-US"/>
        </w:rPr>
        <w:t xml:space="preserve"> </w:t>
      </w:r>
    </w:p>
    <w:p w14:paraId="201A8DB8" w14:textId="77777777" w:rsidR="00A953C5" w:rsidRDefault="00A953C5" w:rsidP="001B51C7">
      <w:pPr>
        <w:jc w:val="both"/>
        <w:rPr>
          <w:i/>
          <w:iCs/>
          <w:sz w:val="22"/>
          <w:szCs w:val="22"/>
          <w:lang w:val="en-US"/>
        </w:rPr>
      </w:pPr>
    </w:p>
    <w:p w14:paraId="32B52820" w14:textId="0699DF30" w:rsidR="00870A34" w:rsidRDefault="00870A34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br w:type="page"/>
      </w:r>
    </w:p>
    <w:p w14:paraId="5813F566" w14:textId="77777777" w:rsidR="005F1C7B" w:rsidRPr="00E95C71" w:rsidRDefault="005F1C7B" w:rsidP="005F1C7B">
      <w:pPr>
        <w:jc w:val="both"/>
        <w:rPr>
          <w:sz w:val="22"/>
          <w:szCs w:val="22"/>
          <w:lang w:val="en-US"/>
        </w:rPr>
      </w:pPr>
    </w:p>
    <w:p w14:paraId="45BBED7C" w14:textId="464DA7E4" w:rsidR="00984134" w:rsidRPr="00415161" w:rsidRDefault="00984134" w:rsidP="005F1C7B">
      <w:pPr>
        <w:jc w:val="both"/>
        <w:rPr>
          <w:sz w:val="22"/>
          <w:szCs w:val="22"/>
          <w:lang w:val="en-US"/>
        </w:rPr>
      </w:pPr>
      <w:r>
        <w:rPr>
          <w:noProof/>
        </w:rPr>
        <w:drawing>
          <wp:inline distT="0" distB="0" distL="0" distR="0" wp14:anchorId="2C2EAE52" wp14:editId="72EEF29D">
            <wp:extent cx="6120130" cy="3369945"/>
            <wp:effectExtent l="0" t="0" r="13970" b="1905"/>
            <wp:docPr id="179422185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A76303B9-9F91-EFA7-4B87-01811A2D67C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AD11602" w14:textId="15AEA87E" w:rsidR="005F1C7B" w:rsidRPr="00752AC2" w:rsidRDefault="005F1C7B" w:rsidP="005F1C7B">
      <w:pPr>
        <w:rPr>
          <w:rFonts w:ascii="Times New Roman" w:hAnsi="Times New Roman" w:cs="Times New Roman"/>
          <w:i/>
          <w:iCs/>
          <w:lang w:val="en-US"/>
        </w:rPr>
      </w:pPr>
      <w:r w:rsidRPr="00752AC2">
        <w:rPr>
          <w:rFonts w:ascii="Times New Roman" w:hAnsi="Times New Roman" w:cs="Times New Roman"/>
          <w:b/>
          <w:bCs/>
          <w:lang w:val="en-US"/>
        </w:rPr>
        <w:t>Figure 1.</w:t>
      </w:r>
      <w:r w:rsidRPr="00752AC2">
        <w:rPr>
          <w:rFonts w:ascii="Times New Roman" w:hAnsi="Times New Roman" w:cs="Times New Roman"/>
          <w:b/>
          <w:bCs/>
          <w:i/>
          <w:iCs/>
          <w:lang w:val="en-US"/>
        </w:rPr>
        <w:t xml:space="preserve"> </w:t>
      </w:r>
      <w:r w:rsidRPr="00752AC2">
        <w:rPr>
          <w:rFonts w:ascii="Times New Roman" w:hAnsi="Times New Roman" w:cs="Times New Roman"/>
          <w:i/>
          <w:iCs/>
          <w:lang w:val="en-US"/>
        </w:rPr>
        <w:t>Sample cellularity/</w:t>
      </w:r>
      <w:r w:rsidR="002213EB" w:rsidRPr="00752AC2">
        <w:rPr>
          <w:rFonts w:ascii="Times New Roman" w:hAnsi="Times New Roman" w:cs="Times New Roman"/>
          <w:i/>
          <w:iCs/>
          <w:lang w:val="en-US"/>
        </w:rPr>
        <w:t xml:space="preserve">mL </w:t>
      </w:r>
      <w:r w:rsidRPr="00752AC2">
        <w:rPr>
          <w:rFonts w:ascii="Times New Roman" w:hAnsi="Times New Roman" w:cs="Times New Roman"/>
          <w:i/>
          <w:iCs/>
          <w:lang w:val="en-US"/>
        </w:rPr>
        <w:t xml:space="preserve">vs </w:t>
      </w:r>
      <w:r w:rsidRPr="00752AC2">
        <w:rPr>
          <w:rFonts w:ascii="Symbol" w:hAnsi="Symbol" w:cs="Times New Roman"/>
          <w:i/>
          <w:iCs/>
          <w:lang w:val="en-US"/>
        </w:rPr>
        <w:t>b</w:t>
      </w:r>
      <w:r w:rsidRPr="00752AC2">
        <w:rPr>
          <w:rFonts w:ascii="Times New Roman" w:hAnsi="Times New Roman" w:cs="Times New Roman"/>
          <w:i/>
          <w:iCs/>
          <w:lang w:val="en-US"/>
        </w:rPr>
        <w:t xml:space="preserve">-globin Ct by </w:t>
      </w:r>
      <w:r w:rsidR="006802DA" w:rsidRPr="00752AC2">
        <w:rPr>
          <w:rFonts w:ascii="Times New Roman" w:hAnsi="Times New Roman" w:cs="Times New Roman"/>
          <w:i/>
          <w:iCs/>
          <w:lang w:val="en-US"/>
        </w:rPr>
        <w:t>cells/</w:t>
      </w:r>
      <w:r w:rsidR="002213EB" w:rsidRPr="00752AC2">
        <w:rPr>
          <w:rFonts w:ascii="Times New Roman" w:hAnsi="Times New Roman" w:cs="Times New Roman"/>
          <w:i/>
          <w:iCs/>
          <w:lang w:val="en-US"/>
        </w:rPr>
        <w:t xml:space="preserve">mL </w:t>
      </w:r>
      <w:r w:rsidR="006802DA" w:rsidRPr="00752AC2">
        <w:rPr>
          <w:rFonts w:ascii="Times New Roman" w:hAnsi="Times New Roman" w:cs="Times New Roman"/>
          <w:i/>
          <w:iCs/>
          <w:lang w:val="en-US"/>
        </w:rPr>
        <w:t xml:space="preserve">assessed by </w:t>
      </w:r>
      <w:r w:rsidRPr="00752AC2">
        <w:rPr>
          <w:rFonts w:ascii="Times New Roman" w:hAnsi="Times New Roman" w:cs="Times New Roman"/>
          <w:i/>
          <w:iCs/>
          <w:lang w:val="en-US"/>
        </w:rPr>
        <w:t>CCR5-qPCR assay.</w:t>
      </w:r>
    </w:p>
    <w:p w14:paraId="2AE39A4A" w14:textId="698F3A80" w:rsidR="00752AC2" w:rsidRDefault="00752AC2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br w:type="page"/>
      </w:r>
    </w:p>
    <w:p w14:paraId="78A2DF46" w14:textId="5338B461" w:rsidR="005F1C7B" w:rsidRPr="00415161" w:rsidRDefault="00450B08" w:rsidP="005F1C7B">
      <w:pPr>
        <w:jc w:val="both"/>
        <w:rPr>
          <w:sz w:val="22"/>
          <w:szCs w:val="22"/>
          <w:lang w:val="en-US"/>
        </w:rPr>
      </w:pPr>
      <w:r>
        <w:rPr>
          <w:noProof/>
        </w:rPr>
        <w:lastRenderedPageBreak/>
        <w:drawing>
          <wp:inline distT="0" distB="0" distL="0" distR="0" wp14:anchorId="416CD3C7" wp14:editId="5852DFD0">
            <wp:extent cx="6120130" cy="2851785"/>
            <wp:effectExtent l="0" t="0" r="13970" b="5715"/>
            <wp:docPr id="1103483461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11386EC1-5C63-4A65-91F1-69A3EB5C7EE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46465350" w14:textId="6882A99C" w:rsidR="00E02151" w:rsidRPr="00752AC2" w:rsidRDefault="005F1C7B" w:rsidP="002E426B">
      <w:pPr>
        <w:jc w:val="both"/>
        <w:rPr>
          <w:rFonts w:ascii="Times New Roman" w:hAnsi="Times New Roman" w:cs="Times New Roman"/>
          <w:i/>
          <w:iCs/>
          <w:lang w:val="en-US"/>
        </w:rPr>
      </w:pPr>
      <w:r w:rsidRPr="00752AC2">
        <w:rPr>
          <w:rFonts w:ascii="Times New Roman" w:hAnsi="Times New Roman" w:cs="Times New Roman"/>
          <w:b/>
          <w:bCs/>
          <w:lang w:val="en-US"/>
        </w:rPr>
        <w:t xml:space="preserve">Figure 2. </w:t>
      </w:r>
      <w:r w:rsidRPr="00752AC2">
        <w:rPr>
          <w:rFonts w:ascii="Times New Roman" w:hAnsi="Times New Roman" w:cs="Times New Roman"/>
          <w:i/>
          <w:iCs/>
          <w:lang w:val="en-US"/>
        </w:rPr>
        <w:t>PreservCyt (</w:t>
      </w:r>
      <w:r w:rsidR="002213EB" w:rsidRPr="00752AC2">
        <w:rPr>
          <w:rFonts w:ascii="Times New Roman" w:hAnsi="Times New Roman" w:cs="Times New Roman"/>
          <w:i/>
          <w:iCs/>
          <w:lang w:val="en-US"/>
        </w:rPr>
        <w:t>mL</w:t>
      </w:r>
      <w:r w:rsidRPr="00752AC2">
        <w:rPr>
          <w:rFonts w:ascii="Times New Roman" w:hAnsi="Times New Roman" w:cs="Times New Roman"/>
          <w:i/>
          <w:iCs/>
          <w:lang w:val="en-US"/>
        </w:rPr>
        <w:t xml:space="preserve">) aspirated for LBC setup by </w:t>
      </w:r>
      <w:proofErr w:type="spellStart"/>
      <w:r w:rsidRPr="00752AC2">
        <w:rPr>
          <w:rFonts w:ascii="Times New Roman" w:hAnsi="Times New Roman" w:cs="Times New Roman"/>
          <w:i/>
          <w:iCs/>
          <w:lang w:val="en-US"/>
        </w:rPr>
        <w:t>Thin</w:t>
      </w:r>
      <w:r w:rsidR="00D24666" w:rsidRPr="00752AC2">
        <w:rPr>
          <w:rFonts w:ascii="Times New Roman" w:hAnsi="Times New Roman" w:cs="Times New Roman"/>
          <w:i/>
          <w:iCs/>
          <w:lang w:val="en-US"/>
        </w:rPr>
        <w:t>P</w:t>
      </w:r>
      <w:r w:rsidRPr="00752AC2">
        <w:rPr>
          <w:rFonts w:ascii="Times New Roman" w:hAnsi="Times New Roman" w:cs="Times New Roman"/>
          <w:i/>
          <w:iCs/>
          <w:lang w:val="en-US"/>
        </w:rPr>
        <w:t>rep</w:t>
      </w:r>
      <w:proofErr w:type="spellEnd"/>
      <w:r w:rsidRPr="00752AC2">
        <w:rPr>
          <w:rFonts w:ascii="Times New Roman" w:hAnsi="Times New Roman" w:cs="Times New Roman"/>
          <w:i/>
          <w:iCs/>
          <w:lang w:val="en-US"/>
        </w:rPr>
        <w:t xml:space="preserve">® 2000 vs PCR </w:t>
      </w:r>
      <w:r w:rsidRPr="00752AC2">
        <w:rPr>
          <w:rFonts w:ascii="Symbol" w:hAnsi="Symbol" w:cs="Times New Roman"/>
          <w:i/>
          <w:iCs/>
          <w:lang w:val="en-US"/>
        </w:rPr>
        <w:t>b</w:t>
      </w:r>
      <w:r w:rsidRPr="00752AC2">
        <w:rPr>
          <w:rFonts w:ascii="Times New Roman" w:hAnsi="Times New Roman" w:cs="Times New Roman"/>
          <w:i/>
          <w:iCs/>
          <w:lang w:val="en-US"/>
        </w:rPr>
        <w:t>-globin Ct.</w:t>
      </w:r>
    </w:p>
    <w:p w14:paraId="2826DC36" w14:textId="77777777" w:rsidR="00E02151" w:rsidRDefault="00E02151" w:rsidP="00752ADF">
      <w:pPr>
        <w:jc w:val="both"/>
        <w:rPr>
          <w:i/>
          <w:iCs/>
          <w:sz w:val="22"/>
          <w:szCs w:val="22"/>
          <w:lang w:val="en-US"/>
        </w:rPr>
      </w:pPr>
    </w:p>
    <w:p w14:paraId="74D8581B" w14:textId="77777777" w:rsidR="00F67FC6" w:rsidRDefault="00F67FC6" w:rsidP="00F67FC6">
      <w:pPr>
        <w:jc w:val="both"/>
        <w:rPr>
          <w:sz w:val="22"/>
          <w:szCs w:val="22"/>
          <w:lang w:val="en-US"/>
        </w:rPr>
      </w:pPr>
    </w:p>
    <w:p w14:paraId="0FF60A6A" w14:textId="2C744979" w:rsidR="00F56F9F" w:rsidRDefault="00F56F9F">
      <w:pPr>
        <w:rPr>
          <w:i/>
          <w:iCs/>
          <w:sz w:val="22"/>
          <w:szCs w:val="22"/>
          <w:lang w:val="en-US"/>
        </w:rPr>
      </w:pPr>
      <w:r>
        <w:rPr>
          <w:i/>
          <w:iCs/>
          <w:sz w:val="22"/>
          <w:szCs w:val="22"/>
          <w:lang w:val="en-US"/>
        </w:rPr>
        <w:br w:type="page"/>
      </w:r>
    </w:p>
    <w:p w14:paraId="0BDB8261" w14:textId="77777777" w:rsidR="001B51C7" w:rsidRDefault="001B51C7" w:rsidP="00752ADF">
      <w:pPr>
        <w:jc w:val="both"/>
        <w:rPr>
          <w:i/>
          <w:iCs/>
          <w:sz w:val="22"/>
          <w:szCs w:val="22"/>
          <w:lang w:val="en-US"/>
        </w:rPr>
      </w:pPr>
    </w:p>
    <w:p w14:paraId="4FF2B243" w14:textId="3130BD76" w:rsidR="00F57083" w:rsidRPr="00435496" w:rsidRDefault="00F57083" w:rsidP="004942ED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b/>
          <w:bCs/>
          <w:sz w:val="22"/>
          <w:szCs w:val="22"/>
          <w:lang w:val="en-US"/>
        </w:rPr>
        <w:t>References</w:t>
      </w:r>
    </w:p>
    <w:p w14:paraId="5FEE95D3" w14:textId="1CA5FBD9" w:rsidR="006A7D80" w:rsidRPr="00435496" w:rsidRDefault="006A7D80" w:rsidP="006A7D8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</w:rPr>
        <w:t xml:space="preserve">Ronco G, Biggeri A, Confortini M, </w:t>
      </w:r>
      <w:proofErr w:type="spellStart"/>
      <w:r w:rsidRPr="00435496">
        <w:rPr>
          <w:rFonts w:ascii="Times New Roman" w:hAnsi="Times New Roman" w:cs="Times New Roman"/>
          <w:sz w:val="22"/>
          <w:szCs w:val="22"/>
        </w:rPr>
        <w:t>Naldoni</w:t>
      </w:r>
      <w:proofErr w:type="spellEnd"/>
      <w:r w:rsidRPr="00435496">
        <w:rPr>
          <w:rFonts w:ascii="Times New Roman" w:hAnsi="Times New Roman" w:cs="Times New Roman"/>
          <w:sz w:val="22"/>
          <w:szCs w:val="22"/>
        </w:rPr>
        <w:t xml:space="preserve"> C, Segnan N, Sideri M, et al. </w:t>
      </w:r>
      <w:r w:rsidRPr="00435496">
        <w:rPr>
          <w:rFonts w:ascii="Times New Roman" w:hAnsi="Times New Roman" w:cs="Times New Roman"/>
          <w:sz w:val="22"/>
          <w:szCs w:val="22"/>
          <w:lang w:val="en-US"/>
        </w:rPr>
        <w:t>Health technology assessment report: HPV DNA-based primary screening for cervical cancer precursors. Epidemiol Prev. 2012;36(3-4 Suppl 1):e1-72.</w:t>
      </w:r>
    </w:p>
    <w:p w14:paraId="364B7E5C" w14:textId="4791150A" w:rsidR="006A7D80" w:rsidRPr="00435496" w:rsidRDefault="006A7D80" w:rsidP="006A7D8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Ronco G, Dillner J, Elfstrom KM,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Tunesi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S, Snijders PJ,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Arbyn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M, et al. Efficacy of HPV-based screening for prevention of invasive cervical cancer: follow-up of four European randomized controlled trials. Lancet. 2014;383:524-32.</w:t>
      </w:r>
    </w:p>
    <w:p w14:paraId="412CF95B" w14:textId="32D142D6" w:rsidR="006A7D80" w:rsidRPr="00435496" w:rsidRDefault="006A7D80" w:rsidP="006A7D8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8C3A45">
        <w:rPr>
          <w:rFonts w:ascii="Times New Roman" w:hAnsi="Times New Roman" w:cs="Times New Roman"/>
          <w:sz w:val="22"/>
          <w:szCs w:val="22"/>
          <w:lang w:val="sv-SE"/>
        </w:rPr>
        <w:t xml:space="preserve">Arroyo Muhr LS, Lagheden C, Lei J, Eklund C, Nordqvist Kleppe S, Sparen P, et al. </w:t>
      </w:r>
      <w:r w:rsidRPr="00435496">
        <w:rPr>
          <w:rFonts w:ascii="Times New Roman" w:hAnsi="Times New Roman" w:cs="Times New Roman"/>
          <w:sz w:val="22"/>
          <w:szCs w:val="22"/>
          <w:lang w:val="en-US"/>
        </w:rPr>
        <w:t>Deep sequencing detects human papillomavirus (HPV) in cervical cancers negative for HPV by PCR. Br J Cancer. 2020;123:1790-5.</w:t>
      </w:r>
    </w:p>
    <w:p w14:paraId="094F56BF" w14:textId="03F5D4E6" w:rsidR="006A7D80" w:rsidRPr="00435496" w:rsidRDefault="006A7D80" w:rsidP="006A7D8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8C3A45">
        <w:rPr>
          <w:rFonts w:ascii="Times New Roman" w:hAnsi="Times New Roman" w:cs="Times New Roman"/>
          <w:sz w:val="22"/>
          <w:szCs w:val="22"/>
          <w:lang w:val="sv-SE"/>
        </w:rPr>
        <w:t xml:space="preserve">Petry KU, Landt O, Ritter C, Boger C, Pawlita M, Schmitt M, et al. </w:t>
      </w:r>
      <w:r w:rsidRPr="00435496">
        <w:rPr>
          <w:rFonts w:ascii="Times New Roman" w:hAnsi="Times New Roman" w:cs="Times New Roman"/>
          <w:sz w:val="22"/>
          <w:szCs w:val="22"/>
          <w:lang w:val="en-US"/>
        </w:rPr>
        <w:t>Surgical staging identified false HPV-negative cases in a large series of invasive cervical cancers. Papillomavirus Res. 2017;4:85-9.</w:t>
      </w:r>
    </w:p>
    <w:p w14:paraId="29922406" w14:textId="300C8865" w:rsidR="006A7D80" w:rsidRPr="00435496" w:rsidRDefault="006A7D80" w:rsidP="006A7D8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  <w:lang w:val="de-DE"/>
        </w:rPr>
        <w:t xml:space="preserve">Blatt AJ, Kennedy R,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de-DE"/>
        </w:rPr>
        <w:t>Luff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de-DE"/>
        </w:rPr>
        <w:t xml:space="preserve"> RD, Austin RM, Rabin DS. </w:t>
      </w:r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Comparison of cervical cancer screening results among 256,648 women in multiple clinical practices. Cancer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Cytopathol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>. 2015;123(5):282-9.</w:t>
      </w:r>
    </w:p>
    <w:p w14:paraId="6D95D164" w14:textId="05FD2100" w:rsidR="006A7D80" w:rsidRPr="00435496" w:rsidRDefault="006A7D80" w:rsidP="006A7D8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  <w:lang w:val="nl-NL"/>
        </w:rPr>
        <w:t xml:space="preserve">Wang J, Li H, Zhang J, Wang H, Li Y,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nl-NL"/>
        </w:rPr>
        <w:t>Liu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nl-NL"/>
        </w:rPr>
        <w:t xml:space="preserve"> Z, et al. </w:t>
      </w:r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Epidemiology and genotypes analysis of human papillomavirus infection in Beijing, China.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Virol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J. 2024;21(1):19.</w:t>
      </w:r>
    </w:p>
    <w:p w14:paraId="2F152A00" w14:textId="2C185B03" w:rsidR="006A7D80" w:rsidRPr="00435496" w:rsidRDefault="006A7D80" w:rsidP="006A7D8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</w:rPr>
        <w:t xml:space="preserve">Rodríguez-Carunchio L, </w:t>
      </w:r>
      <w:proofErr w:type="spellStart"/>
      <w:r w:rsidRPr="00435496">
        <w:rPr>
          <w:rFonts w:ascii="Times New Roman" w:hAnsi="Times New Roman" w:cs="Times New Roman"/>
          <w:sz w:val="22"/>
          <w:szCs w:val="22"/>
        </w:rPr>
        <w:t>Soveral</w:t>
      </w:r>
      <w:proofErr w:type="spellEnd"/>
      <w:r w:rsidRPr="00435496">
        <w:rPr>
          <w:rFonts w:ascii="Times New Roman" w:hAnsi="Times New Roman" w:cs="Times New Roman"/>
          <w:sz w:val="22"/>
          <w:szCs w:val="22"/>
        </w:rPr>
        <w:t xml:space="preserve"> I, </w:t>
      </w:r>
      <w:proofErr w:type="spellStart"/>
      <w:r w:rsidRPr="00435496">
        <w:rPr>
          <w:rFonts w:ascii="Times New Roman" w:hAnsi="Times New Roman" w:cs="Times New Roman"/>
          <w:sz w:val="22"/>
          <w:szCs w:val="22"/>
        </w:rPr>
        <w:t>Steenbergen</w:t>
      </w:r>
      <w:proofErr w:type="spellEnd"/>
      <w:r w:rsidRPr="00435496">
        <w:rPr>
          <w:rFonts w:ascii="Times New Roman" w:hAnsi="Times New Roman" w:cs="Times New Roman"/>
          <w:sz w:val="22"/>
          <w:szCs w:val="22"/>
        </w:rPr>
        <w:t xml:space="preserve"> RD, </w:t>
      </w:r>
      <w:proofErr w:type="spellStart"/>
      <w:r w:rsidRPr="00435496">
        <w:rPr>
          <w:rFonts w:ascii="Times New Roman" w:hAnsi="Times New Roman" w:cs="Times New Roman"/>
          <w:sz w:val="22"/>
          <w:szCs w:val="22"/>
        </w:rPr>
        <w:t>Torne</w:t>
      </w:r>
      <w:proofErr w:type="spellEnd"/>
      <w:r w:rsidRPr="00435496">
        <w:rPr>
          <w:rFonts w:ascii="Times New Roman" w:hAnsi="Times New Roman" w:cs="Times New Roman"/>
          <w:sz w:val="22"/>
          <w:szCs w:val="22"/>
        </w:rPr>
        <w:t xml:space="preserve"> A, </w:t>
      </w:r>
      <w:proofErr w:type="spellStart"/>
      <w:r w:rsidRPr="00435496">
        <w:rPr>
          <w:rFonts w:ascii="Times New Roman" w:hAnsi="Times New Roman" w:cs="Times New Roman"/>
          <w:sz w:val="22"/>
          <w:szCs w:val="22"/>
        </w:rPr>
        <w:t>Clavero</w:t>
      </w:r>
      <w:proofErr w:type="spellEnd"/>
      <w:r w:rsidRPr="00435496">
        <w:rPr>
          <w:rFonts w:ascii="Times New Roman" w:hAnsi="Times New Roman" w:cs="Times New Roman"/>
          <w:sz w:val="22"/>
          <w:szCs w:val="22"/>
        </w:rPr>
        <w:t xml:space="preserve"> O, </w:t>
      </w:r>
      <w:proofErr w:type="spellStart"/>
      <w:r w:rsidRPr="00435496">
        <w:rPr>
          <w:rFonts w:ascii="Times New Roman" w:hAnsi="Times New Roman" w:cs="Times New Roman"/>
          <w:sz w:val="22"/>
          <w:szCs w:val="22"/>
        </w:rPr>
        <w:t>Requesens</w:t>
      </w:r>
      <w:proofErr w:type="spellEnd"/>
      <w:r w:rsidRPr="00435496">
        <w:rPr>
          <w:rFonts w:ascii="Times New Roman" w:hAnsi="Times New Roman" w:cs="Times New Roman"/>
          <w:sz w:val="22"/>
          <w:szCs w:val="22"/>
        </w:rPr>
        <w:t xml:space="preserve"> E, et al. </w:t>
      </w:r>
      <w:r w:rsidRPr="00435496">
        <w:rPr>
          <w:rFonts w:ascii="Times New Roman" w:hAnsi="Times New Roman" w:cs="Times New Roman"/>
          <w:sz w:val="22"/>
          <w:szCs w:val="22"/>
          <w:lang w:val="en-US"/>
        </w:rPr>
        <w:t>HPV-negative carcinoma of the uterine cervix: a distinct type of cervical cancer with poor prognosis. BJOG. 2015;122(1):119-27.</w:t>
      </w:r>
    </w:p>
    <w:p w14:paraId="6FB19D43" w14:textId="77777777" w:rsidR="00030D02" w:rsidRPr="00435496" w:rsidRDefault="006A7D80" w:rsidP="00030D02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Molijn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A, Jenkins D, Chen W, Zhang X, Qiao Y,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Arbyn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M, et al. The complex relationship between human papillomavirus and cervical adenocarcinoma. Int J Cancer. </w:t>
      </w:r>
      <w:r w:rsidRPr="00435496">
        <w:rPr>
          <w:rFonts w:ascii="Times New Roman" w:hAnsi="Times New Roman" w:cs="Times New Roman"/>
          <w:sz w:val="22"/>
          <w:szCs w:val="22"/>
        </w:rPr>
        <w:t>2016;138(2):409-16.</w:t>
      </w:r>
    </w:p>
    <w:p w14:paraId="533C94EA" w14:textId="6633E3A8" w:rsidR="0000722C" w:rsidRPr="00435496" w:rsidRDefault="0000722C" w:rsidP="00030D02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435496">
        <w:rPr>
          <w:rFonts w:ascii="Times New Roman" w:hAnsi="Times New Roman" w:cs="Times New Roman"/>
          <w:sz w:val="22"/>
          <w:szCs w:val="22"/>
        </w:rPr>
        <w:t>Pretet</w:t>
      </w:r>
      <w:proofErr w:type="spellEnd"/>
      <w:r w:rsidRPr="00435496">
        <w:rPr>
          <w:rFonts w:ascii="Times New Roman" w:hAnsi="Times New Roman" w:cs="Times New Roman"/>
          <w:sz w:val="22"/>
          <w:szCs w:val="22"/>
        </w:rPr>
        <w:t xml:space="preserve"> JL, Arroyo </w:t>
      </w:r>
      <w:proofErr w:type="spellStart"/>
      <w:r w:rsidRPr="00435496">
        <w:rPr>
          <w:rFonts w:ascii="Times New Roman" w:hAnsi="Times New Roman" w:cs="Times New Roman"/>
          <w:sz w:val="22"/>
          <w:szCs w:val="22"/>
        </w:rPr>
        <w:t>Mühr</w:t>
      </w:r>
      <w:proofErr w:type="spellEnd"/>
      <w:r w:rsidRPr="00435496">
        <w:rPr>
          <w:rFonts w:ascii="Times New Roman" w:hAnsi="Times New Roman" w:cs="Times New Roman"/>
          <w:sz w:val="22"/>
          <w:szCs w:val="22"/>
        </w:rPr>
        <w:t xml:space="preserve"> LS, </w:t>
      </w:r>
      <w:proofErr w:type="spellStart"/>
      <w:r w:rsidRPr="00435496">
        <w:rPr>
          <w:rFonts w:ascii="Times New Roman" w:hAnsi="Times New Roman" w:cs="Times New Roman"/>
          <w:sz w:val="22"/>
          <w:szCs w:val="22"/>
        </w:rPr>
        <w:t>Cuschieri</w:t>
      </w:r>
      <w:proofErr w:type="spellEnd"/>
      <w:r w:rsidRPr="00435496">
        <w:rPr>
          <w:rFonts w:ascii="Times New Roman" w:hAnsi="Times New Roman" w:cs="Times New Roman"/>
          <w:sz w:val="22"/>
          <w:szCs w:val="22"/>
        </w:rPr>
        <w:t xml:space="preserve"> K, </w:t>
      </w:r>
      <w:proofErr w:type="spellStart"/>
      <w:r w:rsidRPr="00435496">
        <w:rPr>
          <w:rFonts w:ascii="Times New Roman" w:hAnsi="Times New Roman" w:cs="Times New Roman"/>
          <w:sz w:val="22"/>
          <w:szCs w:val="22"/>
        </w:rPr>
        <w:t>Fellner</w:t>
      </w:r>
      <w:proofErr w:type="spellEnd"/>
      <w:r w:rsidRPr="00435496">
        <w:rPr>
          <w:rFonts w:ascii="Times New Roman" w:hAnsi="Times New Roman" w:cs="Times New Roman"/>
          <w:sz w:val="22"/>
          <w:szCs w:val="22"/>
        </w:rPr>
        <w:t xml:space="preserve"> MD, Correa RM, Picconi MA, et al. </w:t>
      </w:r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Human papillomavirus negative high grade cervical lesions and cancers: Suggested guidance for HPV testing quality assurance. J Clin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Virol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>. 2024 Apr;171:105657.</w:t>
      </w:r>
    </w:p>
    <w:p w14:paraId="435BD654" w14:textId="69C164EE" w:rsidR="006A7D80" w:rsidRPr="00435496" w:rsidRDefault="006A7D80" w:rsidP="006A7D8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  <w:lang w:val="en-US"/>
        </w:rPr>
        <w:t>Cancer Genome Atlas Research Network, Albert Einstein College of Medicine, et al. Integrated genomic and molecular characterization of cervical cancer. Nature. 2017;543(7645):378-84.</w:t>
      </w:r>
    </w:p>
    <w:p w14:paraId="1447C847" w14:textId="4C5515A0" w:rsidR="006A7D80" w:rsidRPr="00435496" w:rsidRDefault="009A4322" w:rsidP="006A7D8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Pirog EC,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Lloveras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B,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Molijn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A, Tous S,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Guimerà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N, Alejo M, Clavero O, Klaustermeier J, Jenkins D, Quint WG, Xavier Bosch F, Alemany L, de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Sanjosé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S; RIS HPV TT study group. </w:t>
      </w:r>
      <w:r w:rsidR="006A7D80"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HPV prevalence and genotypes in different histological subtypes of cervical adenocarcinoma, a worldwide analysis of 760 cases. Mod </w:t>
      </w:r>
      <w:proofErr w:type="spellStart"/>
      <w:r w:rsidR="006A7D80" w:rsidRPr="00435496">
        <w:rPr>
          <w:rFonts w:ascii="Times New Roman" w:hAnsi="Times New Roman" w:cs="Times New Roman"/>
          <w:sz w:val="22"/>
          <w:szCs w:val="22"/>
          <w:lang w:val="en-US"/>
        </w:rPr>
        <w:t>Pathol</w:t>
      </w:r>
      <w:proofErr w:type="spellEnd"/>
      <w:r w:rsidR="006A7D80" w:rsidRPr="00435496">
        <w:rPr>
          <w:rFonts w:ascii="Times New Roman" w:hAnsi="Times New Roman" w:cs="Times New Roman"/>
          <w:sz w:val="22"/>
          <w:szCs w:val="22"/>
          <w:lang w:val="en-US"/>
        </w:rPr>
        <w:t>. 2014;27(12):1559-67.</w:t>
      </w:r>
    </w:p>
    <w:p w14:paraId="0C322F3C" w14:textId="06C741D8" w:rsidR="006A7D80" w:rsidRPr="00435496" w:rsidRDefault="006A7D80" w:rsidP="006A7D8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Pirog EC, P. K. Gastric-type Adenocarcinoma of the Cervix: Tumor With Wide Range of Histologic Appearances. Adv Anat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Pathol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>. 2019;26(1):1-12.</w:t>
      </w:r>
    </w:p>
    <w:p w14:paraId="46175D4E" w14:textId="77777777" w:rsidR="00030D02" w:rsidRPr="00435496" w:rsidRDefault="006A7D80" w:rsidP="00030D02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Rossi PG, Ronco G. Why follow-back studies should be interpreted cautiously: the case of an HPV-negative cervical lesion. Cancer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Cytopathol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>. 2016;124(1):66-7.</w:t>
      </w:r>
    </w:p>
    <w:p w14:paraId="7EB0C547" w14:textId="356A3245" w:rsidR="006A7D80" w:rsidRPr="00435496" w:rsidRDefault="006A7D80" w:rsidP="00030D02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  <w:lang w:val="en-US"/>
        </w:rPr>
        <w:t>Xing B, Guo J. Human papillomavirus-negative cervical cancer: a comprehensive review. Front Oncol. 2021;10:606335.</w:t>
      </w:r>
    </w:p>
    <w:p w14:paraId="68D27C6B" w14:textId="5E6C9E62" w:rsidR="006A7D80" w:rsidRPr="00435496" w:rsidRDefault="006A7D80" w:rsidP="006A7D8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Pirog EC. Cervical Adenocarcinoma: Diagnosis of Human Papillomavirus-Positive and Human Papillomavirus-Negative Tumors. Arch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Pathol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Lab Med. 2017;141(12):1653-67.</w:t>
      </w:r>
    </w:p>
    <w:p w14:paraId="526E97FE" w14:textId="6BD74CFE" w:rsidR="006A7D80" w:rsidRPr="00435496" w:rsidRDefault="006A7D80" w:rsidP="006A7D8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435496">
        <w:rPr>
          <w:rFonts w:ascii="Times New Roman" w:hAnsi="Times New Roman" w:cs="Times New Roman"/>
          <w:sz w:val="22"/>
          <w:szCs w:val="22"/>
          <w:lang w:val="fr-FR"/>
        </w:rPr>
        <w:t>Akagi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fr-FR"/>
        </w:rPr>
        <w:t xml:space="preserve"> K, Li J,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fr-FR"/>
        </w:rPr>
        <w:t>Broutian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fr-FR"/>
        </w:rPr>
        <w:t xml:space="preserve"> TR, Padilla-Nash HM, Xiao W, Jiang B, et al. </w:t>
      </w:r>
      <w:r w:rsidRPr="00435496">
        <w:rPr>
          <w:rFonts w:ascii="Times New Roman" w:hAnsi="Times New Roman" w:cs="Times New Roman"/>
          <w:sz w:val="22"/>
          <w:szCs w:val="22"/>
          <w:lang w:val="en-US"/>
        </w:rPr>
        <w:t>Genome-wide analysis of HPV integration in human cancers reveals recurrent, focal genomic instability. Genome Res. 2014;24(2):185-99.</w:t>
      </w:r>
    </w:p>
    <w:p w14:paraId="1672CEFB" w14:textId="181F0976" w:rsidR="006A7D80" w:rsidRPr="00435496" w:rsidRDefault="006A7D80" w:rsidP="006A7D8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  <w:lang w:val="en-US"/>
        </w:rPr>
        <w:t>Xing B, Guo J. Human papillomavirus-negative cervical cancer: a comprehensive review. Front Oncol. 2021;10:606335.</w:t>
      </w:r>
    </w:p>
    <w:p w14:paraId="09F6E284" w14:textId="1F56D5CE" w:rsidR="006A7D80" w:rsidRPr="00435496" w:rsidRDefault="006A7D80" w:rsidP="006A7D8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Clifford GM, Tenet V, Georges D, Alemany L,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Pavón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MA, Tous S, et al. The role of low-risk HPV types in cervical cancer. Cancer Epidemiol Biomarkers Prev. 2021;30(1):50-9.</w:t>
      </w:r>
    </w:p>
    <w:p w14:paraId="7F3C1EDA" w14:textId="12B963F8" w:rsidR="006A7D80" w:rsidRPr="00435496" w:rsidRDefault="006A7D80" w:rsidP="006A7D8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  <w:lang w:val="en-US"/>
        </w:rPr>
        <w:lastRenderedPageBreak/>
        <w:t>Clifford GM, Smith JS, Plummer M, Munoz N, Franceschi S. Human papillomavirus types in invasive cervical cancer worldwide: a meta-analysis. Br J Cancer. 2003;88(1):63-73.</w:t>
      </w:r>
    </w:p>
    <w:p w14:paraId="6BC24F8F" w14:textId="7185EBBB" w:rsidR="006A7D80" w:rsidRPr="00435496" w:rsidRDefault="006A7D80" w:rsidP="006A7D8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Meijer CJ,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Berkhof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J, Castle PE, Hesselink AT, Franco EL, Ronco G,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Arbyn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M, Bosch FX, Cuzick J, Dillner J, Heideman DA, Snijders PJ. Guidelines for human papillomavirus DNA test requirements for primary cervical cancer screening in women 30 years and older. Int J Cancer. 2009;124(3):516-20.</w:t>
      </w:r>
    </w:p>
    <w:p w14:paraId="344E2696" w14:textId="77777777" w:rsidR="00F32BA8" w:rsidRPr="00435496" w:rsidRDefault="006A7D80" w:rsidP="00F32BA8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Arbyn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M, Depuydt C, Benoy I, Bogers J, Cuschieri K, Schmitt M,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Pawlita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M, Geraets D, Heard I, Gheit T, Tommasino M, Poljak M, Bonde J, Quint W. VALGENT: A protocol for clinical validation of human papillomavirus assays. J Clin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Virol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>. 2016;76:S14-S21.</w:t>
      </w:r>
    </w:p>
    <w:p w14:paraId="3C4B7533" w14:textId="1CF9C02C" w:rsidR="006A7D80" w:rsidRPr="00435496" w:rsidRDefault="006A7D80" w:rsidP="00F32BA8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Arbyn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M, Simon M, Peeters E, Xu L, Meijer CJLM,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Berkhof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J, et al. 2020 list of human papillomavirus assays suitable for primary cervical cancer screening. Clin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Microbiol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Infect. 2021;27(8):1083-95.</w:t>
      </w:r>
    </w:p>
    <w:p w14:paraId="68365D0F" w14:textId="177C1EBB" w:rsidR="006A7D80" w:rsidRPr="00435496" w:rsidRDefault="006A7D80" w:rsidP="006A7D8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  <w:lang w:val="en-US"/>
        </w:rPr>
        <w:t>Nayar R, Wilbur DC. The Bethesda System for Reporting Cervical Cytology. Springer International Publishing; 2015.</w:t>
      </w:r>
    </w:p>
    <w:p w14:paraId="0B871EA9" w14:textId="70472603" w:rsidR="006A7D80" w:rsidRPr="00435496" w:rsidRDefault="006A7D80" w:rsidP="006A7D8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Kitchener HC, Gallivan S, McCance DJ, Fletcher I, Roberts C,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Patnick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J, et al. A study of cellular counting to determine minimum thresholds for adequacy for liquid-based cervical cytology using a survey and counting protocol. Health Technol Assess. 2015;19(22).</w:t>
      </w:r>
    </w:p>
    <w:p w14:paraId="59653FDE" w14:textId="64320DA8" w:rsidR="00030D02" w:rsidRPr="00435496" w:rsidRDefault="00030D02" w:rsidP="006A7D8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Albertus G Siebers, Paul JJM Klinkhamer, Judith EM Vedder, Marc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Arbyn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, Johan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Bulten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; Causes and Relevance of Unsatisfactory and Satisfactory but Limited Smears of Liquid-Based Compared With Conventional Cervical Cytology. Arch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Pathol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Lab Med 1 January 2012; 136 (1): 76–83.</w:t>
      </w:r>
    </w:p>
    <w:p w14:paraId="5085F17F" w14:textId="60132452" w:rsidR="006A7D80" w:rsidRPr="00435496" w:rsidRDefault="006A7D80" w:rsidP="006A7D8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  <w:lang w:val="en-US"/>
        </w:rPr>
        <w:t>Solomon D, Davey D, Kurman R, Moriarty A, O’Connor D, Prey M, et al. The 2001 Bethesda System: terminology for reporting results of cervical cytology. JAMA. 2002;287(16):2114-9.</w:t>
      </w:r>
    </w:p>
    <w:p w14:paraId="1ECB0165" w14:textId="23E4B560" w:rsidR="006A7D80" w:rsidRPr="00435496" w:rsidRDefault="006A7D80" w:rsidP="006A7D8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Brukner I,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Schockaert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S, Poljak M. Maximizing confidence in a negative result: quantitative sample adequacy control. J Infect Public Health. 2020;13:991-3.</w:t>
      </w:r>
    </w:p>
    <w:p w14:paraId="1DD56731" w14:textId="70FF3D12" w:rsidR="00F57083" w:rsidRPr="00435496" w:rsidRDefault="006A7D80" w:rsidP="00F5708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Brukner I,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Arbyn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M, Poljak M. Sample Adequacy Control (SAC) Lowers False Negatives and Increases the Quality of Screening: Introduction of "Non-Competitive" SAC for qPCR Assays. Diagnostics (Basel). 2021;11(7):1133.</w:t>
      </w:r>
    </w:p>
    <w:p w14:paraId="7CDD6F07" w14:textId="0636175F" w:rsidR="00F57083" w:rsidRPr="00435496" w:rsidRDefault="00F57083" w:rsidP="00F5708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Cuzick J,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Szarewski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A, Terry G, Ho L, Hanby A, Maddox P, et al. A comparison of HPV DNA testing in cervical screening and follow-up: Hybrid Capture 2, PCR and self-sampling. J Med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Virol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>. 2003;73(4):535-40.</w:t>
      </w:r>
    </w:p>
    <w:p w14:paraId="5BD508F5" w14:textId="54482353" w:rsidR="00F57083" w:rsidRPr="00435496" w:rsidRDefault="00F57083" w:rsidP="00F5708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Castle PE, Wheeler CM, Solomon D, Schiffman M, Peyton CL, Gravitt PE, et al. Evaluation of human papillomavirus assays as secondary screening tools. J Clin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Microbiol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>. 2002;40(5):1759-65.</w:t>
      </w:r>
    </w:p>
    <w:p w14:paraId="53823AF8" w14:textId="77777777" w:rsidR="00F57083" w:rsidRPr="00435496" w:rsidRDefault="00F57083" w:rsidP="00F5708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Clad A,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Reuschenbach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M, Weinschenk J, Grote R,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Rahmsdorf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J, Freudenberg N. Performance of the Aptima HPV assay in a routine screening population in comparison with Hybrid Capture 2 and cytology. J Clin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Virol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. </w:t>
      </w:r>
      <w:r w:rsidRPr="00435496">
        <w:rPr>
          <w:rFonts w:ascii="Times New Roman" w:hAnsi="Times New Roman" w:cs="Times New Roman"/>
          <w:sz w:val="22"/>
          <w:szCs w:val="22"/>
        </w:rPr>
        <w:t>2011;52(2):118-20.</w:t>
      </w:r>
    </w:p>
    <w:p w14:paraId="66C9341A" w14:textId="4075BAB4" w:rsidR="006A7D80" w:rsidRPr="00435496" w:rsidRDefault="00F57083" w:rsidP="006A7D8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435496">
        <w:rPr>
          <w:rFonts w:ascii="Times New Roman" w:hAnsi="Times New Roman" w:cs="Times New Roman"/>
          <w:sz w:val="22"/>
          <w:szCs w:val="22"/>
        </w:rPr>
        <w:t>Iftner</w:t>
      </w:r>
      <w:proofErr w:type="spellEnd"/>
      <w:r w:rsidRPr="00435496">
        <w:rPr>
          <w:rFonts w:ascii="Times New Roman" w:hAnsi="Times New Roman" w:cs="Times New Roman"/>
          <w:sz w:val="22"/>
          <w:szCs w:val="22"/>
        </w:rPr>
        <w:t xml:space="preserve"> T, </w:t>
      </w:r>
      <w:proofErr w:type="spellStart"/>
      <w:r w:rsidRPr="00435496">
        <w:rPr>
          <w:rFonts w:ascii="Times New Roman" w:hAnsi="Times New Roman" w:cs="Times New Roman"/>
          <w:sz w:val="22"/>
          <w:szCs w:val="22"/>
        </w:rPr>
        <w:t>Neis</w:t>
      </w:r>
      <w:proofErr w:type="spellEnd"/>
      <w:r w:rsidRPr="00435496">
        <w:rPr>
          <w:rFonts w:ascii="Times New Roman" w:hAnsi="Times New Roman" w:cs="Times New Roman"/>
          <w:sz w:val="22"/>
          <w:szCs w:val="22"/>
        </w:rPr>
        <w:t xml:space="preserve"> KJ, </w:t>
      </w:r>
      <w:proofErr w:type="spellStart"/>
      <w:r w:rsidRPr="00435496">
        <w:rPr>
          <w:rFonts w:ascii="Times New Roman" w:hAnsi="Times New Roman" w:cs="Times New Roman"/>
          <w:sz w:val="22"/>
          <w:szCs w:val="22"/>
        </w:rPr>
        <w:t>Castanon</w:t>
      </w:r>
      <w:proofErr w:type="spellEnd"/>
      <w:r w:rsidRPr="00435496">
        <w:rPr>
          <w:rFonts w:ascii="Times New Roman" w:hAnsi="Times New Roman" w:cs="Times New Roman"/>
          <w:sz w:val="22"/>
          <w:szCs w:val="22"/>
        </w:rPr>
        <w:t xml:space="preserve"> A, </w:t>
      </w:r>
      <w:proofErr w:type="spellStart"/>
      <w:r w:rsidRPr="00435496">
        <w:rPr>
          <w:rFonts w:ascii="Times New Roman" w:hAnsi="Times New Roman" w:cs="Times New Roman"/>
          <w:sz w:val="22"/>
          <w:szCs w:val="22"/>
        </w:rPr>
        <w:t>Tasevska</w:t>
      </w:r>
      <w:proofErr w:type="spellEnd"/>
      <w:r w:rsidRPr="00435496">
        <w:rPr>
          <w:rFonts w:ascii="Times New Roman" w:hAnsi="Times New Roman" w:cs="Times New Roman"/>
          <w:sz w:val="22"/>
          <w:szCs w:val="22"/>
        </w:rPr>
        <w:t xml:space="preserve"> I, Martinez A, Petersen K, et al. </w:t>
      </w:r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Long-term performance of the RNA-based Aptima HPV assay in comparison with the DNA-based Hybrid Capture 2 test in a routine screening setting. J Clin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Microbiol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>. 2015;53(8):2509-16.</w:t>
      </w:r>
    </w:p>
    <w:p w14:paraId="7D87F844" w14:textId="0D145494" w:rsidR="006A7D80" w:rsidRPr="00435496" w:rsidRDefault="006A7D80" w:rsidP="006A7D8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435496">
        <w:rPr>
          <w:rFonts w:ascii="Times New Roman" w:hAnsi="Times New Roman" w:cs="Times New Roman"/>
          <w:sz w:val="22"/>
          <w:szCs w:val="22"/>
          <w:lang w:val="de-DE"/>
        </w:rPr>
        <w:t>Cuschieri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de-DE"/>
        </w:rPr>
        <w:t xml:space="preserve"> K, Wilson A, Palmer T,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de-DE"/>
        </w:rPr>
        <w:t>Stanczuk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de-DE"/>
        </w:rPr>
        <w:t xml:space="preserve"> G,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de-DE"/>
        </w:rPr>
        <w:t>Bhatia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de-DE"/>
        </w:rPr>
        <w:t xml:space="preserve"> R,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de-DE"/>
        </w:rPr>
        <w:t>Ejegod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de-DE"/>
        </w:rPr>
        <w:t xml:space="preserve"> D, et al. </w:t>
      </w:r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The challenges of defining sample adequacy in an era of HPV-based cervical screening. </w:t>
      </w:r>
      <w:r w:rsidRPr="00435496">
        <w:rPr>
          <w:rFonts w:ascii="Times New Roman" w:hAnsi="Times New Roman" w:cs="Times New Roman"/>
          <w:sz w:val="22"/>
          <w:szCs w:val="22"/>
        </w:rPr>
        <w:t xml:space="preserve">J </w:t>
      </w:r>
      <w:proofErr w:type="spellStart"/>
      <w:r w:rsidRPr="00435496">
        <w:rPr>
          <w:rFonts w:ascii="Times New Roman" w:hAnsi="Times New Roman" w:cs="Times New Roman"/>
          <w:sz w:val="22"/>
          <w:szCs w:val="22"/>
        </w:rPr>
        <w:t>Clin</w:t>
      </w:r>
      <w:proofErr w:type="spellEnd"/>
      <w:r w:rsidRPr="0043549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35496">
        <w:rPr>
          <w:rFonts w:ascii="Times New Roman" w:hAnsi="Times New Roman" w:cs="Times New Roman"/>
          <w:sz w:val="22"/>
          <w:szCs w:val="22"/>
        </w:rPr>
        <w:t>Virol</w:t>
      </w:r>
      <w:proofErr w:type="spellEnd"/>
      <w:r w:rsidRPr="00435496">
        <w:rPr>
          <w:rFonts w:ascii="Times New Roman" w:hAnsi="Times New Roman" w:cs="Times New Roman"/>
          <w:sz w:val="22"/>
          <w:szCs w:val="22"/>
        </w:rPr>
        <w:t>. 2021;137:104756.</w:t>
      </w:r>
    </w:p>
    <w:p w14:paraId="644C4B4D" w14:textId="249989F2" w:rsidR="006A7D80" w:rsidRPr="00435496" w:rsidRDefault="006A7D80" w:rsidP="00F5708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435496">
        <w:rPr>
          <w:rFonts w:ascii="Times New Roman" w:hAnsi="Times New Roman" w:cs="Times New Roman"/>
          <w:sz w:val="22"/>
          <w:szCs w:val="22"/>
        </w:rPr>
        <w:t>Cuschieri</w:t>
      </w:r>
      <w:proofErr w:type="spellEnd"/>
      <w:r w:rsidRPr="00435496">
        <w:rPr>
          <w:rFonts w:ascii="Times New Roman" w:hAnsi="Times New Roman" w:cs="Times New Roman"/>
          <w:sz w:val="22"/>
          <w:szCs w:val="22"/>
        </w:rPr>
        <w:t xml:space="preserve"> K, </w:t>
      </w:r>
      <w:proofErr w:type="spellStart"/>
      <w:r w:rsidRPr="00435496">
        <w:rPr>
          <w:rFonts w:ascii="Times New Roman" w:hAnsi="Times New Roman" w:cs="Times New Roman"/>
          <w:sz w:val="22"/>
          <w:szCs w:val="22"/>
        </w:rPr>
        <w:t>Fellner</w:t>
      </w:r>
      <w:proofErr w:type="spellEnd"/>
      <w:r w:rsidRPr="00435496">
        <w:rPr>
          <w:rFonts w:ascii="Times New Roman" w:hAnsi="Times New Roman" w:cs="Times New Roman"/>
          <w:sz w:val="22"/>
          <w:szCs w:val="22"/>
        </w:rPr>
        <w:t xml:space="preserve"> MD, Arroyo </w:t>
      </w:r>
      <w:proofErr w:type="spellStart"/>
      <w:r w:rsidRPr="00435496">
        <w:rPr>
          <w:rFonts w:ascii="Times New Roman" w:hAnsi="Times New Roman" w:cs="Times New Roman"/>
          <w:sz w:val="22"/>
          <w:szCs w:val="22"/>
        </w:rPr>
        <w:t>Mühr</w:t>
      </w:r>
      <w:proofErr w:type="spellEnd"/>
      <w:r w:rsidRPr="00435496">
        <w:rPr>
          <w:rFonts w:ascii="Times New Roman" w:hAnsi="Times New Roman" w:cs="Times New Roman"/>
          <w:sz w:val="22"/>
          <w:szCs w:val="22"/>
        </w:rPr>
        <w:t xml:space="preserve"> LS, </w:t>
      </w:r>
      <w:proofErr w:type="spellStart"/>
      <w:r w:rsidRPr="00435496">
        <w:rPr>
          <w:rFonts w:ascii="Times New Roman" w:hAnsi="Times New Roman" w:cs="Times New Roman"/>
          <w:sz w:val="22"/>
          <w:szCs w:val="22"/>
        </w:rPr>
        <w:t>Padalko</w:t>
      </w:r>
      <w:proofErr w:type="spellEnd"/>
      <w:r w:rsidRPr="00435496">
        <w:rPr>
          <w:rFonts w:ascii="Times New Roman" w:hAnsi="Times New Roman" w:cs="Times New Roman"/>
          <w:sz w:val="22"/>
          <w:szCs w:val="22"/>
        </w:rPr>
        <w:t xml:space="preserve"> E, Correa RM, </w:t>
      </w:r>
      <w:proofErr w:type="spellStart"/>
      <w:r w:rsidRPr="00435496">
        <w:rPr>
          <w:rFonts w:ascii="Times New Roman" w:hAnsi="Times New Roman" w:cs="Times New Roman"/>
          <w:sz w:val="22"/>
          <w:szCs w:val="22"/>
        </w:rPr>
        <w:t>Dillner</w:t>
      </w:r>
      <w:proofErr w:type="spellEnd"/>
      <w:r w:rsidRPr="00435496">
        <w:rPr>
          <w:rFonts w:ascii="Times New Roman" w:hAnsi="Times New Roman" w:cs="Times New Roman"/>
          <w:sz w:val="22"/>
          <w:szCs w:val="22"/>
        </w:rPr>
        <w:t xml:space="preserve"> J, et al. </w:t>
      </w:r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Quality assurance in human papillomavirus testing for primary cervical screening. Int J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Gynecol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Cancer. 2023.</w:t>
      </w:r>
    </w:p>
    <w:p w14:paraId="7339DD73" w14:textId="3557CF9E" w:rsidR="006076B2" w:rsidRPr="00435496" w:rsidRDefault="006076B2" w:rsidP="00F5708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Rao A, Young S, Erlich H, Boyle S,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Krevolin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M, Sun R, Apple R, Behrens C. Development and characterization of the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cobas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human papillomavirus test. </w:t>
      </w:r>
      <w:r w:rsidRPr="00435496">
        <w:rPr>
          <w:rFonts w:ascii="Times New Roman" w:hAnsi="Times New Roman" w:cs="Times New Roman"/>
          <w:sz w:val="22"/>
          <w:szCs w:val="22"/>
        </w:rPr>
        <w:t xml:space="preserve">J </w:t>
      </w:r>
      <w:proofErr w:type="spellStart"/>
      <w:r w:rsidRPr="00435496">
        <w:rPr>
          <w:rFonts w:ascii="Times New Roman" w:hAnsi="Times New Roman" w:cs="Times New Roman"/>
          <w:sz w:val="22"/>
          <w:szCs w:val="22"/>
        </w:rPr>
        <w:t>Clin</w:t>
      </w:r>
      <w:proofErr w:type="spellEnd"/>
      <w:r w:rsidRPr="0043549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35496">
        <w:rPr>
          <w:rFonts w:ascii="Times New Roman" w:hAnsi="Times New Roman" w:cs="Times New Roman"/>
          <w:sz w:val="22"/>
          <w:szCs w:val="22"/>
        </w:rPr>
        <w:t>Microbiol</w:t>
      </w:r>
      <w:proofErr w:type="spellEnd"/>
      <w:r w:rsidRPr="00435496">
        <w:rPr>
          <w:rFonts w:ascii="Times New Roman" w:hAnsi="Times New Roman" w:cs="Times New Roman"/>
          <w:sz w:val="22"/>
          <w:szCs w:val="22"/>
        </w:rPr>
        <w:t>. 2013 May;51(5):1478-84.</w:t>
      </w:r>
    </w:p>
    <w:p w14:paraId="186F27E2" w14:textId="73E0D754" w:rsidR="00FC6916" w:rsidRPr="00435496" w:rsidRDefault="00FC6916" w:rsidP="00F5708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Cocuzza CE, Dhillon SK, Martinelli M,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Giubbi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C, Njoku RC, Bhatia R, Cuschieri K,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Arbyn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M. Clinical performance of the novel full-genotyping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OncoPredict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HPV Quantitative Typing assay using the VALGENT framework. </w:t>
      </w:r>
      <w:r w:rsidRPr="00435496">
        <w:rPr>
          <w:rFonts w:ascii="Times New Roman" w:hAnsi="Times New Roman" w:cs="Times New Roman"/>
          <w:sz w:val="22"/>
          <w:szCs w:val="22"/>
        </w:rPr>
        <w:t xml:space="preserve">Int J Cancer. 2024 </w:t>
      </w:r>
      <w:proofErr w:type="spellStart"/>
      <w:r w:rsidRPr="00435496">
        <w:rPr>
          <w:rFonts w:ascii="Times New Roman" w:hAnsi="Times New Roman" w:cs="Times New Roman"/>
          <w:sz w:val="22"/>
          <w:szCs w:val="22"/>
        </w:rPr>
        <w:t>Feb</w:t>
      </w:r>
      <w:proofErr w:type="spellEnd"/>
      <w:r w:rsidRPr="00435496">
        <w:rPr>
          <w:rFonts w:ascii="Times New Roman" w:hAnsi="Times New Roman" w:cs="Times New Roman"/>
          <w:sz w:val="22"/>
          <w:szCs w:val="22"/>
        </w:rPr>
        <w:t xml:space="preserve"> 1;154(3):538-547.</w:t>
      </w:r>
    </w:p>
    <w:p w14:paraId="2ED8C6C8" w14:textId="0FCAD883" w:rsidR="00A93C63" w:rsidRPr="00435496" w:rsidRDefault="00A93C63" w:rsidP="00F5708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435496">
        <w:rPr>
          <w:rFonts w:ascii="Times New Roman" w:hAnsi="Times New Roman" w:cs="Times New Roman"/>
          <w:sz w:val="22"/>
          <w:szCs w:val="22"/>
        </w:rPr>
        <w:t>Njoku</w:t>
      </w:r>
      <w:proofErr w:type="spellEnd"/>
      <w:r w:rsidRPr="00435496">
        <w:rPr>
          <w:rFonts w:ascii="Times New Roman" w:hAnsi="Times New Roman" w:cs="Times New Roman"/>
          <w:sz w:val="22"/>
          <w:szCs w:val="22"/>
        </w:rPr>
        <w:t xml:space="preserve"> RC, Martinelli M, Giubbi C, De Marco S, Torsello B, d'Avenia M, Sironi M, Bianchi C, Cocuzza CE. </w:t>
      </w:r>
      <w:r w:rsidRPr="00435496">
        <w:rPr>
          <w:rFonts w:ascii="Times New Roman" w:hAnsi="Times New Roman" w:cs="Times New Roman"/>
          <w:sz w:val="22"/>
          <w:szCs w:val="22"/>
          <w:lang w:val="en-US"/>
        </w:rPr>
        <w:t>Evaluation of</w:t>
      </w:r>
      <w:r w:rsidR="0006658F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435496">
        <w:rPr>
          <w:rFonts w:ascii="Times New Roman" w:hAnsi="Times New Roman" w:cs="Times New Roman"/>
          <w:i/>
          <w:iCs/>
          <w:sz w:val="22"/>
          <w:szCs w:val="22"/>
          <w:lang w:val="en-US"/>
        </w:rPr>
        <w:t>C-C Motif Chemokine Receptor 5</w:t>
      </w:r>
      <w:r w:rsidRPr="00435496">
        <w:rPr>
          <w:rFonts w:ascii="Times New Roman" w:hAnsi="Times New Roman" w:cs="Times New Roman"/>
          <w:sz w:val="22"/>
          <w:szCs w:val="22"/>
          <w:lang w:val="en-US"/>
        </w:rPr>
        <w:t> (</w:t>
      </w:r>
      <w:r w:rsidRPr="00435496">
        <w:rPr>
          <w:rFonts w:ascii="Times New Roman" w:hAnsi="Times New Roman" w:cs="Times New Roman"/>
          <w:i/>
          <w:iCs/>
          <w:sz w:val="22"/>
          <w:szCs w:val="22"/>
          <w:lang w:val="en-US"/>
        </w:rPr>
        <w:t>CCR5</w:t>
      </w:r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) as a Sample Adequacy Control in HPV Molecular Diagnostics. </w:t>
      </w:r>
      <w:r w:rsidRPr="0006658F">
        <w:rPr>
          <w:rFonts w:ascii="Times New Roman" w:hAnsi="Times New Roman" w:cs="Times New Roman"/>
          <w:sz w:val="22"/>
          <w:szCs w:val="22"/>
          <w:lang w:val="en-US"/>
        </w:rPr>
        <w:t>Diagnostics (Basel). 2024 Sep 30;14(19):2194.</w:t>
      </w:r>
    </w:p>
    <w:p w14:paraId="1047B964" w14:textId="2560CD25" w:rsidR="00F85425" w:rsidRPr="00435496" w:rsidRDefault="00F85425" w:rsidP="00F85425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lastRenderedPageBreak/>
        <w:t>Engesæter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B, van Diermen Hidle B, Hansen M, Moltu P, Staby KM, Borchgrevink-Persen S,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Vintermyr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OK,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Lönnberg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S, Nygård M, Janssen EA, Castle PE, Christiansen IK. Quality assurance of human papillomavirus (HPV) testing in the implementation of HPV primary screening in Norway: an inter-laboratory reproducibility study. BMC Infect Dis. 2016 Nov 24;16(1):698.</w:t>
      </w:r>
    </w:p>
    <w:p w14:paraId="212A7037" w14:textId="22EFE6A0" w:rsidR="00E75467" w:rsidRPr="00435496" w:rsidRDefault="00E75467" w:rsidP="00E7546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435496">
        <w:rPr>
          <w:rFonts w:ascii="Times New Roman" w:hAnsi="Times New Roman" w:cs="Times New Roman"/>
          <w:sz w:val="22"/>
          <w:szCs w:val="22"/>
          <w:lang w:val="en-GB"/>
        </w:rPr>
        <w:t>Lannér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GB"/>
        </w:rPr>
        <w:t xml:space="preserve"> L, Lindström AK. Incidence of HPV and HPV related dysplasia in elderly women in Sweden. </w:t>
      </w:r>
      <w:r w:rsidRPr="00435496">
        <w:rPr>
          <w:rFonts w:ascii="Times New Roman" w:hAnsi="Times New Roman" w:cs="Times New Roman"/>
          <w:sz w:val="22"/>
          <w:szCs w:val="22"/>
        </w:rPr>
        <w:t>PLoS One. 2020 Mar 20;15(3):e0229758. </w:t>
      </w:r>
    </w:p>
    <w:p w14:paraId="1239877C" w14:textId="77777777" w:rsidR="00E75467" w:rsidRPr="00435496" w:rsidRDefault="00E75467" w:rsidP="006D4285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  <w:lang w:val="en-GB"/>
        </w:rPr>
        <w:t xml:space="preserve">Grimes DR. Impact of human papillomavirus age-related prevalence and vaccination levels on interpretation of cervical screening modalities: a modelling study. </w:t>
      </w:r>
      <w:r w:rsidRPr="00435496">
        <w:rPr>
          <w:rFonts w:ascii="Times New Roman" w:hAnsi="Times New Roman" w:cs="Times New Roman"/>
          <w:sz w:val="22"/>
          <w:szCs w:val="22"/>
          <w:lang w:val="nl-NL"/>
        </w:rPr>
        <w:t>BMJ Open. 2024 Feb 2;14(2):e078551.</w:t>
      </w:r>
    </w:p>
    <w:p w14:paraId="2A5D1BFF" w14:textId="6124726E" w:rsidR="003F56E8" w:rsidRPr="00435496" w:rsidRDefault="003F56E8" w:rsidP="003F56E8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Stanley MA. Epithelial cell responses to infection with human papillomavirus. </w:t>
      </w:r>
      <w:proofErr w:type="spellStart"/>
      <w:r w:rsidRPr="00435496">
        <w:rPr>
          <w:rFonts w:ascii="Times New Roman" w:hAnsi="Times New Roman" w:cs="Times New Roman"/>
          <w:sz w:val="22"/>
          <w:szCs w:val="22"/>
        </w:rPr>
        <w:t>Clin</w:t>
      </w:r>
      <w:proofErr w:type="spellEnd"/>
      <w:r w:rsidRPr="0043549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35496">
        <w:rPr>
          <w:rFonts w:ascii="Times New Roman" w:hAnsi="Times New Roman" w:cs="Times New Roman"/>
          <w:sz w:val="22"/>
          <w:szCs w:val="22"/>
        </w:rPr>
        <w:t>Microbiol</w:t>
      </w:r>
      <w:proofErr w:type="spellEnd"/>
      <w:r w:rsidRPr="00435496">
        <w:rPr>
          <w:rFonts w:ascii="Times New Roman" w:hAnsi="Times New Roman" w:cs="Times New Roman"/>
          <w:sz w:val="22"/>
          <w:szCs w:val="22"/>
        </w:rPr>
        <w:t xml:space="preserve"> Rev. 2012 Apr;25(2):215-22.</w:t>
      </w:r>
    </w:p>
    <w:p w14:paraId="79016D55" w14:textId="77777777" w:rsidR="00E75467" w:rsidRPr="00435496" w:rsidRDefault="00E75467" w:rsidP="00E7546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Hologic, Inc.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ThinPrep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® Pap Test. Instructions for Direct-to-Vial Specimen Collection. Available from: </w:t>
      </w:r>
      <w:hyperlink r:id="rId13" w:tgtFrame="_new" w:history="1">
        <w:r w:rsidRPr="00435496">
          <w:rPr>
            <w:rFonts w:ascii="Times New Roman" w:hAnsi="Times New Roman" w:cs="Times New Roman"/>
            <w:sz w:val="22"/>
            <w:szCs w:val="22"/>
            <w:lang w:val="en-US"/>
          </w:rPr>
          <w:t>https://www.hologic.com/</w:t>
        </w:r>
      </w:hyperlink>
    </w:p>
    <w:p w14:paraId="46CC4260" w14:textId="77777777" w:rsidR="00E75467" w:rsidRPr="00435496" w:rsidRDefault="00E75467" w:rsidP="00E7546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Dynacare.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ThinPrep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Pap Test: Cervical Sampler Broom Protocol. Available from: </w:t>
      </w:r>
      <w:hyperlink r:id="rId14" w:tgtFrame="_new" w:history="1">
        <w:r w:rsidRPr="00435496">
          <w:rPr>
            <w:rFonts w:ascii="Times New Roman" w:hAnsi="Times New Roman" w:cs="Times New Roman"/>
            <w:sz w:val="22"/>
            <w:szCs w:val="22"/>
            <w:lang w:val="en-US"/>
          </w:rPr>
          <w:t>https://www.dynacare.ca</w:t>
        </w:r>
      </w:hyperlink>
    </w:p>
    <w:p w14:paraId="2520A90D" w14:textId="3DAAA4D6" w:rsidR="00C86756" w:rsidRPr="00435496" w:rsidRDefault="00C86756" w:rsidP="00C86756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Guidance for acceptance of cervical screening samples in laboratories and pathways, roles and responsibilities from </w:t>
      </w:r>
      <w:r w:rsidRPr="00435496">
        <w:rPr>
          <w:rStyle w:val="Collegamentoipertestuale"/>
          <w:rFonts w:ascii="Times New Roman" w:hAnsi="Times New Roman" w:cs="Times New Roman"/>
          <w:color w:val="auto"/>
          <w:sz w:val="22"/>
          <w:szCs w:val="22"/>
          <w:u w:val="none"/>
          <w:lang w:val="en-US"/>
        </w:rPr>
        <w:t>Paragraph 6.7.</w:t>
      </w:r>
      <w:r w:rsidRPr="00435496">
        <w:rPr>
          <w:rFonts w:ascii="Times New Roman" w:hAnsi="Times New Roman" w:cs="Times New Roman"/>
          <w:lang w:val="en-GB"/>
        </w:rPr>
        <w:t xml:space="preserve"> </w:t>
      </w:r>
      <w:hyperlink r:id="rId15" w:history="1">
        <w:r w:rsidRPr="00435496">
          <w:rPr>
            <w:rStyle w:val="Collegamentoipertestuale"/>
            <w:rFonts w:ascii="Times New Roman" w:hAnsi="Times New Roman" w:cs="Times New Roman"/>
            <w:sz w:val="22"/>
            <w:szCs w:val="22"/>
          </w:rPr>
          <w:t>https://www.gov.uk/government/publications/cervical-screening-accepting-samples-in-laboratories/guidance-for-acceptance-of-cervical-screening-samples-in-laboratories-and-pathways-roles-and-responsibilities</w:t>
        </w:r>
      </w:hyperlink>
      <w:r w:rsidRPr="00435496">
        <w:rPr>
          <w:rStyle w:val="Collegamentoipertestuale"/>
          <w:rFonts w:ascii="Times New Roman" w:hAnsi="Times New Roman" w:cs="Times New Roman"/>
          <w:sz w:val="22"/>
          <w:szCs w:val="22"/>
        </w:rPr>
        <w:t>.</w:t>
      </w:r>
    </w:p>
    <w:p w14:paraId="06FA383E" w14:textId="686F55C0" w:rsidR="006D4285" w:rsidRPr="00435496" w:rsidRDefault="006D4285" w:rsidP="006D4285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  <w:lang w:val="nl-NL"/>
        </w:rPr>
        <w:t xml:space="preserve">Won KH, Lee IH,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nl-NL"/>
        </w:rPr>
        <w:t>Joo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nl-NL"/>
        </w:rPr>
        <w:t xml:space="preserve"> HJ, et al. </w:t>
      </w:r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Impact of age on the false negative rate of human papillomavirus DNA test in patients with atypical squamous cells of undetermined significance.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Obstet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US"/>
        </w:rPr>
        <w:t>Gynecol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US"/>
        </w:rPr>
        <w:t xml:space="preserve"> Sci. 2015;58(5):373-8.</w:t>
      </w:r>
    </w:p>
    <w:p w14:paraId="43F5220B" w14:textId="478FF57D" w:rsidR="00E216FE" w:rsidRPr="00435496" w:rsidRDefault="00E216FE" w:rsidP="006D4285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  <w:lang w:val="en-GB"/>
        </w:rPr>
        <w:t xml:space="preserve">Dilley S, Huh W,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GB"/>
        </w:rPr>
        <w:t>Blechter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GB"/>
        </w:rPr>
        <w:t xml:space="preserve"> B,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GB"/>
        </w:rPr>
        <w:t>Rositch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GB"/>
        </w:rPr>
        <w:t xml:space="preserve"> AF. It's time to re-evaluate cervical Cancer screening after age 65. </w:t>
      </w:r>
      <w:proofErr w:type="spellStart"/>
      <w:r w:rsidRPr="00435496">
        <w:rPr>
          <w:rFonts w:ascii="Times New Roman" w:hAnsi="Times New Roman" w:cs="Times New Roman"/>
          <w:sz w:val="22"/>
          <w:szCs w:val="22"/>
        </w:rPr>
        <w:t>Gynecol</w:t>
      </w:r>
      <w:proofErr w:type="spellEnd"/>
      <w:r w:rsidRPr="0043549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35496">
        <w:rPr>
          <w:rFonts w:ascii="Times New Roman" w:hAnsi="Times New Roman" w:cs="Times New Roman"/>
          <w:sz w:val="22"/>
          <w:szCs w:val="22"/>
        </w:rPr>
        <w:t>Oncol</w:t>
      </w:r>
      <w:proofErr w:type="spellEnd"/>
      <w:r w:rsidRPr="00435496">
        <w:rPr>
          <w:rFonts w:ascii="Times New Roman" w:hAnsi="Times New Roman" w:cs="Times New Roman"/>
          <w:sz w:val="22"/>
          <w:szCs w:val="22"/>
        </w:rPr>
        <w:t>. 2021 Jul;162(1):200-202.</w:t>
      </w:r>
    </w:p>
    <w:p w14:paraId="4EC55679" w14:textId="438AC4BF" w:rsidR="00420D06" w:rsidRPr="00BB3162" w:rsidRDefault="003F56E8" w:rsidP="006A7D8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435496">
        <w:rPr>
          <w:rFonts w:ascii="Times New Roman" w:hAnsi="Times New Roman" w:cs="Times New Roman"/>
          <w:sz w:val="22"/>
          <w:szCs w:val="22"/>
          <w:lang w:val="en-GB"/>
        </w:rPr>
        <w:t xml:space="preserve">Holly Nishimura, Ping Teresa Yeh,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GB"/>
        </w:rPr>
        <w:t>Habibat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GB"/>
        </w:rPr>
        <w:t>Oguntade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GB"/>
        </w:rPr>
        <w:t xml:space="preserve">, Caitlin E Kennedy, </w:t>
      </w:r>
      <w:proofErr w:type="spellStart"/>
      <w:r w:rsidRPr="00435496">
        <w:rPr>
          <w:rFonts w:ascii="Times New Roman" w:hAnsi="Times New Roman" w:cs="Times New Roman"/>
          <w:sz w:val="22"/>
          <w:szCs w:val="22"/>
          <w:lang w:val="en-GB"/>
        </w:rPr>
        <w:t>Manjulaa</w:t>
      </w:r>
      <w:proofErr w:type="spellEnd"/>
      <w:r w:rsidRPr="00435496">
        <w:rPr>
          <w:rFonts w:ascii="Times New Roman" w:hAnsi="Times New Roman" w:cs="Times New Roman"/>
          <w:sz w:val="22"/>
          <w:szCs w:val="22"/>
          <w:lang w:val="en-GB"/>
        </w:rPr>
        <w:t xml:space="preserve"> Narasimhan</w:t>
      </w:r>
      <w:r w:rsidR="00BB3162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435496">
        <w:rPr>
          <w:rFonts w:ascii="Times New Roman" w:hAnsi="Times New Roman" w:cs="Times New Roman"/>
          <w:sz w:val="22"/>
          <w:szCs w:val="22"/>
          <w:lang w:val="en-GB"/>
        </w:rPr>
        <w:t>-</w:t>
      </w:r>
      <w:r w:rsidR="00BB3162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435496">
        <w:rPr>
          <w:rFonts w:ascii="Times New Roman" w:hAnsi="Times New Roman" w:cs="Times New Roman"/>
          <w:sz w:val="22"/>
          <w:szCs w:val="22"/>
          <w:lang w:val="en-GB"/>
        </w:rPr>
        <w:t>HPV self-sampling for cervical cancer screening: a systematic review of values and preferences</w:t>
      </w:r>
      <w:r w:rsidR="00643130" w:rsidRPr="00435496">
        <w:rPr>
          <w:rFonts w:ascii="Times New Roman" w:hAnsi="Times New Roman" w:cs="Times New Roman"/>
          <w:sz w:val="22"/>
          <w:szCs w:val="22"/>
          <w:lang w:val="en-GB"/>
        </w:rPr>
        <w:t>.</w:t>
      </w:r>
      <w:r w:rsidR="00BB3162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435496">
        <w:rPr>
          <w:rFonts w:ascii="Times New Roman" w:hAnsi="Times New Roman" w:cs="Times New Roman"/>
          <w:sz w:val="22"/>
          <w:szCs w:val="22"/>
          <w:lang w:val="en-GB"/>
        </w:rPr>
        <w:t>BMJ Global Health 2021;6:e003743.</w:t>
      </w:r>
    </w:p>
    <w:sectPr w:rsidR="00420D06" w:rsidRPr="00BB31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E5E39"/>
    <w:multiLevelType w:val="hybridMultilevel"/>
    <w:tmpl w:val="2F122E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15BA5"/>
    <w:multiLevelType w:val="hybridMultilevel"/>
    <w:tmpl w:val="0DEEBD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E6445"/>
    <w:multiLevelType w:val="hybridMultilevel"/>
    <w:tmpl w:val="2F122E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F36AA1"/>
    <w:multiLevelType w:val="multilevel"/>
    <w:tmpl w:val="FC7CB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8F03151"/>
    <w:multiLevelType w:val="hybridMultilevel"/>
    <w:tmpl w:val="C07A922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907782">
    <w:abstractNumId w:val="1"/>
  </w:num>
  <w:num w:numId="2" w16cid:durableId="520360766">
    <w:abstractNumId w:val="0"/>
  </w:num>
  <w:num w:numId="3" w16cid:durableId="1472093507">
    <w:abstractNumId w:val="2"/>
  </w:num>
  <w:num w:numId="4" w16cid:durableId="717585435">
    <w:abstractNumId w:val="3"/>
  </w:num>
  <w:num w:numId="5" w16cid:durableId="17182373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F38"/>
    <w:rsid w:val="00001F46"/>
    <w:rsid w:val="00005FCA"/>
    <w:rsid w:val="0000722C"/>
    <w:rsid w:val="00017A14"/>
    <w:rsid w:val="00026BF2"/>
    <w:rsid w:val="00030D02"/>
    <w:rsid w:val="00031530"/>
    <w:rsid w:val="00031A4F"/>
    <w:rsid w:val="000359AF"/>
    <w:rsid w:val="00036478"/>
    <w:rsid w:val="00042362"/>
    <w:rsid w:val="00046F69"/>
    <w:rsid w:val="00053F38"/>
    <w:rsid w:val="0005452C"/>
    <w:rsid w:val="00054BFC"/>
    <w:rsid w:val="00057487"/>
    <w:rsid w:val="0006658F"/>
    <w:rsid w:val="00066864"/>
    <w:rsid w:val="00067E06"/>
    <w:rsid w:val="00070955"/>
    <w:rsid w:val="00077437"/>
    <w:rsid w:val="00082682"/>
    <w:rsid w:val="00083941"/>
    <w:rsid w:val="00094294"/>
    <w:rsid w:val="00096DEA"/>
    <w:rsid w:val="000A5287"/>
    <w:rsid w:val="000A6164"/>
    <w:rsid w:val="000B5EC1"/>
    <w:rsid w:val="000C0948"/>
    <w:rsid w:val="000C348E"/>
    <w:rsid w:val="000D7ABB"/>
    <w:rsid w:val="000E6378"/>
    <w:rsid w:val="000E7569"/>
    <w:rsid w:val="000F2752"/>
    <w:rsid w:val="000F275E"/>
    <w:rsid w:val="00115ABB"/>
    <w:rsid w:val="00116A89"/>
    <w:rsid w:val="00116CAD"/>
    <w:rsid w:val="001244D9"/>
    <w:rsid w:val="00124792"/>
    <w:rsid w:val="00131234"/>
    <w:rsid w:val="001323D0"/>
    <w:rsid w:val="001354BC"/>
    <w:rsid w:val="00136887"/>
    <w:rsid w:val="00140604"/>
    <w:rsid w:val="00153855"/>
    <w:rsid w:val="00154F28"/>
    <w:rsid w:val="00155428"/>
    <w:rsid w:val="00156F4E"/>
    <w:rsid w:val="0018208C"/>
    <w:rsid w:val="00187E78"/>
    <w:rsid w:val="0019004B"/>
    <w:rsid w:val="00190995"/>
    <w:rsid w:val="00191E5D"/>
    <w:rsid w:val="00191EA3"/>
    <w:rsid w:val="00194C79"/>
    <w:rsid w:val="00197E36"/>
    <w:rsid w:val="001A12D4"/>
    <w:rsid w:val="001A6BF9"/>
    <w:rsid w:val="001B1609"/>
    <w:rsid w:val="001B3F18"/>
    <w:rsid w:val="001B51C7"/>
    <w:rsid w:val="001C4DEB"/>
    <w:rsid w:val="001C55D7"/>
    <w:rsid w:val="001C6F07"/>
    <w:rsid w:val="001D4BED"/>
    <w:rsid w:val="001D511E"/>
    <w:rsid w:val="001D6863"/>
    <w:rsid w:val="001E21CA"/>
    <w:rsid w:val="001F1A99"/>
    <w:rsid w:val="001F5FD4"/>
    <w:rsid w:val="00201306"/>
    <w:rsid w:val="00203B7E"/>
    <w:rsid w:val="002053E8"/>
    <w:rsid w:val="00212B30"/>
    <w:rsid w:val="00212B34"/>
    <w:rsid w:val="002166A6"/>
    <w:rsid w:val="002213EB"/>
    <w:rsid w:val="002218CE"/>
    <w:rsid w:val="002226CA"/>
    <w:rsid w:val="00227C96"/>
    <w:rsid w:val="00230183"/>
    <w:rsid w:val="00230CC0"/>
    <w:rsid w:val="0023105C"/>
    <w:rsid w:val="00231D91"/>
    <w:rsid w:val="0023342E"/>
    <w:rsid w:val="00235CBD"/>
    <w:rsid w:val="002411C9"/>
    <w:rsid w:val="00242B5A"/>
    <w:rsid w:val="002430EC"/>
    <w:rsid w:val="00244AA0"/>
    <w:rsid w:val="002471A1"/>
    <w:rsid w:val="00251ECC"/>
    <w:rsid w:val="002554FF"/>
    <w:rsid w:val="00256BCF"/>
    <w:rsid w:val="00266582"/>
    <w:rsid w:val="00270B9F"/>
    <w:rsid w:val="0028601F"/>
    <w:rsid w:val="002863A0"/>
    <w:rsid w:val="002870B3"/>
    <w:rsid w:val="002A031A"/>
    <w:rsid w:val="002A0ABB"/>
    <w:rsid w:val="002B2693"/>
    <w:rsid w:val="002B7C6C"/>
    <w:rsid w:val="002C0220"/>
    <w:rsid w:val="002C4D60"/>
    <w:rsid w:val="002D1239"/>
    <w:rsid w:val="002D55EE"/>
    <w:rsid w:val="002D662F"/>
    <w:rsid w:val="002E426B"/>
    <w:rsid w:val="002F0A17"/>
    <w:rsid w:val="002F0D78"/>
    <w:rsid w:val="002F3438"/>
    <w:rsid w:val="002F400F"/>
    <w:rsid w:val="002F5256"/>
    <w:rsid w:val="00300CBF"/>
    <w:rsid w:val="00313872"/>
    <w:rsid w:val="003152EF"/>
    <w:rsid w:val="0031597D"/>
    <w:rsid w:val="00317274"/>
    <w:rsid w:val="003257E3"/>
    <w:rsid w:val="003316E1"/>
    <w:rsid w:val="00335C10"/>
    <w:rsid w:val="0033627D"/>
    <w:rsid w:val="00336E57"/>
    <w:rsid w:val="00337D36"/>
    <w:rsid w:val="003420F1"/>
    <w:rsid w:val="00342198"/>
    <w:rsid w:val="00342388"/>
    <w:rsid w:val="00342FA8"/>
    <w:rsid w:val="0035257D"/>
    <w:rsid w:val="00352AB5"/>
    <w:rsid w:val="00353FDE"/>
    <w:rsid w:val="00355D15"/>
    <w:rsid w:val="00356E50"/>
    <w:rsid w:val="00363512"/>
    <w:rsid w:val="00367E3C"/>
    <w:rsid w:val="00372B01"/>
    <w:rsid w:val="00374090"/>
    <w:rsid w:val="003741C8"/>
    <w:rsid w:val="00382DFE"/>
    <w:rsid w:val="00385089"/>
    <w:rsid w:val="00390000"/>
    <w:rsid w:val="003950E8"/>
    <w:rsid w:val="00397C24"/>
    <w:rsid w:val="003A3F10"/>
    <w:rsid w:val="003B46CC"/>
    <w:rsid w:val="003B6121"/>
    <w:rsid w:val="003C27A0"/>
    <w:rsid w:val="003C42AA"/>
    <w:rsid w:val="003C5A39"/>
    <w:rsid w:val="003C6546"/>
    <w:rsid w:val="003C7DC7"/>
    <w:rsid w:val="003D3112"/>
    <w:rsid w:val="003D38FE"/>
    <w:rsid w:val="003D5341"/>
    <w:rsid w:val="003D58CA"/>
    <w:rsid w:val="003E0EDF"/>
    <w:rsid w:val="003E6CDE"/>
    <w:rsid w:val="003E790D"/>
    <w:rsid w:val="003F24A1"/>
    <w:rsid w:val="003F51E9"/>
    <w:rsid w:val="003F56E8"/>
    <w:rsid w:val="00403EE4"/>
    <w:rsid w:val="00413F23"/>
    <w:rsid w:val="00415161"/>
    <w:rsid w:val="004173B2"/>
    <w:rsid w:val="00420D06"/>
    <w:rsid w:val="00421D4F"/>
    <w:rsid w:val="00423C6D"/>
    <w:rsid w:val="00425B76"/>
    <w:rsid w:val="00426008"/>
    <w:rsid w:val="004268A2"/>
    <w:rsid w:val="00430A83"/>
    <w:rsid w:val="004324AE"/>
    <w:rsid w:val="00435496"/>
    <w:rsid w:val="00436374"/>
    <w:rsid w:val="0043753D"/>
    <w:rsid w:val="00440158"/>
    <w:rsid w:val="00441A32"/>
    <w:rsid w:val="00446B98"/>
    <w:rsid w:val="00450B08"/>
    <w:rsid w:val="004544D8"/>
    <w:rsid w:val="004568E6"/>
    <w:rsid w:val="004668F7"/>
    <w:rsid w:val="00467CA8"/>
    <w:rsid w:val="00472BC9"/>
    <w:rsid w:val="004745E2"/>
    <w:rsid w:val="004832E0"/>
    <w:rsid w:val="00483D4D"/>
    <w:rsid w:val="00487FA9"/>
    <w:rsid w:val="00491039"/>
    <w:rsid w:val="004942ED"/>
    <w:rsid w:val="0049473D"/>
    <w:rsid w:val="00496D1A"/>
    <w:rsid w:val="004A2D52"/>
    <w:rsid w:val="004A41AE"/>
    <w:rsid w:val="004A4FAB"/>
    <w:rsid w:val="004C66B7"/>
    <w:rsid w:val="004D1558"/>
    <w:rsid w:val="004D1964"/>
    <w:rsid w:val="004D4EC2"/>
    <w:rsid w:val="004D595C"/>
    <w:rsid w:val="004E3962"/>
    <w:rsid w:val="004E603E"/>
    <w:rsid w:val="004F2AB4"/>
    <w:rsid w:val="004F5EEE"/>
    <w:rsid w:val="0050256C"/>
    <w:rsid w:val="00506A8A"/>
    <w:rsid w:val="00506D46"/>
    <w:rsid w:val="005073D6"/>
    <w:rsid w:val="005109BD"/>
    <w:rsid w:val="00510AB0"/>
    <w:rsid w:val="00517D47"/>
    <w:rsid w:val="00537C7C"/>
    <w:rsid w:val="005410CD"/>
    <w:rsid w:val="0055428B"/>
    <w:rsid w:val="0055638D"/>
    <w:rsid w:val="005660D1"/>
    <w:rsid w:val="00574352"/>
    <w:rsid w:val="00576810"/>
    <w:rsid w:val="005821C7"/>
    <w:rsid w:val="0058420D"/>
    <w:rsid w:val="005932E5"/>
    <w:rsid w:val="00593C20"/>
    <w:rsid w:val="005A2C5D"/>
    <w:rsid w:val="005A3933"/>
    <w:rsid w:val="005A498E"/>
    <w:rsid w:val="005A7079"/>
    <w:rsid w:val="005B39E7"/>
    <w:rsid w:val="005C0219"/>
    <w:rsid w:val="005E126A"/>
    <w:rsid w:val="005E2CD0"/>
    <w:rsid w:val="005E4A03"/>
    <w:rsid w:val="005E54C1"/>
    <w:rsid w:val="005F1C7B"/>
    <w:rsid w:val="005F52E2"/>
    <w:rsid w:val="005F7D3A"/>
    <w:rsid w:val="00601EDE"/>
    <w:rsid w:val="006076B2"/>
    <w:rsid w:val="0061285E"/>
    <w:rsid w:val="00625B50"/>
    <w:rsid w:val="006262EB"/>
    <w:rsid w:val="00633169"/>
    <w:rsid w:val="00643130"/>
    <w:rsid w:val="006457C7"/>
    <w:rsid w:val="006506B6"/>
    <w:rsid w:val="0065542E"/>
    <w:rsid w:val="00662964"/>
    <w:rsid w:val="0066421E"/>
    <w:rsid w:val="00665C25"/>
    <w:rsid w:val="00667AC9"/>
    <w:rsid w:val="00670BA5"/>
    <w:rsid w:val="0067509F"/>
    <w:rsid w:val="00675398"/>
    <w:rsid w:val="006777CE"/>
    <w:rsid w:val="00677C2F"/>
    <w:rsid w:val="006802DA"/>
    <w:rsid w:val="00680CCC"/>
    <w:rsid w:val="00683DD1"/>
    <w:rsid w:val="00684965"/>
    <w:rsid w:val="00684FA4"/>
    <w:rsid w:val="00692C18"/>
    <w:rsid w:val="006A148B"/>
    <w:rsid w:val="006A3FA5"/>
    <w:rsid w:val="006A53C9"/>
    <w:rsid w:val="006A5C5C"/>
    <w:rsid w:val="006A7D80"/>
    <w:rsid w:val="006C4939"/>
    <w:rsid w:val="006C542A"/>
    <w:rsid w:val="006D00A4"/>
    <w:rsid w:val="006D4277"/>
    <w:rsid w:val="006D4285"/>
    <w:rsid w:val="006E3B5B"/>
    <w:rsid w:val="006E3C5A"/>
    <w:rsid w:val="006E3E16"/>
    <w:rsid w:val="006E722A"/>
    <w:rsid w:val="006E7F92"/>
    <w:rsid w:val="006F01B1"/>
    <w:rsid w:val="006F3E4D"/>
    <w:rsid w:val="007008F3"/>
    <w:rsid w:val="00702ADA"/>
    <w:rsid w:val="00703CF5"/>
    <w:rsid w:val="00711853"/>
    <w:rsid w:val="00712DE3"/>
    <w:rsid w:val="00716010"/>
    <w:rsid w:val="00726DA4"/>
    <w:rsid w:val="00732635"/>
    <w:rsid w:val="00735B49"/>
    <w:rsid w:val="00744146"/>
    <w:rsid w:val="007443E4"/>
    <w:rsid w:val="00747B28"/>
    <w:rsid w:val="007500DD"/>
    <w:rsid w:val="00752AC2"/>
    <w:rsid w:val="00752ADF"/>
    <w:rsid w:val="00752E9D"/>
    <w:rsid w:val="00753E89"/>
    <w:rsid w:val="0075491C"/>
    <w:rsid w:val="00760659"/>
    <w:rsid w:val="007613F5"/>
    <w:rsid w:val="007616CB"/>
    <w:rsid w:val="00765E1F"/>
    <w:rsid w:val="00767084"/>
    <w:rsid w:val="007767B7"/>
    <w:rsid w:val="00776A3A"/>
    <w:rsid w:val="0078143D"/>
    <w:rsid w:val="007855C5"/>
    <w:rsid w:val="00787763"/>
    <w:rsid w:val="007928A5"/>
    <w:rsid w:val="007A33D4"/>
    <w:rsid w:val="007A54E0"/>
    <w:rsid w:val="007C26F3"/>
    <w:rsid w:val="007C5DD8"/>
    <w:rsid w:val="007C71A5"/>
    <w:rsid w:val="007D320F"/>
    <w:rsid w:val="007D53BD"/>
    <w:rsid w:val="007D5A2A"/>
    <w:rsid w:val="007D6862"/>
    <w:rsid w:val="007E2697"/>
    <w:rsid w:val="007E5FF9"/>
    <w:rsid w:val="007E6938"/>
    <w:rsid w:val="007E736D"/>
    <w:rsid w:val="007F44ED"/>
    <w:rsid w:val="007F5640"/>
    <w:rsid w:val="00805ED8"/>
    <w:rsid w:val="00810CF1"/>
    <w:rsid w:val="008113BD"/>
    <w:rsid w:val="0081422A"/>
    <w:rsid w:val="0081720C"/>
    <w:rsid w:val="00821ED3"/>
    <w:rsid w:val="00824E0B"/>
    <w:rsid w:val="008313E4"/>
    <w:rsid w:val="00836E9F"/>
    <w:rsid w:val="0084212C"/>
    <w:rsid w:val="00845975"/>
    <w:rsid w:val="008505E4"/>
    <w:rsid w:val="00851310"/>
    <w:rsid w:val="008515D7"/>
    <w:rsid w:val="00854FAF"/>
    <w:rsid w:val="00856249"/>
    <w:rsid w:val="008607C8"/>
    <w:rsid w:val="008611ED"/>
    <w:rsid w:val="00870A34"/>
    <w:rsid w:val="008817F1"/>
    <w:rsid w:val="008827FC"/>
    <w:rsid w:val="00890D93"/>
    <w:rsid w:val="00893865"/>
    <w:rsid w:val="008A09F5"/>
    <w:rsid w:val="008A1B37"/>
    <w:rsid w:val="008A51D7"/>
    <w:rsid w:val="008A581D"/>
    <w:rsid w:val="008B37C9"/>
    <w:rsid w:val="008B644E"/>
    <w:rsid w:val="008C3A45"/>
    <w:rsid w:val="008C420C"/>
    <w:rsid w:val="008D11BD"/>
    <w:rsid w:val="008D17DD"/>
    <w:rsid w:val="008D3B84"/>
    <w:rsid w:val="008D68B7"/>
    <w:rsid w:val="008E7C31"/>
    <w:rsid w:val="008F67AE"/>
    <w:rsid w:val="00905583"/>
    <w:rsid w:val="009055F2"/>
    <w:rsid w:val="00911AEE"/>
    <w:rsid w:val="00912D2B"/>
    <w:rsid w:val="00920D50"/>
    <w:rsid w:val="00930E15"/>
    <w:rsid w:val="00940E26"/>
    <w:rsid w:val="0095481E"/>
    <w:rsid w:val="00983721"/>
    <w:rsid w:val="00984134"/>
    <w:rsid w:val="00990F98"/>
    <w:rsid w:val="009A0D0D"/>
    <w:rsid w:val="009A1A66"/>
    <w:rsid w:val="009A26F5"/>
    <w:rsid w:val="009A4322"/>
    <w:rsid w:val="009A4690"/>
    <w:rsid w:val="009A70BC"/>
    <w:rsid w:val="009B67A2"/>
    <w:rsid w:val="009C0C66"/>
    <w:rsid w:val="009C24C2"/>
    <w:rsid w:val="009C58D9"/>
    <w:rsid w:val="009C64CC"/>
    <w:rsid w:val="009C64DE"/>
    <w:rsid w:val="009D233B"/>
    <w:rsid w:val="009D4296"/>
    <w:rsid w:val="009D7FE6"/>
    <w:rsid w:val="009E1103"/>
    <w:rsid w:val="009E719D"/>
    <w:rsid w:val="009F0038"/>
    <w:rsid w:val="009F6318"/>
    <w:rsid w:val="00A00D10"/>
    <w:rsid w:val="00A037E0"/>
    <w:rsid w:val="00A13A65"/>
    <w:rsid w:val="00A14250"/>
    <w:rsid w:val="00A167C2"/>
    <w:rsid w:val="00A16DCE"/>
    <w:rsid w:val="00A215A8"/>
    <w:rsid w:val="00A22780"/>
    <w:rsid w:val="00A238BE"/>
    <w:rsid w:val="00A277CE"/>
    <w:rsid w:val="00A33043"/>
    <w:rsid w:val="00A34329"/>
    <w:rsid w:val="00A36C3C"/>
    <w:rsid w:val="00A44980"/>
    <w:rsid w:val="00A555D5"/>
    <w:rsid w:val="00A67E43"/>
    <w:rsid w:val="00A70CCA"/>
    <w:rsid w:val="00A77D8B"/>
    <w:rsid w:val="00A93C63"/>
    <w:rsid w:val="00A9401D"/>
    <w:rsid w:val="00A953C5"/>
    <w:rsid w:val="00A9588C"/>
    <w:rsid w:val="00A965D5"/>
    <w:rsid w:val="00AA050A"/>
    <w:rsid w:val="00AB4A00"/>
    <w:rsid w:val="00AB7585"/>
    <w:rsid w:val="00AC3401"/>
    <w:rsid w:val="00AC798D"/>
    <w:rsid w:val="00AC7C4A"/>
    <w:rsid w:val="00AD4570"/>
    <w:rsid w:val="00AD5817"/>
    <w:rsid w:val="00AD6D9D"/>
    <w:rsid w:val="00AE0E8A"/>
    <w:rsid w:val="00AE1252"/>
    <w:rsid w:val="00AE5116"/>
    <w:rsid w:val="00AF121F"/>
    <w:rsid w:val="00AF1ED6"/>
    <w:rsid w:val="00AF28C2"/>
    <w:rsid w:val="00AF2D56"/>
    <w:rsid w:val="00AF3506"/>
    <w:rsid w:val="00AF3883"/>
    <w:rsid w:val="00AF3D39"/>
    <w:rsid w:val="00B0030A"/>
    <w:rsid w:val="00B00DBE"/>
    <w:rsid w:val="00B0114C"/>
    <w:rsid w:val="00B0570E"/>
    <w:rsid w:val="00B062DB"/>
    <w:rsid w:val="00B0643C"/>
    <w:rsid w:val="00B15DD1"/>
    <w:rsid w:val="00B2392A"/>
    <w:rsid w:val="00B24FA8"/>
    <w:rsid w:val="00B30635"/>
    <w:rsid w:val="00B607DE"/>
    <w:rsid w:val="00B86811"/>
    <w:rsid w:val="00B949DF"/>
    <w:rsid w:val="00B95EFE"/>
    <w:rsid w:val="00B97ECD"/>
    <w:rsid w:val="00BA67FD"/>
    <w:rsid w:val="00BB02C7"/>
    <w:rsid w:val="00BB3162"/>
    <w:rsid w:val="00BB65F2"/>
    <w:rsid w:val="00BC1ED3"/>
    <w:rsid w:val="00BC57CA"/>
    <w:rsid w:val="00BC658C"/>
    <w:rsid w:val="00BD19FF"/>
    <w:rsid w:val="00BD3CB0"/>
    <w:rsid w:val="00BD5DB0"/>
    <w:rsid w:val="00BD71F0"/>
    <w:rsid w:val="00BE1F80"/>
    <w:rsid w:val="00BE2693"/>
    <w:rsid w:val="00BE328A"/>
    <w:rsid w:val="00BE354D"/>
    <w:rsid w:val="00BF3B67"/>
    <w:rsid w:val="00BF4B58"/>
    <w:rsid w:val="00C12440"/>
    <w:rsid w:val="00C14869"/>
    <w:rsid w:val="00C14BD7"/>
    <w:rsid w:val="00C15CC5"/>
    <w:rsid w:val="00C23F39"/>
    <w:rsid w:val="00C332E2"/>
    <w:rsid w:val="00C41606"/>
    <w:rsid w:val="00C50FC8"/>
    <w:rsid w:val="00C54899"/>
    <w:rsid w:val="00C57215"/>
    <w:rsid w:val="00C650A1"/>
    <w:rsid w:val="00C72DD6"/>
    <w:rsid w:val="00C74A3C"/>
    <w:rsid w:val="00C86568"/>
    <w:rsid w:val="00C86756"/>
    <w:rsid w:val="00C91E2B"/>
    <w:rsid w:val="00C94E3C"/>
    <w:rsid w:val="00CA1B56"/>
    <w:rsid w:val="00CA1DD1"/>
    <w:rsid w:val="00CA2FD9"/>
    <w:rsid w:val="00CB1BE4"/>
    <w:rsid w:val="00CC0FC2"/>
    <w:rsid w:val="00CC162A"/>
    <w:rsid w:val="00CC2638"/>
    <w:rsid w:val="00CC6285"/>
    <w:rsid w:val="00CD0FDB"/>
    <w:rsid w:val="00CD3C66"/>
    <w:rsid w:val="00CE133E"/>
    <w:rsid w:val="00CF2013"/>
    <w:rsid w:val="00D022AC"/>
    <w:rsid w:val="00D10BE2"/>
    <w:rsid w:val="00D22E1F"/>
    <w:rsid w:val="00D24666"/>
    <w:rsid w:val="00D30CB7"/>
    <w:rsid w:val="00D3377A"/>
    <w:rsid w:val="00D33DFF"/>
    <w:rsid w:val="00D351AA"/>
    <w:rsid w:val="00D42082"/>
    <w:rsid w:val="00D5044A"/>
    <w:rsid w:val="00D61439"/>
    <w:rsid w:val="00D61575"/>
    <w:rsid w:val="00D62CFF"/>
    <w:rsid w:val="00D632D9"/>
    <w:rsid w:val="00D65A00"/>
    <w:rsid w:val="00D71857"/>
    <w:rsid w:val="00D8082D"/>
    <w:rsid w:val="00D80991"/>
    <w:rsid w:val="00D85646"/>
    <w:rsid w:val="00D877CA"/>
    <w:rsid w:val="00DA6716"/>
    <w:rsid w:val="00DA7BCA"/>
    <w:rsid w:val="00DC2251"/>
    <w:rsid w:val="00DC4CD2"/>
    <w:rsid w:val="00DC4EA1"/>
    <w:rsid w:val="00DD215B"/>
    <w:rsid w:val="00DD407F"/>
    <w:rsid w:val="00DE0894"/>
    <w:rsid w:val="00DF5558"/>
    <w:rsid w:val="00E02151"/>
    <w:rsid w:val="00E11F7F"/>
    <w:rsid w:val="00E17DEC"/>
    <w:rsid w:val="00E20484"/>
    <w:rsid w:val="00E216FE"/>
    <w:rsid w:val="00E22411"/>
    <w:rsid w:val="00E268DA"/>
    <w:rsid w:val="00E27A6A"/>
    <w:rsid w:val="00E32C72"/>
    <w:rsid w:val="00E37891"/>
    <w:rsid w:val="00E40A22"/>
    <w:rsid w:val="00E41786"/>
    <w:rsid w:val="00E54F50"/>
    <w:rsid w:val="00E6398F"/>
    <w:rsid w:val="00E67457"/>
    <w:rsid w:val="00E71BE6"/>
    <w:rsid w:val="00E729E2"/>
    <w:rsid w:val="00E74EAE"/>
    <w:rsid w:val="00E75467"/>
    <w:rsid w:val="00E7630B"/>
    <w:rsid w:val="00E9059E"/>
    <w:rsid w:val="00E942A8"/>
    <w:rsid w:val="00E95C71"/>
    <w:rsid w:val="00EA31E6"/>
    <w:rsid w:val="00EA7400"/>
    <w:rsid w:val="00EB24F3"/>
    <w:rsid w:val="00EC7BB5"/>
    <w:rsid w:val="00ED47C2"/>
    <w:rsid w:val="00EE4350"/>
    <w:rsid w:val="00EE4918"/>
    <w:rsid w:val="00EE51FE"/>
    <w:rsid w:val="00EF2ECB"/>
    <w:rsid w:val="00EF303B"/>
    <w:rsid w:val="00EF4F88"/>
    <w:rsid w:val="00F0174F"/>
    <w:rsid w:val="00F02BD6"/>
    <w:rsid w:val="00F02C12"/>
    <w:rsid w:val="00F073F9"/>
    <w:rsid w:val="00F10BE0"/>
    <w:rsid w:val="00F11FDF"/>
    <w:rsid w:val="00F13C82"/>
    <w:rsid w:val="00F15DC3"/>
    <w:rsid w:val="00F160F7"/>
    <w:rsid w:val="00F2034F"/>
    <w:rsid w:val="00F225BD"/>
    <w:rsid w:val="00F26FCB"/>
    <w:rsid w:val="00F27E2F"/>
    <w:rsid w:val="00F32BA8"/>
    <w:rsid w:val="00F37CCE"/>
    <w:rsid w:val="00F44021"/>
    <w:rsid w:val="00F4672F"/>
    <w:rsid w:val="00F5302D"/>
    <w:rsid w:val="00F5324D"/>
    <w:rsid w:val="00F557FC"/>
    <w:rsid w:val="00F56734"/>
    <w:rsid w:val="00F56F9F"/>
    <w:rsid w:val="00F57083"/>
    <w:rsid w:val="00F60F92"/>
    <w:rsid w:val="00F61A4C"/>
    <w:rsid w:val="00F65038"/>
    <w:rsid w:val="00F67FC6"/>
    <w:rsid w:val="00F77E8C"/>
    <w:rsid w:val="00F809AF"/>
    <w:rsid w:val="00F80A56"/>
    <w:rsid w:val="00F81D92"/>
    <w:rsid w:val="00F82514"/>
    <w:rsid w:val="00F83180"/>
    <w:rsid w:val="00F85425"/>
    <w:rsid w:val="00F962B8"/>
    <w:rsid w:val="00FA2E3E"/>
    <w:rsid w:val="00FC6916"/>
    <w:rsid w:val="00FD0CB8"/>
    <w:rsid w:val="00FD797E"/>
    <w:rsid w:val="00FE11A2"/>
    <w:rsid w:val="00FE3547"/>
    <w:rsid w:val="00FE3AB7"/>
    <w:rsid w:val="00FE50B9"/>
    <w:rsid w:val="00FF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F28C1"/>
  <w15:chartTrackingRefBased/>
  <w15:docId w15:val="{1BFD81ED-8FAC-4138-AD44-D59CAAB19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5428B"/>
  </w:style>
  <w:style w:type="paragraph" w:styleId="Titolo1">
    <w:name w:val="heading 1"/>
    <w:basedOn w:val="Normale"/>
    <w:next w:val="Normale"/>
    <w:link w:val="Titolo1Carattere"/>
    <w:uiPriority w:val="9"/>
    <w:qFormat/>
    <w:rsid w:val="00053F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53F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53F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53F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53F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53F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53F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53F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53F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53F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53F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53F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53F3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53F3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53F3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53F3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53F3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53F3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53F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53F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53F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53F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53F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53F3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53F3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53F3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53F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53F3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53F38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49473D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473D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227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E17DE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17DE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17DE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17DE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17DEC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F81D92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F60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F160F7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rena.davenia@asl.bari.it" TargetMode="External"/><Relationship Id="rId13" Type="http://schemas.openxmlformats.org/officeDocument/2006/relationships/hyperlink" Target="https://www.hologic.com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chart" Target="charts/chart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hart" Target="charts/chart1.xml"/><Relationship Id="rId5" Type="http://schemas.openxmlformats.org/officeDocument/2006/relationships/styles" Target="styles.xml"/><Relationship Id="rId15" Type="http://schemas.openxmlformats.org/officeDocument/2006/relationships/hyperlink" Target="https://www.gov.uk/government/publications/cervical-screening-accepting-samples-in-laboratories/guidance-for-acceptance-of-cervical-screening-samples-in-laboratories-and-pathways-roles-and-responsibilities" TargetMode="External"/><Relationship Id="rId10" Type="http://schemas.openxmlformats.org/officeDocument/2006/relationships/hyperlink" Target="https://trasparenza.regione.puglia.it/organizzazione/articolazione-degli-uffici/servizio-promozione-della-salute-e-sicurezza-nei-luoghi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morena80@hotmail.it" TargetMode="External"/><Relationship Id="rId14" Type="http://schemas.openxmlformats.org/officeDocument/2006/relationships/hyperlink" Target="https://www.dynacare.c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5" Type="http://schemas.openxmlformats.org/officeDocument/2006/relationships/chartUserShapes" Target="../drawings/drawing1.xml"/><Relationship Id="rId4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Sample cellularity (cells/</a:t>
            </a:r>
            <a:r>
              <a:rPr lang="en-US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rPr>
              <a:t>mL </a:t>
            </a:r>
            <a:r>
              <a:rPr lang="en-US"/>
              <a:t>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t-IT"/>
        </a:p>
      </c:txPr>
    </c:title>
    <c:autoTitleDeleted val="0"/>
    <c:plotArea>
      <c:layout>
        <c:manualLayout>
          <c:layoutTarget val="inner"/>
          <c:xMode val="edge"/>
          <c:yMode val="edge"/>
          <c:x val="0.16720866946846369"/>
          <c:y val="0.1340389972144847"/>
          <c:w val="0.78127240229940587"/>
          <c:h val="0.69096279399615435"/>
        </c:manualLayout>
      </c:layout>
      <c:scatterChart>
        <c:scatterStyle val="lineMarker"/>
        <c:varyColors val="0"/>
        <c:ser>
          <c:idx val="0"/>
          <c:order val="0"/>
          <c:tx>
            <c:strRef>
              <c:f>Foglio2!$B$1</c:f>
              <c:strCache>
                <c:ptCount val="1"/>
                <c:pt idx="0">
                  <c:v>cells/ml</c:v>
                </c:pt>
              </c:strCache>
            </c:strRef>
          </c:tx>
          <c:spPr>
            <a:ln w="381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rgbClr val="FFC000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exp"/>
            <c:dispRSqr val="0"/>
            <c:dispEq val="0"/>
          </c:trendline>
          <c:xVal>
            <c:numRef>
              <c:f>Foglio2!$A$2:$A$121</c:f>
              <c:numCache>
                <c:formatCode>General</c:formatCode>
                <c:ptCount val="120"/>
                <c:pt idx="0">
                  <c:v>38.700000000000003</c:v>
                </c:pt>
                <c:pt idx="1">
                  <c:v>38</c:v>
                </c:pt>
                <c:pt idx="2">
                  <c:v>37.299999999999997</c:v>
                </c:pt>
                <c:pt idx="3">
                  <c:v>37.299999999999997</c:v>
                </c:pt>
                <c:pt idx="4">
                  <c:v>36.6</c:v>
                </c:pt>
                <c:pt idx="5">
                  <c:v>36.4</c:v>
                </c:pt>
                <c:pt idx="6">
                  <c:v>35.799999999999997</c:v>
                </c:pt>
                <c:pt idx="7">
                  <c:v>35.700000000000003</c:v>
                </c:pt>
                <c:pt idx="8">
                  <c:v>35.6</c:v>
                </c:pt>
                <c:pt idx="9">
                  <c:v>35.4</c:v>
                </c:pt>
                <c:pt idx="10">
                  <c:v>35.200000000000003</c:v>
                </c:pt>
                <c:pt idx="11">
                  <c:v>35.1</c:v>
                </c:pt>
                <c:pt idx="12">
                  <c:v>34.5</c:v>
                </c:pt>
                <c:pt idx="13">
                  <c:v>34.5</c:v>
                </c:pt>
                <c:pt idx="14">
                  <c:v>34.5</c:v>
                </c:pt>
                <c:pt idx="15">
                  <c:v>34.200000000000003</c:v>
                </c:pt>
                <c:pt idx="16">
                  <c:v>34</c:v>
                </c:pt>
                <c:pt idx="17">
                  <c:v>34</c:v>
                </c:pt>
                <c:pt idx="18">
                  <c:v>34</c:v>
                </c:pt>
                <c:pt idx="19">
                  <c:v>34</c:v>
                </c:pt>
                <c:pt idx="20">
                  <c:v>33.9</c:v>
                </c:pt>
                <c:pt idx="21">
                  <c:v>33.700000000000003</c:v>
                </c:pt>
                <c:pt idx="22">
                  <c:v>33.5</c:v>
                </c:pt>
                <c:pt idx="23">
                  <c:v>33.5</c:v>
                </c:pt>
                <c:pt idx="24">
                  <c:v>33.4</c:v>
                </c:pt>
                <c:pt idx="25">
                  <c:v>33.299999999999997</c:v>
                </c:pt>
                <c:pt idx="26">
                  <c:v>33.299999999999997</c:v>
                </c:pt>
                <c:pt idx="27">
                  <c:v>33.200000000000003</c:v>
                </c:pt>
                <c:pt idx="28">
                  <c:v>33.1</c:v>
                </c:pt>
                <c:pt idx="29">
                  <c:v>33</c:v>
                </c:pt>
                <c:pt idx="30">
                  <c:v>33</c:v>
                </c:pt>
                <c:pt idx="31">
                  <c:v>32.9</c:v>
                </c:pt>
                <c:pt idx="32">
                  <c:v>32.799999999999997</c:v>
                </c:pt>
                <c:pt idx="33">
                  <c:v>32.799999999999997</c:v>
                </c:pt>
                <c:pt idx="34">
                  <c:v>32.700000000000003</c:v>
                </c:pt>
                <c:pt idx="35">
                  <c:v>32.700000000000003</c:v>
                </c:pt>
                <c:pt idx="36">
                  <c:v>32.6</c:v>
                </c:pt>
                <c:pt idx="37">
                  <c:v>32.5</c:v>
                </c:pt>
                <c:pt idx="38">
                  <c:v>32.5</c:v>
                </c:pt>
                <c:pt idx="39">
                  <c:v>32.4</c:v>
                </c:pt>
                <c:pt idx="40">
                  <c:v>32.4</c:v>
                </c:pt>
                <c:pt idx="41">
                  <c:v>32.299999999999997</c:v>
                </c:pt>
                <c:pt idx="42">
                  <c:v>32.299999999999997</c:v>
                </c:pt>
                <c:pt idx="43">
                  <c:v>32.200000000000003</c:v>
                </c:pt>
                <c:pt idx="44">
                  <c:v>32.200000000000003</c:v>
                </c:pt>
                <c:pt idx="45">
                  <c:v>32.1</c:v>
                </c:pt>
                <c:pt idx="46">
                  <c:v>32</c:v>
                </c:pt>
                <c:pt idx="47">
                  <c:v>32</c:v>
                </c:pt>
                <c:pt idx="48">
                  <c:v>32</c:v>
                </c:pt>
                <c:pt idx="49">
                  <c:v>32</c:v>
                </c:pt>
                <c:pt idx="50">
                  <c:v>32</c:v>
                </c:pt>
                <c:pt idx="51">
                  <c:v>31.9</c:v>
                </c:pt>
                <c:pt idx="52">
                  <c:v>31.9</c:v>
                </c:pt>
                <c:pt idx="53">
                  <c:v>31.9</c:v>
                </c:pt>
                <c:pt idx="54">
                  <c:v>31.6</c:v>
                </c:pt>
                <c:pt idx="55">
                  <c:v>30.9</c:v>
                </c:pt>
                <c:pt idx="56">
                  <c:v>30.6</c:v>
                </c:pt>
                <c:pt idx="57">
                  <c:v>30.5</c:v>
                </c:pt>
                <c:pt idx="58">
                  <c:v>30.5</c:v>
                </c:pt>
                <c:pt idx="59">
                  <c:v>30.5</c:v>
                </c:pt>
                <c:pt idx="60">
                  <c:v>30.4</c:v>
                </c:pt>
                <c:pt idx="61">
                  <c:v>30.3</c:v>
                </c:pt>
                <c:pt idx="62">
                  <c:v>30.3</c:v>
                </c:pt>
                <c:pt idx="63">
                  <c:v>30.2</c:v>
                </c:pt>
                <c:pt idx="64">
                  <c:v>30.2</c:v>
                </c:pt>
                <c:pt idx="65">
                  <c:v>30.1</c:v>
                </c:pt>
                <c:pt idx="66">
                  <c:v>30.1</c:v>
                </c:pt>
                <c:pt idx="67">
                  <c:v>30.1</c:v>
                </c:pt>
                <c:pt idx="68">
                  <c:v>30.1</c:v>
                </c:pt>
                <c:pt idx="69">
                  <c:v>30</c:v>
                </c:pt>
                <c:pt idx="70">
                  <c:v>30</c:v>
                </c:pt>
                <c:pt idx="71">
                  <c:v>30</c:v>
                </c:pt>
                <c:pt idx="72">
                  <c:v>30</c:v>
                </c:pt>
                <c:pt idx="73">
                  <c:v>30</c:v>
                </c:pt>
                <c:pt idx="74">
                  <c:v>29.6</c:v>
                </c:pt>
                <c:pt idx="75">
                  <c:v>28.8</c:v>
                </c:pt>
                <c:pt idx="76">
                  <c:v>28.6</c:v>
                </c:pt>
                <c:pt idx="77">
                  <c:v>28.5</c:v>
                </c:pt>
                <c:pt idx="78">
                  <c:v>28.5</c:v>
                </c:pt>
                <c:pt idx="79">
                  <c:v>28.5</c:v>
                </c:pt>
                <c:pt idx="80">
                  <c:v>28.5</c:v>
                </c:pt>
                <c:pt idx="81">
                  <c:v>28.5</c:v>
                </c:pt>
                <c:pt idx="82">
                  <c:v>28.5</c:v>
                </c:pt>
                <c:pt idx="83">
                  <c:v>28.4</c:v>
                </c:pt>
                <c:pt idx="84">
                  <c:v>28.4</c:v>
                </c:pt>
                <c:pt idx="85">
                  <c:v>28.3</c:v>
                </c:pt>
                <c:pt idx="86">
                  <c:v>28.3</c:v>
                </c:pt>
                <c:pt idx="87">
                  <c:v>28.3</c:v>
                </c:pt>
                <c:pt idx="88">
                  <c:v>28.3</c:v>
                </c:pt>
                <c:pt idx="89">
                  <c:v>28.2</c:v>
                </c:pt>
                <c:pt idx="90">
                  <c:v>28.2</c:v>
                </c:pt>
                <c:pt idx="91">
                  <c:v>28.2</c:v>
                </c:pt>
                <c:pt idx="92">
                  <c:v>28.2</c:v>
                </c:pt>
                <c:pt idx="93">
                  <c:v>28.1</c:v>
                </c:pt>
                <c:pt idx="94">
                  <c:v>28.1</c:v>
                </c:pt>
                <c:pt idx="95">
                  <c:v>28</c:v>
                </c:pt>
                <c:pt idx="96">
                  <c:v>28</c:v>
                </c:pt>
                <c:pt idx="97">
                  <c:v>27.6</c:v>
                </c:pt>
                <c:pt idx="98">
                  <c:v>27.5</c:v>
                </c:pt>
                <c:pt idx="99">
                  <c:v>27.5</c:v>
                </c:pt>
                <c:pt idx="100">
                  <c:v>27.2</c:v>
                </c:pt>
                <c:pt idx="101">
                  <c:v>26.7</c:v>
                </c:pt>
                <c:pt idx="102">
                  <c:v>26.6</c:v>
                </c:pt>
                <c:pt idx="103">
                  <c:v>26.6</c:v>
                </c:pt>
                <c:pt idx="104">
                  <c:v>26.6</c:v>
                </c:pt>
                <c:pt idx="105">
                  <c:v>26.6</c:v>
                </c:pt>
                <c:pt idx="106">
                  <c:v>26.6</c:v>
                </c:pt>
                <c:pt idx="107">
                  <c:v>26.6</c:v>
                </c:pt>
                <c:pt idx="108">
                  <c:v>26.5</c:v>
                </c:pt>
                <c:pt idx="109">
                  <c:v>26.5</c:v>
                </c:pt>
                <c:pt idx="110">
                  <c:v>26.5</c:v>
                </c:pt>
                <c:pt idx="111">
                  <c:v>26.5</c:v>
                </c:pt>
                <c:pt idx="112">
                  <c:v>26.5</c:v>
                </c:pt>
                <c:pt idx="113">
                  <c:v>26.4</c:v>
                </c:pt>
                <c:pt idx="114">
                  <c:v>26.4</c:v>
                </c:pt>
                <c:pt idx="115">
                  <c:v>26.2</c:v>
                </c:pt>
                <c:pt idx="116">
                  <c:v>26.1</c:v>
                </c:pt>
                <c:pt idx="117">
                  <c:v>26</c:v>
                </c:pt>
                <c:pt idx="118">
                  <c:v>26</c:v>
                </c:pt>
                <c:pt idx="119">
                  <c:v>25.7</c:v>
                </c:pt>
              </c:numCache>
            </c:numRef>
          </c:xVal>
          <c:yVal>
            <c:numRef>
              <c:f>Foglio2!$B$2:$B$121</c:f>
              <c:numCache>
                <c:formatCode>0.00E+00</c:formatCode>
                <c:ptCount val="120"/>
                <c:pt idx="0">
                  <c:v>85.260597136574773</c:v>
                </c:pt>
                <c:pt idx="1">
                  <c:v>4.8603856475575524</c:v>
                </c:pt>
                <c:pt idx="2">
                  <c:v>2607.9871899886703</c:v>
                </c:pt>
                <c:pt idx="3">
                  <c:v>755.65912973599097</c:v>
                </c:pt>
                <c:pt idx="4">
                  <c:v>675.17865588823713</c:v>
                </c:pt>
                <c:pt idx="5">
                  <c:v>69.519080177470002</c:v>
                </c:pt>
                <c:pt idx="6">
                  <c:v>7655.6281758293017</c:v>
                </c:pt>
                <c:pt idx="7">
                  <c:v>2535.587759785918</c:v>
                </c:pt>
                <c:pt idx="8">
                  <c:v>845.73277809285423</c:v>
                </c:pt>
                <c:pt idx="9">
                  <c:v>4149.9969154641512</c:v>
                </c:pt>
                <c:pt idx="10">
                  <c:v>6744.6621391909193</c:v>
                </c:pt>
                <c:pt idx="11">
                  <c:v>3734.1971799641769</c:v>
                </c:pt>
                <c:pt idx="12">
                  <c:v>27561.354883260021</c:v>
                </c:pt>
                <c:pt idx="13">
                  <c:v>21392.389515562445</c:v>
                </c:pt>
                <c:pt idx="14">
                  <c:v>20363.967017098508</c:v>
                </c:pt>
                <c:pt idx="15">
                  <c:v>5309.239753660494</c:v>
                </c:pt>
                <c:pt idx="16">
                  <c:v>40305.328151212918</c:v>
                </c:pt>
                <c:pt idx="17">
                  <c:v>36781.152875616179</c:v>
                </c:pt>
                <c:pt idx="18">
                  <c:v>31283.922108161682</c:v>
                </c:pt>
                <c:pt idx="19">
                  <c:v>20221.142194096778</c:v>
                </c:pt>
                <c:pt idx="20">
                  <c:v>36267.025201621444</c:v>
                </c:pt>
                <c:pt idx="21">
                  <c:v>54550.739152597045</c:v>
                </c:pt>
                <c:pt idx="22">
                  <c:v>51202.400607681251</c:v>
                </c:pt>
                <c:pt idx="23">
                  <c:v>13730.523099140231</c:v>
                </c:pt>
                <c:pt idx="24">
                  <c:v>12268.171938793066</c:v>
                </c:pt>
                <c:pt idx="25">
                  <c:v>88657.006865811403</c:v>
                </c:pt>
                <c:pt idx="26">
                  <c:v>25508.025539854785</c:v>
                </c:pt>
                <c:pt idx="27">
                  <c:v>28149.498925940938</c:v>
                </c:pt>
                <c:pt idx="28">
                  <c:v>30415.459968534371</c:v>
                </c:pt>
                <c:pt idx="29">
                  <c:v>87417.757490529446</c:v>
                </c:pt>
                <c:pt idx="30">
                  <c:v>13538.597578818333</c:v>
                </c:pt>
                <c:pt idx="31">
                  <c:v>43244.360543478746</c:v>
                </c:pt>
                <c:pt idx="32">
                  <c:v>82052.032819102926</c:v>
                </c:pt>
                <c:pt idx="33">
                  <c:v>55324.059944123284</c:v>
                </c:pt>
                <c:pt idx="34">
                  <c:v>53410.978464818945</c:v>
                </c:pt>
                <c:pt idx="35">
                  <c:v>30630.288717812044</c:v>
                </c:pt>
                <c:pt idx="36">
                  <c:v>31283.922108161682</c:v>
                </c:pt>
                <c:pt idx="37">
                  <c:v>59777.502077544676</c:v>
                </c:pt>
                <c:pt idx="38">
                  <c:v>30846.634833309421</c:v>
                </c:pt>
                <c:pt idx="39">
                  <c:v>46072.289654994733</c:v>
                </c:pt>
                <c:pt idx="40">
                  <c:v>25329.12232174434</c:v>
                </c:pt>
                <c:pt idx="41">
                  <c:v>138129.13102167918</c:v>
                </c:pt>
                <c:pt idx="42">
                  <c:v>32633.33105837688</c:v>
                </c:pt>
                <c:pt idx="43">
                  <c:v>60199.719134907762</c:v>
                </c:pt>
                <c:pt idx="44">
                  <c:v>56504.644730715743</c:v>
                </c:pt>
                <c:pt idx="45">
                  <c:v>40590.010455702293</c:v>
                </c:pt>
                <c:pt idx="46">
                  <c:v>145104.93813807654</c:v>
                </c:pt>
                <c:pt idx="47">
                  <c:v>59777.502077544676</c:v>
                </c:pt>
                <c:pt idx="48">
                  <c:v>52664.398763612618</c:v>
                </c:pt>
                <c:pt idx="49">
                  <c:v>44479.130292917253</c:v>
                </c:pt>
                <c:pt idx="50">
                  <c:v>39741.939486315488</c:v>
                </c:pt>
                <c:pt idx="51">
                  <c:v>80337.671422497748</c:v>
                </c:pt>
                <c:pt idx="52">
                  <c:v>77559.63034156416</c:v>
                </c:pt>
                <c:pt idx="53">
                  <c:v>43244.360543478746</c:v>
                </c:pt>
                <c:pt idx="54">
                  <c:v>99925.653228370182</c:v>
                </c:pt>
                <c:pt idx="55">
                  <c:v>151363.93282445148</c:v>
                </c:pt>
                <c:pt idx="56">
                  <c:v>116660.66185503817</c:v>
                </c:pt>
                <c:pt idx="57">
                  <c:v>169406.32935303508</c:v>
                </c:pt>
                <c:pt idx="58">
                  <c:v>124289.58913439738</c:v>
                </c:pt>
                <c:pt idx="59">
                  <c:v>101342.21671492848</c:v>
                </c:pt>
                <c:pt idx="60">
                  <c:v>115029.97684282424</c:v>
                </c:pt>
                <c:pt idx="61">
                  <c:v>108732.01035491019</c:v>
                </c:pt>
                <c:pt idx="62">
                  <c:v>81476.552262957892</c:v>
                </c:pt>
                <c:pt idx="63">
                  <c:v>150302.32597268446</c:v>
                </c:pt>
                <c:pt idx="64">
                  <c:v>124289.58913439738</c:v>
                </c:pt>
                <c:pt idx="65">
                  <c:v>192287.15114179012</c:v>
                </c:pt>
                <c:pt idx="66">
                  <c:v>148201.39712171408</c:v>
                </c:pt>
                <c:pt idx="67">
                  <c:v>139104.7568542948</c:v>
                </c:pt>
                <c:pt idx="68">
                  <c:v>115029.97684282424</c:v>
                </c:pt>
                <c:pt idx="69">
                  <c:v>237493.27680240799</c:v>
                </c:pt>
                <c:pt idx="70">
                  <c:v>222915.87775651459</c:v>
                </c:pt>
                <c:pt idx="71">
                  <c:v>219799.95525905953</c:v>
                </c:pt>
                <c:pt idx="72">
                  <c:v>110273.41429586652</c:v>
                </c:pt>
                <c:pt idx="73">
                  <c:v>61918.620540277101</c:v>
                </c:pt>
                <c:pt idx="74">
                  <c:v>352230.22609311336</c:v>
                </c:pt>
                <c:pt idx="75">
                  <c:v>391450.76742671663</c:v>
                </c:pt>
                <c:pt idx="76">
                  <c:v>537314.71037873474</c:v>
                </c:pt>
                <c:pt idx="77">
                  <c:v>323702.60895798285</c:v>
                </c:pt>
                <c:pt idx="78">
                  <c:v>316939.29990016401</c:v>
                </c:pt>
                <c:pt idx="79">
                  <c:v>281197.95847695932</c:v>
                </c:pt>
                <c:pt idx="80">
                  <c:v>229280.86452158718</c:v>
                </c:pt>
                <c:pt idx="81">
                  <c:v>177961.69974538393</c:v>
                </c:pt>
                <c:pt idx="82">
                  <c:v>132417.40378940036</c:v>
                </c:pt>
                <c:pt idx="83">
                  <c:v>227672.77908000833</c:v>
                </c:pt>
                <c:pt idx="84">
                  <c:v>143076.65847587117</c:v>
                </c:pt>
                <c:pt idx="85">
                  <c:v>507896.37845946068</c:v>
                </c:pt>
                <c:pt idx="86">
                  <c:v>218258.36517107164</c:v>
                </c:pt>
                <c:pt idx="87">
                  <c:v>188269.58256177141</c:v>
                </c:pt>
                <c:pt idx="88">
                  <c:v>181759.30381724227</c:v>
                </c:pt>
                <c:pt idx="89">
                  <c:v>295399.03760741634</c:v>
                </c:pt>
                <c:pt idx="90">
                  <c:v>285184.26977544883</c:v>
                </c:pt>
                <c:pt idx="91">
                  <c:v>171807.86302132084</c:v>
                </c:pt>
                <c:pt idx="92">
                  <c:v>134294.57599826466</c:v>
                </c:pt>
                <c:pt idx="93">
                  <c:v>155685.87453104137</c:v>
                </c:pt>
                <c:pt idx="94">
                  <c:v>131488.68041037061</c:v>
                </c:pt>
                <c:pt idx="95">
                  <c:v>244274.496600902</c:v>
                </c:pt>
                <c:pt idx="96">
                  <c:v>137160.34784338195</c:v>
                </c:pt>
                <c:pt idx="97">
                  <c:v>618532.84612430946</c:v>
                </c:pt>
                <c:pt idx="98">
                  <c:v>1250353.8880649649</c:v>
                </c:pt>
                <c:pt idx="99">
                  <c:v>998202.12648261315</c:v>
                </c:pt>
                <c:pt idx="100">
                  <c:v>742740.34376497788</c:v>
                </c:pt>
                <c:pt idx="101">
                  <c:v>316939.29990016401</c:v>
                </c:pt>
                <c:pt idx="102">
                  <c:v>649770.0355412371</c:v>
                </c:pt>
                <c:pt idx="103">
                  <c:v>597144.25437133724</c:v>
                </c:pt>
                <c:pt idx="104">
                  <c:v>522398.50257667509</c:v>
                </c:pt>
                <c:pt idx="105">
                  <c:v>507896.37845946068</c:v>
                </c:pt>
                <c:pt idx="106">
                  <c:v>245999.84235071021</c:v>
                </c:pt>
                <c:pt idx="107">
                  <c:v>192287.15114179012</c:v>
                </c:pt>
                <c:pt idx="108">
                  <c:v>692261.20840643311</c:v>
                </c:pt>
                <c:pt idx="109">
                  <c:v>614194.70099795423</c:v>
                </c:pt>
                <c:pt idx="110">
                  <c:v>526088.27800828568</c:v>
                </c:pt>
                <c:pt idx="111">
                  <c:v>522398.50257667509</c:v>
                </c:pt>
                <c:pt idx="112">
                  <c:v>425948.96827950049</c:v>
                </c:pt>
                <c:pt idx="113">
                  <c:v>873255.15120689222</c:v>
                </c:pt>
                <c:pt idx="114">
                  <c:v>697150.74845380511</c:v>
                </c:pt>
                <c:pt idx="115">
                  <c:v>712027.55916540953</c:v>
                </c:pt>
                <c:pt idx="116">
                  <c:v>707033.67904250335</c:v>
                </c:pt>
                <c:pt idx="117">
                  <c:v>825443.86037081655</c:v>
                </c:pt>
                <c:pt idx="118">
                  <c:v>668323.12255407928</c:v>
                </c:pt>
                <c:pt idx="119">
                  <c:v>791311.23287128354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71D9-41FA-B55C-6913550C06C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56522975"/>
        <c:axId val="956523455"/>
      </c:scatterChart>
      <c:valAx>
        <c:axId val="956522975"/>
        <c:scaling>
          <c:orientation val="minMax"/>
          <c:min val="24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956523455"/>
        <c:crosses val="autoZero"/>
        <c:crossBetween val="midCat"/>
        <c:minorUnit val="1"/>
      </c:valAx>
      <c:valAx>
        <c:axId val="956523455"/>
        <c:scaling>
          <c:logBase val="10"/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E+0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956522975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4">
    <c:autoUpdate val="0"/>
  </c:externalData>
  <c:userShapes r:id="rId5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Cobas</a:t>
            </a:r>
            <a:r>
              <a:rPr lang="en-US">
                <a:latin typeface="Times New Roman" panose="02020603050405020304" pitchFamily="18" charset="0"/>
                <a:cs typeface="Times New Roman" panose="02020603050405020304" pitchFamily="18" charset="0"/>
              </a:rPr>
              <a:t>®</a:t>
            </a:r>
            <a:r>
              <a:rPr lang="en-US"/>
              <a:t>4800 </a:t>
            </a:r>
            <a:r>
              <a:rPr lang="en-US">
                <a:latin typeface="Symbol" panose="05050102010706020507" pitchFamily="18" charset="2"/>
              </a:rPr>
              <a:t>b</a:t>
            </a:r>
            <a:r>
              <a:rPr lang="en-US"/>
              <a:t>-globin Ct/vs </a:t>
            </a:r>
            <a:r>
              <a:rPr lang="en-US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rPr>
              <a:t>mL </a:t>
            </a:r>
            <a:r>
              <a:rPr lang="en-US"/>
              <a:t>of preservcyt used for LBC set up</a:t>
            </a:r>
          </a:p>
        </c:rich>
      </c:tx>
      <c:overlay val="0"/>
      <c:spPr>
        <a:noFill/>
        <a:ln w="25400"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t-IT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'C:\Users\moren\Downloads\[BASSA CARICA VIRALE 28_01_24 AGGIORNATO.xlsx]ct vs g tp'!$B$1</c:f>
              <c:strCache>
                <c:ptCount val="1"/>
                <c:pt idx="0">
                  <c:v>ct pcr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rgbClr val="FF0000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rgbClr val="FF0000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'[1]ct vs g tp'!$A$2:$A$111</c:f>
              <c:numCache>
                <c:formatCode>General</c:formatCode>
                <c:ptCount val="110"/>
                <c:pt idx="0">
                  <c:v>2.46</c:v>
                </c:pt>
                <c:pt idx="1">
                  <c:v>5.27</c:v>
                </c:pt>
                <c:pt idx="2">
                  <c:v>4.18</c:v>
                </c:pt>
                <c:pt idx="3">
                  <c:v>2.2599999999999998</c:v>
                </c:pt>
                <c:pt idx="4">
                  <c:v>6.29</c:v>
                </c:pt>
                <c:pt idx="5">
                  <c:v>3.24</c:v>
                </c:pt>
                <c:pt idx="6">
                  <c:v>3.35</c:v>
                </c:pt>
                <c:pt idx="7">
                  <c:v>3.85</c:v>
                </c:pt>
                <c:pt idx="8">
                  <c:v>3.59</c:v>
                </c:pt>
                <c:pt idx="9">
                  <c:v>3.39</c:v>
                </c:pt>
                <c:pt idx="10">
                  <c:v>4.3099999999999996</c:v>
                </c:pt>
                <c:pt idx="11">
                  <c:v>5.82</c:v>
                </c:pt>
                <c:pt idx="12">
                  <c:v>6.41</c:v>
                </c:pt>
                <c:pt idx="13">
                  <c:v>4.95</c:v>
                </c:pt>
                <c:pt idx="14">
                  <c:v>4.7</c:v>
                </c:pt>
                <c:pt idx="15">
                  <c:v>4.8099999999999996</c:v>
                </c:pt>
                <c:pt idx="16">
                  <c:v>5.46</c:v>
                </c:pt>
                <c:pt idx="17">
                  <c:v>2.7</c:v>
                </c:pt>
                <c:pt idx="18">
                  <c:v>4.4800000000000004</c:v>
                </c:pt>
                <c:pt idx="19">
                  <c:v>3.65</c:v>
                </c:pt>
                <c:pt idx="20">
                  <c:v>5.77</c:v>
                </c:pt>
                <c:pt idx="21">
                  <c:v>5.57</c:v>
                </c:pt>
                <c:pt idx="22">
                  <c:v>2.87</c:v>
                </c:pt>
                <c:pt idx="23">
                  <c:v>3.75</c:v>
                </c:pt>
                <c:pt idx="24">
                  <c:v>6.2</c:v>
                </c:pt>
                <c:pt idx="25">
                  <c:v>4.32</c:v>
                </c:pt>
                <c:pt idx="26">
                  <c:v>3.4</c:v>
                </c:pt>
                <c:pt idx="27">
                  <c:v>2.99</c:v>
                </c:pt>
                <c:pt idx="28">
                  <c:v>3.6</c:v>
                </c:pt>
                <c:pt idx="29">
                  <c:v>2.08</c:v>
                </c:pt>
                <c:pt idx="30">
                  <c:v>2.0499999999999998</c:v>
                </c:pt>
                <c:pt idx="31">
                  <c:v>4.04</c:v>
                </c:pt>
                <c:pt idx="32">
                  <c:v>3.32</c:v>
                </c:pt>
                <c:pt idx="33">
                  <c:v>6.59</c:v>
                </c:pt>
                <c:pt idx="34">
                  <c:v>2.5299999999999998</c:v>
                </c:pt>
                <c:pt idx="35">
                  <c:v>4.55</c:v>
                </c:pt>
                <c:pt idx="36">
                  <c:v>6.1</c:v>
                </c:pt>
                <c:pt idx="37">
                  <c:v>8.8699999999999992</c:v>
                </c:pt>
                <c:pt idx="38">
                  <c:v>4.3499999999999996</c:v>
                </c:pt>
                <c:pt idx="39">
                  <c:v>4.8</c:v>
                </c:pt>
                <c:pt idx="40">
                  <c:v>2.19</c:v>
                </c:pt>
                <c:pt idx="41">
                  <c:v>3.38</c:v>
                </c:pt>
                <c:pt idx="42">
                  <c:v>2.89</c:v>
                </c:pt>
                <c:pt idx="43">
                  <c:v>3.64</c:v>
                </c:pt>
                <c:pt idx="44">
                  <c:v>4.75</c:v>
                </c:pt>
                <c:pt idx="45">
                  <c:v>3.8</c:v>
                </c:pt>
                <c:pt idx="46">
                  <c:v>6.5</c:v>
                </c:pt>
                <c:pt idx="47">
                  <c:v>4.17</c:v>
                </c:pt>
                <c:pt idx="48">
                  <c:v>3.96</c:v>
                </c:pt>
                <c:pt idx="49">
                  <c:v>4.38</c:v>
                </c:pt>
                <c:pt idx="50">
                  <c:v>4.24</c:v>
                </c:pt>
                <c:pt idx="51">
                  <c:v>5.13</c:v>
                </c:pt>
                <c:pt idx="52">
                  <c:v>3.82</c:v>
                </c:pt>
                <c:pt idx="53">
                  <c:v>7.73</c:v>
                </c:pt>
                <c:pt idx="54">
                  <c:v>6.47</c:v>
                </c:pt>
                <c:pt idx="55">
                  <c:v>2.99</c:v>
                </c:pt>
                <c:pt idx="56">
                  <c:v>2.5299999999999998</c:v>
                </c:pt>
                <c:pt idx="57">
                  <c:v>5.78</c:v>
                </c:pt>
                <c:pt idx="58">
                  <c:v>4.7300000000000004</c:v>
                </c:pt>
                <c:pt idx="59">
                  <c:v>5.19</c:v>
                </c:pt>
                <c:pt idx="60">
                  <c:v>6.76</c:v>
                </c:pt>
                <c:pt idx="61">
                  <c:v>3.61</c:v>
                </c:pt>
                <c:pt idx="62">
                  <c:v>3.81</c:v>
                </c:pt>
                <c:pt idx="63">
                  <c:v>18.03</c:v>
                </c:pt>
                <c:pt idx="64">
                  <c:v>11.75</c:v>
                </c:pt>
                <c:pt idx="65">
                  <c:v>6.49</c:v>
                </c:pt>
                <c:pt idx="66">
                  <c:v>9.59</c:v>
                </c:pt>
                <c:pt idx="67">
                  <c:v>7.36</c:v>
                </c:pt>
                <c:pt idx="68">
                  <c:v>16.920000000000002</c:v>
                </c:pt>
                <c:pt idx="69">
                  <c:v>16.97</c:v>
                </c:pt>
                <c:pt idx="70">
                  <c:v>16.97</c:v>
                </c:pt>
                <c:pt idx="71">
                  <c:v>17.329999999999998</c:v>
                </c:pt>
                <c:pt idx="72">
                  <c:v>14.62</c:v>
                </c:pt>
                <c:pt idx="73">
                  <c:v>9</c:v>
                </c:pt>
                <c:pt idx="74">
                  <c:v>17.89</c:v>
                </c:pt>
                <c:pt idx="75">
                  <c:v>14.57</c:v>
                </c:pt>
                <c:pt idx="76">
                  <c:v>6.42</c:v>
                </c:pt>
                <c:pt idx="77">
                  <c:v>16.96</c:v>
                </c:pt>
                <c:pt idx="78">
                  <c:v>17.760000000000002</c:v>
                </c:pt>
                <c:pt idx="79">
                  <c:v>12.07</c:v>
                </c:pt>
                <c:pt idx="80">
                  <c:v>17.850000000000001</c:v>
                </c:pt>
                <c:pt idx="81">
                  <c:v>17.649999999999999</c:v>
                </c:pt>
                <c:pt idx="82">
                  <c:v>17.87</c:v>
                </c:pt>
                <c:pt idx="83">
                  <c:v>17.23</c:v>
                </c:pt>
                <c:pt idx="84">
                  <c:v>16.78</c:v>
                </c:pt>
                <c:pt idx="85">
                  <c:v>17.13</c:v>
                </c:pt>
                <c:pt idx="86">
                  <c:v>11.64</c:v>
                </c:pt>
                <c:pt idx="87">
                  <c:v>9.7100000000000009</c:v>
                </c:pt>
                <c:pt idx="88">
                  <c:v>14.67</c:v>
                </c:pt>
                <c:pt idx="89">
                  <c:v>6.56</c:v>
                </c:pt>
                <c:pt idx="90">
                  <c:v>13.46</c:v>
                </c:pt>
                <c:pt idx="91">
                  <c:v>17.61</c:v>
                </c:pt>
                <c:pt idx="92">
                  <c:v>6.07</c:v>
                </c:pt>
                <c:pt idx="93">
                  <c:v>13.43</c:v>
                </c:pt>
                <c:pt idx="94">
                  <c:v>16.96</c:v>
                </c:pt>
                <c:pt idx="95">
                  <c:v>8.56</c:v>
                </c:pt>
                <c:pt idx="96">
                  <c:v>15.54</c:v>
                </c:pt>
                <c:pt idx="97">
                  <c:v>5.55</c:v>
                </c:pt>
                <c:pt idx="98">
                  <c:v>7.02</c:v>
                </c:pt>
                <c:pt idx="99">
                  <c:v>5.94</c:v>
                </c:pt>
                <c:pt idx="100">
                  <c:v>17.350000000000001</c:v>
                </c:pt>
                <c:pt idx="101">
                  <c:v>12.02</c:v>
                </c:pt>
                <c:pt idx="102">
                  <c:v>15.8</c:v>
                </c:pt>
                <c:pt idx="103">
                  <c:v>17.39</c:v>
                </c:pt>
                <c:pt idx="104">
                  <c:v>17.23</c:v>
                </c:pt>
                <c:pt idx="105">
                  <c:v>17.43</c:v>
                </c:pt>
                <c:pt idx="106">
                  <c:v>6.88</c:v>
                </c:pt>
                <c:pt idx="107">
                  <c:v>17.600000000000001</c:v>
                </c:pt>
                <c:pt idx="108">
                  <c:v>12.42</c:v>
                </c:pt>
                <c:pt idx="109">
                  <c:v>16.02</c:v>
                </c:pt>
              </c:numCache>
            </c:numRef>
          </c:xVal>
          <c:yVal>
            <c:numRef>
              <c:f>'[1]ct vs g tp'!$B$2:$B$111</c:f>
              <c:numCache>
                <c:formatCode>General</c:formatCode>
                <c:ptCount val="110"/>
                <c:pt idx="0">
                  <c:v>29.3</c:v>
                </c:pt>
                <c:pt idx="1">
                  <c:v>28.5</c:v>
                </c:pt>
                <c:pt idx="2">
                  <c:v>28.1</c:v>
                </c:pt>
                <c:pt idx="3">
                  <c:v>29.9</c:v>
                </c:pt>
                <c:pt idx="4">
                  <c:v>30.6</c:v>
                </c:pt>
                <c:pt idx="5">
                  <c:v>30.6</c:v>
                </c:pt>
                <c:pt idx="6">
                  <c:v>30.2</c:v>
                </c:pt>
                <c:pt idx="7">
                  <c:v>29.3</c:v>
                </c:pt>
                <c:pt idx="8">
                  <c:v>29.9</c:v>
                </c:pt>
                <c:pt idx="9">
                  <c:v>28.5</c:v>
                </c:pt>
                <c:pt idx="10">
                  <c:v>29.2</c:v>
                </c:pt>
                <c:pt idx="11">
                  <c:v>31.1</c:v>
                </c:pt>
                <c:pt idx="12">
                  <c:v>30.7</c:v>
                </c:pt>
                <c:pt idx="13">
                  <c:v>29.3</c:v>
                </c:pt>
                <c:pt idx="14">
                  <c:v>30.4</c:v>
                </c:pt>
                <c:pt idx="15">
                  <c:v>29.1</c:v>
                </c:pt>
                <c:pt idx="16">
                  <c:v>30</c:v>
                </c:pt>
                <c:pt idx="17">
                  <c:v>27.6</c:v>
                </c:pt>
                <c:pt idx="18">
                  <c:v>28.8</c:v>
                </c:pt>
                <c:pt idx="19">
                  <c:v>28.3</c:v>
                </c:pt>
                <c:pt idx="20">
                  <c:v>30.4</c:v>
                </c:pt>
                <c:pt idx="21">
                  <c:v>29.7</c:v>
                </c:pt>
                <c:pt idx="22">
                  <c:v>27.4</c:v>
                </c:pt>
                <c:pt idx="23">
                  <c:v>27.4</c:v>
                </c:pt>
                <c:pt idx="24">
                  <c:v>30.3</c:v>
                </c:pt>
                <c:pt idx="25">
                  <c:v>28.2</c:v>
                </c:pt>
                <c:pt idx="26">
                  <c:v>29.2</c:v>
                </c:pt>
                <c:pt idx="27">
                  <c:v>28.6</c:v>
                </c:pt>
                <c:pt idx="28">
                  <c:v>28.2</c:v>
                </c:pt>
                <c:pt idx="29">
                  <c:v>25.5</c:v>
                </c:pt>
                <c:pt idx="30">
                  <c:v>29.6</c:v>
                </c:pt>
                <c:pt idx="31">
                  <c:v>30.1</c:v>
                </c:pt>
                <c:pt idx="32">
                  <c:v>27.9</c:v>
                </c:pt>
                <c:pt idx="33">
                  <c:v>30</c:v>
                </c:pt>
                <c:pt idx="34">
                  <c:v>26.8</c:v>
                </c:pt>
                <c:pt idx="35">
                  <c:v>31.7</c:v>
                </c:pt>
                <c:pt idx="36">
                  <c:v>31</c:v>
                </c:pt>
                <c:pt idx="37">
                  <c:v>33.200000000000003</c:v>
                </c:pt>
                <c:pt idx="38">
                  <c:v>31.2</c:v>
                </c:pt>
                <c:pt idx="39">
                  <c:v>30.1</c:v>
                </c:pt>
                <c:pt idx="40">
                  <c:v>29.8</c:v>
                </c:pt>
                <c:pt idx="41">
                  <c:v>31.1</c:v>
                </c:pt>
                <c:pt idx="42">
                  <c:v>27.6</c:v>
                </c:pt>
                <c:pt idx="43">
                  <c:v>29.8</c:v>
                </c:pt>
                <c:pt idx="44">
                  <c:v>30.5</c:v>
                </c:pt>
                <c:pt idx="45">
                  <c:v>28.1</c:v>
                </c:pt>
                <c:pt idx="46">
                  <c:v>32.4</c:v>
                </c:pt>
                <c:pt idx="47">
                  <c:v>28.7</c:v>
                </c:pt>
                <c:pt idx="48">
                  <c:v>27.4</c:v>
                </c:pt>
                <c:pt idx="49">
                  <c:v>29.7</c:v>
                </c:pt>
                <c:pt idx="50">
                  <c:v>28.3</c:v>
                </c:pt>
                <c:pt idx="51">
                  <c:v>26.5</c:v>
                </c:pt>
                <c:pt idx="52">
                  <c:v>28.5</c:v>
                </c:pt>
                <c:pt idx="53">
                  <c:v>30.6</c:v>
                </c:pt>
                <c:pt idx="54">
                  <c:v>29.8</c:v>
                </c:pt>
                <c:pt idx="55">
                  <c:v>30.1</c:v>
                </c:pt>
                <c:pt idx="56">
                  <c:v>27.7</c:v>
                </c:pt>
                <c:pt idx="57">
                  <c:v>32.200000000000003</c:v>
                </c:pt>
                <c:pt idx="58">
                  <c:v>31.5</c:v>
                </c:pt>
                <c:pt idx="59">
                  <c:v>29.3</c:v>
                </c:pt>
                <c:pt idx="60">
                  <c:v>30.3</c:v>
                </c:pt>
                <c:pt idx="61">
                  <c:v>29.1</c:v>
                </c:pt>
                <c:pt idx="62">
                  <c:v>28</c:v>
                </c:pt>
                <c:pt idx="63">
                  <c:v>35.799999999999997</c:v>
                </c:pt>
                <c:pt idx="64">
                  <c:v>33.700000000000003</c:v>
                </c:pt>
                <c:pt idx="65">
                  <c:v>34.700000000000003</c:v>
                </c:pt>
                <c:pt idx="66">
                  <c:v>33.6</c:v>
                </c:pt>
                <c:pt idx="67">
                  <c:v>33.700000000000003</c:v>
                </c:pt>
                <c:pt idx="68">
                  <c:v>35.5</c:v>
                </c:pt>
                <c:pt idx="69">
                  <c:v>34.299999999999997</c:v>
                </c:pt>
                <c:pt idx="70">
                  <c:v>34.9</c:v>
                </c:pt>
                <c:pt idx="71">
                  <c:v>36.299999999999997</c:v>
                </c:pt>
                <c:pt idx="72">
                  <c:v>34.6</c:v>
                </c:pt>
                <c:pt idx="73">
                  <c:v>36.1</c:v>
                </c:pt>
                <c:pt idx="74">
                  <c:v>34.4</c:v>
                </c:pt>
                <c:pt idx="75">
                  <c:v>34.9</c:v>
                </c:pt>
                <c:pt idx="76">
                  <c:v>33.6</c:v>
                </c:pt>
                <c:pt idx="77">
                  <c:v>33.9</c:v>
                </c:pt>
                <c:pt idx="78">
                  <c:v>36.200000000000003</c:v>
                </c:pt>
                <c:pt idx="79">
                  <c:v>37</c:v>
                </c:pt>
                <c:pt idx="80">
                  <c:v>34.4</c:v>
                </c:pt>
                <c:pt idx="81">
                  <c:v>34.9</c:v>
                </c:pt>
                <c:pt idx="82">
                  <c:v>33.700000000000003</c:v>
                </c:pt>
                <c:pt idx="83">
                  <c:v>37.9</c:v>
                </c:pt>
                <c:pt idx="84">
                  <c:v>33.9</c:v>
                </c:pt>
                <c:pt idx="85">
                  <c:v>34</c:v>
                </c:pt>
                <c:pt idx="86">
                  <c:v>33.5</c:v>
                </c:pt>
                <c:pt idx="87">
                  <c:v>33.6</c:v>
                </c:pt>
                <c:pt idx="88">
                  <c:v>34.299999999999997</c:v>
                </c:pt>
                <c:pt idx="89">
                  <c:v>34.1</c:v>
                </c:pt>
                <c:pt idx="90">
                  <c:v>34.1</c:v>
                </c:pt>
                <c:pt idx="91">
                  <c:v>34</c:v>
                </c:pt>
                <c:pt idx="92">
                  <c:v>34.799999999999997</c:v>
                </c:pt>
                <c:pt idx="93">
                  <c:v>36.299999999999997</c:v>
                </c:pt>
                <c:pt idx="94">
                  <c:v>36</c:v>
                </c:pt>
                <c:pt idx="95">
                  <c:v>34.200000000000003</c:v>
                </c:pt>
                <c:pt idx="96">
                  <c:v>36.9</c:v>
                </c:pt>
                <c:pt idx="97">
                  <c:v>36</c:v>
                </c:pt>
                <c:pt idx="98">
                  <c:v>34.299999999999997</c:v>
                </c:pt>
                <c:pt idx="99">
                  <c:v>32</c:v>
                </c:pt>
                <c:pt idx="100">
                  <c:v>34.200000000000003</c:v>
                </c:pt>
                <c:pt idx="101">
                  <c:v>35</c:v>
                </c:pt>
                <c:pt idx="102">
                  <c:v>33.9</c:v>
                </c:pt>
                <c:pt idx="103">
                  <c:v>37.299999999999997</c:v>
                </c:pt>
                <c:pt idx="104">
                  <c:v>34.5</c:v>
                </c:pt>
                <c:pt idx="105">
                  <c:v>39.299999999999997</c:v>
                </c:pt>
                <c:pt idx="106">
                  <c:v>32.200000000000003</c:v>
                </c:pt>
                <c:pt idx="107">
                  <c:v>34.700000000000003</c:v>
                </c:pt>
                <c:pt idx="108">
                  <c:v>36.6</c:v>
                </c:pt>
                <c:pt idx="109">
                  <c:v>33.9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380D-49A6-AD01-24C2C8F2F4F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2351367"/>
        <c:axId val="1992679944"/>
      </c:scatterChart>
      <c:valAx>
        <c:axId val="142351367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+mn-lt"/>
                    <a:ea typeface="+mn-ea"/>
                    <a:cs typeface="+mn-cs"/>
                  </a:rPr>
                  <a:t>mL </a:t>
                </a:r>
                <a:r>
                  <a:rPr lang="en-US"/>
                  <a:t>of PreservCyt used for LBC set up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t-IT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rgbClr val="FF0000"/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1992679944"/>
        <c:crosses val="autoZero"/>
        <c:crossBetween val="midCat"/>
        <c:majorUnit val="2"/>
      </c:valAx>
      <c:valAx>
        <c:axId val="1992679944"/>
        <c:scaling>
          <c:orientation val="minMax"/>
          <c:min val="2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>
                    <a:latin typeface="Symbol" panose="05050102010706020507" pitchFamily="18" charset="2"/>
                  </a:rPr>
                  <a:t>b</a:t>
                </a:r>
                <a:r>
                  <a:rPr lang="en-US"/>
                  <a:t>-globin Ct 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t-IT"/>
            </a:p>
          </c:txPr>
        </c:title>
        <c:numFmt formatCode="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142351367"/>
        <c:crosses val="autoZero"/>
        <c:crossBetween val="midCat"/>
      </c:valAx>
      <c:spPr>
        <a:noFill/>
        <a:ln w="25400"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0.39155</cdr:x>
      <cdr:y>0.87604</cdr:y>
    </cdr:from>
    <cdr:to>
      <cdr:x>0.52899</cdr:x>
      <cdr:y>1</cdr:y>
    </cdr:to>
    <cdr:sp macro="" textlink="">
      <cdr:nvSpPr>
        <cdr:cNvPr id="2" name="CasellaDiTesto 1">
          <a:extLst xmlns:a="http://schemas.openxmlformats.org/drawingml/2006/main">
            <a:ext uri="{FF2B5EF4-FFF2-40B4-BE49-F238E27FC236}">
              <a16:creationId xmlns:a16="http://schemas.microsoft.com/office/drawing/2014/main" id="{A92FF1D3-C18E-93CD-B7E1-0FD0BF8B9C63}"/>
            </a:ext>
          </a:extLst>
        </cdr:cNvPr>
        <cdr:cNvSpPr txBox="1"/>
      </cdr:nvSpPr>
      <cdr:spPr>
        <a:xfrm xmlns:a="http://schemas.openxmlformats.org/drawingml/2006/main">
          <a:off x="2605087" y="2995611"/>
          <a:ext cx="914400" cy="42386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it-IT" sz="1100" kern="1200">
              <a:latin typeface="Symbol" panose="05050102010706020507" pitchFamily="18" charset="2"/>
            </a:rPr>
            <a:t>b</a:t>
          </a:r>
          <a:r>
            <a:rPr lang="it-IT" sz="1100" kern="1200"/>
            <a:t>-globin Ct Values (Cobas</a:t>
          </a:r>
          <a:r>
            <a:rPr lang="it-IT" sz="1100" kern="1200">
              <a:latin typeface="Aptos Narrow" panose="020B0004020202020204" pitchFamily="34" charset="0"/>
            </a:rPr>
            <a:t>®</a:t>
          </a:r>
          <a:r>
            <a:rPr lang="it-IT" sz="1100" kern="1200"/>
            <a:t>4800)</a:t>
          </a:r>
        </a:p>
      </cdr:txBody>
    </cdr:sp>
  </cdr:relSizeAnchor>
  <cdr:relSizeAnchor xmlns:cdr="http://schemas.openxmlformats.org/drawingml/2006/chartDrawing">
    <cdr:from>
      <cdr:x>0.03114</cdr:x>
      <cdr:y>0.31616</cdr:y>
    </cdr:from>
    <cdr:to>
      <cdr:x>0.08268</cdr:x>
      <cdr:y>0.58357</cdr:y>
    </cdr:to>
    <cdr:sp macro="" textlink="">
      <cdr:nvSpPr>
        <cdr:cNvPr id="3" name="CasellaDiTesto 2">
          <a:extLst xmlns:a="http://schemas.openxmlformats.org/drawingml/2006/main">
            <a:ext uri="{FF2B5EF4-FFF2-40B4-BE49-F238E27FC236}">
              <a16:creationId xmlns:a16="http://schemas.microsoft.com/office/drawing/2014/main" id="{277F63BD-6AF8-3FBA-0924-44848346FB5F}"/>
            </a:ext>
          </a:extLst>
        </cdr:cNvPr>
        <cdr:cNvSpPr txBox="1"/>
      </cdr:nvSpPr>
      <cdr:spPr>
        <a:xfrm xmlns:a="http://schemas.openxmlformats.org/drawingml/2006/main" rot="16200000">
          <a:off x="-103762" y="1378253"/>
          <a:ext cx="914400" cy="32007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it-IT" sz="1100" kern="1200"/>
            <a:t>cells/</a:t>
          </a:r>
          <a:r>
            <a:rPr lang="it-IT" sz="1100" kern="1200">
              <a:latin typeface="+mn-lt"/>
              <a:ea typeface="+mn-ea"/>
              <a:cs typeface="+mn-cs"/>
            </a:rPr>
            <a:t>mL </a:t>
          </a:r>
          <a:endParaRPr lang="it-IT" sz="1100" kern="12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0E2841"/>
    </a:dk2>
    <a:lt2>
      <a:srgbClr val="E8E8E8"/>
    </a:lt2>
    <a:accent1>
      <a:srgbClr val="156082"/>
    </a:accent1>
    <a:accent2>
      <a:srgbClr val="E97132"/>
    </a:accent2>
    <a:accent3>
      <a:srgbClr val="196B24"/>
    </a:accent3>
    <a:accent4>
      <a:srgbClr val="0F9ED5"/>
    </a:accent4>
    <a:accent5>
      <a:srgbClr val="A02B93"/>
    </a:accent5>
    <a:accent6>
      <a:srgbClr val="4EA72E"/>
    </a:accent6>
    <a:hlink>
      <a:srgbClr val="467886"/>
    </a:hlink>
    <a:folHlink>
      <a:srgbClr val="96607D"/>
    </a:folHlink>
  </a:clrScheme>
  <a:fontScheme name="Office">
    <a:majorFont>
      <a:latin typeface="Aptos Display" panose="0211000402020202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Aptos Narrow" panose="0211000402020202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  <a:ln w="2540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0E2841"/>
    </a:dk2>
    <a:lt2>
      <a:srgbClr val="E8E8E8"/>
    </a:lt2>
    <a:accent1>
      <a:srgbClr val="145F82"/>
    </a:accent1>
    <a:accent2>
      <a:srgbClr val="E87331"/>
    </a:accent2>
    <a:accent3>
      <a:srgbClr val="186C24"/>
    </a:accent3>
    <a:accent4>
      <a:srgbClr val="0F9ED5"/>
    </a:accent4>
    <a:accent5>
      <a:srgbClr val="A02B93"/>
    </a:accent5>
    <a:accent6>
      <a:srgbClr val="4EA72E"/>
    </a:accent6>
    <a:hlink>
      <a:srgbClr val="467886"/>
    </a:hlink>
    <a:folHlink>
      <a:srgbClr val="96607D"/>
    </a:folHlink>
  </a:clrScheme>
  <a:fontScheme name="Office">
    <a:majorFont>
      <a:latin typeface="Aptos Display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Aptos Narrow" panose="0211000402020202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  <a:ln w="2540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c019cdc-a504-4259-aab1-58db73f5f1c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712DAF2884696489C9F4D6130F5A861" ma:contentTypeVersion="9" ma:contentTypeDescription="Creare un nuovo documento." ma:contentTypeScope="" ma:versionID="a25ceb31846aaf529615c0cf8f484937">
  <xsd:schema xmlns:xsd="http://www.w3.org/2001/XMLSchema" xmlns:xs="http://www.w3.org/2001/XMLSchema" xmlns:p="http://schemas.microsoft.com/office/2006/metadata/properties" xmlns:ns3="0c019cdc-a504-4259-aab1-58db73f5f1c3" xmlns:ns4="355d4097-83c4-4556-b2f3-70458b6fa0bd" targetNamespace="http://schemas.microsoft.com/office/2006/metadata/properties" ma:root="true" ma:fieldsID="8bd18a98d023823a9d765b967cfb8c53" ns3:_="" ns4:_="">
    <xsd:import namespace="0c019cdc-a504-4259-aab1-58db73f5f1c3"/>
    <xsd:import namespace="355d4097-83c4-4556-b2f3-70458b6fa0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019cdc-a504-4259-aab1-58db73f5f1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5d4097-83c4-4556-b2f3-70458b6fa0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BBB4A8-E7C8-4AB3-9717-856B7C9DE92C}">
  <ds:schemaRefs>
    <ds:schemaRef ds:uri="http://schemas.microsoft.com/office/2006/metadata/properties"/>
    <ds:schemaRef ds:uri="http://schemas.microsoft.com/office/infopath/2007/PartnerControls"/>
    <ds:schemaRef ds:uri="0c019cdc-a504-4259-aab1-58db73f5f1c3"/>
  </ds:schemaRefs>
</ds:datastoreItem>
</file>

<file path=customXml/itemProps2.xml><?xml version="1.0" encoding="utf-8"?>
<ds:datastoreItem xmlns:ds="http://schemas.openxmlformats.org/officeDocument/2006/customXml" ds:itemID="{32013431-3DA9-4D39-B4D1-B9DD08B1B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019cdc-a504-4259-aab1-58db73f5f1c3"/>
    <ds:schemaRef ds:uri="355d4097-83c4-4556-b2f3-70458b6fa0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CB2D10-C688-49BC-8DDF-3BF6CCBFD0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6865</Words>
  <Characters>39136</Characters>
  <Application>Microsoft Office Word</Application>
  <DocSecurity>0</DocSecurity>
  <Lines>326</Lines>
  <Paragraphs>91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Morena D'Avenia</dc:creator>
  <cp:keywords/>
  <dc:description/>
  <cp:lastModifiedBy>Morena D'Avenia</cp:lastModifiedBy>
  <cp:revision>4</cp:revision>
  <cp:lastPrinted>2024-12-11T13:01:00Z</cp:lastPrinted>
  <dcterms:created xsi:type="dcterms:W3CDTF">2025-01-08T10:24:00Z</dcterms:created>
  <dcterms:modified xsi:type="dcterms:W3CDTF">2025-01-08T10:30:00Z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0x010100D712DAF2884696489C9F4D6130F5A861</vt:lpwstr>
  </property>
</Properties>
</file>