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AD4110" w14:textId="11B0C737" w:rsidR="00076FF6" w:rsidRPr="00DE5F3A" w:rsidRDefault="00D806B1" w:rsidP="00076FF6">
      <w:r w:rsidRPr="00310E48">
        <w:rPr>
          <w:rFonts w:eastAsiaTheme="majorEastAsia" w:cstheme="majorBidi"/>
          <w:b/>
          <w:sz w:val="32"/>
          <w:szCs w:val="32"/>
          <w:lang w:val="en-US"/>
        </w:rPr>
        <w:t xml:space="preserve">How do humans process audiovisual cues for task-switching whilst walking? </w:t>
      </w:r>
      <w:r w:rsidRPr="00D806B1">
        <w:rPr>
          <w:rFonts w:eastAsiaTheme="majorEastAsia" w:cstheme="majorBidi"/>
          <w:b/>
          <w:sz w:val="32"/>
          <w:szCs w:val="32"/>
        </w:rPr>
        <w:t xml:space="preserve">An EEG/ERP </w:t>
      </w:r>
      <w:proofErr w:type="spellStart"/>
      <w:r w:rsidRPr="00D806B1">
        <w:rPr>
          <w:rFonts w:eastAsiaTheme="majorEastAsia" w:cstheme="majorBidi"/>
          <w:b/>
          <w:sz w:val="32"/>
          <w:szCs w:val="32"/>
        </w:rPr>
        <w:t>study</w:t>
      </w:r>
      <w:proofErr w:type="spellEnd"/>
      <w:r w:rsidRPr="00D806B1">
        <w:rPr>
          <w:rFonts w:eastAsiaTheme="majorEastAsia" w:cstheme="majorBidi"/>
          <w:b/>
          <w:sz w:val="32"/>
          <w:szCs w:val="32"/>
        </w:rPr>
        <w:t>.</w:t>
      </w:r>
    </w:p>
    <w:p w14:paraId="21BA7ABB" w14:textId="3F6F64DA" w:rsidR="00580AB7" w:rsidRPr="005D267C" w:rsidRDefault="00076FF6" w:rsidP="00076FF6">
      <w:r w:rsidRPr="00E50358">
        <w:t>Julian Elias Reiser</w:t>
      </w:r>
      <w:r w:rsidR="00522637" w:rsidRPr="00522637">
        <w:rPr>
          <w:vertAlign w:val="superscript"/>
        </w:rPr>
        <w:t>1</w:t>
      </w:r>
      <w:r w:rsidRPr="00E50358">
        <w:t>, Gerhard Rinkenauer</w:t>
      </w:r>
      <w:r w:rsidR="00522637" w:rsidRPr="00522637">
        <w:rPr>
          <w:vertAlign w:val="superscript"/>
        </w:rPr>
        <w:t>1</w:t>
      </w:r>
      <w:r w:rsidR="00A776EF">
        <w:t>,</w:t>
      </w:r>
      <w:r w:rsidR="006D043E">
        <w:t xml:space="preserve"> Stefan Arnau</w:t>
      </w:r>
      <w:r w:rsidR="00522637" w:rsidRPr="00522637">
        <w:rPr>
          <w:vertAlign w:val="superscript"/>
        </w:rPr>
        <w:t>1</w:t>
      </w:r>
      <w:r w:rsidR="006D043E">
        <w:t>,</w:t>
      </w:r>
      <w:r w:rsidRPr="00E50358">
        <w:t xml:space="preserve"> Lewis L. Chuang</w:t>
      </w:r>
      <w:r w:rsidR="00522637">
        <w:rPr>
          <w:vertAlign w:val="superscript"/>
        </w:rPr>
        <w:t>2</w:t>
      </w:r>
      <w:r w:rsidR="00A776EF">
        <w:t xml:space="preserve"> &amp; </w:t>
      </w:r>
      <w:r w:rsidR="00A776EF" w:rsidRPr="00E50358">
        <w:t>Edmund Wascher</w:t>
      </w:r>
      <w:r w:rsidR="00522637" w:rsidRPr="00522637">
        <w:rPr>
          <w:vertAlign w:val="superscript"/>
        </w:rPr>
        <w:t>1</w:t>
      </w:r>
    </w:p>
    <w:p w14:paraId="4D7876E6" w14:textId="548E591B" w:rsidR="00076FF6" w:rsidRDefault="00522637" w:rsidP="00076FF6">
      <w:pPr>
        <w:rPr>
          <w:lang w:val="en-US"/>
        </w:rPr>
      </w:pPr>
      <w:r w:rsidRPr="00522637">
        <w:rPr>
          <w:vertAlign w:val="superscript"/>
          <w:lang w:val="en-US"/>
        </w:rPr>
        <w:t xml:space="preserve">1 </w:t>
      </w:r>
      <w:r w:rsidR="00076FF6" w:rsidRPr="00076FF6">
        <w:rPr>
          <w:lang w:val="en-US"/>
        </w:rPr>
        <w:t>Leibniz Research Centre for Working Environment and Human Factors</w:t>
      </w:r>
      <w:r>
        <w:rPr>
          <w:lang w:val="en-US"/>
        </w:rPr>
        <w:t xml:space="preserve">, </w:t>
      </w:r>
      <w:r w:rsidR="005D267C">
        <w:rPr>
          <w:lang w:val="en-US"/>
        </w:rPr>
        <w:t xml:space="preserve">Ergonomics Department, Dortmund, </w:t>
      </w:r>
      <w:r w:rsidR="00076FF6">
        <w:rPr>
          <w:lang w:val="en-US"/>
        </w:rPr>
        <w:t>44139, Germany</w:t>
      </w:r>
    </w:p>
    <w:p w14:paraId="06F51104" w14:textId="6DB1B18F" w:rsidR="00076FF6" w:rsidRPr="005D267C" w:rsidRDefault="00522637" w:rsidP="005D267C">
      <w:pPr>
        <w:rPr>
          <w:lang w:val="en-US"/>
        </w:rPr>
      </w:pPr>
      <w:r w:rsidRPr="005D267C">
        <w:rPr>
          <w:vertAlign w:val="superscript"/>
          <w:lang w:val="en-US"/>
        </w:rPr>
        <w:t xml:space="preserve">2 </w:t>
      </w:r>
      <w:r w:rsidR="005D267C" w:rsidRPr="005D267C">
        <w:rPr>
          <w:lang w:val="en-US"/>
        </w:rPr>
        <w:t>Chemnitz University of Technology, Faculty of Humanities, Institute for Media Research, Department of Human and Technology, Chemnitz, 09107, Germany</w:t>
      </w:r>
      <w:r w:rsidR="002A03A9" w:rsidRPr="005D267C">
        <w:rPr>
          <w:lang w:val="en-US"/>
        </w:rPr>
        <w:tab/>
      </w:r>
      <w:r w:rsidR="002A03A9" w:rsidRPr="005D267C">
        <w:rPr>
          <w:lang w:val="en-US"/>
        </w:rPr>
        <w:tab/>
      </w:r>
    </w:p>
    <w:p w14:paraId="6ACA0392" w14:textId="77777777" w:rsidR="00D9519F" w:rsidRDefault="00D9519F" w:rsidP="00CC46CD">
      <w:pPr>
        <w:jc w:val="left"/>
        <w:rPr>
          <w:b/>
          <w:bCs/>
          <w:lang w:val="en-US"/>
        </w:rPr>
      </w:pPr>
    </w:p>
    <w:p w14:paraId="04502C2E" w14:textId="77777777" w:rsidR="00232E62" w:rsidRPr="00884D35" w:rsidRDefault="00232E62" w:rsidP="00884D35">
      <w:pPr>
        <w:pStyle w:val="KeinLeerraum"/>
        <w:rPr>
          <w:b/>
          <w:bCs/>
          <w:lang w:val="en-US"/>
        </w:rPr>
      </w:pPr>
      <w:r w:rsidRPr="00884D35">
        <w:rPr>
          <w:b/>
          <w:bCs/>
          <w:lang w:val="en-US"/>
        </w:rPr>
        <w:t>Correspondence Statement:</w:t>
      </w:r>
    </w:p>
    <w:p w14:paraId="41C64062" w14:textId="77777777" w:rsidR="00232E62" w:rsidRDefault="00232E62" w:rsidP="00884D35">
      <w:pPr>
        <w:pStyle w:val="KeinLeerraum"/>
        <w:rPr>
          <w:lang w:val="en-US"/>
        </w:rPr>
      </w:pPr>
      <w:r w:rsidRPr="00232E62">
        <w:rPr>
          <w:lang w:val="en-US"/>
        </w:rPr>
        <w:t>For correspondence regarding this manuscript, please contact:</w:t>
      </w:r>
    </w:p>
    <w:p w14:paraId="5E7D7EA2" w14:textId="77777777" w:rsidR="00884D35" w:rsidRPr="00232E62" w:rsidRDefault="00884D35" w:rsidP="00884D35">
      <w:pPr>
        <w:pStyle w:val="KeinLeerraum"/>
        <w:rPr>
          <w:lang w:val="en-US"/>
        </w:rPr>
      </w:pPr>
    </w:p>
    <w:p w14:paraId="5B3AF3E1" w14:textId="3CF99111" w:rsidR="00D9519F" w:rsidRPr="00884D35" w:rsidRDefault="00D9519F" w:rsidP="00884D35">
      <w:pPr>
        <w:pStyle w:val="KeinLeerraum"/>
        <w:rPr>
          <w:b/>
          <w:bCs/>
          <w:lang w:val="en-US"/>
        </w:rPr>
      </w:pPr>
      <w:r w:rsidRPr="00884D35">
        <w:rPr>
          <w:b/>
          <w:bCs/>
          <w:lang w:val="en-US"/>
        </w:rPr>
        <w:t>Julian Elias Reiser</w:t>
      </w:r>
    </w:p>
    <w:p w14:paraId="7FB84786" w14:textId="333B179E" w:rsidR="00232E62" w:rsidRPr="00232E62" w:rsidRDefault="00232E62" w:rsidP="00884D35">
      <w:pPr>
        <w:pStyle w:val="KeinLeerraum"/>
        <w:rPr>
          <w:lang w:val="en-US"/>
        </w:rPr>
      </w:pPr>
      <w:r>
        <w:rPr>
          <w:lang w:val="en-US"/>
        </w:rPr>
        <w:t>Ergonomics Department, Leibniz Research Centre for Working Environment and Human Factors</w:t>
      </w:r>
    </w:p>
    <w:p w14:paraId="5B9CD730" w14:textId="0C80AEDD" w:rsidR="00232E62" w:rsidRDefault="00232E62" w:rsidP="00884D35">
      <w:pPr>
        <w:pStyle w:val="KeinLeerraum"/>
      </w:pPr>
      <w:r w:rsidRPr="00232E62">
        <w:t>Ardeystraße 67, 44139 Dortmund, Germany</w:t>
      </w:r>
    </w:p>
    <w:p w14:paraId="3F2BB585" w14:textId="0AECC677" w:rsidR="00232E62" w:rsidRPr="00884D35" w:rsidRDefault="00884D35" w:rsidP="00884D35">
      <w:pPr>
        <w:pStyle w:val="KeinLeerraum"/>
        <w:rPr>
          <w:lang w:val="en-US"/>
        </w:rPr>
      </w:pPr>
      <w:r w:rsidRPr="00884D35">
        <w:rPr>
          <w:lang w:val="en-US"/>
        </w:rPr>
        <w:t>Email</w:t>
      </w:r>
      <w:r>
        <w:rPr>
          <w:lang w:val="en-US"/>
        </w:rPr>
        <w:t xml:space="preserve">: </w:t>
      </w:r>
      <w:hyperlink r:id="rId8" w:history="1">
        <w:r w:rsidR="00232E62" w:rsidRPr="00884D35">
          <w:rPr>
            <w:rStyle w:val="Hyperlink"/>
            <w:lang w:val="en-US"/>
          </w:rPr>
          <w:t>reiser@ifado.de</w:t>
        </w:r>
      </w:hyperlink>
      <w:r w:rsidRPr="00884D35">
        <w:rPr>
          <w:lang w:val="en-US"/>
        </w:rPr>
        <w:t xml:space="preserve">, </w:t>
      </w:r>
      <w:r w:rsidR="00232E62" w:rsidRPr="00884D35">
        <w:rPr>
          <w:lang w:val="en-US"/>
        </w:rPr>
        <w:t xml:space="preserve">ORCID: </w:t>
      </w:r>
      <w:r w:rsidR="00232E62">
        <w:fldChar w:fldCharType="begin"/>
      </w:r>
      <w:r w:rsidR="00232E62" w:rsidRPr="00E3198A">
        <w:rPr>
          <w:lang w:val="en-US"/>
        </w:rPr>
        <w:instrText>HYPERLINK "https://orcid.org/0000-0001-9147-2916"</w:instrText>
      </w:r>
      <w:r w:rsidR="00232E62">
        <w:fldChar w:fldCharType="separate"/>
      </w:r>
      <w:r w:rsidR="00232E62" w:rsidRPr="00884D35">
        <w:rPr>
          <w:rStyle w:val="Hyperlink"/>
          <w:lang w:val="en-US"/>
        </w:rPr>
        <w:t>0000-0001-9147-2916</w:t>
      </w:r>
      <w:r w:rsidR="00232E62">
        <w:fldChar w:fldCharType="end"/>
      </w:r>
    </w:p>
    <w:p w14:paraId="66E661D0" w14:textId="77777777" w:rsidR="00232E62" w:rsidRPr="00884D35" w:rsidRDefault="00232E62" w:rsidP="00CC46CD">
      <w:pPr>
        <w:jc w:val="left"/>
        <w:rPr>
          <w:b/>
          <w:bCs/>
          <w:lang w:val="en-US"/>
        </w:rPr>
      </w:pPr>
    </w:p>
    <w:p w14:paraId="0B8D14BD" w14:textId="77777777" w:rsidR="00884D35" w:rsidRPr="00884D35" w:rsidRDefault="00884D35" w:rsidP="00884D35">
      <w:pPr>
        <w:jc w:val="left"/>
        <w:rPr>
          <w:b/>
          <w:bCs/>
          <w:lang w:val="en-US"/>
        </w:rPr>
      </w:pPr>
      <w:r w:rsidRPr="00884D35">
        <w:rPr>
          <w:b/>
          <w:bCs/>
          <w:lang w:val="en-US"/>
        </w:rPr>
        <w:t>Co-Authors</w:t>
      </w:r>
    </w:p>
    <w:p w14:paraId="3E615FCA" w14:textId="36D8AAB8" w:rsidR="00884D35" w:rsidRPr="00884D35" w:rsidRDefault="00884D35" w:rsidP="00884D35">
      <w:pPr>
        <w:pStyle w:val="KeinLeerraum"/>
        <w:rPr>
          <w:b/>
          <w:bCs/>
        </w:rPr>
      </w:pPr>
      <w:r w:rsidRPr="00884D35">
        <w:rPr>
          <w:b/>
          <w:bCs/>
        </w:rPr>
        <w:t>Gerhard Rinkenauer</w:t>
      </w:r>
    </w:p>
    <w:p w14:paraId="208E23C2" w14:textId="7FAA8C35" w:rsidR="00884D35" w:rsidRPr="00884D35" w:rsidRDefault="00884D35" w:rsidP="00884D35">
      <w:pPr>
        <w:pStyle w:val="KeinLeerraum"/>
        <w:rPr>
          <w:lang w:val="en-US"/>
        </w:rPr>
      </w:pPr>
      <w:r w:rsidRPr="00884D35">
        <w:rPr>
          <w:lang w:val="en-US"/>
        </w:rPr>
        <w:t xml:space="preserve">Email: </w:t>
      </w:r>
      <w:hyperlink r:id="rId9" w:history="1">
        <w:r w:rsidRPr="00884D35">
          <w:rPr>
            <w:rStyle w:val="Hyperlink"/>
            <w:lang w:val="en-US"/>
          </w:rPr>
          <w:t>rinkenauer@ifado.de</w:t>
        </w:r>
      </w:hyperlink>
      <w:r w:rsidRPr="00884D35">
        <w:rPr>
          <w:lang w:val="en-US"/>
        </w:rPr>
        <w:t xml:space="preserve">, ORCID: </w:t>
      </w:r>
      <w:hyperlink r:id="rId10" w:history="1">
        <w:r w:rsidRPr="00884D35">
          <w:rPr>
            <w:rStyle w:val="Hyperlink"/>
            <w:lang w:val="en-US"/>
          </w:rPr>
          <w:t>0000-0002-0918-1448</w:t>
        </w:r>
      </w:hyperlink>
    </w:p>
    <w:p w14:paraId="51FA6B8E" w14:textId="77777777" w:rsidR="00884D35" w:rsidRDefault="00884D35" w:rsidP="00884D35">
      <w:pPr>
        <w:pStyle w:val="KeinLeerraum"/>
        <w:rPr>
          <w:b/>
          <w:bCs/>
          <w:lang w:val="en-US"/>
        </w:rPr>
      </w:pPr>
    </w:p>
    <w:p w14:paraId="07FE90E3" w14:textId="674EB81F" w:rsidR="00884D35" w:rsidRPr="00884D35" w:rsidRDefault="00884D35" w:rsidP="00884D35">
      <w:pPr>
        <w:pStyle w:val="KeinLeerraum"/>
        <w:rPr>
          <w:b/>
          <w:bCs/>
          <w:lang w:val="en-US"/>
        </w:rPr>
      </w:pPr>
      <w:r w:rsidRPr="00884D35">
        <w:rPr>
          <w:b/>
          <w:bCs/>
          <w:lang w:val="en-US"/>
        </w:rPr>
        <w:t>Stefan Arnau</w:t>
      </w:r>
    </w:p>
    <w:p w14:paraId="121AD35F" w14:textId="4657586D" w:rsidR="00884D35" w:rsidRPr="00884D35" w:rsidRDefault="00884D35" w:rsidP="00884D35">
      <w:pPr>
        <w:pStyle w:val="KeinLeerraum"/>
        <w:rPr>
          <w:lang w:val="en-US"/>
        </w:rPr>
      </w:pPr>
      <w:r w:rsidRPr="00884D35">
        <w:rPr>
          <w:lang w:val="en-US"/>
        </w:rPr>
        <w:t xml:space="preserve">Email: </w:t>
      </w:r>
      <w:hyperlink r:id="rId11" w:history="1">
        <w:r w:rsidRPr="00565EE2">
          <w:rPr>
            <w:rStyle w:val="Hyperlink"/>
            <w:lang w:val="en-US"/>
          </w:rPr>
          <w:t>arnau@ifado.de</w:t>
        </w:r>
      </w:hyperlink>
      <w:r>
        <w:rPr>
          <w:lang w:val="en-US"/>
        </w:rPr>
        <w:t xml:space="preserve">, </w:t>
      </w:r>
      <w:r w:rsidRPr="00884D35">
        <w:rPr>
          <w:lang w:val="en-US"/>
        </w:rPr>
        <w:t xml:space="preserve">ORCID: </w:t>
      </w:r>
      <w:hyperlink r:id="rId12" w:history="1">
        <w:r w:rsidRPr="00884D35">
          <w:rPr>
            <w:rStyle w:val="Hyperlink"/>
            <w:lang w:val="en-US"/>
          </w:rPr>
          <w:t>0000-0002-8858-4287</w:t>
        </w:r>
      </w:hyperlink>
    </w:p>
    <w:p w14:paraId="05CB6783" w14:textId="77777777" w:rsidR="00884D35" w:rsidRDefault="00884D35" w:rsidP="00884D35">
      <w:pPr>
        <w:pStyle w:val="KeinLeerraum"/>
        <w:rPr>
          <w:b/>
          <w:bCs/>
          <w:lang w:val="en-US"/>
        </w:rPr>
      </w:pPr>
    </w:p>
    <w:p w14:paraId="2A2BA24E" w14:textId="06730675" w:rsidR="00884D35" w:rsidRPr="00884D35" w:rsidRDefault="00884D35" w:rsidP="00884D35">
      <w:pPr>
        <w:pStyle w:val="KeinLeerraum"/>
        <w:rPr>
          <w:b/>
          <w:bCs/>
          <w:lang w:val="en-US"/>
        </w:rPr>
      </w:pPr>
      <w:r w:rsidRPr="00884D35">
        <w:rPr>
          <w:b/>
          <w:bCs/>
          <w:lang w:val="en-US"/>
        </w:rPr>
        <w:t>Lewis L. Chuang</w:t>
      </w:r>
    </w:p>
    <w:p w14:paraId="43D25802" w14:textId="5731E834" w:rsidR="00884D35" w:rsidRPr="00884D35" w:rsidRDefault="00884D35" w:rsidP="00884D35">
      <w:pPr>
        <w:pStyle w:val="KeinLeerraum"/>
        <w:rPr>
          <w:lang w:val="en-US"/>
        </w:rPr>
      </w:pPr>
      <w:r w:rsidRPr="00884D35">
        <w:rPr>
          <w:lang w:val="en-US"/>
        </w:rPr>
        <w:t xml:space="preserve">Email: </w:t>
      </w:r>
      <w:hyperlink r:id="rId13" w:history="1">
        <w:r w:rsidRPr="00565EE2">
          <w:rPr>
            <w:rStyle w:val="Hyperlink"/>
            <w:lang w:val="en-US"/>
          </w:rPr>
          <w:t>lewis.chuang@phil.tu-chemnitz.de</w:t>
        </w:r>
      </w:hyperlink>
      <w:r>
        <w:rPr>
          <w:lang w:val="en-US"/>
        </w:rPr>
        <w:t xml:space="preserve">, </w:t>
      </w:r>
      <w:r w:rsidRPr="00884D35">
        <w:rPr>
          <w:lang w:val="en-US"/>
        </w:rPr>
        <w:t xml:space="preserve">ORCID: </w:t>
      </w:r>
      <w:hyperlink r:id="rId14" w:history="1">
        <w:r w:rsidRPr="00884D35">
          <w:rPr>
            <w:rStyle w:val="Hyperlink"/>
            <w:lang w:val="en-US"/>
          </w:rPr>
          <w:t>0000-0002-1975-5716</w:t>
        </w:r>
      </w:hyperlink>
    </w:p>
    <w:p w14:paraId="027C7175" w14:textId="77777777" w:rsidR="00884D35" w:rsidRDefault="00884D35" w:rsidP="00884D35">
      <w:pPr>
        <w:pStyle w:val="KeinLeerraum"/>
        <w:rPr>
          <w:lang w:val="en-US"/>
        </w:rPr>
      </w:pPr>
    </w:p>
    <w:p w14:paraId="77872528" w14:textId="163ECE49" w:rsidR="00884D35" w:rsidRPr="00884D35" w:rsidRDefault="00884D35" w:rsidP="00884D35">
      <w:pPr>
        <w:pStyle w:val="KeinLeerraum"/>
        <w:rPr>
          <w:b/>
          <w:bCs/>
          <w:lang w:val="en-US"/>
        </w:rPr>
      </w:pPr>
      <w:r w:rsidRPr="00884D35">
        <w:rPr>
          <w:b/>
          <w:bCs/>
          <w:lang w:val="en-US"/>
        </w:rPr>
        <w:t>Edmund Wascher</w:t>
      </w:r>
    </w:p>
    <w:p w14:paraId="7BE00019" w14:textId="4A29240A" w:rsidR="00884D35" w:rsidRPr="00884D35" w:rsidRDefault="00884D35" w:rsidP="00884D35">
      <w:pPr>
        <w:pStyle w:val="KeinLeerraum"/>
        <w:rPr>
          <w:lang w:val="en-US"/>
        </w:rPr>
      </w:pPr>
      <w:r w:rsidRPr="00884D35">
        <w:rPr>
          <w:lang w:val="en-US"/>
        </w:rPr>
        <w:t xml:space="preserve">Email: </w:t>
      </w:r>
      <w:hyperlink r:id="rId15" w:history="1">
        <w:r w:rsidRPr="00565EE2">
          <w:rPr>
            <w:rStyle w:val="Hyperlink"/>
            <w:lang w:val="en-US"/>
          </w:rPr>
          <w:t>wascher@ifado.de</w:t>
        </w:r>
      </w:hyperlink>
      <w:r>
        <w:rPr>
          <w:lang w:val="en-US"/>
        </w:rPr>
        <w:t xml:space="preserve">, </w:t>
      </w:r>
      <w:r w:rsidRPr="00884D35">
        <w:rPr>
          <w:lang w:val="en-US"/>
        </w:rPr>
        <w:t xml:space="preserve">ORCID: </w:t>
      </w:r>
      <w:hyperlink r:id="rId16" w:history="1">
        <w:r w:rsidRPr="00884D35">
          <w:rPr>
            <w:rStyle w:val="Hyperlink"/>
            <w:lang w:val="en-US"/>
          </w:rPr>
          <w:t>0000-0003-3616-9767</w:t>
        </w:r>
      </w:hyperlink>
    </w:p>
    <w:p w14:paraId="0CD20698" w14:textId="77777777" w:rsidR="00232E62" w:rsidRDefault="00232E62" w:rsidP="00232E62">
      <w:pPr>
        <w:jc w:val="left"/>
        <w:rPr>
          <w:b/>
          <w:bCs/>
          <w:lang w:val="en-US"/>
        </w:rPr>
      </w:pPr>
    </w:p>
    <w:p w14:paraId="2F7326C7" w14:textId="53C6CDCD" w:rsidR="00232E62" w:rsidRPr="00884D35" w:rsidRDefault="00232E62" w:rsidP="00884D35">
      <w:pPr>
        <w:pStyle w:val="KeinLeerraum"/>
        <w:rPr>
          <w:b/>
          <w:bCs/>
          <w:lang w:val="en-US"/>
        </w:rPr>
      </w:pPr>
      <w:r w:rsidRPr="00884D35">
        <w:rPr>
          <w:b/>
          <w:bCs/>
          <w:lang w:val="en-US"/>
        </w:rPr>
        <w:t>Conflict of Interest Statement:</w:t>
      </w:r>
    </w:p>
    <w:p w14:paraId="6D2400EF" w14:textId="77777777" w:rsidR="00232E62" w:rsidRPr="00232E62" w:rsidRDefault="00232E62" w:rsidP="00884D35">
      <w:pPr>
        <w:pStyle w:val="KeinLeerraum"/>
        <w:rPr>
          <w:lang w:val="en-US"/>
        </w:rPr>
      </w:pPr>
      <w:r w:rsidRPr="00232E62">
        <w:rPr>
          <w:lang w:val="en-US"/>
        </w:rPr>
        <w:t>The authors declare no conflicts of interest related to this manuscript.</w:t>
      </w:r>
    </w:p>
    <w:p w14:paraId="1FB87D32" w14:textId="77777777" w:rsidR="00232E62" w:rsidRPr="00232E62" w:rsidRDefault="00232E62" w:rsidP="00CC46CD">
      <w:pPr>
        <w:jc w:val="left"/>
        <w:rPr>
          <w:b/>
          <w:bCs/>
          <w:lang w:val="en-US"/>
        </w:rPr>
      </w:pPr>
    </w:p>
    <w:p w14:paraId="38D61D6D" w14:textId="3FD0800A" w:rsidR="00D9519F" w:rsidRPr="00884D35" w:rsidRDefault="00D9519F" w:rsidP="00884D35">
      <w:pPr>
        <w:pStyle w:val="p1"/>
      </w:pPr>
      <w:proofErr w:type="spellStart"/>
      <w:r>
        <w:rPr>
          <w:b/>
          <w:bCs/>
        </w:rPr>
        <w:t>CRediT</w:t>
      </w:r>
      <w:proofErr w:type="spellEnd"/>
      <w:r w:rsidR="00884D35">
        <w:rPr>
          <w:b/>
          <w:bCs/>
        </w:rPr>
        <w:t xml:space="preserve"> (</w:t>
      </w:r>
      <w:proofErr w:type="spellStart"/>
      <w:r w:rsidR="00884D35">
        <w:rPr>
          <w:b/>
          <w:bCs/>
        </w:rPr>
        <w:t>Contributor</w:t>
      </w:r>
      <w:proofErr w:type="spellEnd"/>
      <w:r w:rsidR="00884D35">
        <w:rPr>
          <w:b/>
          <w:bCs/>
        </w:rPr>
        <w:t xml:space="preserve"> </w:t>
      </w:r>
      <w:proofErr w:type="spellStart"/>
      <w:r w:rsidR="00884D35">
        <w:rPr>
          <w:b/>
          <w:bCs/>
        </w:rPr>
        <w:t>Role</w:t>
      </w:r>
      <w:proofErr w:type="spellEnd"/>
      <w:r w:rsidR="00884D35">
        <w:rPr>
          <w:b/>
          <w:bCs/>
        </w:rPr>
        <w:t xml:space="preserve"> </w:t>
      </w:r>
      <w:proofErr w:type="spellStart"/>
      <w:r w:rsidR="00884D35">
        <w:rPr>
          <w:b/>
          <w:bCs/>
        </w:rPr>
        <w:t>Taxonomy</w:t>
      </w:r>
      <w:proofErr w:type="spellEnd"/>
      <w:r w:rsidR="00884D35">
        <w:rPr>
          <w:b/>
          <w:bCs/>
        </w:rPr>
        <w:t>)</w:t>
      </w:r>
      <w:r>
        <w:rPr>
          <w:b/>
          <w:bCs/>
        </w:rPr>
        <w:t>:</w:t>
      </w:r>
    </w:p>
    <w:p w14:paraId="23E8011D" w14:textId="7A3607F8" w:rsidR="00D9519F" w:rsidRPr="00D9519F" w:rsidRDefault="00D9519F" w:rsidP="00D9519F">
      <w:pPr>
        <w:jc w:val="left"/>
        <w:rPr>
          <w:lang w:val="en-US"/>
        </w:rPr>
      </w:pPr>
      <w:r w:rsidRPr="00D9519F">
        <w:rPr>
          <w:lang w:val="en-US"/>
        </w:rPr>
        <w:t>Julian Elias Reiser: Conceptualization, Data curation, Formal analysis, Investigation, Methodology,</w:t>
      </w:r>
      <w:r>
        <w:rPr>
          <w:lang w:val="en-US"/>
        </w:rPr>
        <w:t xml:space="preserve"> Project administration, Resources,</w:t>
      </w:r>
      <w:r w:rsidRPr="00D9519F">
        <w:rPr>
          <w:lang w:val="en-US"/>
        </w:rPr>
        <w:t xml:space="preserve"> Visualization, Writing - Original draft preparation.</w:t>
      </w:r>
    </w:p>
    <w:p w14:paraId="167F8257" w14:textId="0564D99A" w:rsidR="00D9519F" w:rsidRPr="00D9519F" w:rsidRDefault="00D9519F" w:rsidP="00D9519F">
      <w:pPr>
        <w:jc w:val="left"/>
        <w:rPr>
          <w:lang w:val="en-US"/>
        </w:rPr>
      </w:pPr>
      <w:r w:rsidRPr="00D9519F">
        <w:rPr>
          <w:lang w:val="en-US"/>
        </w:rPr>
        <w:t>Gerhard Rinkenauer: Conceptualization,</w:t>
      </w:r>
      <w:r w:rsidR="007112D5">
        <w:rPr>
          <w:lang w:val="en-US"/>
        </w:rPr>
        <w:t xml:space="preserve"> Resources,</w:t>
      </w:r>
      <w:r w:rsidRPr="00D9519F">
        <w:rPr>
          <w:lang w:val="en-US"/>
        </w:rPr>
        <w:t xml:space="preserve"> Writing - Reviewing and Editing.</w:t>
      </w:r>
    </w:p>
    <w:p w14:paraId="4671EF92" w14:textId="77777777" w:rsidR="00D9519F" w:rsidRPr="00D9519F" w:rsidRDefault="00D9519F" w:rsidP="00D9519F">
      <w:pPr>
        <w:jc w:val="left"/>
        <w:rPr>
          <w:lang w:val="en-US"/>
        </w:rPr>
      </w:pPr>
      <w:r w:rsidRPr="00D9519F">
        <w:rPr>
          <w:lang w:val="en-US"/>
        </w:rPr>
        <w:t>Stefan Arnau: Resources, Writing - Reviewing and Editing.</w:t>
      </w:r>
    </w:p>
    <w:p w14:paraId="34B7FE0D" w14:textId="7F1E369C" w:rsidR="00D9519F" w:rsidRPr="00D9519F" w:rsidRDefault="00D9519F" w:rsidP="00D9519F">
      <w:pPr>
        <w:jc w:val="left"/>
        <w:rPr>
          <w:lang w:val="en-US"/>
        </w:rPr>
      </w:pPr>
      <w:r w:rsidRPr="00D9519F">
        <w:rPr>
          <w:lang w:val="en-US"/>
        </w:rPr>
        <w:t>Lewis L. Chuang: Conceptualization, Writing - Reviewing and Editing.</w:t>
      </w:r>
    </w:p>
    <w:p w14:paraId="119A0647" w14:textId="4966C82D" w:rsidR="00D9519F" w:rsidRPr="00D9519F" w:rsidRDefault="00D9519F" w:rsidP="00D9519F">
      <w:pPr>
        <w:jc w:val="left"/>
        <w:rPr>
          <w:lang w:val="en-US"/>
        </w:rPr>
      </w:pPr>
      <w:r w:rsidRPr="00D9519F">
        <w:rPr>
          <w:lang w:val="en-US"/>
        </w:rPr>
        <w:t>Edmund Wascher: Conceptualization, Resources, Writing - Reviewing and Editing.</w:t>
      </w:r>
    </w:p>
    <w:p w14:paraId="04FFAC0C" w14:textId="5F77F218" w:rsidR="00232E62" w:rsidRDefault="00232E62">
      <w:pPr>
        <w:spacing w:after="0"/>
        <w:jc w:val="left"/>
        <w:rPr>
          <w:b/>
          <w:bCs/>
        </w:rPr>
      </w:pPr>
      <w:r>
        <w:rPr>
          <w:b/>
          <w:bCs/>
        </w:rPr>
        <w:br w:type="page"/>
      </w:r>
    </w:p>
    <w:p w14:paraId="1F045E7E" w14:textId="05342FE0" w:rsidR="00076FF6" w:rsidRPr="00D9519F" w:rsidRDefault="00232E62" w:rsidP="00CC46CD">
      <w:pPr>
        <w:jc w:val="left"/>
        <w:rPr>
          <w:rFonts w:eastAsiaTheme="majorEastAsia" w:cstheme="majorBidi"/>
          <w:b/>
          <w:bCs/>
          <w:sz w:val="32"/>
          <w:szCs w:val="32"/>
        </w:rPr>
      </w:pPr>
      <w:r>
        <w:rPr>
          <w:b/>
          <w:bCs/>
        </w:rPr>
        <w:lastRenderedPageBreak/>
        <w:t>A</w:t>
      </w:r>
      <w:r w:rsidR="30B61BD8" w:rsidRPr="00D9519F">
        <w:rPr>
          <w:b/>
          <w:bCs/>
        </w:rPr>
        <w:t>bstract</w:t>
      </w:r>
    </w:p>
    <w:p w14:paraId="07BDFB6C" w14:textId="0DD93955" w:rsidR="009768BD" w:rsidRDefault="007878A9" w:rsidP="00FC7738">
      <w:pPr>
        <w:spacing w:line="259" w:lineRule="auto"/>
        <w:rPr>
          <w:lang w:val="en-US"/>
        </w:rPr>
      </w:pPr>
      <w:r w:rsidRPr="154B5F54">
        <w:rPr>
          <w:lang w:val="en-US"/>
        </w:rPr>
        <w:t>Contemporary work environments</w:t>
      </w:r>
      <w:r w:rsidR="75598FD4" w:rsidRPr="154B5F54">
        <w:rPr>
          <w:lang w:val="en-US"/>
        </w:rPr>
        <w:t xml:space="preserve"> require humans to process audiovisual information displays whilst moving around the world. </w:t>
      </w:r>
      <w:r w:rsidR="00FE3DF3" w:rsidRPr="154B5F54">
        <w:rPr>
          <w:lang w:val="en-US"/>
        </w:rPr>
        <w:t xml:space="preserve">The </w:t>
      </w:r>
      <w:r w:rsidR="00E006AD" w:rsidRPr="154B5F54">
        <w:rPr>
          <w:lang w:val="en-US"/>
        </w:rPr>
        <w:t>attentional demands</w:t>
      </w:r>
      <w:r w:rsidR="00FE3DF3" w:rsidRPr="154B5F54">
        <w:rPr>
          <w:lang w:val="en-US"/>
        </w:rPr>
        <w:t xml:space="preserve"> associated with using devices such as in-ear headphones and head-mounted displays may be significantly influenced by varying locomotor demands, yet this relationship remains poorly understood. </w:t>
      </w:r>
      <w:r w:rsidR="75598FD4" w:rsidRPr="154B5F54">
        <w:rPr>
          <w:lang w:val="en-US"/>
        </w:rPr>
        <w:t xml:space="preserve">This </w:t>
      </w:r>
      <w:r w:rsidR="00D5112B" w:rsidRPr="154B5F54">
        <w:rPr>
          <w:lang w:val="en-US"/>
        </w:rPr>
        <w:t xml:space="preserve">study </w:t>
      </w:r>
      <w:r w:rsidR="75598FD4" w:rsidRPr="154B5F54">
        <w:rPr>
          <w:lang w:val="en-US"/>
        </w:rPr>
        <w:t xml:space="preserve">investigates the interplay of information presentation modality, movement state, and cognitive task difficulty. In a virtual reality laboratory, 22 participants performed a cued task-switch paradigm with two difficulty levels while standing, walking, or walking with perturbations on a treadmill. We used a questionnaire, behavioral and mobile EEG data to investigate cognitive-motor interference. We find that locomotion interfered with cognitive task performance, and that the presentation modality of task-switch notification modified the nature of this interference. While auditory cue presentation resulted in faster responses under low cognitive load conditions, visual information presentation was less impaired by higher </w:t>
      </w:r>
      <w:proofErr w:type="gramStart"/>
      <w:r w:rsidR="75598FD4" w:rsidRPr="154B5F54">
        <w:rPr>
          <w:lang w:val="en-US"/>
        </w:rPr>
        <w:t>cognitive</w:t>
      </w:r>
      <w:proofErr w:type="gramEnd"/>
      <w:r w:rsidR="75598FD4" w:rsidRPr="154B5F54">
        <w:rPr>
          <w:lang w:val="en-US"/>
        </w:rPr>
        <w:t xml:space="preserve"> and locomotor demands. A detailed analysis of the EEG response to cues addressed these differences in terms of multi-modal attentional mechanisms. Hence, wearable information presentation should be tailored to the specific needs, particularly for cognitively demanding information in mobile work settings.</w:t>
      </w:r>
    </w:p>
    <w:p w14:paraId="58131727" w14:textId="77777777" w:rsidR="009768BD" w:rsidRDefault="009768BD" w:rsidP="30B61BD8">
      <w:pPr>
        <w:rPr>
          <w:lang w:val="en-US"/>
        </w:rPr>
      </w:pPr>
    </w:p>
    <w:p w14:paraId="7062EB21" w14:textId="063F993C" w:rsidR="009768BD" w:rsidRDefault="009768BD" w:rsidP="30B61BD8">
      <w:pPr>
        <w:rPr>
          <w:b/>
          <w:bCs/>
          <w:lang w:val="en-US"/>
        </w:rPr>
      </w:pPr>
      <w:r w:rsidRPr="009768BD">
        <w:rPr>
          <w:b/>
          <w:bCs/>
          <w:lang w:val="en-US"/>
        </w:rPr>
        <w:t>Impact Statement</w:t>
      </w:r>
      <w:r>
        <w:rPr>
          <w:b/>
          <w:bCs/>
          <w:lang w:val="en-US"/>
        </w:rPr>
        <w:t xml:space="preserve"> (50-75 words)</w:t>
      </w:r>
    </w:p>
    <w:p w14:paraId="205059C9" w14:textId="3751468A" w:rsidR="00076FF6" w:rsidRPr="00C10754" w:rsidRDefault="75598FD4" w:rsidP="00FC7738">
      <w:pPr>
        <w:spacing w:line="259" w:lineRule="auto"/>
        <w:rPr>
          <w:highlight w:val="lightGray"/>
          <w:lang w:val="en-US"/>
        </w:rPr>
      </w:pPr>
      <w:r w:rsidRPr="75598FD4">
        <w:rPr>
          <w:lang w:val="en-US"/>
        </w:rPr>
        <w:t>This original study is the first to investigate the impact of both auditory and visual information presentation on a cognitive-motor interference task. With mobile EEG measurements, we uncovered differences in CNV and P3 amplitudes that suggest how differences in modality-specific attentional processes can result in different patterns of cognitive-motor interference. Our results inform the design of notification displays in mobile work environments</w:t>
      </w:r>
      <w:r w:rsidR="000E17E5">
        <w:rPr>
          <w:lang w:val="en-US"/>
        </w:rPr>
        <w:t xml:space="preserve">, so that complex </w:t>
      </w:r>
      <w:r w:rsidR="00731B60">
        <w:rPr>
          <w:lang w:val="en-US"/>
        </w:rPr>
        <w:t>cognitive</w:t>
      </w:r>
      <w:r w:rsidR="000E17E5">
        <w:rPr>
          <w:lang w:val="en-US"/>
        </w:rPr>
        <w:t xml:space="preserve"> task</w:t>
      </w:r>
      <w:r w:rsidR="00731B60">
        <w:rPr>
          <w:lang w:val="en-US"/>
        </w:rPr>
        <w:t xml:space="preserve"> information should be displayed visually </w:t>
      </w:r>
      <w:r w:rsidR="00F31B72">
        <w:rPr>
          <w:lang w:val="en-US"/>
        </w:rPr>
        <w:t>while walking.</w:t>
      </w:r>
      <w:r w:rsidR="00B11352" w:rsidRPr="75598FD4">
        <w:rPr>
          <w:highlight w:val="lightGray"/>
          <w:lang w:val="en-US"/>
        </w:rPr>
        <w:br w:type="page"/>
      </w:r>
    </w:p>
    <w:p w14:paraId="148D18DC" w14:textId="445231E1" w:rsidR="00515645" w:rsidRPr="00617CA1" w:rsidRDefault="75598FD4" w:rsidP="002D419B">
      <w:pPr>
        <w:pStyle w:val="berschrift1"/>
        <w:rPr>
          <w:lang w:val="en-US"/>
        </w:rPr>
      </w:pPr>
      <w:proofErr w:type="spellStart"/>
      <w:r>
        <w:lastRenderedPageBreak/>
        <w:t>Introduction</w:t>
      </w:r>
      <w:proofErr w:type="spellEnd"/>
    </w:p>
    <w:p w14:paraId="6AF5FFDA" w14:textId="17478165" w:rsidR="00617AE5" w:rsidRDefault="75598FD4" w:rsidP="00617AE5">
      <w:pPr>
        <w:rPr>
          <w:lang w:val="en-US"/>
        </w:rPr>
      </w:pPr>
      <w:r w:rsidRPr="75598FD4">
        <w:rPr>
          <w:lang w:val="en-US"/>
        </w:rPr>
        <w:t xml:space="preserve">Information technology has impacted how we perform everyday tasks, even in traditional domains that involve manual labor </w:t>
      </w:r>
      <w:r w:rsidR="00EA3FCA" w:rsidRPr="75598FD4">
        <w:rPr>
          <w:lang w:val="en-US"/>
        </w:rPr>
        <w:fldChar w:fldCharType="begin"/>
      </w:r>
      <w:r w:rsidR="006C6E43">
        <w:rPr>
          <w:lang w:val="en-US"/>
        </w:rPr>
        <w:instrText xml:space="preserve"> ADDIN ZOTERO_ITEM CSL_CITATION {"citationID":"kw6LaWri","properties":{"formattedCitation":"(Fern\\uc0\\u225{}ndez-Caram\\uc0\\u233{}s, 2024; Mark et al., 2021)","plainCitation":"(Fernández-Caramés, 2024; Mark et al., 2021)","noteIndex":0},"citationItems":[{"id":7693,"uris":["http://zotero.org/users/7328983/items/G53S86Y5"],"itemData":{"id":7693,"type":"article-journal","abstract":"The Metaverse, which in the last years has already become a buzzword, is a concept that proposes to immerse users into real-time rendered 3D content virtual worlds delivered through Extended Reality (XR) devices like Augmented and Mixed Reality (AR/MR) smart glasses and Virtual Reality (VR) headsets. When the Metaverse concept is applied to industrial environments, it is called Industrial Metaverse, a hybrid world where industrial operators work by using some of the latest technologies. Currently, such technologies are related to the ones fostered by Industry 4.0, which is evolving towards Industry 5.0, a paradigm that enhances Industry 4.0 by creating a more sustainable and resilient world of industrial humancentric applications. The Industrial Metaverse can benefit from the concepts fostered by Industry 5.0, since it implies making use of dynamic and up-to-date content, as well as fast human-to-machine interactions. To enable such enhancements, this article proposes the concept of Meta-Operator, which is essentially an industrial worker that follows the principles of Industry 5.0 and interacts with Industrial Metaverse applications and with his/her surroundings through advanced XR devices. In order to build the foundations of future Meta-Operators, this article provides a thorough description of the main technologies that support such a concept: the main components of the Industrial Metaverse, the latest XR technologies and accessories and the use of Opportunistic Edge Computing (OEC) communications (to detect and interact with the surrounding Internet of Things (IoT) and Industrial IoT (IIoT) devices). Moreover, this paper analyzes how to create the next generation of Industrial Metaverse applications based on the Industry 5.0 concepts, including the most relevant standardization initiatives, the integration of AR/MR devices with IoT/IIoT solutions, the development of advanced communications and software architectures and the creation of shared experiences and opportunistic collaborative protocols. Finally, this article provides an extensive list of potential Industry 5.0 applications for the Industrial Metaverse and analyzes thoroughly the main challenges and research lines. Thus, this article provides a holistic view and useful guidelines for the future developers and researchers that will create the next generation of applications for the Industrial Metaverse.","language":"en","source":"Zotero","title":"Forging the Industrial Metaverse: Where Industry 5.0, Augmented/Mixed Reality, IIoT, Opportunistic Edge Computing and Digital Twins Meet","volume":"3","author":[{"family":"Fernández-Caramés","given":"Tiago M"}],"issued":{"date-parts":[["2024"]]},"citation-key":"fernandez-caramesForgingIndustrialMetaverse2024a"}},{"id":7654,"uris":["http://zotero.org/users/7328983/items/UA2RCGVT"],"itemData":{"id":7654,"type":"chapter","abstract":"In the context of digitalization and Industry 4.0, the world of work is changing comprehensively. Smaller lot sizes and increasing variability of products in the modern industrial production present new challenges for operators working in manual assembly. Industrial assistance systems help the worker during these production tasks to enhance their capabilities. The development of these systems is not only characterized by questions of the potential feasibility of new technical systems but also by the possibilities of a closer cooperation between humans and machines with the aim to synergize the outstanding abilities of humans with the special features of machines to bring together the best from both worlds. This chapter presents solutions for human–machine interaction and automation and delivers insight into different possibilities to enhance the various types of operator’s skills in industrial assembly. With this knowledge, each worker can be individually equipped with suitable supporting systems in order to be best prepared for future challenges in the daily production.","container-title":"Implementing Industry 4.0 in SMEs: Concepts, Examples and Applications","event-place":"Cham","ISBN":"978-3-030-70516-9","language":"en","note":"DOI: 10.1007/978-3-030-70516-9_4","page":"129-161","publisher":"Springer International Publishing","publisher-place":"Cham","source":"Springer Link","title":"Industrial Assistance Systems to Enhance Human–Machine Interaction and Operator’s Capabilities in Assembly","URL":"https://doi.org/10.1007/978-3-030-70516-9_4","author":[{"family":"Mark","given":"Benedikt G."},{"family":"Rauch","given":"Erwin"},{"family":"Matt","given":"Dominik T."}],"editor":[{"family":"Matt","given":"Dominik T."},{"family":"Modrák","given":"Vladimír"},{"family":"Zsifkovits","given":"Helmut"}],"accessed":{"date-parts":[["2024",5,11]]},"issued":{"date-parts":[["2021"]]},"citation-key":"markIndustrialAssistanceSystems2021"}}],"schema":"https://github.com/citation-style-language/schema/raw/master/csl-citation.json"} </w:instrText>
      </w:r>
      <w:r w:rsidR="00EA3FCA" w:rsidRPr="75598FD4">
        <w:rPr>
          <w:lang w:val="en-US"/>
        </w:rPr>
        <w:fldChar w:fldCharType="separate"/>
      </w:r>
      <w:r w:rsidRPr="75598FD4">
        <w:rPr>
          <w:rFonts w:cs="Times New Roman"/>
          <w:lang w:val="en-US"/>
        </w:rPr>
        <w:t>(Fernández-Caramés, 2024; Mark et al., 2021)</w:t>
      </w:r>
      <w:r w:rsidR="00EA3FCA" w:rsidRPr="75598FD4">
        <w:rPr>
          <w:lang w:val="en-US"/>
        </w:rPr>
        <w:fldChar w:fldCharType="end"/>
      </w:r>
      <w:r w:rsidRPr="75598FD4">
        <w:rPr>
          <w:lang w:val="en-US"/>
        </w:rPr>
        <w:t xml:space="preserve">. Increasingly, audiovisual information is presented just-in-time via mobile smart devices in a way that is task-relevant and context-sensitive </w:t>
      </w:r>
      <w:r w:rsidR="00EA3FCA" w:rsidRPr="75598FD4">
        <w:rPr>
          <w:lang w:val="en-US"/>
        </w:rPr>
        <w:fldChar w:fldCharType="begin"/>
      </w:r>
      <w:r w:rsidR="006C6E43">
        <w:rPr>
          <w:lang w:val="en-US"/>
        </w:rPr>
        <w:instrText xml:space="preserve"> ADDIN ZOTERO_ITEM CSL_CITATION {"citationID":"1NCVIun3","properties":{"formattedCitation":"(Grosse et al., 2017; Guo et al., 2015)","plainCitation":"(Grosse et al., 2017; Guo et al., 2015)","noteIndex":0},"citationItems":[{"id":228,"uris":["http://zotero.org/users/7328983/items/B4UAHW6P"],"itemData":{"id":228,"type":"article-journal","container-title":"International Journal of Production Research","DOI":"10.1080/00207543.2016.1186296","ISSN":"0020-7543, 1366-588X","issue":"5","journalAbbreviation":"International Journal of Production Research","language":"en","page":"1260-1276","source":"DOI.org (Crossref)","title":"Human factors in order picking: a content analysis of the literature","title-short":"Human factors in order picking","volume":"55","author":[{"family":"Grosse","given":"Eric H."},{"family":"Glock","given":"Christoph H."},{"family":"Neumann","given":"W. Patrick"}],"issued":{"date-parts":[["2017",3,4]]},"citation-key":"grosseHumanFactorsOrder2017"}},{"id":208,"uris":["http://zotero.org/users/7328983/items/TNBYYPWU"],"itemData":{"id":208,"type":"article-journal","container-title":"Computer","DOI":"10.1109/MC.2015.166","issue":"6","language":"en","page":"16 - 24","source":"Zotero","title":"Order Picking with Head-Up Displays","volume":"48","author":[{"family":"Guo","given":"Anhong"},{"family":"Wu","given":"Xiaolong"},{"family":"Shen","given":"Zhengyang"},{"family":"Starner","given":"Thad"},{"family":"Baumann","given":"Hannes"},{"family":"Gilliland","given":"Scott"}],"issued":{"date-parts":[["2015"]]},"citation-key":"guoOrderPickingHeadUp2015"}}],"schema":"https://github.com/citation-style-language/schema/raw/master/csl-citation.json"} </w:instrText>
      </w:r>
      <w:r w:rsidR="00EA3FCA" w:rsidRPr="75598FD4">
        <w:rPr>
          <w:lang w:val="en-US"/>
        </w:rPr>
        <w:fldChar w:fldCharType="separate"/>
      </w:r>
      <w:r w:rsidRPr="75598FD4">
        <w:rPr>
          <w:noProof/>
          <w:lang w:val="en-US"/>
        </w:rPr>
        <w:t>(Grosse et al., 2017; Guo et al., 2015)</w:t>
      </w:r>
      <w:r w:rsidR="00EA3FCA" w:rsidRPr="75598FD4">
        <w:rPr>
          <w:lang w:val="en-US"/>
        </w:rPr>
        <w:fldChar w:fldCharType="end"/>
      </w:r>
      <w:r w:rsidRPr="75598FD4">
        <w:rPr>
          <w:lang w:val="en-US"/>
        </w:rPr>
        <w:t xml:space="preserve"> – often during active locomotion. Compared to traditional information displays (e.g., paper-based instructions), wearable displays decrease the time of information uptake and increase productivity </w:t>
      </w:r>
      <w:r w:rsidR="00EA3FCA" w:rsidRPr="75598FD4">
        <w:rPr>
          <w:lang w:val="en-US"/>
        </w:rPr>
        <w:fldChar w:fldCharType="begin"/>
      </w:r>
      <w:r w:rsidR="006C6E43">
        <w:rPr>
          <w:lang w:val="en-US"/>
        </w:rPr>
        <w:instrText xml:space="preserve"> ADDIN ZOTERO_ITEM CSL_CITATION {"citationID":"ORLjzeKh","properties":{"formattedCitation":"(Wu et al., 2016)","plainCitation":"(Wu et al., 2016)","noteIndex":0},"citationItems":[{"id":6990,"uris":["http://zotero.org/users/7328983/items/GUW6A4D9"],"itemData":{"id":6990,"type":"paper-conference","abstract":"Order picking accounts for over 50% of the annual $150 billion spent in warehouse operations in the United States. 80% of order picking is performed manually. We compare the industry default of unassisted paper-list picking and three techniques augmented with weight checking: pick-by-light, pickby-HUD (head-up display), and a combination of light and HUD. HUD+light had the fastest picking (19% faster than paper) and a low number of errors (67% fewer than paper).","container-title":"Proceedings of the 2016 ACM International Symposium on Wearable Computers","DOI":"10.1145/2971763.2971773","event-place":"Heidelberg Germany","event-title":"UbiComp '16: The 2016 ACM International Joint Conference on Pervasive and Ubiquitous Computing","ISBN":"978-1-4503-4460-9","language":"en","page":"144-147","publisher":"ACM","publisher-place":"Heidelberg Germany","source":"DOI.org (Crossref)","title":"A comparison of order picking methods augmented with weight checking error detection","URL":"https://dl.acm.org/doi/10.1145/2971763.2971773","author":[{"family":"Wu","given":"Xiaolong"},{"family":"Haynes","given":"Malcolm"},{"family":"Guo","given":"Anhong"},{"family":"Starner","given":"Thad"}],"accessed":{"date-parts":[["2023",11,20]]},"issued":{"date-parts":[["2016",9,12]]},"citation-key":"wuComparisonOrderPicking2016"}}],"schema":"https://github.com/citation-style-language/schema/raw/master/csl-citation.json"} </w:instrText>
      </w:r>
      <w:r w:rsidR="00EA3FCA" w:rsidRPr="75598FD4">
        <w:rPr>
          <w:lang w:val="en-US"/>
        </w:rPr>
        <w:fldChar w:fldCharType="separate"/>
      </w:r>
      <w:r w:rsidRPr="75598FD4">
        <w:rPr>
          <w:noProof/>
          <w:lang w:val="en-US"/>
        </w:rPr>
        <w:t>(Wu et al., 2016)</w:t>
      </w:r>
      <w:r w:rsidR="00EA3FCA" w:rsidRPr="75598FD4">
        <w:rPr>
          <w:lang w:val="en-US"/>
        </w:rPr>
        <w:fldChar w:fldCharType="end"/>
      </w:r>
      <w:r w:rsidRPr="75598FD4">
        <w:rPr>
          <w:lang w:val="en-US"/>
        </w:rPr>
        <w:t xml:space="preserve">. </w:t>
      </w:r>
      <w:r w:rsidR="00B3300A" w:rsidRPr="007B4987">
        <w:rPr>
          <w:lang w:val="en-US"/>
        </w:rPr>
        <w:t>However, the impact of real-time information on task demands and</w:t>
      </w:r>
      <w:r w:rsidR="00564424">
        <w:rPr>
          <w:lang w:val="en-US"/>
        </w:rPr>
        <w:t>, hence,</w:t>
      </w:r>
      <w:r w:rsidR="00B3300A" w:rsidRPr="007B4987">
        <w:rPr>
          <w:lang w:val="en-US"/>
        </w:rPr>
        <w:t xml:space="preserve"> cognitive workload remains uncertain</w:t>
      </w:r>
      <w:r w:rsidR="00C145BC">
        <w:rPr>
          <w:lang w:val="en-US"/>
        </w:rPr>
        <w:t xml:space="preserve">, </w:t>
      </w:r>
      <w:r w:rsidR="00E0291F">
        <w:rPr>
          <w:lang w:val="en-US"/>
        </w:rPr>
        <w:t xml:space="preserve">particularly </w:t>
      </w:r>
      <w:r w:rsidR="00C145BC">
        <w:rPr>
          <w:lang w:val="en-US"/>
        </w:rPr>
        <w:t>in mobile settings</w:t>
      </w:r>
      <w:r w:rsidR="00B3300A" w:rsidRPr="007B4987">
        <w:rPr>
          <w:lang w:val="en-US"/>
        </w:rPr>
        <w:t xml:space="preserve">. </w:t>
      </w:r>
      <w:r w:rsidR="0028767C">
        <w:rPr>
          <w:lang w:val="en-US"/>
        </w:rPr>
        <w:t>So far</w:t>
      </w:r>
      <w:r w:rsidR="00B3300A" w:rsidRPr="007B4987">
        <w:rPr>
          <w:lang w:val="en-US"/>
        </w:rPr>
        <w:t>, results have been ambiguous.</w:t>
      </w:r>
      <w:r w:rsidR="00617AE5" w:rsidRPr="00617AE5">
        <w:rPr>
          <w:lang w:val="en-US"/>
        </w:rPr>
        <w:t xml:space="preserve"> </w:t>
      </w:r>
      <w:r w:rsidR="00617AE5">
        <w:rPr>
          <w:lang w:val="en-US"/>
        </w:rPr>
        <w:t>Compared to auditory presentation, visual information displays</w:t>
      </w:r>
      <w:r w:rsidR="00617AE5" w:rsidRPr="007B4987">
        <w:rPr>
          <w:lang w:val="en-US"/>
        </w:rPr>
        <w:t xml:space="preserve"> are often preferred for their mobility and context-sensitivity (Guo et al., 2015; Theis et al., 2015), yet information uptake may be impaired during coordinated movement (</w:t>
      </w:r>
      <w:proofErr w:type="spellStart"/>
      <w:r w:rsidR="00617AE5" w:rsidRPr="007B4987">
        <w:rPr>
          <w:lang w:val="en-US"/>
        </w:rPr>
        <w:t>Woodham</w:t>
      </w:r>
      <w:proofErr w:type="spellEnd"/>
      <w:r w:rsidR="00617AE5" w:rsidRPr="007B4987">
        <w:rPr>
          <w:lang w:val="en-US"/>
        </w:rPr>
        <w:t xml:space="preserve"> et al., 2016).</w:t>
      </w:r>
    </w:p>
    <w:p w14:paraId="4C70F8EE" w14:textId="5F95E4E1" w:rsidR="00556D30" w:rsidRDefault="00664BE8" w:rsidP="00B33244">
      <w:pPr>
        <w:spacing w:line="259" w:lineRule="auto"/>
        <w:rPr>
          <w:lang w:val="en-US"/>
        </w:rPr>
      </w:pPr>
      <w:r>
        <w:rPr>
          <w:lang w:val="en-US"/>
        </w:rPr>
        <w:t>A</w:t>
      </w:r>
      <w:r w:rsidRPr="007B4987">
        <w:rPr>
          <w:lang w:val="en-US"/>
        </w:rPr>
        <w:t xml:space="preserve"> critical factor in</w:t>
      </w:r>
      <w:r>
        <w:rPr>
          <w:lang w:val="en-US"/>
        </w:rPr>
        <w:t xml:space="preserve"> these</w:t>
      </w:r>
      <w:r w:rsidRPr="007B4987">
        <w:rPr>
          <w:lang w:val="en-US"/>
        </w:rPr>
        <w:t xml:space="preserve"> dual-task scenarios</w:t>
      </w:r>
      <w:r>
        <w:rPr>
          <w:lang w:val="en-US"/>
        </w:rPr>
        <w:t xml:space="preserve">, </w:t>
      </w:r>
      <w:r w:rsidRPr="007B4987">
        <w:rPr>
          <w:lang w:val="en-US"/>
        </w:rPr>
        <w:t>such as performing cognitive tasks while walking</w:t>
      </w:r>
      <w:r>
        <w:rPr>
          <w:lang w:val="en-US"/>
        </w:rPr>
        <w:t>, is c</w:t>
      </w:r>
      <w:r w:rsidRPr="007B4987">
        <w:rPr>
          <w:lang w:val="en-US"/>
        </w:rPr>
        <w:t xml:space="preserve">ognitive-motor interference (CMI). This occurs due to the limited </w:t>
      </w:r>
      <w:r>
        <w:rPr>
          <w:lang w:val="en-US"/>
        </w:rPr>
        <w:t>nature</w:t>
      </w:r>
      <w:r w:rsidRPr="007B4987">
        <w:rPr>
          <w:lang w:val="en-US"/>
        </w:rPr>
        <w:t xml:space="preserve"> of shared </w:t>
      </w:r>
      <w:r w:rsidR="00973AB1">
        <w:rPr>
          <w:lang w:val="en-US"/>
        </w:rPr>
        <w:t>attentional</w:t>
      </w:r>
      <w:r w:rsidRPr="007B4987">
        <w:rPr>
          <w:lang w:val="en-US"/>
        </w:rPr>
        <w:t xml:space="preserve"> resources, leading to performance decrements when either cognitive or motor demands increase (Bloem et al., 2001; Lajoie et al., 1993). </w:t>
      </w:r>
      <w:r w:rsidR="00452C78">
        <w:rPr>
          <w:lang w:val="en-US"/>
        </w:rPr>
        <w:t xml:space="preserve">Most often, though, decrements </w:t>
      </w:r>
      <w:r w:rsidR="002B5230">
        <w:rPr>
          <w:lang w:val="en-US"/>
        </w:rPr>
        <w:t>manifest in the cognitive</w:t>
      </w:r>
      <w:r w:rsidR="00D81CF2">
        <w:rPr>
          <w:lang w:val="en-US"/>
        </w:rPr>
        <w:t xml:space="preserve"> task</w:t>
      </w:r>
      <w:r w:rsidR="00A5061F" w:rsidRPr="00C31251">
        <w:rPr>
          <w:lang w:val="en-US"/>
        </w:rPr>
        <w:t xml:space="preserve">, </w:t>
      </w:r>
      <w:r w:rsidR="002B5230">
        <w:rPr>
          <w:lang w:val="en-US"/>
        </w:rPr>
        <w:t>as postural stability</w:t>
      </w:r>
      <w:r w:rsidR="00A5061F" w:rsidRPr="00C31251">
        <w:rPr>
          <w:lang w:val="en-US"/>
        </w:rPr>
        <w:t xml:space="preserve"> is prioritized to prevent injury (posture-first hypothesis), especially in young and healthy populations </w:t>
      </w:r>
      <w:r w:rsidR="00A5061F" w:rsidRPr="75598FD4">
        <w:rPr>
          <w:lang w:val="en-US"/>
        </w:rPr>
        <w:fldChar w:fldCharType="begin"/>
      </w:r>
      <w:r w:rsidR="006C6E43">
        <w:rPr>
          <w:lang w:val="en-US"/>
        </w:rPr>
        <w:instrText xml:space="preserve"> ADDIN ZOTERO_ITEM CSL_CITATION {"citationID":"Q00hDQEk","properties":{"formattedCitation":"(Bloem et al., 2001; Lajoie et al., 1993; Yogev-Seligmann et al., 2008)","plainCitation":"(Bloem et al., 2001; Lajoie et al., 1993; Yogev-Seligmann et al., 2008)","noteIndex":0},"citationItems":[{"id":824,"uris":["http://zotero.org/users/7328983/items/KN7PLX53"],"itemData":{"id":824,"type":"article-journal","abstract":"Simultaneous challenge of posture and cognition ('dual tasks') may predict falls better than tests of isolated components of postural control. We describe a new balance test (the Multiple Tasks Test, MTT) which (1) is based upon simultaneous assessment of multiple (\\2) postural components; (2) represents everyday situations; and (3) can be applied by clinicians. Relevant risk factors for falls and actual fall circumstances (identified from a prospective survey in Parkinson's disease) were used to design functional tests (or postural 'components') that resembled everyday situations. We distinguished a 'cognitive' component (answering serial questions) from largely 'motor' components (standing up, sitting down, turning around, walking, avoiding obstacles, and touching the floor). Four additional components included carrying an empty or loaded tray, wearing shoes with slippery soles and reduced illumination. These components were combined to yield eight separate tasks of increasing complexity that were executed sequentially. The first and simplest task consisted of standing up, undisturbed walking, turning around and sitting down. For each of the next tasks, a new component was added to the earlier and otherwise identical task. All components within each task had to be performed simultaneously. Errors were defined as Hesitations (slowed performance) or Blocks (complete cessation), which were scored separately for execution of motor and cognitive components. Speed of performance was not stressed, but was measured for all tasks. The MTT was administered to 50 young healthy subjects (mean age 27.6 years) and 13 elderly subjects (mean age 62.0 years). To study learning effects, 20 different young subjects (mean age 21.0 years) received the MTT in order of gradually decreasing complexity. For subjects who received the MTT in order of increasing difficulty, 62% in both age groups performed all eight tasks without any Errors in the motor components. Among those making Errors, the proportion of subjects that made motor Errors increased significantly as the tasks became more complex (F(1,7) = 2.66, P B0.05). This increase differed across the two groups (significant interaction of Group by Task; F(1,7) = 3.07, P= 0.01) because more elderly subjects produced motor Errors during the most complex tasks. Cognitive Errors increased even more than motor Errors with task complexity, and this increase was most pronounced in young subjects (significant interaction of Group by Error Type by Task; F(1,1,7) =3.85, P= 0.001). Only eight young (16%) and four elderly subjects (30.8%) performed the MTT without any motor or cognitive Errors, again suggesting that more young subjects made cognitive Errors. Among subjects who received the MTT in reverse order, motor errors were more common than among subjects who received the MTT in order of increasing complexity (F(1,7) =5.90, PB0.05), particularly during the two most difficult tasks. The elderly performed all tasks slower than the young subjects. We conclude that the MTT is a new balance test based upon a multiple task design that resembles everyday situations. Performance by healthy subjects revealed interesting insights into normal postural strategies. For complex postural tasks, healthy subjects favour execution of motor components over execution of a cognitive component ('posture first' strategy). Young subjects were more inclined than elderly subjects to use this strategy. Motor learning influenced performance among subjects who received the MTT in order of increasing difficulty. Further studies must determine whether the MTT can be used to evaluate balance disorders.","container-title":"Gait &amp; Posture","DOI":"10.1016/S0966-6362(01)00141-2","ISSN":"09666362","issue":"3","page":"191-202","title":"The Multiple Tasks Test","volume":"14","author":[{"family":"Bloem","given":"Bastiaan R"},{"family":"Valkenburg","given":"Vibeke V"},{"family":"Slabbekoorn","given":"Mathilde"},{"family":"Willemsen","given":"Mirjam D"}],"issued":{"date-parts":[["2001",12]]},"citation-key":"bloemMultipleTasksTest2001"}},{"id":8866,"uris":["http://zotero.org/users/7328983/items/AMJ3Q765"],"itemData":{"id":8866,"type":"article-journal","abstract":"Upright standing and walking tasks require the integration of several sources of sensory information. In a normal and highly predictable environment, locomotor synergies involving several muscles may take place at lower spinal levels with neural circuitry tuned by local loops of assistance or self-organizing processes generated in coordinative networks. When ongoing regulation of gait is necessary (obstacles, changes in direction) supraspinal involvement is necessary to perform movements adapted to the environment. Using a classical information processing framework and a dual-task methodology, it is possible to evaluate the attentional demands for performing static and dynamic equilibrium tasks. The present experiment evaluates whether the attentional requirements for a control sitting condition and for standing and walking conditions vary with the intrinsic balance demands of the tasks. The results show that standing and walking conditions required more attention than sitting in a chair. The attentional cost for walking was also significantly greater than for standing. For the walking task, reaction times when subjects were in singlesupport phase (small base of support) were significantly longer than those in double-support phase, suggesting that the attentional demands increased with an increase in the balance requirements of the task. Balance control requires a continuous regulation and integration of sensory inputs; increasing balance demands loads the higher level cognitive system.","container-title":"Experimental Brain Research","DOI":"10.1007/BF00228824","ISSN":"1432-1106","issue":"1","journalAbbreviation":"Exp Brain Res","language":"en","page":"139-144","source":"Springer Link","title":"Attentional demands for static and dynamic equilibrium","volume":"97","author":[{"family":"Lajoie","given":"Y."},{"family":"Teasdale","given":"N."},{"family":"Bard","given":"C."},{"family":"Fleury","given":"M."}],"issued":{"date-parts":[["1993",12,1]]},"citation-key":"lajoieAttentionalDemandsStatic1993"}},{"id":368,"uris":["http://zotero.org/users/7328983/items/XUP2F9T5"],"itemData":{"id":368,"type":"article-journal","abstract":"Until recently, gait was generally viewed as a largely automated motor task, requiring minimal higher-level cognitive input. Increasing evidence, however, links alterations in</w:instrText>
      </w:r>
      <w:r w:rsidR="006C6E43" w:rsidRPr="00DE5F3A">
        <w:instrText xml:space="preserve"> executive function and attention to gait disturbances. This review discusses the role of executive function and attention in healthy walking and gait disorders while summarizing the relevant, recent literature. We describe the variety of gait disorders that may be associated with different aspects of executive function, and discuss the changes occurring in executive function as a result of aging and disease as well the potential impact of these changes on gait. The attentional demands of gait are often tested using dual tasking methodologies. Relevant studies in healthy adults and patients are presented, as are the possible mechanisms responsible for the deterioration of gait during dual tasking. Lastly, we suggest how assessments of executive function and attention could be applied in the clinical setting as part of the process of identifying and understanding gait disorders and fall risk. (c) 2007 Movement Disorder Society.","container-title":"Movement Disorders","DOI":"10.1002/mds.21720","ISSN":"08853185","issue":"3","note":"PMID: 18058946\nISBN: 9723697491","page":"329-342","title":"The role of executive function and attention in gait","volume":"23","author":[{"family":"Yogev-Seligmann","given":"Galit"},{"family":"Hausdorff","given":"Jeffrey M."},{"family":"Giladi","given":"Nir"}],"issued":{"date-parts":[["2008",2,15]]},"citation-key":"yogev-seligmannRoleExecutiveFunction2008"}}],"schema":"https://github.com/citation-style-language/schema/raw/master/csl-citation.json"} </w:instrText>
      </w:r>
      <w:r w:rsidR="00A5061F" w:rsidRPr="75598FD4">
        <w:rPr>
          <w:lang w:val="en-US"/>
        </w:rPr>
        <w:fldChar w:fldCharType="separate"/>
      </w:r>
      <w:r w:rsidR="00E027DD" w:rsidRPr="00406537">
        <w:rPr>
          <w:noProof/>
        </w:rPr>
        <w:t>(Bloem et al., 2001; Lajoie et al., 1993; Yogev-Seligmann et al., 2008)</w:t>
      </w:r>
      <w:r w:rsidR="00A5061F" w:rsidRPr="75598FD4">
        <w:rPr>
          <w:lang w:val="en-US"/>
        </w:rPr>
        <w:fldChar w:fldCharType="end"/>
      </w:r>
      <w:r w:rsidR="00A5061F" w:rsidRPr="00406537">
        <w:t xml:space="preserve">. </w:t>
      </w:r>
      <w:r>
        <w:rPr>
          <w:lang w:val="en-US"/>
        </w:rPr>
        <w:t>There are several theories explaining behavioral decrement</w:t>
      </w:r>
      <w:r w:rsidR="0051549C">
        <w:rPr>
          <w:lang w:val="en-US"/>
        </w:rPr>
        <w:t>s in the cognitive and locomotor task</w:t>
      </w:r>
      <w:r w:rsidR="00997232">
        <w:rPr>
          <w:lang w:val="en-US"/>
        </w:rPr>
        <w:t>, mostly being related to a bottleneck of attentional resources</w:t>
      </w:r>
      <w:r w:rsidR="003A4431">
        <w:rPr>
          <w:lang w:val="en-US"/>
        </w:rPr>
        <w:t>.</w:t>
      </w:r>
      <w:r w:rsidR="00CC6E40">
        <w:rPr>
          <w:lang w:val="en-US"/>
        </w:rPr>
        <w:t xml:space="preserve"> </w:t>
      </w:r>
      <w:r w:rsidR="004008B5">
        <w:rPr>
          <w:lang w:val="en-US"/>
        </w:rPr>
        <w:t>In many cases, t</w:t>
      </w:r>
      <w:r w:rsidR="007F4696">
        <w:rPr>
          <w:lang w:val="en-US"/>
        </w:rPr>
        <w:t xml:space="preserve">his bottleneck seems to be </w:t>
      </w:r>
      <w:r w:rsidR="00D80E82">
        <w:rPr>
          <w:lang w:val="en-US"/>
        </w:rPr>
        <w:t xml:space="preserve">related to activity </w:t>
      </w:r>
      <w:r w:rsidR="007F4696">
        <w:rPr>
          <w:lang w:val="en-US"/>
        </w:rPr>
        <w:t xml:space="preserve">in </w:t>
      </w:r>
      <w:r w:rsidR="00CC6E40">
        <w:rPr>
          <w:lang w:val="en-US"/>
        </w:rPr>
        <w:t>frontal and parietal areas</w:t>
      </w:r>
      <w:r w:rsidR="007F4696">
        <w:rPr>
          <w:lang w:val="en-US"/>
        </w:rPr>
        <w:t>, as many dual-task studies highlighted</w:t>
      </w:r>
      <w:r w:rsidR="00946CBE">
        <w:rPr>
          <w:lang w:val="en-US"/>
        </w:rPr>
        <w:t xml:space="preserve"> (for a review see </w:t>
      </w:r>
      <w:r w:rsidR="00946CBE">
        <w:rPr>
          <w:lang w:val="en-US"/>
        </w:rPr>
        <w:fldChar w:fldCharType="begin"/>
      </w:r>
      <w:r w:rsidR="006C6E43">
        <w:rPr>
          <w:lang w:val="en-US"/>
        </w:rPr>
        <w:instrText xml:space="preserve"> ADDIN ZOTERO_ITEM CSL_CITATION {"citationID":"jYtri19K","properties":{"formattedCitation":"(Leone et al., 2017)","plainCitation":"(Leone et al., 2017)","dontUpdate":true,"noteIndex":0},"citationItems":[{"id":821,"uris":["http://zotero.org/users/7328983/items/574XIW2Q"],"itemData":{"id":821,"type":"article-journal","abstract":"Cognitive-motor interference refers to dual-tasking (DT) interference (DTi) occurring when the simultaneous performance of a cognitive and a motor task leads to a percentage change in one or both tasks. Several theories exist to explain DTi in humans: the capacity-sharing, the bottleneck and the cross-talk theories. Numerous studies investigating whether a specific brain locus is associated with cognitive-motor DTi have been conducted, but not systematically reviewed. We aimed to review the evidences on brain activity associated with the cognitive-motor DT, in order to better understand the neurological basis of the CMi. Results were reported according to the technique used to assess brain activity. Twenty-three articles met the inclusion criteria. Out of them, nine studies used functional magnetic resonance imaging to show an additive, under-additive, over- additive, or a mixed activation pattern of the brain. Seven studies used near-infrared spectroscopy, and seven neurophysiological instruments. Yet a specific DT locus in the brain cannot be concluded from the overall current literature. Future studies are warranted to overcome the shortcomings identified.","container-title":"Neuroscience &amp; Biobehavioral Reviews","DOI":"10.1016/j.neubiorev.2017.01.010","ISSN":"01497634","note":"PMID: 28104413\nISBN: 0903-1936","page":"348-360","title":"Cognitive-motor dual-task interference: A systematic review of neural correlates","volume":"75","author":[{"family":"Leone","given":"Carmela"},{"family":"Feys","given":"Peter"},{"family":"Moumdjian","given":"Lousin"},{"family":"D’Amico","given":"Emanuele"},{"family":"Zappia","given":"Mario"},{"family":"Patti","given":"Francesco"}],"issued":{"date-parts":[["2017",4]]},"citation-key":"leoneCognitivemotorDualtaskInterference2017"}}],"schema":"https://github.com/citation-style-language/schema/raw/master/csl-citation.json"} </w:instrText>
      </w:r>
      <w:r w:rsidR="00946CBE">
        <w:rPr>
          <w:lang w:val="en-US"/>
        </w:rPr>
        <w:fldChar w:fldCharType="separate"/>
      </w:r>
      <w:r w:rsidR="00946CBE">
        <w:rPr>
          <w:noProof/>
          <w:lang w:val="en-US"/>
        </w:rPr>
        <w:t>Leone et al., 2017)</w:t>
      </w:r>
      <w:r w:rsidR="00946CBE">
        <w:rPr>
          <w:lang w:val="en-US"/>
        </w:rPr>
        <w:fldChar w:fldCharType="end"/>
      </w:r>
      <w:r w:rsidR="00E649D3">
        <w:rPr>
          <w:lang w:val="en-US"/>
        </w:rPr>
        <w:t xml:space="preserve">, though there is no specialized dual-task interference </w:t>
      </w:r>
      <w:r w:rsidR="00A4620D">
        <w:rPr>
          <w:lang w:val="en-US"/>
        </w:rPr>
        <w:t>locus</w:t>
      </w:r>
      <w:r w:rsidR="00E649D3">
        <w:rPr>
          <w:lang w:val="en-US"/>
        </w:rPr>
        <w:t xml:space="preserve"> that could be identified so far</w:t>
      </w:r>
      <w:r w:rsidR="005106A3">
        <w:rPr>
          <w:lang w:val="en-US"/>
        </w:rPr>
        <w:t xml:space="preserve"> </w:t>
      </w:r>
      <w:r w:rsidR="00B06ED8">
        <w:rPr>
          <w:lang w:val="en-US"/>
        </w:rPr>
        <w:fldChar w:fldCharType="begin"/>
      </w:r>
      <w:r w:rsidR="006C6E43">
        <w:rPr>
          <w:lang w:val="en-US"/>
        </w:rPr>
        <w:instrText xml:space="preserve"> ADDIN ZOTERO_ITEM CSL_CITATION {"citationID":"fRg0iTUy","properties":{"formattedCitation":"(De Jong, 1993)","plainCitation":"(De Jong, 1993)","noteIndex":0},"citationItems":[{"id":9292,"uris":["http://zotero.org/users/7328983/items/JDAS8ELK"],"itemData":{"id":9292,"type":"article-journal","container-title":"Journal of Experimental Psychology: Human Perception and Performance","DOI":"10.1037/0096-1523.19.5.965","ISSN":"1939-1277, 0096-1523","issue":"5","journalAbbreviation":"Journal of Experimental Psychology: Human Perception and Performance","language":"en","page":"965-980","source":"DOI.org (Crossref)","title":"Multiple bottlenecks in overlapping task performance.","volume":"19","author":[{"family":"De Jong","given":"Ritske"}],"issued":{"date-parts":[["1993"]]},"citation-key":"dejongMultipleBottlenecksOverlapping1993"}}],"schema":"https://github.com/citation-style-language/schema/raw/master/csl-citation.json"} </w:instrText>
      </w:r>
      <w:r w:rsidR="00B06ED8">
        <w:rPr>
          <w:lang w:val="en-US"/>
        </w:rPr>
        <w:fldChar w:fldCharType="separate"/>
      </w:r>
      <w:r w:rsidR="00B06ED8">
        <w:rPr>
          <w:noProof/>
          <w:lang w:val="en-US"/>
        </w:rPr>
        <w:t>(De Jong, 1993)</w:t>
      </w:r>
      <w:r w:rsidR="00B06ED8">
        <w:rPr>
          <w:lang w:val="en-US"/>
        </w:rPr>
        <w:fldChar w:fldCharType="end"/>
      </w:r>
      <w:r w:rsidR="00B06ED8">
        <w:rPr>
          <w:lang w:val="en-US"/>
        </w:rPr>
        <w:t>.</w:t>
      </w:r>
      <w:r w:rsidR="00D80E82">
        <w:rPr>
          <w:lang w:val="en-US"/>
        </w:rPr>
        <w:t xml:space="preserve"> This suggests that </w:t>
      </w:r>
      <w:r w:rsidR="0045414F">
        <w:rPr>
          <w:lang w:val="en-US"/>
        </w:rPr>
        <w:t>executive functions are strongly involved in CMI processes, as these are attributed to be managed</w:t>
      </w:r>
      <w:r w:rsidR="00556D30">
        <w:rPr>
          <w:lang w:val="en-US"/>
        </w:rPr>
        <w:t xml:space="preserve"> in frontal cortical regions.</w:t>
      </w:r>
    </w:p>
    <w:p w14:paraId="731260B4" w14:textId="42D269FE" w:rsidR="00954DEA" w:rsidRPr="006B0027" w:rsidRDefault="00556D30" w:rsidP="00B33244">
      <w:pPr>
        <w:spacing w:line="259" w:lineRule="auto"/>
        <w:rPr>
          <w:lang w:val="en-US"/>
        </w:rPr>
      </w:pPr>
      <w:r>
        <w:rPr>
          <w:lang w:val="en-US"/>
        </w:rPr>
        <w:t>T</w:t>
      </w:r>
      <w:r w:rsidR="00F74C7E">
        <w:rPr>
          <w:lang w:val="en-US"/>
        </w:rPr>
        <w:t>he effect of presentation modality on these attention allocation processes</w:t>
      </w:r>
      <w:r>
        <w:rPr>
          <w:lang w:val="en-US"/>
        </w:rPr>
        <w:t xml:space="preserve"> in CMI </w:t>
      </w:r>
      <w:r w:rsidR="00860EEE">
        <w:rPr>
          <w:lang w:val="en-US"/>
        </w:rPr>
        <w:t>situations</w:t>
      </w:r>
      <w:r w:rsidR="00F74C7E">
        <w:rPr>
          <w:lang w:val="en-US"/>
        </w:rPr>
        <w:t xml:space="preserve"> </w:t>
      </w:r>
      <w:r>
        <w:rPr>
          <w:lang w:val="en-US"/>
        </w:rPr>
        <w:t>is still unknown</w:t>
      </w:r>
      <w:r w:rsidR="00F74C7E">
        <w:rPr>
          <w:lang w:val="en-US"/>
        </w:rPr>
        <w:t>.</w:t>
      </w:r>
      <w:r w:rsidR="00022987">
        <w:rPr>
          <w:lang w:val="en-US"/>
        </w:rPr>
        <w:t xml:space="preserve"> </w:t>
      </w:r>
      <w:r w:rsidR="00022987" w:rsidRPr="75598FD4">
        <w:rPr>
          <w:lang w:val="en-US"/>
        </w:rPr>
        <w:t xml:space="preserve">While </w:t>
      </w:r>
      <w:r w:rsidR="00022987">
        <w:rPr>
          <w:lang w:val="en-US"/>
        </w:rPr>
        <w:t xml:space="preserve">visual information </w:t>
      </w:r>
      <w:r w:rsidR="00BF724D">
        <w:rPr>
          <w:lang w:val="en-US"/>
        </w:rPr>
        <w:t xml:space="preserve">presentation via </w:t>
      </w:r>
      <w:r w:rsidR="00022987" w:rsidRPr="75598FD4">
        <w:rPr>
          <w:lang w:val="en-US"/>
        </w:rPr>
        <w:t xml:space="preserve">HMDs can be advantageous </w:t>
      </w:r>
      <w:r w:rsidR="00BF724D">
        <w:rPr>
          <w:lang w:val="en-US"/>
        </w:rPr>
        <w:t xml:space="preserve">while walking </w:t>
      </w:r>
      <w:r w:rsidR="00022987" w:rsidRPr="75598FD4">
        <w:rPr>
          <w:lang w:val="en-US"/>
        </w:rPr>
        <w:t xml:space="preserve">when cognitive task load is high, audio notifications via headphones can yield an advantage when cognitive task demands decrease </w:t>
      </w:r>
      <w:r w:rsidR="00022987" w:rsidRPr="75598FD4">
        <w:rPr>
          <w:lang w:val="en-US"/>
        </w:rPr>
        <w:fldChar w:fldCharType="begin"/>
      </w:r>
      <w:r w:rsidR="006C6E43">
        <w:rPr>
          <w:lang w:val="en-US"/>
        </w:rPr>
        <w:instrText xml:space="preserve"> ADDIN ZOTERO_ITEM CSL_CITATION {"citationID":"mtpqdFK0","properties":{"formattedCitation":"(Kreutzfeldt et al., 2019a, 2019b)","plainCitation":"(Kreutzfeldt et al., 2019a, 2019b)","noteIndex":0},"citationItems":[{"id":"1e6YnVbL/dwCxsX1D","uris":["http://zotero.org/users/7328983/items/XCH4T6EA"],"itemData":{"id":112,"type":"paper-conference","abstract":"Digital transformation of work expands in manual labor areas, providing the need to assess cognitive ergonomics of smart devices. Evaluating cognitive workload imposed on the worker and attentional processes are especially relevant. We compared human performance between two smart devices in the context of a simulated order picking task. To this end, we combined a task switching paradigm with a flanker task. Response times, error rates and subjective task load indices were registered. Participants were slower in using smart glasses compared to a headset, however, with smart glasses they were less distraction-prone and more flexible in their responses. The performance differences may be explained by modality-specific transformations from sensory input to manual responses. In sum, results suggest that smart glasses may be more suitable for conveying information in rather complex tasks relying on visual information whereas headsets may be more suitable for simple tasks in uncluttered environments.","container-title":"Advances in Intelligent Systems and Computing","DOI":"10.1007/978-3-319-94706-8_1","ISBN":"978-3-319-94705-1","note":"ISSN: 21945357","page":"3-13","publisher":"Springer Verlag","title":"The attentional perspective on smart devices: Empirical evidence for device-specific cognitive ergonomics","volume":"777","author":[{"family":"Kreutzfeldt","given":"Magali"},{"family":"Renker","given":"Johanna"},{"family":"Rinkenauer","given":"Gerhard"}],"issued":{"date-parts":[["2019"]]},"citation-key":"kreutzfeldtAttentionalPerspectiveSmart2019"}},{"id":1093,"uris":["http://zotero.org/users/7328983/items/8HHM96MJ"],"itemData":{"id":1093,"type":"paper-conference","abstract":"We investigated the influence of gait and smart devices on selective attention in an order picking setting employing a task switching paradigm and an Eriksen flanker task. A cue indicated the relevant customer order (one of two tasks) and thereby the correct stimulus-response rule either via smart glasses or headset. The task transition (repetition vs. switch) was varied randomly in mixed blocks and kept constant in single blocks. Participants (n = 24) were asked to classify the central letter of a five-letter string with a manual response (left vs. right). Importantly, the central letter was either congruent or incongruent with the surrounding letters. Participants were either walking at their personal comfort speed or standing on a treadmill. We registered response times and error rates as dependent variables. The combination of a particular smart device and walking condition determined the effect on attention and thus the order picker’s mental state: In mixed task response times, switch costs were higher for headset use than smart glasses, while incongruent flankers were especially harmful while walking wearing smart glasses. In single task errors, congruency effects were more pronounced for headset use than smart glasses but only while standing, not while walking. Results show context-specific effects, suggesting that gait speed and performance requirements can be used as cognitive load indicators in technical systems to adapt instructions.","container-title":"Lecture Notes in Computer Science (including subseries Lecture Notes in Artificial Intelligence and Lecture Notes in Bioinformatics)","DOI":"10.1007/978-3-030-22341-0_33","ISBN":"978-3-030-22340-3","note":"ISSN: 16113349","page":"420-431","publisher":"Springer Verlag","title":"The Influence of Gait on Cognitive Functions: Promising Factor for Adapting Systems to the Worker’s Need in a Picking Context","volume":"11597 LNCS","author":[{"family":"Kreutzfeldt","given":"Magali"},{"family":"Renker","given":"Johanna"},{"family":"Rinkenauer","given":"Gerhard"}],"issued":{"date-parts":[["2019"]]},"citation-key":"kreutzfeldtInfluenceGaitCognitive2019"}}],"schema":"https://github.com/citation-style-language/schema/raw/master/csl-citation.json"} </w:instrText>
      </w:r>
      <w:r w:rsidR="00022987" w:rsidRPr="75598FD4">
        <w:rPr>
          <w:lang w:val="en-US"/>
        </w:rPr>
        <w:fldChar w:fldCharType="separate"/>
      </w:r>
      <w:r w:rsidR="00022987" w:rsidRPr="75598FD4">
        <w:rPr>
          <w:noProof/>
          <w:lang w:val="en-US"/>
        </w:rPr>
        <w:t>(Kreutzfeldt et al., 2019a, 2019b)</w:t>
      </w:r>
      <w:r w:rsidR="00022987" w:rsidRPr="75598FD4">
        <w:rPr>
          <w:lang w:val="en-US"/>
        </w:rPr>
        <w:fldChar w:fldCharType="end"/>
      </w:r>
      <w:r w:rsidR="00022987" w:rsidRPr="75598FD4">
        <w:rPr>
          <w:lang w:val="en-US"/>
        </w:rPr>
        <w:t>.</w:t>
      </w:r>
      <w:r w:rsidR="00B33244">
        <w:rPr>
          <w:lang w:val="en-US"/>
        </w:rPr>
        <w:t xml:space="preserve"> </w:t>
      </w:r>
      <w:r w:rsidR="005D3AF1" w:rsidRPr="75598FD4">
        <w:rPr>
          <w:lang w:val="en-US"/>
        </w:rPr>
        <w:t xml:space="preserve">Another study by Sampson </w:t>
      </w:r>
      <w:r w:rsidR="005D3AF1" w:rsidRPr="75598FD4">
        <w:rPr>
          <w:lang w:val="en-US"/>
        </w:rPr>
        <w:fldChar w:fldCharType="begin"/>
      </w:r>
      <w:r w:rsidR="006C6E43">
        <w:rPr>
          <w:lang w:val="en-US"/>
        </w:rPr>
        <w:instrText xml:space="preserve"> ADDIN ZOTERO_ITEM CSL_CITATION {"citationID":"j7XJGxDK","properties":{"formattedCitation":"(1993)","plainCitation":"(1993)","noteIndex":0},"citationItems":[{"id":42,"uris":["http://zotero.org/users/7328983/items/RCIUPIW2"],"itemData":{"id":42,"type":"article-journal","abstract":"Considerable research has been conducted on head or helmet-mounted displays (HMDs) for aviators, but little, if any, for ground soldiers. This study investigated the ability of individuals to perform combined tasks of walking over irregular terrain (simulated) and processing information from an HMD. Volunteers performed reaction time tasks while either standing or walking on a treadmill, with and without obstacles. Results show uniform effects of obstacles on three levels of cognitive difficulty. Walking on level ground with no obstacles had no more effect on information processing than merely standing, whereas minor and moderate levels of obstacle avoidance had equal impact. Spatial displays were easier than verbal and numeric displays during all levels of mobility. Subjective effort matched reaction time performance. Results support existing models of attention and will help provide guidance for unique applications for the ground combatant.","container-title":"Proceedings of the Human Factors and Ergonomics Society Annual Meeting","DOI":"10.1177/154193129303700418","ISSN":"2169-5067, 1071-1813","issue":"4","journalAbbreviation":"Proceedings of the Human Factors and Ergonomics Society Annual Meeting","language":"en","page":"338-342","source":"DOI.org (Crossref)","title":"Cognitive Performance of Individuals Using a Head—Mounted Display While Walking","volume":"37","author":[{"family":"Sampson","given":"James B."}],"issued":{"date-parts":[["1993",10]]},"citation-key":"sampsonCognitivePerformanceIndividuals1993"},"suppress-author":true}],"schema":"https://github.com/citation-style-language/schema/raw/master/csl-citation.json"} </w:instrText>
      </w:r>
      <w:r w:rsidR="005D3AF1" w:rsidRPr="75598FD4">
        <w:rPr>
          <w:lang w:val="en-US"/>
        </w:rPr>
        <w:fldChar w:fldCharType="separate"/>
      </w:r>
      <w:r w:rsidR="005D3AF1" w:rsidRPr="75598FD4">
        <w:rPr>
          <w:noProof/>
          <w:lang w:val="en-US"/>
        </w:rPr>
        <w:t>(1993)</w:t>
      </w:r>
      <w:r w:rsidR="005D3AF1" w:rsidRPr="75598FD4">
        <w:rPr>
          <w:lang w:val="en-US"/>
        </w:rPr>
        <w:fldChar w:fldCharType="end"/>
      </w:r>
      <w:r w:rsidR="005D3AF1" w:rsidRPr="75598FD4">
        <w:rPr>
          <w:lang w:val="en-US"/>
        </w:rPr>
        <w:t xml:space="preserve"> also showed detrimental effects of HMD presentation while on the move. Here, cognitive task performance was strongly impaired as soon as obstacles were added to a walking task.</w:t>
      </w:r>
      <w:r w:rsidR="005D3AF1">
        <w:rPr>
          <w:lang w:val="en-US"/>
        </w:rPr>
        <w:t xml:space="preserve"> </w:t>
      </w:r>
      <w:r w:rsidR="00B33244" w:rsidRPr="00FC7738">
        <w:rPr>
          <w:lang w:val="en-US"/>
        </w:rPr>
        <w:t xml:space="preserve">According to Wickens’ Multiple Resources Model </w:t>
      </w:r>
      <w:r w:rsidR="00B33244" w:rsidRPr="75598FD4">
        <w:rPr>
          <w:lang w:val="en-US"/>
        </w:rPr>
        <w:fldChar w:fldCharType="begin"/>
      </w:r>
      <w:r w:rsidR="006C6E43">
        <w:rPr>
          <w:lang w:val="en-US"/>
        </w:rPr>
        <w:instrText xml:space="preserve"> ADDIN ZOTERO_ITEM CSL_CITATION {"citationID":"KQqFGe0z","properties":{"formattedCitation":"(Wickens, 2002)","plainCitation":"(Wickens, 2002)","noteIndex":0},"citationItems":[{"id":556,"uris":["http://zotero.org/users/7328983/items/AGDTTZL2"],"itemData":{"id":556,"type":"article-journal","abstract":"This paper describes the origins and history of multiple resource theory in accounting for differences in dual task interference. One particular application of the theory, the 4-dimensional multiple resources model, is described in detail, positing that there will be greater interference between two tasks to the extent that they share stages (perceptual/cognitive vs response) sensory modalities (auditory vs visual), codes (visual vs spatial) and channels of visual information (focal vs ambient). A computational rendering of this model is then presented. Examples are given of how the model predicts interference differences in operational envir- onments. Finally, three challenges to the model are outlined regarding task demand coding, task allocation and visual resource competition.","container-title":"Theoretical Issues in Ergonomics Science","DOI":"10.1080/14639220210123806","ISSN":"1463-922X","issue":"2","note":"PMID: 6978386\nISBN: 1463922X","page":"159-177","title":"Multiple resources and performance prediction","volume":"3","author":[{"family":"Wickens","given":"Christopher D."}],"issued":{"date-parts":[["2002"]]},"citation-key":"wickensMultipleResourcesPerformance2002"}}],"schema":"https://github.com/citation-style-language/schema/raw/master/csl-citation.json"} </w:instrText>
      </w:r>
      <w:r w:rsidR="00B33244" w:rsidRPr="75598FD4">
        <w:rPr>
          <w:lang w:val="en-US"/>
        </w:rPr>
        <w:fldChar w:fldCharType="separate"/>
      </w:r>
      <w:r w:rsidR="00B33244" w:rsidRPr="00FC7738">
        <w:rPr>
          <w:noProof/>
          <w:lang w:val="en-US"/>
        </w:rPr>
        <w:t>(Wickens, 2002)</w:t>
      </w:r>
      <w:r w:rsidR="00B33244" w:rsidRPr="75598FD4">
        <w:rPr>
          <w:lang w:val="en-US"/>
        </w:rPr>
        <w:fldChar w:fldCharType="end"/>
      </w:r>
      <w:r w:rsidR="00B33244" w:rsidRPr="00FC7738">
        <w:rPr>
          <w:lang w:val="en-US"/>
        </w:rPr>
        <w:t xml:space="preserve"> locomotion as well as visual cognitive processing should demand visual modality resources – while locomotion should not impair auditory information processing relatively.</w:t>
      </w:r>
      <w:r w:rsidR="00943711">
        <w:rPr>
          <w:lang w:val="en-US"/>
        </w:rPr>
        <w:t xml:space="preserve"> </w:t>
      </w:r>
      <w:r w:rsidR="0064572B">
        <w:rPr>
          <w:lang w:val="en-US"/>
        </w:rPr>
        <w:t>This hypothesis</w:t>
      </w:r>
      <w:r w:rsidR="008461C0">
        <w:rPr>
          <w:lang w:val="en-US"/>
        </w:rPr>
        <w:t>, though,</w:t>
      </w:r>
      <w:r w:rsidR="0064572B">
        <w:rPr>
          <w:lang w:val="en-US"/>
        </w:rPr>
        <w:t xml:space="preserve"> is not </w:t>
      </w:r>
      <w:r w:rsidR="008461C0">
        <w:rPr>
          <w:lang w:val="en-US"/>
        </w:rPr>
        <w:t>supported</w:t>
      </w:r>
      <w:r w:rsidR="0064572B">
        <w:rPr>
          <w:lang w:val="en-US"/>
        </w:rPr>
        <w:t xml:space="preserve"> by p</w:t>
      </w:r>
      <w:r w:rsidR="00B33244" w:rsidRPr="00C31251">
        <w:rPr>
          <w:lang w:val="en-US"/>
        </w:rPr>
        <w:t>revious mobile EEG stud</w:t>
      </w:r>
      <w:r w:rsidR="0064572B">
        <w:rPr>
          <w:lang w:val="en-US"/>
        </w:rPr>
        <w:t xml:space="preserve">y findings, as these </w:t>
      </w:r>
      <w:r w:rsidR="00B33244" w:rsidRPr="00C31251">
        <w:rPr>
          <w:lang w:val="en-US"/>
        </w:rPr>
        <w:t xml:space="preserve">have demonstrated that locomotion can have detrimental effects on visual task execution behavior – especially when the </w:t>
      </w:r>
      <w:r w:rsidR="00B33244">
        <w:rPr>
          <w:lang w:val="en-US"/>
        </w:rPr>
        <w:t xml:space="preserve">cognitive </w:t>
      </w:r>
      <w:r w:rsidR="00B33244" w:rsidRPr="00C31251">
        <w:rPr>
          <w:lang w:val="en-US"/>
        </w:rPr>
        <w:t xml:space="preserve">task is challenging </w:t>
      </w:r>
      <w:r w:rsidR="00B33244" w:rsidRPr="75598FD4">
        <w:rPr>
          <w:lang w:val="en-US"/>
        </w:rPr>
        <w:fldChar w:fldCharType="begin"/>
      </w:r>
      <w:r w:rsidR="006C6E43">
        <w:rPr>
          <w:lang w:val="en-US"/>
        </w:rPr>
        <w:instrText xml:space="preserve"> ADDIN ZOTERO_ITEM CSL_CITATION {"citationID":"33124r9c","properties":{"formattedCitation":"(Shaw et al., 2018)","plainCitation":"(Shaw et al., 2018)","noteIndex":0},"citationItems":[{"id":823,"uris":["http://zotero.org/users/7328983/items/MQQP827Z"],"itemData":{"id":823,"type":"article-journal","abstract":"Previous work focused on cognitive workload assessment suggests EEG spectral content and component amplitudes of the event-related potential (ERP) waveform may index mental effort and attentional reserve, respectively. Although few studies have assessed attentional reserve and mental effort during upper-extremity performance, none have employed a combined approach to measure cognitive workload during locomotion. Therefore, by systematically considering ERPs, spectral content and importantly their combination, this study aimed to examine whether concurrent changes in spectral content and ERPs could collectively serve as an index of cognitive workload during locomotion. Specifically, ERP and EEG biomarkers were assessed as participants performed a cognitive task under two levels of difficulty (easy or hard) and two conditions (seated or walking). Changes in attentional reserve and mental effort appeared to collectively index cognitive workload under varying demands due to changes in task difficulty or performance conditions. This work can inform cognitive workload assessment in patient populations with gait deficiencies for future applications.","container-title":"Biological Psychology","DOI":"10.1016/j.biopsycho.2018.01.009","ISSN":"03010511","note":"PMID: 29378284","page":"39-51","title":"Measurement of attentional reserve and mental effort for cognitive workload assessment under various task demands during dual-task walking","volume":"134","author":[{"family":"Shaw","given":"Emma P."},{"family":"Rietschel","given":"Jeremy C."},{"family":"Hendershot","given":"Brad D."},{"family":"Pruziner","given":"Alison L."},{"family":"Miller","given":"Matthew W."},{"family":"Hatfield","given":"Bradley D."},{"family":"Gentili","given":"Rodolphe J."}],"issued":{"date-parts":[["2018",4]]},"citation-key":"shawMeasurementAttentionalReserve2018"}}],"schema":"https://github.com/citation-style-language/schema/raw/master/csl-citation.json"} </w:instrText>
      </w:r>
      <w:r w:rsidR="00B33244" w:rsidRPr="75598FD4">
        <w:rPr>
          <w:lang w:val="en-US"/>
        </w:rPr>
        <w:fldChar w:fldCharType="separate"/>
      </w:r>
      <w:r w:rsidR="00B33244" w:rsidRPr="00FC7738">
        <w:rPr>
          <w:noProof/>
          <w:lang w:val="en-US"/>
        </w:rPr>
        <w:t>(Shaw et al., 2018)</w:t>
      </w:r>
      <w:r w:rsidR="00B33244" w:rsidRPr="75598FD4">
        <w:rPr>
          <w:lang w:val="en-US"/>
        </w:rPr>
        <w:fldChar w:fldCharType="end"/>
      </w:r>
      <w:r w:rsidR="00B33244" w:rsidRPr="00FC7738">
        <w:rPr>
          <w:lang w:val="en-US"/>
        </w:rPr>
        <w:t xml:space="preserve"> – </w:t>
      </w:r>
      <w:r w:rsidR="004069F6">
        <w:rPr>
          <w:lang w:val="en-US"/>
        </w:rPr>
        <w:t xml:space="preserve">as well as </w:t>
      </w:r>
      <w:r w:rsidR="00B33244" w:rsidRPr="00C31251">
        <w:rPr>
          <w:lang w:val="en-US"/>
        </w:rPr>
        <w:t xml:space="preserve">auditory cognitive tasks </w:t>
      </w:r>
      <w:r w:rsidR="00B33244" w:rsidRPr="75598FD4">
        <w:rPr>
          <w:lang w:val="en-US"/>
        </w:rPr>
        <w:fldChar w:fldCharType="begin"/>
      </w:r>
      <w:r w:rsidR="006C6E43">
        <w:rPr>
          <w:lang w:val="en-US"/>
        </w:rPr>
        <w:instrText xml:space="preserve"> ADDIN ZOTERO_ITEM CSL_CITATION {"citationID":"znHgdzx3","properties":{"formattedCitation":"(De Vos et al., 2014; Reiser et al., 2019, 2021)","plainCitation":"(De Vos et al., 2014; Reiser et al., 2019, 2021)","noteIndex":0},"citationItems":[{"id":384,"uris":["http://zotero.org/users/7328983/items/8QBZ2W6D"],"itemData":{"id":384,"type":"article-journal","abstract":"In a previous study we presented a low-cost, small, and wireless 14-channel EEG system suitable for field recordings (Debener et al., 2012, psychophysiology). In the present follow-up study we investigated whether a single-trial P300 response can be reliably measured with this system, while subjects freely walk outdoors. Twenty healthy participants performed a three-class auditory oddball task, which included rare target and non-target distractor stimuli presented with equal probabilities of 16%. Data were recorded in a seated (control condition) and in a walking condition, both of which were realized outdoors. A significantly larger P300 event-related potential amplitude was evident for targets compared to distractors (p&lt;. .001), but no significant interaction with recording condition emerged. P300 single-trial analysis was performed with regularized stepwise linear discriminant analysis and revealed above chance-level classification accuracies for most participants (19 out of 20 for the seated, 16 out of 20 for the walking condition), with mean classification accuracies of 71% (seated) and 64% (walking). Moreover, the resulting information transfer rates for the seated and walking conditions were comparable to a recently published laboratory auditory brain-computer interface (BCI) study. This leads us to conclude that a truly mobile auditory BCI system is feasible. ?? 2013 Elsevier B.V.","container-title":"International Journal of Psychophysiology","DOI":"10.1016/j.ijpsycho.2013.08.010","ISSN":"01678760","issue":"1","note":"PMID: 23994208\npublisher: Elsevier B.V.\nISBN: 0167-8760","page":"46-53","title":"Towards a truly mobile auditory brain-computer interface: Exploring the P300 to take away","volume":"91","author":[{"family":"De Vos","given":"Maarten"},{"family":"Gandras","given":"Katharina"},{"family":"Debener","given":"Stefan"}],"issued":{"date-parts":[["2014"]]},"citation-key":"devosTrulyMobileAuditory2014"}},{"id":252,"uris":["http://zotero.org/users/7328983/items/N4HWDZR6"],"itemData":{"id":252,"type":"article-journal","abstract":"Oftentimes we find ourselves in situations in which we need to perform concurrent motor and cognitive tasks like simple locomotion while being cognitively involved. In the present study, we investigated in how far cognitive and motor functioning interfere in an outdoor environment. Our participants performed an auditory oddball task while concurrently completing various motor tasks on the outside premises of our institute. Beside behavioural responses and subjective workload ratings, we also analysed electrophysiological data recorded with a 30-channel mobile EEG montage. We observed an increase of subjective workload and decrease of performance with increasing movement complexity. Accordingly, we also found a decrease in the parietal P3 amplitude as well as in frontal midline Theta power with higher motor load. These results indicate that an increased movement complexity imposes a higher workload to the cognitive system, which, in turn, effectively reduces the availability of cognitive resources for the cognitive task. Overall this experiment demonstrates the feasibility of transferring classical paradigms of cognitive research to real-world settings. The findings support the notion of shared resources for motor and cognitive functions by demonstrating distinct modulations of correlates of cognitive processes across different motor tasks.","container-title":"Scientific Reports","DOI":"10.1038/s41598-019-49503-4","ISSN":"2045-2322","issue":"1","note":"publisher: Nature Publishing Group","page":"1-14","title":"Recording mobile EEG in an outdoor environment reveals cognitive-motor interference dependent on movement complexity","volume":"9","author":[{"family":"Reiser","given":"Julian Elias"},{"family":"Wascher","given":"Edmund"},{"family":"Arnau","given":"Stefan"}],"issued":{"date-parts":[["2019"]]},"citation-key":"reiserRecordingMobileEEG2019"}},{"id":69,"uris":["http://zotero.org/users/7328983/items/QBK49PEU"],"itemData":{"id":69,"type":"article-journal","abstract":"Adaptively changing between different tasks while in locomotion is a fundamental prerequisite of modern daily life. The cognitive processes underlying dual tasking have been investigated extensively using EEG. Due to technological restrictions, however, this was not possible for dual task scenarios including locomotion. With new technological opportunities, this became possible and cognitive-motor interference can be studied, even in outside-the-lab environments. In the present study, participants carried out a cognitive-motor interference task as they responded to cued, auditory task-switch stimuli while performing locomotive tasks with increasing complexity (standing, walking, traversing an obstacle course). We observed increased subjective workload ratings as well as decreased behavioral performance for increased movement complexity and cognitive task difficulty. A higher movement load went along with a decrease of parietal P2, N2, and P3 amplitudes and frontal Theta power. A higher cognitive load, on the other hand, was reflected by decreased frontal CNV amplitudes. Additionally, a connectivity analysis using inter- site phase coherence revealed that higher movement as well as cognitive task difficulty had an impairing effect on fronto-parietal connectivity. In conclusion, subjective ratings, behavioral performance, and electrophysiological results indicate that less cognitive resources were available to be deployed towards the execution of the cognitive task when in locomotion compared to standing still. Connectivity results also show a scarcity of attentional resources when switching a task during the highest movement complexity condition. Summarized, all findings indicate a central role of attentional control regarding cognitive-motor dual tasking and an inherent limitation of cognitive resources.","container-title":"European Journal of Neuroscience","DOI":"10.1111/ejn.14959","ISSN":"0953-816X","issue":"August","note":"PMID: 32889772\npublisher: Wiley","page":"8175-8195","title":"Cognitive‐motor interference in the wild: Assessing the effects of movement complexity on task switching using mobile EEG","volume":"54","author":[{"family":"Reiser","given":"Julian Elias"},{"family":"Wascher","given":"Edmund"},{"family":"Rinkenauer","given":"Gerhard"},{"family":"Arnau","given":"Stefan"}],"issued":{"date-parts":[["2021"]]},"citation-key":"reiserCognitiveMotorInterference2021"}}],"schema":"https://github.com/citation-style-language/schema/raw/master/csl-citation.json"} </w:instrText>
      </w:r>
      <w:r w:rsidR="00B33244" w:rsidRPr="75598FD4">
        <w:rPr>
          <w:lang w:val="en-US"/>
        </w:rPr>
        <w:fldChar w:fldCharType="separate"/>
      </w:r>
      <w:r w:rsidR="00B33244" w:rsidRPr="006B0027">
        <w:rPr>
          <w:noProof/>
          <w:lang w:val="en-US"/>
        </w:rPr>
        <w:t>(De Vos et al., 2014; Reiser et al., 2019, 2021)</w:t>
      </w:r>
      <w:r w:rsidR="00B33244" w:rsidRPr="75598FD4">
        <w:rPr>
          <w:lang w:val="en-US"/>
        </w:rPr>
        <w:fldChar w:fldCharType="end"/>
      </w:r>
      <w:r w:rsidR="00B33244" w:rsidRPr="006B0027">
        <w:rPr>
          <w:lang w:val="en-US"/>
        </w:rPr>
        <w:t xml:space="preserve">. </w:t>
      </w:r>
      <w:r w:rsidR="00813A0E">
        <w:rPr>
          <w:lang w:val="en-US"/>
        </w:rPr>
        <w:t>Also, c</w:t>
      </w:r>
      <w:r w:rsidR="00954DEA" w:rsidRPr="75598FD4">
        <w:rPr>
          <w:lang w:val="en-US"/>
        </w:rPr>
        <w:t>ontrarily to</w:t>
      </w:r>
      <w:r w:rsidR="00813A0E">
        <w:rPr>
          <w:lang w:val="en-US"/>
        </w:rPr>
        <w:t xml:space="preserve"> the </w:t>
      </w:r>
      <w:r w:rsidR="00954DEA" w:rsidRPr="75598FD4">
        <w:rPr>
          <w:lang w:val="en-US"/>
        </w:rPr>
        <w:t xml:space="preserve"> Multiple Resou</w:t>
      </w:r>
      <w:r w:rsidR="00954DEA">
        <w:rPr>
          <w:lang w:val="en-US"/>
        </w:rPr>
        <w:t>r</w:t>
      </w:r>
      <w:r w:rsidR="00954DEA" w:rsidRPr="75598FD4">
        <w:rPr>
          <w:lang w:val="en-US"/>
        </w:rPr>
        <w:t xml:space="preserve">ces Model (Wickens, 2002), auditory cue stimuli negatively affected response times in a multi-modal task-switch paradigm as compared to visual ones </w:t>
      </w:r>
      <w:r w:rsidR="00954DEA" w:rsidRPr="75598FD4">
        <w:rPr>
          <w:lang w:val="en-US"/>
        </w:rPr>
        <w:fldChar w:fldCharType="begin"/>
      </w:r>
      <w:r w:rsidR="006C6E43">
        <w:rPr>
          <w:lang w:val="en-US"/>
        </w:rPr>
        <w:instrText xml:space="preserve"> ADDIN ZOTERO_ITEM CSL_CITATION {"citationID":"GaYuK6y3","properties":{"formattedCitation":"(Kreutzfeldt et al., 2017)","plainCitation":"(Kreutzfeldt et al., 2017)","noteIndex":0},"citationItems":[{"id":39,"uris":["http://zotero.org/users/7328983/items/UF2PJY6K"],"itemData":{"id":39,"type":"article-journal","abstract":"In the current study, we addressed modality-specificity of the flexibility of cognitive control. We compared performance in single-task and mixed-tasks blocks between blocked auditory and visual stimuli assessing alternation costs (single vs. mixed). Mixed blocks comprised task switches only. The tasks consisted of numerical parity, magnitude, and distance judgments about numbers between one and nine without five. A cue indicated the relevant task. The cue–stimulus interval was varied (short vs. long interval) to examine preparation effects. The results indicated higher response times (RTs) and error rates (ERs) in mixed- vs. single-tasks blocks. The alternation costs in ERs were larger for auditory compared to visual stimulus presentation. Moreover, the reduction of RT alternation costs based on increased preparation time was more pronounced for the auditory modality compared to the visual modality. These results suggest a modality-specific influence on processes involved in maintaining and updating task sets in working memory.","container-title":"Journal of Cognitive Psychology","DOI":"10.1080/20445911.2017.1293064","ISSN":"2044-5911, 2044-592X","issue":"5","journalAbbreviation":"Journal of Cognitive Psychology","language":"en","page":"607-617","source":"DOI.org (Crossref)","title":"Modality-specific preparatory influences on the flexibility of cognitive control in task switching","volume":"29","author":[{"family":"Kreutzfeldt","given":"Magali"},{"family":"Stephan","given":"Denise N."},{"family":"Willmes","given":"Klaus"},{"family":"Koch","given":"Iring"}],"issued":{"date-parts":[["2017",7,4]]},"citation-key":"kreutzfeldtModalityspecificPreparatoryInfluences2017"}}],"schema":"https://github.com/citation-style-language/schema/raw/master/csl-citation.json"} </w:instrText>
      </w:r>
      <w:r w:rsidR="00954DEA" w:rsidRPr="75598FD4">
        <w:rPr>
          <w:lang w:val="en-US"/>
        </w:rPr>
        <w:fldChar w:fldCharType="separate"/>
      </w:r>
      <w:r w:rsidR="00954DEA" w:rsidRPr="75598FD4">
        <w:rPr>
          <w:noProof/>
          <w:lang w:val="en-US"/>
        </w:rPr>
        <w:t>(Kreutzfeldt et al., 2017)</w:t>
      </w:r>
      <w:r w:rsidR="00954DEA" w:rsidRPr="75598FD4">
        <w:rPr>
          <w:lang w:val="en-US"/>
        </w:rPr>
        <w:fldChar w:fldCharType="end"/>
      </w:r>
      <w:r w:rsidR="00954DEA" w:rsidRPr="75598FD4">
        <w:rPr>
          <w:lang w:val="en-US"/>
        </w:rPr>
        <w:t xml:space="preserve">. This might be explained by the differing cognitive transformations that visual and auditory cue information must undergo. While visual cue information can be stored both in the visual-spatial sketchpad and in the auditory loop (in the form of inner speech; </w:t>
      </w:r>
      <w:r w:rsidR="00954DEA" w:rsidRPr="75598FD4">
        <w:rPr>
          <w:lang w:val="en-US"/>
        </w:rPr>
        <w:fldChar w:fldCharType="begin"/>
      </w:r>
      <w:r w:rsidR="006C6E43">
        <w:rPr>
          <w:lang w:val="en-US"/>
        </w:rPr>
        <w:instrText xml:space="preserve"> ADDIN ZOTERO_ITEM CSL_CITATION {"citationID":"jTjdKqkm","properties":{"formattedCitation":"(Kreutzfeldt et al., 2017)","plainCitation":"(Kreutzfeldt et al., 2017)","dontUpdate":true,"noteIndex":0},"citationItems":[{"id":39,"uris":["http://zotero.org/users/7328983/items/UF2PJY6K"],"itemData":{"id":39,"type":"article-journal","abstract":"In the current study, we addressed modality-specificity of the flexibility of cognitive control. We compared performance in single-task and mixed-tasks blocks between blocked auditory and visual stimuli assessing alternation costs (single vs. mixed). Mixed blocks comprised task switches only. The tasks consisted of numerical parity, magnitude, and distance judgments about numbers between one and nine without five. A cue indicated the relevant task. The cue–stimulus interval was varied (short vs. long interval) to examine preparation effects. The results indicated higher response times (RTs) and error rates (ERs) in mixed- vs. single-tasks blocks. The alternation costs in ERs were larger for auditory compared to visual stimulus presentation. Moreover, the reduction of RT alternation costs based on increased preparation time was more pronounced for the auditory modality compared to the visual modality. These results suggest a modality-specific influence on processes involved in maintaining and updating task sets in working memory.","container-title":"Journal of Cognitive Psychology","DOI":"10.1080/20445911.2017.1293064","ISSN":"2044-5911, 2044-592X","issue":"5","journalAbbreviation":"Journal of Cognitive Psychology","language":"en","page":"607-617","source":"DOI.org (Crossref)","title":"Modality-specific preparatory influences on the flexibility of cognitive control in task switching","volume":"29","author":[{"family":"Kreutzfeldt","given":"Magali"},{"family":"Stephan","given":"Denise N."},{"family":"Willmes","given":"Klaus"},{"family":"Koch","given":"Iring"}],"issued":{"date-parts":[["2017",7,4]]},"citation-key":"kreutzfeldtModalityspecificPreparatoryInfluences2017"}}],"schema":"https://github.com/citation-style-language/schema/raw/master/csl-citation.json"} </w:instrText>
      </w:r>
      <w:r w:rsidR="00954DEA" w:rsidRPr="75598FD4">
        <w:rPr>
          <w:lang w:val="en-US"/>
        </w:rPr>
        <w:fldChar w:fldCharType="separate"/>
      </w:r>
      <w:r w:rsidR="00954DEA" w:rsidRPr="75598FD4">
        <w:rPr>
          <w:noProof/>
          <w:lang w:val="en-US"/>
        </w:rPr>
        <w:t>Kreutzfeldt et al., 2017)</w:t>
      </w:r>
      <w:r w:rsidR="00954DEA" w:rsidRPr="75598FD4">
        <w:rPr>
          <w:lang w:val="en-US"/>
        </w:rPr>
        <w:fldChar w:fldCharType="end"/>
      </w:r>
      <w:r w:rsidR="00954DEA" w:rsidRPr="75598FD4">
        <w:rPr>
          <w:lang w:val="en-US"/>
        </w:rPr>
        <w:t xml:space="preserve">, auditory cue information might need to be transformed into a visual representation after </w:t>
      </w:r>
      <w:r w:rsidR="00954DEA" w:rsidRPr="75598FD4">
        <w:rPr>
          <w:lang w:val="en-US"/>
        </w:rPr>
        <w:lastRenderedPageBreak/>
        <w:t xml:space="preserve">encoding to be able to correctly answer to a visual target stimulus information </w:t>
      </w:r>
      <w:r w:rsidR="00954DEA" w:rsidRPr="75598FD4">
        <w:rPr>
          <w:lang w:val="en-US"/>
        </w:rPr>
        <w:fldChar w:fldCharType="begin"/>
      </w:r>
      <w:r w:rsidR="006C6E43">
        <w:rPr>
          <w:lang w:val="en-US"/>
        </w:rPr>
        <w:instrText xml:space="preserve"> ADDIN ZOTERO_ITEM CSL_CITATION {"citationID":"Y7siDgtE","properties":{"formattedCitation":"(Baddeley et al., 2001; Emerson &amp; Miyake, 2003)","plainCitation":"(Baddeley et al., 2001; Emerson &amp; Miyake, 2003)","noteIndex":0},"citationItems":[{"id":23,"uris":["http://zotero.org/users/7328983/items/9X4JLKXP"],"itemData":{"id":23,"type":"article-journal","container-title":"Journal of Experimental Psychology: General","DOI":"10.1037/0096-3445.130.4.641","ISSN":"1939-2222, 0096-3445","issue":"4","journalAbbreviation":"Journal of Experimental Psychology: General","language":"en","page":"641-657","source":"DOI.org (Crossref)","title":"Working memory and the control of action: Evidence from task switching.","title-short":"Working memory and the control of action","volume":"130","author":[{"family":"Baddeley","given":"Alan"},{"family":"Chincotta","given":"Dino"},{"family":"Adlam","given":"Anna"}],"issued":{"date-parts":[["2001"]]},"citation-key":"baddeleyWorkingMemoryControl2001"}},{"id":24,"uris":["http://zotero.org/users/7328983/items/66LH9EX9"],"itemData":{"id":24,"type":"article-journal","abstract":"This dual-task study examined the role of inner speech in task switching. Experiment 1 demonstrated that disrupting inner speech via articulatory suppression dramatically increases switch costs. The three subsequent experiments attempted to specify the role of inner speech in task switching by introducing additional manipulations (i.e., types of cues in Experiment 2, task diﬃculty in Experiment 3, and the number of tasks switched between in Experiment 4) and then examining whether these factors modulated the magnitude of the articulatory suppression eﬀect on switch costs. Only the cue type manipulation—hypothesized to aﬀect the degree to which participants rely on verbal self-instruction—modulated the articulatory suppression eﬀect, suggesting that inner speech serves as an internal self-cuing device by retrieving and activating a phonological representation of the upcoming task.","container-title":"Journal of Memory and Language","DOI":"10.1016/S0749-596X(02)00511-9","ISSN":"0749596X","issue":"1","journalAbbreviation":"Journal of Memory and Language","language":"en","page":"148-168","source":"DOI.org (Crossref)","title":"The role of inner speech in task switching: A dual-task investigation","title-short":"The role of inner speech in task switching","volume":"48","author":[{"family":"Emerson","given":"Michael J"},{"family":"Miyake","given":"Akira"}],"issued":{"date-parts":[["2003",1]]},"citation-key":"emersonRoleInnerSpeech2003"}}],"schema":"https://github.com/citation-style-language/schema/raw/master/csl-citation.json"} </w:instrText>
      </w:r>
      <w:r w:rsidR="00954DEA" w:rsidRPr="75598FD4">
        <w:rPr>
          <w:lang w:val="en-US"/>
        </w:rPr>
        <w:fldChar w:fldCharType="separate"/>
      </w:r>
      <w:r w:rsidR="00954DEA" w:rsidRPr="75598FD4">
        <w:rPr>
          <w:noProof/>
          <w:lang w:val="en-US"/>
        </w:rPr>
        <w:t>(Baddeley et al., 2001; Emerson &amp; Miyake, 2003)</w:t>
      </w:r>
      <w:r w:rsidR="00954DEA" w:rsidRPr="75598FD4">
        <w:rPr>
          <w:lang w:val="en-US"/>
        </w:rPr>
        <w:fldChar w:fldCharType="end"/>
      </w:r>
      <w:r w:rsidR="00954DEA" w:rsidRPr="75598FD4">
        <w:rPr>
          <w:lang w:val="en-US"/>
        </w:rPr>
        <w:t>.</w:t>
      </w:r>
    </w:p>
    <w:p w14:paraId="0B6FDD17" w14:textId="2D3BB7F7" w:rsidR="006B290A" w:rsidRDefault="0010476B" w:rsidP="006B290A">
      <w:pPr>
        <w:spacing w:line="259" w:lineRule="auto"/>
        <w:rPr>
          <w:lang w:val="en-US"/>
        </w:rPr>
      </w:pPr>
      <w:r>
        <w:rPr>
          <w:lang w:val="en-US"/>
        </w:rPr>
        <w:t xml:space="preserve">To address the question of </w:t>
      </w:r>
      <w:r w:rsidR="00304122">
        <w:rPr>
          <w:lang w:val="en-US"/>
        </w:rPr>
        <w:t xml:space="preserve">information display-specific CMI, we </w:t>
      </w:r>
      <w:r w:rsidR="006B290A">
        <w:rPr>
          <w:lang w:val="en-US"/>
        </w:rPr>
        <w:t xml:space="preserve">identified </w:t>
      </w:r>
      <w:r w:rsidR="006B290A" w:rsidRPr="75598FD4">
        <w:rPr>
          <w:lang w:val="en-US"/>
        </w:rPr>
        <w:t>key task elements</w:t>
      </w:r>
      <w:r w:rsidR="006B290A">
        <w:rPr>
          <w:lang w:val="en-US"/>
        </w:rPr>
        <w:t xml:space="preserve"> of </w:t>
      </w:r>
      <w:r w:rsidR="00B752AB">
        <w:rPr>
          <w:lang w:val="en-US"/>
        </w:rPr>
        <w:t>cognitive-motor</w:t>
      </w:r>
      <w:r w:rsidR="006B290A">
        <w:rPr>
          <w:lang w:val="en-US"/>
        </w:rPr>
        <w:t xml:space="preserve"> </w:t>
      </w:r>
      <w:r w:rsidR="00B752AB">
        <w:rPr>
          <w:lang w:val="en-US"/>
        </w:rPr>
        <w:t>dual tasks</w:t>
      </w:r>
      <w:r w:rsidR="00836965">
        <w:rPr>
          <w:lang w:val="en-US"/>
        </w:rPr>
        <w:t xml:space="preserve"> </w:t>
      </w:r>
      <w:r w:rsidR="006B290A" w:rsidRPr="75598FD4">
        <w:rPr>
          <w:lang w:val="en-US"/>
        </w:rPr>
        <w:t xml:space="preserve">that </w:t>
      </w:r>
      <w:r w:rsidR="008461C0">
        <w:rPr>
          <w:lang w:val="en-US"/>
        </w:rPr>
        <w:t>can</w:t>
      </w:r>
      <w:r w:rsidR="008461C0" w:rsidRPr="75598FD4">
        <w:rPr>
          <w:lang w:val="en-US"/>
        </w:rPr>
        <w:t xml:space="preserve"> </w:t>
      </w:r>
      <w:r w:rsidR="006B290A" w:rsidRPr="75598FD4">
        <w:rPr>
          <w:lang w:val="en-US"/>
        </w:rPr>
        <w:t>be supported by information from wearable audiovisual displays</w:t>
      </w:r>
      <w:r w:rsidR="008461C0">
        <w:rPr>
          <w:lang w:val="en-US"/>
        </w:rPr>
        <w:t xml:space="preserve"> – like walking while identifying a specific target object</w:t>
      </w:r>
      <w:r w:rsidR="006B290A" w:rsidRPr="75598FD4">
        <w:rPr>
          <w:lang w:val="en-US"/>
        </w:rPr>
        <w:t>. Therefore, the task itself can be seen as a (visually or auditorily) cued visual target stimulus categorization task</w:t>
      </w:r>
      <w:r w:rsidR="000F1AE3">
        <w:rPr>
          <w:lang w:val="en-US"/>
        </w:rPr>
        <w:t>. This</w:t>
      </w:r>
      <w:r w:rsidR="00525AB4">
        <w:rPr>
          <w:lang w:val="en-US"/>
        </w:rPr>
        <w:t xml:space="preserve"> approach</w:t>
      </w:r>
      <w:r w:rsidR="000F1AE3">
        <w:rPr>
          <w:lang w:val="en-US"/>
        </w:rPr>
        <w:t xml:space="preserve"> is very</w:t>
      </w:r>
      <w:r w:rsidR="006B290A" w:rsidRPr="75598FD4">
        <w:rPr>
          <w:lang w:val="en-US"/>
        </w:rPr>
        <w:t xml:space="preserve"> similar to a cued task-switch paradigm, a common task in cognitive neuroscience</w:t>
      </w:r>
      <w:r w:rsidR="008402FA">
        <w:rPr>
          <w:lang w:val="en-US"/>
        </w:rPr>
        <w:t xml:space="preserve"> that can be used to </w:t>
      </w:r>
      <w:r w:rsidR="00B15339">
        <w:rPr>
          <w:lang w:val="en-US"/>
        </w:rPr>
        <w:t>investigate involvement of executive functions</w:t>
      </w:r>
      <w:r w:rsidR="006B290A" w:rsidRPr="75598FD4">
        <w:rPr>
          <w:lang w:val="en-US"/>
        </w:rPr>
        <w:t>.</w:t>
      </w:r>
      <w:r w:rsidR="000F1AE3">
        <w:rPr>
          <w:lang w:val="en-US"/>
        </w:rPr>
        <w:t xml:space="preserve"> In our experimental set-up</w:t>
      </w:r>
      <w:r w:rsidR="006B290A" w:rsidRPr="75598FD4">
        <w:rPr>
          <w:lang w:val="en-US"/>
        </w:rPr>
        <w:t>, a trial</w:t>
      </w:r>
      <w:r w:rsidR="000F1AE3">
        <w:rPr>
          <w:lang w:val="en-US"/>
        </w:rPr>
        <w:t xml:space="preserve"> therefore</w:t>
      </w:r>
      <w:r w:rsidR="006B290A" w:rsidRPr="75598FD4">
        <w:rPr>
          <w:lang w:val="en-US"/>
        </w:rPr>
        <w:t xml:space="preserve"> consist</w:t>
      </w:r>
      <w:r w:rsidR="000F1AE3">
        <w:rPr>
          <w:lang w:val="en-US"/>
        </w:rPr>
        <w:t>s</w:t>
      </w:r>
      <w:r w:rsidR="006B290A" w:rsidRPr="75598FD4">
        <w:rPr>
          <w:lang w:val="en-US"/>
        </w:rPr>
        <w:t xml:space="preserve"> of a cue stimulus (e.g. package information) followed by a </w:t>
      </w:r>
      <w:r w:rsidR="000F1AE3">
        <w:rPr>
          <w:lang w:val="en-US"/>
        </w:rPr>
        <w:t>visual target</w:t>
      </w:r>
      <w:r w:rsidR="006B290A" w:rsidRPr="75598FD4">
        <w:rPr>
          <w:lang w:val="en-US"/>
        </w:rPr>
        <w:t xml:space="preserve"> stimulus (an array of letters). This enabled us to manipulate the demands of the task by keeping the cue stimulus the same (repeat trial) or changing it in consecutive trials (switch trial). The cuing also gave us the possibility to investigate task processing at two distinct stages </w:t>
      </w:r>
      <w:r w:rsidR="006B290A" w:rsidRPr="75598FD4">
        <w:rPr>
          <w:lang w:val="en-US"/>
        </w:rPr>
        <w:fldChar w:fldCharType="begin"/>
      </w:r>
      <w:r w:rsidR="006C6E43">
        <w:rPr>
          <w:lang w:val="en-US"/>
        </w:rPr>
        <w:instrText xml:space="preserve"> ADDIN ZOTERO_ITEM CSL_CITATION {"citationID":"zppZIcaG","properties":{"formattedCitation":"(Jost et al., 2008)","plainCitation":"(Jost et al., 2008)","noteIndex":0},"citationItems":[{"id":725,"uris":["http://zotero.org/users/7328983/items/UPLC83QW"],"itemData":{"id":725,"type":"article-journal","abstract":"Recent findings suggesting that switch costs in the task-cuing paradigm are largely attributable to a change in the task-indicating cue have been interpreted in terms of a priming model of task-switch costs (Logan &amp; Bundesen, 2003). According to this explanation, participants do not actually switch task sets, but merely use a cue-stimulus compound to disambiguate competing response tendencies associated with bivalent stimuli. Here, we report an event-related potential (ERP) experiment that provides evidence against this notion. In a paradigm with a 2:1 mapping between cues and tasks, we show that cue-switch and task-switch effects are dissociable on a neurophysiological level, indicating that task switching is more than a switch in the task-indicating cue. Moreover, a systematic analysis of the ERPs during the cue-stimulus interval suggests that updating processes can run in advance, before the stimulus is presented. Copyright 2008 Psychonomic Society, Inc.","container-title":"Cognitive, Affective, &amp; Behavioral Neuroscience","DOI":"10.3758/CABN.8.1.74","ISSN":"1530-7026","issue":"1","page":"74-84","title":"Is task switching nothing but cue priming? Evidence from ERPs","volume":"8","author":[{"family":"Jost","given":"K."},{"family":"Mayr","given":"U."},{"family":"Rosler","given":"F."}],"issued":{"date-parts":[["2008",3,1]]},"citation-key":"jostTaskSwitchingNothing2008"}}],"schema":"https://github.com/citation-style-language/schema/raw/master/csl-citation.json"} </w:instrText>
      </w:r>
      <w:r w:rsidR="006B290A" w:rsidRPr="75598FD4">
        <w:rPr>
          <w:lang w:val="en-US"/>
        </w:rPr>
        <w:fldChar w:fldCharType="separate"/>
      </w:r>
      <w:r w:rsidR="006B290A" w:rsidRPr="75598FD4">
        <w:rPr>
          <w:noProof/>
          <w:lang w:val="en-US"/>
        </w:rPr>
        <w:t>(Jost et al., 2008)</w:t>
      </w:r>
      <w:r w:rsidR="006B290A" w:rsidRPr="75598FD4">
        <w:rPr>
          <w:lang w:val="en-US"/>
        </w:rPr>
        <w:fldChar w:fldCharType="end"/>
      </w:r>
      <w:r w:rsidR="006B290A" w:rsidRPr="75598FD4">
        <w:rPr>
          <w:lang w:val="en-US"/>
        </w:rPr>
        <w:t xml:space="preserve">: First, the cue-driven retrieval of task rules and a following transformation of task rules into an attentional configuration </w:t>
      </w:r>
      <w:r w:rsidR="006B290A" w:rsidRPr="75598FD4">
        <w:rPr>
          <w:lang w:val="en-US"/>
        </w:rPr>
        <w:fldChar w:fldCharType="begin"/>
      </w:r>
      <w:r w:rsidR="006C6E43">
        <w:rPr>
          <w:lang w:val="en-US"/>
        </w:rPr>
        <w:instrText xml:space="preserve"> ADDIN ZOTERO_ITEM CSL_CITATION {"citationID":"DR0mz3Ld","properties":{"formattedCitation":"(Mayr &amp; Kliegl, 2003)","plainCitation":"(Mayr &amp; Kliegl, 2003)","noteIndex":0},"citationItems":[{"id":715,"uris":["http://zotero.org/users/7328983/items/5R2NNWI2"],"itemData":{"id":715,"type":"article-journal","abstract":"A task-switching paradigm with a 2:1 mapping between cues and tasks was used to separate cue-switching processes (indexed through pure cue-switch costs) from actual task-switching processes (indexed through additional costs in case of cue and task changes). A large portion of total switch costs was due to cue changes (Experiments 1 and 2), and cue-switch costs but not task-switch costs were sensitive to effects of practice (Experiment 1) and preparation (Experiment 2). In contrast, task-switch costs were particularly sensitive to response-priming effects (Experiments 1 and 2) and task-set inhibition (Experiment 3). Results suggest two processing stages relevant during task-set selection: cue-driven retrieval of task rules from long-term memory and the automatic application of rules to a particular stimulus situation.","container-title":"Journal of Experimental Psychology: Learning, Memory, and Cognition","DOI":"10.1037/0278-7393.29.3.362","ISSN":"1939-1285","issue":"3","page":"362-372","title":"Differential effects of cue changes and task changes on task-set selection costs.","volume":"29","author":[{"family":"Mayr","given":"Ulrich"},{"family":"Kliegl","given":"Reinhold"}],"issued":{"date-parts":[["2003",5]]},"citation-key":"mayrDifferentialEffectsCue2003"}}],"schema":"https://github.com/citation-style-language/schema/raw/master/csl-citation.json"} </w:instrText>
      </w:r>
      <w:r w:rsidR="006B290A" w:rsidRPr="75598FD4">
        <w:rPr>
          <w:lang w:val="en-US"/>
        </w:rPr>
        <w:fldChar w:fldCharType="separate"/>
      </w:r>
      <w:r w:rsidR="006B290A" w:rsidRPr="75598FD4">
        <w:rPr>
          <w:noProof/>
          <w:lang w:val="en-US"/>
        </w:rPr>
        <w:t>(Mayr &amp; Kliegl, 2003)</w:t>
      </w:r>
      <w:r w:rsidR="006B290A" w:rsidRPr="75598FD4">
        <w:rPr>
          <w:lang w:val="en-US"/>
        </w:rPr>
        <w:fldChar w:fldCharType="end"/>
      </w:r>
      <w:r w:rsidR="006B290A" w:rsidRPr="75598FD4">
        <w:rPr>
          <w:lang w:val="en-US"/>
        </w:rPr>
        <w:t>, and second, the processing of the imperative stimuli (i.e. the task itself). Both cue modalities cannot be compared in the EEG directly, since the respective modality-specific event-related potentials (ERPs) are morphologically different. Therefore, we chose a visual target stimulus for all trials, while using modality-specific mobile information displays to present task-relevant cue stimuli – namely, a head-mounted display and in-ear headphones. The presented cue stimulus determined the target-related manual response planning</w:t>
      </w:r>
      <w:r w:rsidR="007B78E7">
        <w:rPr>
          <w:lang w:val="en-US"/>
        </w:rPr>
        <w:t xml:space="preserve">. </w:t>
      </w:r>
      <w:r w:rsidR="006B290A" w:rsidRPr="75598FD4">
        <w:rPr>
          <w:lang w:val="en-US"/>
        </w:rPr>
        <w:t xml:space="preserve">With this paradigm, we investigated the interaction </w:t>
      </w:r>
      <w:proofErr w:type="gramStart"/>
      <w:r w:rsidR="006B290A" w:rsidRPr="75598FD4">
        <w:rPr>
          <w:lang w:val="en-US"/>
        </w:rPr>
        <w:t>of:</w:t>
      </w:r>
      <w:proofErr w:type="gramEnd"/>
      <w:r w:rsidR="006B290A" w:rsidRPr="75598FD4">
        <w:rPr>
          <w:lang w:val="en-US"/>
        </w:rPr>
        <w:t xml:space="preserve"> a) locomotor states and b) cue modality on cognitive processing, especially the attentional resources allocated to both processing stages of the cued task-switching.</w:t>
      </w:r>
    </w:p>
    <w:p w14:paraId="43140EB5" w14:textId="012B5B88" w:rsidR="0044635A" w:rsidRDefault="00BB04B9" w:rsidP="0044635A">
      <w:pPr>
        <w:spacing w:line="259" w:lineRule="auto"/>
        <w:rPr>
          <w:lang w:val="en-US"/>
        </w:rPr>
      </w:pPr>
      <w:proofErr w:type="gramStart"/>
      <w:r>
        <w:rPr>
          <w:lang w:val="en-US"/>
        </w:rPr>
        <w:t>In order to</w:t>
      </w:r>
      <w:proofErr w:type="gramEnd"/>
      <w:r>
        <w:rPr>
          <w:lang w:val="en-US"/>
        </w:rPr>
        <w:t xml:space="preserve"> </w:t>
      </w:r>
      <w:r w:rsidR="0044635A">
        <w:rPr>
          <w:lang w:val="en-US"/>
        </w:rPr>
        <w:t xml:space="preserve">investigate </w:t>
      </w:r>
      <w:r w:rsidR="002519B9">
        <w:rPr>
          <w:lang w:val="en-US"/>
        </w:rPr>
        <w:t xml:space="preserve">these highlighted </w:t>
      </w:r>
      <w:r w:rsidR="0044635A">
        <w:rPr>
          <w:lang w:val="en-US"/>
        </w:rPr>
        <w:t>attentional bottlenecks</w:t>
      </w:r>
      <w:r w:rsidR="008402FA">
        <w:rPr>
          <w:lang w:val="en-US"/>
        </w:rPr>
        <w:t xml:space="preserve"> in frontal and parietal cortical areas</w:t>
      </w:r>
      <w:r w:rsidR="0044635A">
        <w:rPr>
          <w:lang w:val="en-US"/>
        </w:rPr>
        <w:t xml:space="preserve">, </w:t>
      </w:r>
      <w:r w:rsidR="0044635A" w:rsidRPr="75598FD4">
        <w:rPr>
          <w:lang w:val="en-US"/>
        </w:rPr>
        <w:t xml:space="preserve">we use </w:t>
      </w:r>
      <w:r w:rsidR="0044635A">
        <w:rPr>
          <w:lang w:val="en-US"/>
        </w:rPr>
        <w:t>the event-related potential (ERP) technique</w:t>
      </w:r>
      <w:r w:rsidR="0044635A" w:rsidRPr="75598FD4">
        <w:rPr>
          <w:lang w:val="en-US"/>
        </w:rPr>
        <w:t xml:space="preserve"> to clarify</w:t>
      </w:r>
      <w:r w:rsidR="004C36F3">
        <w:rPr>
          <w:lang w:val="en-US"/>
        </w:rPr>
        <w:t xml:space="preserve"> cognitive underpinnings of</w:t>
      </w:r>
      <w:r w:rsidR="0044635A" w:rsidRPr="75598FD4">
        <w:rPr>
          <w:lang w:val="en-US"/>
        </w:rPr>
        <w:t xml:space="preserve"> cue and target stimulus </w:t>
      </w:r>
      <w:r w:rsidR="00912225">
        <w:rPr>
          <w:lang w:val="en-US"/>
        </w:rPr>
        <w:t>processing</w:t>
      </w:r>
      <w:r w:rsidR="002519B9">
        <w:rPr>
          <w:lang w:val="en-US"/>
        </w:rPr>
        <w:t xml:space="preserve">. This enables us to gain insights into </w:t>
      </w:r>
      <w:r w:rsidR="0044635A" w:rsidRPr="75598FD4">
        <w:rPr>
          <w:lang w:val="en-US"/>
        </w:rPr>
        <w:t>the preparat</w:t>
      </w:r>
      <w:r w:rsidR="00C70794">
        <w:rPr>
          <w:lang w:val="en-US"/>
        </w:rPr>
        <w:t>ory allocation of cognitive resources towards the choi</w:t>
      </w:r>
      <w:r w:rsidR="00912225">
        <w:rPr>
          <w:lang w:val="en-US"/>
        </w:rPr>
        <w:t>c</w:t>
      </w:r>
      <w:r w:rsidR="00C70794">
        <w:rPr>
          <w:lang w:val="en-US"/>
        </w:rPr>
        <w:t xml:space="preserve">e of the correct </w:t>
      </w:r>
      <w:r w:rsidR="0044635A" w:rsidRPr="75598FD4">
        <w:rPr>
          <w:lang w:val="en-US"/>
        </w:rPr>
        <w:t xml:space="preserve">motor schemata, as well as </w:t>
      </w:r>
      <w:r w:rsidR="002519B9">
        <w:rPr>
          <w:lang w:val="en-US"/>
        </w:rPr>
        <w:t xml:space="preserve">attentional </w:t>
      </w:r>
      <w:r w:rsidR="0044635A" w:rsidRPr="75598FD4">
        <w:rPr>
          <w:lang w:val="en-US"/>
        </w:rPr>
        <w:t xml:space="preserve">processes after target presentation. The first component to be examined is the contingent negative variation (CNV) recorded at </w:t>
      </w:r>
      <w:proofErr w:type="spellStart"/>
      <w:r w:rsidR="0044635A" w:rsidRPr="75598FD4">
        <w:rPr>
          <w:lang w:val="en-US"/>
        </w:rPr>
        <w:t>fronto</w:t>
      </w:r>
      <w:proofErr w:type="spellEnd"/>
      <w:r w:rsidR="0044635A" w:rsidRPr="75598FD4">
        <w:rPr>
          <w:lang w:val="en-US"/>
        </w:rPr>
        <w:t xml:space="preserve">-central sites. The CNV is a component that is specific to preparatory processes and is often investigated when cues are used before target stimulus presentation. Pre-stimulus CNV amplitudes are more pronounced when expected task demands and cognitive load increase </w:t>
      </w:r>
      <w:r w:rsidR="0044635A" w:rsidRPr="75598FD4">
        <w:rPr>
          <w:lang w:val="en-US"/>
        </w:rPr>
        <w:fldChar w:fldCharType="begin"/>
      </w:r>
      <w:r w:rsidR="006C6E43">
        <w:rPr>
          <w:lang w:val="en-US"/>
        </w:rPr>
        <w:instrText xml:space="preserve"> ADDIN ZOTERO_ITEM CSL_CITATION {"citationID":"XB38LiU3","properties":{"formattedCitation":"(Brunia &amp; van Boxtel, 2001; Nicholson et al., 2005; Swainson et al., 2003; Walter et al., 1964)","plainCitation":"(Brunia &amp; van Boxtel, 2001; Nicholson et al., 2005; Swainson et al., 2003; Walter et al., 1964)","noteIndex":0},"citationItems":[{"id":819,"uris":["http://zotero.org/users/7328983/items/5B5KKI84"],"itemData":{"id":819,"type":"article-journal","abstract":"Anticipatory behavior is aimed at goals that can be reached in the near future. Underlying this behavior are neurophysiological processes, which realize a setting of brain structures involved in the future perception, information processing and action. Anticipatory behavior is accompanied by slow brain potentials, which are generated in the cerebral cortex. They are known as the readiness potential Ž RP . , the contingent negative variation Ž CNV . and the stimulus preceding negativity Ž SPN . . The RP reﬂects the timing of a future voluntary movement. The CNV reﬂects the preparation of a signaled movement and the simultaneous anticipatory attention for the imperative stimulus. The SPN reﬂects partly the anticipatory attention for the upcoming stimulus. Although these slow potentials are generated in the cortex, the paper shows that a subcortical input from basal ganglia, and in the case of the RP also from the cerebellum, is a necessary condition for their emergence. Slow cortical potentials are the result of concerted activity in a number of cerebral networks, in which the thalamus forms a crucial node. It is suggested that the reticular nucleus of the thalamus plays a pivotal role in anticipatory attention.","container-title":"International Journal of Psychophysiology","DOI":"10.1016/S0167-8760(01)00179-9","ISSN":"01678760","issue":"1","page":"59-75","title":"Wait and see","volume":"43","author":[{"family":"Brunia","given":"C.H.M"},{"family":"Boxtel","given":"G.J.M","non-dropping-particle":"van"}],"issued":{"date-parts":[["2001",12]]},"citation-key":"bruniaWaitSee2001"}},{"id":719,"uris":["http://zotero.org/users/7328983/items/4NVW629Q"],"itemData":{"id":719,"type":"article-journal","abstract":"Recent studies show a differential switch-related positivity emerging before a switch trial and reflecting anticipatory task-set reconfiguration processes. In this study, the switch-related positivity was examined in a cued task-switching paradigm. Cue-stimulus and response-stimulus intervals were independently manipulated to dissociate between the effects of anticipatory preparation and passive dissipation of task-set interference. Reaction time switch cost declined with increasing cue-stimulus and response-stimulus intervals, suggesting a contribution from both active preparation and passive interference processes. In cue-related difference waveforms, a switch positivity peaked around 350-400 ms and is interpreted as reflecting differential activation of task-set reconfiguration. In stimulus-related difference waveforms, a switch-related negativity is believed to indicate the role of S-R priming and response interference in task-switching. Copyright © 2005 Society for Psychophysiological Research.","container-title":"Psychophysiology","DOI":"10.1111/j.1469-8986.2005.00350.x","ISSN":"0048-5772","note":"publisher: Blackwell Publishing Inc.","page":"540-554","title":"Electrophysiological correlates of anticipatory task-switching processes","volume":"42","author":[{"family":"Nicholson","given":"Rebecca"},{"family":"Karayanidis","given":"Frini"},{"family":"Poboka","given":"Dane"},{"family":"Heathcote","given":"Andrew"},{"family":"Michie","given":"Patricia T."}],"issued":{"date-parts":[["2005",8,26]]},"citation-key":"nicholsonElectrophysiologicalCorrelatesAnticipatory2005"}},{"id":1187,"uris":["http://zotero.org/users/7328983/items/IX5UMNET"],"itemData":{"id":1187,"type":"article-journal","abstract":"We investigated the extent to which a common neural mechanism is involved in task set-switching and response withholding, factors that are frequently confounded in task-switching and go/no-go paradigms. Subjects' brain activity was measured using event-related electrical potentials (ERPs) and event-related functional MRI (fMRI) neuroimaging in separate studies using the same cognitive paradigm. Subjects made compatible left/right keypress responses to left/right arrow stimuli of 1000 msec duration; they switched every two trials between responding at stimulus onset (GO task-green arrows) and stimulus offset (WAIT task-red arrows). With-holding an immediate response (WAIT vs. GO) elicited an enhancement of the frontal N2 ERP and lateral PFC activation of the right hemisphere, both previously associated with the \"no-go\" response, but only on switch trials. Task-switching (switch vs. nonswitch) was associated with frontal N2 amplification and right hemisphere ventrolateral PFC activation, but only for the WAIT task. The anterior cingulate cortex (ACC) was the only brain region to be activated for both types of task switch, but this activation was located more rostrally for the WAIT than for the GO switch trials. We conclude that the frontal N2 ERP and lateral PFC activation are not markers for withholding an immediate response or switching tasks per se, but are associated with switching into a response-suppression mode. Different regions within the ACC may be invo</w:instrText>
      </w:r>
      <w:r w:rsidR="006C6E43" w:rsidRPr="00DE5F3A">
        <w:instrText xml:space="preserve">lved in two processes integral to task-switching: processing response conflict (rostral ACC) and overcoming prior response suppression (caudal ACC).","container-title":"Journal of Cognitive Neuroscience","DOI":"10.1162/089892903322370717","ISSN":"0898-929X","issue":"6","page":"785-799","title":"Cognitive control mechanisms revealed by ERP and fMRI: Evidence from repeated task-switching","volume":"15","author":[{"family":"Swainson","given":"Rachel"},{"family":"Cunnington","given":"R."},{"family":"Jackson","given":"G. M."},{"family":"Rorden","given":"C."},{"family":"Peters","given":"A. M."},{"family":"Morris","given":"P. G."},{"family":"Jackson","given":"S. R."}],"issued":{"date-parts":[["2003",8]]},"citation-key":"swainsonCognitiveControlMechanisms2003"}},{"id":279,"uris":["http://zotero.org/users/7328983/items/MC4785R9"],"itemData":{"id":279,"type":"article-journal","container-title":"Nature","DOI":"10.1038/203380a0","ISSN":"0028-0836","issue":"4943","page":"380-384","title":"Contingent negative variation : An electric sign of sensori-motor association and expectancy in the human brain","volume":"203","author":[{"family":"Walter","given":"W. Grey"},{"family":"Cooper","given":"R."},{"family":"Aldridge","given":"V. J."},{"family":"McCallum","given":"W. C."},{"family":"Winter","given":"A. L."}],"issued":{"date-parts":[["1964",7]]},"citation-key":"walterContingentNegativeVariation1964"}}],"schema":"https://github.com/citation-style-language/schema/raw/master/csl-citation.json"} </w:instrText>
      </w:r>
      <w:r w:rsidR="0044635A" w:rsidRPr="75598FD4">
        <w:rPr>
          <w:lang w:val="en-US"/>
        </w:rPr>
        <w:fldChar w:fldCharType="separate"/>
      </w:r>
      <w:r w:rsidR="0044635A" w:rsidRPr="75598FD4">
        <w:rPr>
          <w:noProof/>
        </w:rPr>
        <w:t>(Brunia &amp; van Boxtel, 2001; Nicholson et al., 2005; Swainson et al., 2003; Walter et al., 1964)</w:t>
      </w:r>
      <w:r w:rsidR="0044635A" w:rsidRPr="75598FD4">
        <w:rPr>
          <w:lang w:val="en-US"/>
        </w:rPr>
        <w:fldChar w:fldCharType="end"/>
      </w:r>
      <w:r w:rsidR="0044635A">
        <w:t xml:space="preserve">. </w:t>
      </w:r>
      <w:r w:rsidR="0044635A" w:rsidRPr="75598FD4">
        <w:rPr>
          <w:lang w:val="en-US"/>
        </w:rPr>
        <w:t xml:space="preserve">Although most of the results are based on experiments with seated participants, a mobile EEG study on auditory task-switching demonstrated a significant negative impact of task load on CNV amplitudes, with a marginal interaction with walking difficulty. Here, lower amplitudes were found during walking compared to standing in an outside-the-lab environment </w:t>
      </w:r>
      <w:r w:rsidR="0044635A" w:rsidRPr="75598FD4">
        <w:rPr>
          <w:lang w:val="en-US"/>
        </w:rPr>
        <w:fldChar w:fldCharType="begin"/>
      </w:r>
      <w:r w:rsidR="006C6E43">
        <w:rPr>
          <w:lang w:val="en-US"/>
        </w:rPr>
        <w:instrText xml:space="preserve"> ADDIN ZOTERO_ITEM CSL_CITATION {"citationID":"KWwdaqew","properties":{"formattedCitation":"(Reiser et al., 2021)","plainCitation":"(Reiser et al., 2021)","noteIndex":0},"citationItems":[{"id":69,"uris":["http://zotero.org/users/7328983/items/QBK49PEU"],"itemData":{"id":69,"type":"article-journal","abstract":"Adaptively changing between different tasks while in locomotion is a fundamental prerequisite of modern daily life. The cognitive processes underlying dual tasking have been investigated extensively using EEG. Due to technological restrictions, however, this was not possible for dual task scenarios including locomotion. With new technological opportunities, this became possible and cognitive-motor interference can be studied, even in outside-the-lab environments. In the present study, participants carried out a cognitive-motor interference task as they responded to cued, auditory task-switch stimuli while performing locomotive tasks with increasing complexity (standing, walking, traversing an obstacle course). We observed increased subjective workload ratings as well as decreased behavioral performance for increased movement complexity and cognitive task difficulty. A higher movement load went along with a decrease of parietal P2, N2, and P3 amplitudes and frontal Theta power. A higher cognitive load, on the other hand, was reflected by decreased frontal CNV amplitudes. Additionally, a connectivity analysis using inter- site phase coherence revealed that higher movement as well as cognitive task difficulty had an impairing effect on fronto-parietal connectivity. In conclusion, subjective ratings, behavioral performance, and electrophysiological results indicate that less cognitive resources were available to be deployed towards the execution of the cognitive task when in locomotion compared to standing still. Connectivity results also show a scarcity of attentional resources when switching a task during the highest movement complexity condition. Summarized, all findings indicate a central role of attentional control regarding cognitive-motor dual tasking and an inherent limitation of cognitive resources.","container-title":"European Journal of Neuroscience","DOI":"10.1111/ejn.14959","ISSN":"0953-816X","issue":"August","note":"PMID: 32889772\npublisher: Wiley","page":"8175-8195","title":"Cognitive‐motor interference in the wild: Assessing the effects of movement complexity on task switching using mobile EEG","volume":"54","author":[{"family":"Reiser","given":"Julian Elias"},{"family":"Wascher","given":"Edmund"},{"family":"Rinkenauer","given":"Gerhard"},{"family":"Arnau","given":"Stefan"}],"issued":{"date-parts":[["2021"]]},"citation-key":"reiserCognitiveMotorInterference2021"}}],"schema":"https://github.com/citation-style-language/schema/raw/master/csl-citation.json"} </w:instrText>
      </w:r>
      <w:r w:rsidR="0044635A" w:rsidRPr="75598FD4">
        <w:rPr>
          <w:lang w:val="en-US"/>
        </w:rPr>
        <w:fldChar w:fldCharType="separate"/>
      </w:r>
      <w:r w:rsidR="0044635A" w:rsidRPr="75598FD4">
        <w:rPr>
          <w:noProof/>
          <w:lang w:val="en-US"/>
        </w:rPr>
        <w:t>(Reiser et al., 2021)</w:t>
      </w:r>
      <w:r w:rsidR="0044635A" w:rsidRPr="75598FD4">
        <w:rPr>
          <w:lang w:val="en-US"/>
        </w:rPr>
        <w:fldChar w:fldCharType="end"/>
      </w:r>
      <w:r w:rsidR="0044635A" w:rsidRPr="75598FD4">
        <w:rPr>
          <w:lang w:val="en-US"/>
        </w:rPr>
        <w:t xml:space="preserve">. The CNV will therefore provide a suitable measure of preparatory processes between cue and stimulus presentation and may be sensitive toward cue modality effects. </w:t>
      </w:r>
    </w:p>
    <w:p w14:paraId="738502B4" w14:textId="2C4E0EF0" w:rsidR="0044635A" w:rsidRDefault="0044635A" w:rsidP="0044635A">
      <w:pPr>
        <w:rPr>
          <w:lang w:val="en-US"/>
        </w:rPr>
      </w:pPr>
      <w:r w:rsidRPr="75598FD4">
        <w:rPr>
          <w:lang w:val="en-US"/>
        </w:rPr>
        <w:t xml:space="preserve">The target-related </w:t>
      </w:r>
      <w:proofErr w:type="spellStart"/>
      <w:r w:rsidRPr="75598FD4">
        <w:rPr>
          <w:lang w:val="en-US"/>
        </w:rPr>
        <w:t>centro</w:t>
      </w:r>
      <w:proofErr w:type="spellEnd"/>
      <w:r w:rsidRPr="75598FD4">
        <w:rPr>
          <w:lang w:val="en-US"/>
        </w:rPr>
        <w:t xml:space="preserve">-parietal P3 component has been of great interest in the study of situational demands, including task-switch conditions. Previous studies have found that the P3 component is a correlate of cognitive resource deployment in dual-task paradigms </w:t>
      </w:r>
      <w:r w:rsidRPr="75598FD4">
        <w:rPr>
          <w:lang w:val="en-US"/>
        </w:rPr>
        <w:fldChar w:fldCharType="begin"/>
      </w:r>
      <w:r w:rsidR="006C6E43">
        <w:rPr>
          <w:lang w:val="en-US"/>
        </w:rPr>
        <w:instrText xml:space="preserve"> ADDIN ZOTERO_ITEM CSL_CITATION {"citationID":"gBx1QDbK","properties":{"formattedCitation":"(Kok, 2001)","plainCitation":"(Kok, 2001)","noteIndex":0},"citationItems":[{"id":362,"uris":["http://zotero.org/users/7328983/items/8CEDJZPB"],"itemData":{"id":362,"type":"article-journal","abstract":"The present review focuses on the utility of the amplitude of P3 of as a measure of processing capacity and mental workload. The paper starts with a brief outline of the conceptual framework underlying the relationship between P3 amplitude and task demands, and the cognitive task manipulations that determine demands on capacity. P3 amplitude results are then discussed on the basis of an extensive review of the relevant literature. It is concluded that although it has often been assumed that P3 amplitude depends on the capacity for processing task relevant stimuli, the utility of P3 amplitude as a sensitive and diagnostic measure of processing capacity remains limited. The major factor that prompts this conclusion is that the two principal task variables that have been used to manipulate capacity allocation, namely task difficulty and task emphasis, have opposite effects on the amplitude of P3. I suggest that this is because, in many tasks, an increase in difficulty transforms the structure or actual content of the flow of information in the processing systems, thereby interfering with the very processes that underlie P3 generation. Finally, in an attempt to theoretically integrate the results of the reviewed studies, it is proposed that P3 amplitude reflects activation of elements in a event-categorization network that is controlled by the joint operation of attention and working memory.","container-title":"Psychophysiology","DOI":"10.1017/S0048577201990559","ISSN":"00485772","issue":"3","note":"PMID: 11352145\nISBN: 0048-5772 (Print)","page":"557-577","title":"On the utility of P3 amplitude as a measure of processing capacity","volume":"38","author":[{"family":"Kok","given":"Albert"}],"issued":{"date-parts":[["2001",5]]},"citation-key":"kokUtilityP3Amplitude2001"}}],"schema":"https://github.com/citation-style-language/schema/raw/master/csl-citation.json"} </w:instrText>
      </w:r>
      <w:r w:rsidRPr="75598FD4">
        <w:rPr>
          <w:lang w:val="en-US"/>
        </w:rPr>
        <w:fldChar w:fldCharType="separate"/>
      </w:r>
      <w:r w:rsidRPr="75598FD4">
        <w:rPr>
          <w:noProof/>
          <w:lang w:val="en-US"/>
        </w:rPr>
        <w:t>(Kok, 2001)</w:t>
      </w:r>
      <w:r w:rsidRPr="75598FD4">
        <w:rPr>
          <w:lang w:val="en-US"/>
        </w:rPr>
        <w:fldChar w:fldCharType="end"/>
      </w:r>
      <w:r w:rsidRPr="75598FD4">
        <w:rPr>
          <w:lang w:val="en-US"/>
        </w:rPr>
        <w:t xml:space="preserve">. In many CMI studies, the amplitude of the P3, locked to a cognitive task stimulus, decreases with increasing motor loads. If </w:t>
      </w:r>
      <w:r>
        <w:rPr>
          <w:lang w:val="en-US"/>
        </w:rPr>
        <w:t xml:space="preserve">locomotor loads were kept the same and the cognitive task varied in difficulty, </w:t>
      </w:r>
      <w:r w:rsidRPr="75598FD4">
        <w:rPr>
          <w:lang w:val="en-US"/>
        </w:rPr>
        <w:t xml:space="preserve">P3 amplitudes were shown to increase </w:t>
      </w:r>
      <w:r>
        <w:rPr>
          <w:lang w:val="en-US"/>
        </w:rPr>
        <w:t xml:space="preserve">with increasing cognitive task </w:t>
      </w:r>
      <w:r>
        <w:rPr>
          <w:lang w:val="en-US"/>
        </w:rPr>
        <w:lastRenderedPageBreak/>
        <w:t>demands</w:t>
      </w:r>
      <w:r w:rsidRPr="75598FD4">
        <w:rPr>
          <w:lang w:val="en-US"/>
        </w:rPr>
        <w:t xml:space="preserve"> </w:t>
      </w:r>
      <w:r w:rsidRPr="75598FD4">
        <w:rPr>
          <w:lang w:val="en-US"/>
        </w:rPr>
        <w:fldChar w:fldCharType="begin"/>
      </w:r>
      <w:r w:rsidR="006C6E43">
        <w:rPr>
          <w:lang w:val="en-US"/>
        </w:rPr>
        <w:instrText xml:space="preserve"> ADDIN ZOTERO_ITEM CSL_CITATION {"citationID":"yYGwaSlK","properties":{"formattedCitation":"(Bradford et al., 2019; Ladouce et al., 2019; Malcolm et al., 2018; Protzak et al., 2021; Reiser et al., 2022)","plainCitation":"(Bradford et al., 2019; Ladouce et al., 2019; Malcolm et al., 2018; Protzak et al., 2021; Reiser et al., 2022)","noteIndex":0},"citationItems":[{"id":1219,"uris":["http://zotero.org/users/7328983/items/FIWTGLCE"],"itemData":{"id":1219,"type":"article-journal","abstract":"Understanding how brain dynamics change with dual cognitive and motor tasks can improve our knowledge of human neurophysiology. The primary goals of this study were to: (1) assess the feasibility of extracting electrocortical signals from scalp EEG while performing sustained, physically demanding dual-task walking and (2) test hypotheses about how the P300 event-related potential is affected by walking physical exertion. Participants walked on a treadmill for an hour either carrying an empty rucksack or one filled with 40% of their body weight. During the walking conditions and during a seated control condition, subjects periodically performed a visual oddball task. We recorded scalp EEG and examined electrocortical dynamics time-locked to the target stimulus. Channel-level event-related potential analysis demonstrated that it is feasible to extract reliable signals during long duration loaded walking. P300 amplitude was reduced during loaded walking versus seated, but there was no effect of time on task. Source level activity and frequency analysis revealed that sensorimotor, parietal, and cingulate brain areas all contributed to the reduced P300 amplitude during dual-task walking. We interpret the results as supporting a prioritization of cortical resources for walking, leading to fewer resources being directed toward the oddball task during dual-task locomotion.","container-title":"Scientific Reports","DOI":"10.1038/s41598-019-45396-5","ISSN":"2045-2322","issue":"9234","note":"PMID: 31239461\npublisher: Nature Publishing Group","page":"1-12","title":"Effect of locomotor demands on cognitive processing","volume":"9","author":[{"family":"Bradford","given":"J. Cortney"},{"family":"Lukos","given":"Jamie R."},{"family":"Passaro","given":"Antony"},{"family":"Ries","given":"Anthony"},{"family":"Ferris","given":"Daniel P."}],"issued":{"date-parts":[["2019",12,25]]},"citation-key":"bradfordEffectLocomotorDemands2019"}},{"id":792,"uris":["http://zotero.org/users/7328983/items/69KDJY3U"],"itemData":{"id":792,"type":"article-journal","abstract":"The distribution of attention between competing processing demands can have dramatic real-world consequences, however little is known about how limited attentional resources are distributed during real-world behaviour. Here we employ mobile EEG to characterise the allocation of attention across multiple sensory-cognitive processing demands during naturalistic movement. We used a neural marker of attention, the Event-Related Potential (ERP) P300 effect, to show that attention to targets is reduced when human participants walk compared to when they stand still. In a second experiment, we show that this reduction in attention is not caused by the act of walking per se. A third experiment identified the independent processing demands driving reduced attention to target stimuli during motion. ERP data reveals that the reduction in attention seen during walking reflects the linear and additive sum of the processing demands produced by visual and inertial stimulation. The mobile cognition approach used here shows how limited resources are precisely re-allocated according to the sensory processing demands that occur during real-world behaviour.","container-title":"Scientific Reports","DOI":"10.1038/s41598-019-51996-y","ISSN":"2045-2322","issue":"1","note":"publisher: Nature Publishing Group","page":"1-10","title":"Mobile EEG identifies the re-allocation of attention during real-world activity","volume":"9","author":[{"family":"Ladouce","given":"Simon"},{"family":"Donaldson","given":"David I."},{"family":"Dudchenko","given":"Paul A."},{"family":"Ietswaart","given":"Magdalena"}],"issued":{"date-parts":[["2019",12,1]]},"citation-key":"ladouceMobileEEGIdentifies2019"}},{"id":57,"uris":["http://zotero.org/users/7328983/items/FN9J3ZX4"],"itemData":{"id":57,"type":"article-journal","abstract":"During navigation of complex environments, the brain must continuously adapt to both external demands, such as fluctuating sensory inputs, and internal demands, such as engagement in a cognitively demanding task. Previous studies have demonstrated changes in behavior and gait with increased sensory and cognitive load, but the underlying cortical mechanisms remain largely unknown. In the present study, in a mobile brain/body imaging (MoBI) approach, 16 young adults walked on a treadmill with high-density EEG while 3-dimensional (3D) motion capture tracked kinematics of the head and feet. Visual load was manipulated with the presentation of optic flow with and without continuous mediolateral perturbations. The effects of cognitive load were assessed by the performance of a go/no-go task on half of the blocks. During increased sensory load, participants walked with shorter and wider strides, which may indicate a more restrained pattern of gait. Interestingly, cognitive task engagement attenuated these effects of sensory load on gait. Using an independent component analysis and dipole-fitting approach, we found that cautious gait was accompanied by neuro-oscillatory modulations localized to frontal (supplementary motor area, anterior cingulate cortex) and parietal (inferior parietal lobule, precuneus) areas. Our results show suppression in alpha/mu (8–12 Hz) and beta (13–30 Hz) rhythms, suggesting enhanced activation of these regions with unreliable sensory inputs. These findings provide insight into the neural correlates of gait adaptation and may be particularly relevant to older adults who are less able to adjust to ongoing cognitive and sensory demands while walking.","container-title":"Journal of Neurophysiology","DOI":"10.1152/jn.00079.2018","ISSN":"0022-3077","issue":"5","note":"publisher: American Physiological Society","page":"2246-2259","title":"Cognitive load reduces the effects of optic flow on gait and electrocortical dynamics during treadmill walking","volume":"120","author":[{"family":"Malcolm","given":"Brenda R."},{"family":"Foxe","given":"John J."},{"family":"Butler","given":"John S."},{"family":"Molholm","given":"Sophie"},{"family":"De Sanctis","given":"Pierfilippo"}],"issued":{"date-parts":[["2018",11,1]]},"citation-key":"malcolmCognitiveLoadReduces2018"}},{"id":1129,"uris":["http://zotero.org/users/7328983/items/2HTWXHGH"],"itemData":{"id":1129,"type":"article-journal","abstract":"Little is known about the neurophysiological processes underlying visual processing during active behavior and how these change over the life span. This study investigated early (P1) and later (P3) event-related potentials of the electroencephalogram associated with visual perception in older and younger adults while sitting, standing, and walking.","container-title":"Neurobiology of Aging","DOI":"10.1016/j.neurobiolaging.2020.10.009","ISSN":"01974580","journalAbbreviation":"Neurobiology of Aging","language":"en","note":"00000","page":"146-159","source":"DOI.org (Crossref)","title":"Peripheral visual perception during natural overground dual-task walking in older and younger adults","volume":"98","author":[{"family":"Protzak","given":"Janna"},{"family":"Wiczorek","given":"Rebecca"},{"family":"Gramann","given":"Klaus"}],"issued":{"date-parts":[["2021",2]]},"citation-key":"protzakPeripheralVisualPerception2021"}},{"id":68,"uris":["http://zotero.org/users/7328983/items/ZJIR28JT"],"itemData":{"id":68,"type":"article-journal","abstract":"Modern living and working environments are more and more interspersed with the concurrent execution of locomotion and sensory processing, most often in the visual domain. Many job profiles involve the presentation of visual information while walking, for example in warehouse logistics work, where a worker has to manage walking to the correct aisle to pick up a package while being presented with visual information over data-glasses concerning the next order. Similar use-cases can be found in manufacturing jobs, for example in car montage assembly lines where next steps are presented via augmented reality headsets while walking at a slow pace. Considering the overall scarcity of cognitive resources available to be deployed to either the cognitive or motor processes, task performance decrements were found when increasing load in either domain. Interestingly, the walking motion also had beneficial effects on peripheral contrast detection and the inhibition of visual stream information. Taking these findings into account, we conducted a study that comprised the detection of single visual targets (Landolt Cs) within a broad range of the visual field (-40˚ to +40˚ visual angle) while either standing, walking, or walking with concurrent perturbations. We used questionnaire (NASA-TLX), behavioral (response times and accuracy), and neurophysiological data (ERPs and ERSPs) to quantify the effects of cognitive-motor interference. The study was conducted in a Gait Real-time Analysis Interactive Laboratory (GRAIL), using a 180˚ projection screen and a swayable and tiltable dual-belt treadmill. Questionnaire and behavioral measures showed common patterns. We found increasing subjective physical workload and behavioral decrements with increasing stimulus eccentricity and motor complexity. Electrophysiological results also indicated decrements in stimulus processing with higher stimulus eccentricity and movement complexity (P3, Theta), but highlighted a beneficial role when walking without perturbations and processing more peripheral stimuli regarding earlier sensory components (N1pc/N2pc, N2). These findings suggest that walking without impediments can enhance the visual processing of peripheral information and therefore help with perceiving non-foveal sensory content. Also, our results could help with reevaluating previous findings in the context of cognitive-motor interference, as increased motor complexity might not always impede cognitive processing and performance.","container-title":"PLOS ONE","DOI":"10.1371/journal.pone.0267896","ISSN":"1932-6203","issue":"5","journalAbbreviation":"PLoS ONE","language":"en","license":"All rights reserved","page":"1-21","source":"DOI.org (Crossref)","title":"Did you even see that? visual sensory processing of single stimuli under different locomotor loads","title-short":"Did you even see that?","volume":"17","author":[{"family":"Reiser","given":"Julian Elias"},{"family":"Arnau","given":"Stefan"},{"family":"Rinkenauer","given":"Gerhard"},{"family":"Wascher","given":"Edmund"}],"editor":[{"family":"Di Russo","given":"Francesco"}],"issued":{"date-parts":[["2022",5,26]]},"citation-key":"reiserDidYouEven2022"}}],"schema":"https://github.com/citation-style-language/schema/raw/master/csl-citation.json"} </w:instrText>
      </w:r>
      <w:r w:rsidRPr="75598FD4">
        <w:rPr>
          <w:lang w:val="en-US"/>
        </w:rPr>
        <w:fldChar w:fldCharType="separate"/>
      </w:r>
      <w:r w:rsidRPr="75598FD4">
        <w:rPr>
          <w:noProof/>
          <w:lang w:val="en-US"/>
        </w:rPr>
        <w:t>(Bradford et al., 2019; Ladouce et al., 2019; Malcolm et al., 2018; Protzak et al., 2021; Reiser et al., 2022)</w:t>
      </w:r>
      <w:r w:rsidRPr="75598FD4">
        <w:rPr>
          <w:lang w:val="en-US"/>
        </w:rPr>
        <w:fldChar w:fldCharType="end"/>
      </w:r>
      <w:r w:rsidRPr="75598FD4">
        <w:rPr>
          <w:lang w:val="en-US"/>
        </w:rPr>
        <w:t>.</w:t>
      </w:r>
    </w:p>
    <w:p w14:paraId="28ECCE7C" w14:textId="65E52700" w:rsidR="00A64C96" w:rsidRDefault="00A64C96" w:rsidP="00A64C96">
      <w:pPr>
        <w:rPr>
          <w:lang w:val="en-US"/>
        </w:rPr>
      </w:pPr>
      <w:r w:rsidRPr="75598FD4">
        <w:rPr>
          <w:lang w:val="en-US"/>
        </w:rPr>
        <w:t xml:space="preserve">To quantify CMI effects towards the movement task, we will use the measure of mean stride time. The time between steps is sensitive to cognitive-motor dual-tasking decrements in the locomotor domain, especially when participants are allowed to choose their preferred gait speed </w:t>
      </w:r>
      <w:r w:rsidRPr="75598FD4">
        <w:rPr>
          <w:lang w:val="en-US"/>
        </w:rPr>
        <w:fldChar w:fldCharType="begin"/>
      </w:r>
      <w:r w:rsidR="006C6E43">
        <w:rPr>
          <w:lang w:val="en-US"/>
        </w:rPr>
        <w:instrText xml:space="preserve"> ADDIN ZOTERO_ITEM CSL_CITATION {"citationID":"EuZnfy3m","properties":{"formattedCitation":"(Gupta et al., 2023; Woollacott &amp; Shumway-Cook, 2002)","plainCitation":"(Gupta et al., 2023; Woollacott &amp; Shumway-Cook, 2002)","noteIndex":0},"citationItems":[{"id":8883,"uris":["http://zotero.org/users/7328983/items/DMKPID4G"],"itemData":{"id":8883,"type":"article-journal","abstract":"Interference between a walking task (target speeds on a self-paced treadmill) and dual visual and tactile-visual response time task was investigated. …","container-title":"Applied Ergonomics","DOI":"10.1016/j.apergo.2023.103986","ISSN":"0003-6870","language":"en-US","note":"publisher: Elsevier","page":"103986","source":"www.sciencedirect.com","title":"Walking speed and dual task input modality impact performance on a self-paced treadmill","volume":"109","author":[{"family":"Gupta","given":"Aditi"},{"family":"Kelty-Stephen","given":"Damian G."},{"family":"Mangalam","given":"Madhur"},{"family":"McKindles","given":"Ryan J."},{"family":"Stirling","given":"Leia"}],"issued":{"date-parts":[["2023",5,1]]},"citation-key":"guptaWalkingSpeedDual2023"}},{"id":381,"uris":["http://zotero.org/users/7328983/items/XU66IFD8"],"itemData":{"id":381,"type":"article-journal","abstract":"Research on the relationship between attention and the control of posture and gait is a new and expanding area with studies on young adults revealing the role of cognitive factors in the control of balance during standing and walking. The use of dual task paradigms to examine the effect of age related changes in attentional requirements of balance control and age-related reductions in stability when performing a secondary task has shown that these are important contributors to instability in both healthy and balance-impaired older adults. The attentional demands of balance control vary depending on the complexity of the task and the type of secondary task being performed. New clinical assessment methods incorporating dual-task paradigms are helpful in revealing the effect of disease (e.g. Parkinson's disease) on the ability to allocate attention to postural tasks and appear to be sensitive measures in both predicting fall risk and in documenting recovery of stability. © 2002 Elsevier Science B.V. All rights reserved.","container-title":"Gait and Posture","DOI":"10.1016/S0966-6362(01)00156-4","ISSN":"09666362","issue":"1","note":"PMID: 12127181\nISBN: 0966-6362 (Print)","page":"1-14","title":"Attention and the control of posture and gait: A review of an emerging area of research","volume":"16","author":[{"family":"Woollacott","given":"Marjorie"},{"family":"Shumway-Cook","given":"Anne"}],"issued":{"date-parts":[["2002"]]},"citation-key":"woollacottAttentionControlPosture2002"}}],"schema":"https://github.com/citation-style-language/schema/raw/master/csl-citation.json"} </w:instrText>
      </w:r>
      <w:r w:rsidRPr="75598FD4">
        <w:rPr>
          <w:lang w:val="en-US"/>
        </w:rPr>
        <w:fldChar w:fldCharType="separate"/>
      </w:r>
      <w:r w:rsidRPr="75598FD4">
        <w:rPr>
          <w:noProof/>
          <w:lang w:val="en-US"/>
        </w:rPr>
        <w:t>(Gupta et al., 2023; Woollacott &amp; Shumway-Cook, 2002)</w:t>
      </w:r>
      <w:r w:rsidRPr="75598FD4">
        <w:rPr>
          <w:lang w:val="en-US"/>
        </w:rPr>
        <w:fldChar w:fldCharType="end"/>
      </w:r>
      <w:r w:rsidRPr="75598FD4">
        <w:rPr>
          <w:lang w:val="en-US"/>
        </w:rPr>
        <w:t>. In this study, we kept the self-chosen treadmill speed identical for all locomotor conditions to facilitate comparisons in the cognitive domain. Thus, longer stride times can indicate higher dual-tasking demands as single leg support intervals are lengthened – increasing the probability to lose balance.</w:t>
      </w:r>
    </w:p>
    <w:p w14:paraId="14DB98C2" w14:textId="35D9E1FF" w:rsidR="000962AA" w:rsidRPr="00AE66E0" w:rsidRDefault="000962AA" w:rsidP="000962AA">
      <w:pPr>
        <w:rPr>
          <w:lang w:val="en-US"/>
        </w:rPr>
      </w:pPr>
      <w:r w:rsidRPr="75598FD4">
        <w:rPr>
          <w:lang w:val="en-US"/>
        </w:rPr>
        <w:t xml:space="preserve">All in all, this study aims to specify the cognitive underpinnings of using wearable displays to present task-relevant information via visual or auditory cues in an abstract workplace scenario. To this end, we used subjective, behavioral, as well as EEG measures to understand the cognitive processes necessary to work at modern mobile workplaces. According to Wickens’ multiple resource theory </w:t>
      </w:r>
      <w:r w:rsidRPr="75598FD4">
        <w:rPr>
          <w:lang w:val="en-US"/>
        </w:rPr>
        <w:fldChar w:fldCharType="begin"/>
      </w:r>
      <w:r w:rsidR="006C6E43">
        <w:rPr>
          <w:lang w:val="en-US"/>
        </w:rPr>
        <w:instrText xml:space="preserve"> ADDIN ZOTERO_ITEM CSL_CITATION {"citationID":"meF9mVX5","properties":{"formattedCitation":"(Wickens, 2002, 2008)","plainCitation":"(Wickens, 2002, 2008)","noteIndex":0},"citationItems":[{"id":556,"uris":["http://zotero.org/users/7328983/items/AGDTTZL2"],"itemData":{"id":556,"type":"article-journal","abstract":"This paper describes the origins and history of multiple resource theory in accounting for differences in dual task interference. One particular application of the theory, the 4-dimensional multiple resources model, is described in detail, positing that there will be greater interference between two tasks to the extent that they share stages (perceptual/cognitive vs response) sensory modalities (auditory vs visual), codes (visual vs spatial) and channels of visual information (focal vs ambient). A computational rendering of this model is then presented. Examples are given of how the model predicts interference differences in operational envir- onments. Finally, three challenges to the model are outlined regarding task demand coding, task allocation and visual resource competition.","container-title":"Theoretical Issues in Ergonomics Science","DOI":"10.1080/14639220210123806","ISSN":"1463-922X","issue":"2","note":"PMID: 6978386\nISBN: 1463922X","page":"159-177","title":"Multiple resources and performance prediction","volume":"3","author":[{"family":"Wickens","given":"Christopher D."}],"issued":{"date-parts":[["2002"]]},"citation-key":"wickensMultipleResourcesPerformance2002"}},{"id":654,"uris":["http://zotero.org/users/7328983/items/AP97JKSD"],"itemData":{"id":654,"type":"article-journal","abstract":"Objective: The objective is to lay out the rationale for multiple resource theory and the particular 4-D multiple resource model, as well as to show how the model is use- ful both as a design tool and as a means of predicting multitask workload overload. Background: I describe the discoveries and developments regarding multiple resource theory that have emerged over the past 50 years that contribute to performance and workload prediction. Method: The article presents a history of the multiple resource concept, a computational version of the multiple resource model applied to multitask driving simulation data, and the relation of multiple resources to workload. Results: Research revealed the importance of the four dimensions in accounting for task inter- ference and the association of resources with brain structure. Multiple resource mod- els yielded high correlations between model predictions and data. Lower correlations also identified the existence of additional resources. Conclusion:The model was shown to be partially relevant to the concept of mental workload, with greatest relevance to performance breakdowns related to dual-task overload. Future challenges are identi- fied. Application: The most important application of the multiple resource model is to recommend design changes when conditions of multitask resource overload exist. HISTORY","container-title":"Human Factors: The Journal of the Human Factors and Ergonomics Society","DOI":"10.1518/001872008X288394.","issue":"3","page":"449-455","title":"Multiple resources and mental workload","volume":"50","author":[{"family":"Wickens","given":"Christopher D."}],"issued":{"date-parts":[["2008"]]},"citation-key":"wickensMultipleResourcesMental2008"}}],"schema":"https://github.com/citation-style-language/schema/raw/master/csl-citation.json"} </w:instrText>
      </w:r>
      <w:r w:rsidRPr="75598FD4">
        <w:rPr>
          <w:lang w:val="en-US"/>
        </w:rPr>
        <w:fldChar w:fldCharType="separate"/>
      </w:r>
      <w:r w:rsidRPr="75598FD4">
        <w:rPr>
          <w:noProof/>
          <w:lang w:val="en-US"/>
        </w:rPr>
        <w:t>(Wickens, 2002, 2008)</w:t>
      </w:r>
      <w:r w:rsidRPr="75598FD4">
        <w:rPr>
          <w:lang w:val="en-US"/>
        </w:rPr>
        <w:fldChar w:fldCharType="end"/>
      </w:r>
      <w:r w:rsidRPr="75598FD4">
        <w:rPr>
          <w:lang w:val="en-US"/>
        </w:rPr>
        <w:t xml:space="preserve">, competing stimuli processing in the same sensory domain will produce stronger interference, increasing the demand for shared attentional resources for effective task completion. On the other hand, previous studies have shown that auditory cue information may increase the processing demands to prepare the correct action set for a visual target stimulus. Therefore, cueing using an HMD during locomotor conditions might lead to a stronger CMI compared to auditory cueing. This effect should become apparent in increasing response times, lower accuracies, and lower target-related P3 amplitudes. Nonetheless, processing auditory information might increase overall processing demands due to modality-specific transformation processes </w:t>
      </w:r>
      <w:r w:rsidRPr="75598FD4">
        <w:rPr>
          <w:lang w:val="en-US"/>
        </w:rPr>
        <w:fldChar w:fldCharType="begin"/>
      </w:r>
      <w:r w:rsidR="006C6E43">
        <w:rPr>
          <w:lang w:val="en-US"/>
        </w:rPr>
        <w:instrText xml:space="preserve"> ADDIN ZOTERO_ITEM CSL_CITATION {"citationID":"MKnR70pf","properties":{"formattedCitation":"(Baddeley et al., 2001)","plainCitation":"(Baddeley et al., 2001)","noteIndex":0},"citationItems":[{"id":23,"uris":["http://zotero.org/users/7328983/items/9X4JLKXP"],"itemData":{"id":23,"type":"article-journal","container-title":"Journal of Experimental Psychology: General","DOI":"10.1037/0096-3445.130.4.641","ISSN":"1939-2222, 0096-3445","issue":"4","journalAbbreviation":"Journal of Experimental Psychology: General","language":"en","page":"641-657","source":"DOI.org (Crossref)","title":"Working memory and the control of action: Evidence from task switching.","title-short":"Working memory and the control of action","volume":"130","author":[{"family":"Baddeley","given":"Alan"},{"family":"Chincotta","given":"Dino"},{"family":"Adlam","given":"Anna"}],"issued":{"date-parts":[["2001"]]},"citation-key":"baddeleyWorkingMemoryControl2001"}}],"schema":"https://github.com/citation-style-language/schema/raw/master/csl-citation.json"} </w:instrText>
      </w:r>
      <w:r w:rsidRPr="75598FD4">
        <w:rPr>
          <w:lang w:val="en-US"/>
        </w:rPr>
        <w:fldChar w:fldCharType="separate"/>
      </w:r>
      <w:r w:rsidRPr="75598FD4">
        <w:rPr>
          <w:noProof/>
          <w:lang w:val="en-US"/>
        </w:rPr>
        <w:t>(Baddeley et al., 2001)</w:t>
      </w:r>
      <w:r w:rsidRPr="75598FD4">
        <w:rPr>
          <w:lang w:val="en-US"/>
        </w:rPr>
        <w:fldChar w:fldCharType="end"/>
      </w:r>
      <w:r w:rsidRPr="75598FD4">
        <w:rPr>
          <w:lang w:val="en-US"/>
        </w:rPr>
        <w:t>. Taken together, we expect auditory compared to visual cue conditions to be associated with longer reaction times, and smaller cue-related CNV amplitudes as the preparation for the correct target processing might be elevated. Stride times, on the other hand, should be diminished during perturbed walking conditions to preserve a stable balance. In mixed-task blocks, though, stride times should be lengthened as dual-task costs increase.</w:t>
      </w:r>
    </w:p>
    <w:p w14:paraId="7ACE6786" w14:textId="77777777" w:rsidR="00A64C96" w:rsidRDefault="00A64C96" w:rsidP="00385150">
      <w:pPr>
        <w:rPr>
          <w:lang w:val="en-US"/>
        </w:rPr>
      </w:pPr>
    </w:p>
    <w:p w14:paraId="676C2D2C" w14:textId="77777777" w:rsidR="000962AA" w:rsidRDefault="000962AA" w:rsidP="002D419B">
      <w:pPr>
        <w:jc w:val="left"/>
        <w:rPr>
          <w:lang w:val="en-US"/>
        </w:rPr>
      </w:pPr>
    </w:p>
    <w:p w14:paraId="42C144EC" w14:textId="3C0DEBDE" w:rsidR="00F94027" w:rsidRPr="00F94027" w:rsidRDefault="00515645" w:rsidP="002D419B">
      <w:pPr>
        <w:jc w:val="left"/>
        <w:rPr>
          <w:lang w:val="en-US"/>
        </w:rPr>
      </w:pPr>
      <w:r w:rsidRPr="00617CA1">
        <w:rPr>
          <w:lang w:val="en-US"/>
        </w:rPr>
        <w:br w:type="page"/>
      </w:r>
    </w:p>
    <w:p w14:paraId="16B9BD5C" w14:textId="4B4C65E4" w:rsidR="00A51AB0" w:rsidRPr="00193A74" w:rsidRDefault="00A51AB0" w:rsidP="002D419B">
      <w:pPr>
        <w:pStyle w:val="berschrift1"/>
        <w:rPr>
          <w:lang w:val="en-US"/>
        </w:rPr>
      </w:pPr>
      <w:r w:rsidRPr="00193A74">
        <w:rPr>
          <w:lang w:val="en-US"/>
        </w:rPr>
        <w:lastRenderedPageBreak/>
        <w:t>Method</w:t>
      </w:r>
    </w:p>
    <w:p w14:paraId="73B945C5" w14:textId="77AFBCE1" w:rsidR="00A51AB0" w:rsidRPr="00193A74" w:rsidRDefault="00A51AB0" w:rsidP="00A51AB0">
      <w:pPr>
        <w:pStyle w:val="berschrift2"/>
        <w:rPr>
          <w:lang w:val="en-US"/>
        </w:rPr>
      </w:pPr>
      <w:r w:rsidRPr="00193A74">
        <w:rPr>
          <w:lang w:val="en-US"/>
        </w:rPr>
        <w:t>Participants</w:t>
      </w:r>
    </w:p>
    <w:p w14:paraId="2BEDEB5E" w14:textId="665681B6" w:rsidR="00A51AB0" w:rsidRDefault="007D0C9E" w:rsidP="25373F44">
      <w:pPr>
        <w:rPr>
          <w:lang w:val="en-GB"/>
        </w:rPr>
      </w:pPr>
      <w:r>
        <w:rPr>
          <w:lang w:val="en-GB"/>
        </w:rPr>
        <w:t>2</w:t>
      </w:r>
      <w:r w:rsidR="0046328F">
        <w:rPr>
          <w:lang w:val="en-GB"/>
        </w:rPr>
        <w:t>2</w:t>
      </w:r>
      <w:r>
        <w:rPr>
          <w:lang w:val="en-GB"/>
        </w:rPr>
        <w:t xml:space="preserve"> </w:t>
      </w:r>
      <w:r w:rsidR="00A51AB0" w:rsidRPr="401C3B7E">
        <w:rPr>
          <w:lang w:val="en-GB"/>
        </w:rPr>
        <w:t>healthy participants (</w:t>
      </w:r>
      <w:r w:rsidR="00E150A8">
        <w:rPr>
          <w:lang w:val="en-GB"/>
        </w:rPr>
        <w:t>9</w:t>
      </w:r>
      <w:r w:rsidR="00E82976">
        <w:rPr>
          <w:lang w:val="en-GB"/>
        </w:rPr>
        <w:t xml:space="preserve"> male, 1</w:t>
      </w:r>
      <w:r w:rsidR="00E150A8">
        <w:rPr>
          <w:lang w:val="en-GB"/>
        </w:rPr>
        <w:t>3</w:t>
      </w:r>
      <w:r w:rsidR="00E82976">
        <w:rPr>
          <w:lang w:val="en-GB"/>
        </w:rPr>
        <w:t xml:space="preserve"> female</w:t>
      </w:r>
      <w:r w:rsidR="00A51AB0" w:rsidRPr="401C3B7E">
        <w:rPr>
          <w:lang w:val="en-GB"/>
        </w:rPr>
        <w:t xml:space="preserve">) were recruited by online </w:t>
      </w:r>
      <w:r w:rsidR="00B40445">
        <w:rPr>
          <w:lang w:val="en-GB"/>
        </w:rPr>
        <w:t>advertisements</w:t>
      </w:r>
      <w:r w:rsidR="00A51AB0" w:rsidRPr="401C3B7E">
        <w:rPr>
          <w:lang w:val="en-GB"/>
        </w:rPr>
        <w:t xml:space="preserve"> </w:t>
      </w:r>
      <w:r w:rsidR="009067AF">
        <w:rPr>
          <w:lang w:val="en-GB"/>
        </w:rPr>
        <w:t xml:space="preserve">in </w:t>
      </w:r>
      <w:r w:rsidR="00A51AB0" w:rsidRPr="401C3B7E">
        <w:rPr>
          <w:lang w:val="en-GB"/>
        </w:rPr>
        <w:t xml:space="preserve">2021. All participants had normal or corrected-to-normal vision, </w:t>
      </w:r>
      <w:r w:rsidR="1D9FF65D" w:rsidRPr="68BF048E">
        <w:rPr>
          <w:lang w:val="en-GB"/>
        </w:rPr>
        <w:t>no</w:t>
      </w:r>
      <w:r w:rsidR="00A51AB0" w:rsidRPr="401C3B7E">
        <w:rPr>
          <w:lang w:val="en-GB"/>
        </w:rPr>
        <w:t xml:space="preserve"> hearing </w:t>
      </w:r>
      <w:r w:rsidR="52F188EC" w:rsidRPr="68BF048E">
        <w:rPr>
          <w:lang w:val="en-GB"/>
        </w:rPr>
        <w:t>impairments</w:t>
      </w:r>
      <w:r w:rsidR="00A51AB0" w:rsidRPr="401C3B7E">
        <w:rPr>
          <w:lang w:val="en-GB"/>
        </w:rPr>
        <w:t>, were right-handed</w:t>
      </w:r>
      <w:r w:rsidR="00DD38E6" w:rsidRPr="401C3B7E">
        <w:rPr>
          <w:lang w:val="en-GB"/>
        </w:rPr>
        <w:t>,</w:t>
      </w:r>
      <w:r w:rsidR="00A51AB0" w:rsidRPr="401C3B7E">
        <w:rPr>
          <w:lang w:val="en-GB"/>
        </w:rPr>
        <w:t xml:space="preserve"> and had no motor or gait </w:t>
      </w:r>
      <w:r w:rsidR="00EA3BA8">
        <w:rPr>
          <w:lang w:val="en-GB"/>
        </w:rPr>
        <w:t>impairments</w:t>
      </w:r>
      <w:r w:rsidR="00A51AB0" w:rsidRPr="401C3B7E">
        <w:rPr>
          <w:lang w:val="en-GB"/>
        </w:rPr>
        <w:t xml:space="preserve">. </w:t>
      </w:r>
      <w:r w:rsidR="5421C7B8" w:rsidRPr="401C3B7E">
        <w:rPr>
          <w:lang w:val="en-GB"/>
        </w:rPr>
        <w:t xml:space="preserve">Participants were without any known </w:t>
      </w:r>
      <w:r w:rsidR="5421C7B8" w:rsidRPr="00FE068F">
        <w:rPr>
          <w:lang w:val="en-GB"/>
        </w:rPr>
        <w:t xml:space="preserve">prior or present neurologic or psychiatric condition. </w:t>
      </w:r>
      <w:r w:rsidR="00A51AB0" w:rsidRPr="00FE068F">
        <w:rPr>
          <w:lang w:val="en-GB"/>
        </w:rPr>
        <w:t xml:space="preserve">The sample's age ranged from </w:t>
      </w:r>
      <w:r w:rsidR="00B41808" w:rsidRPr="00FE068F">
        <w:rPr>
          <w:lang w:val="en-GB"/>
        </w:rPr>
        <w:t>20</w:t>
      </w:r>
      <w:r w:rsidR="00A51AB0" w:rsidRPr="00FE068F">
        <w:rPr>
          <w:lang w:val="en-GB"/>
        </w:rPr>
        <w:t xml:space="preserve"> to 30 years (M = </w:t>
      </w:r>
      <w:r w:rsidR="00B41808" w:rsidRPr="00FE068F">
        <w:rPr>
          <w:lang w:val="en-GB"/>
        </w:rPr>
        <w:t>24.</w:t>
      </w:r>
      <w:r w:rsidR="003A104D">
        <w:rPr>
          <w:lang w:val="en-GB"/>
        </w:rPr>
        <w:t>27</w:t>
      </w:r>
      <w:r w:rsidR="00A51AB0" w:rsidRPr="00FE068F">
        <w:rPr>
          <w:lang w:val="en-GB"/>
        </w:rPr>
        <w:t xml:space="preserve">, SE = </w:t>
      </w:r>
      <w:r w:rsidR="00E82976" w:rsidRPr="00FE068F">
        <w:rPr>
          <w:lang w:val="en-GB"/>
        </w:rPr>
        <w:t>2.</w:t>
      </w:r>
      <w:r w:rsidR="003A104D">
        <w:rPr>
          <w:lang w:val="en-GB"/>
        </w:rPr>
        <w:t>96</w:t>
      </w:r>
      <w:r w:rsidR="00A51AB0" w:rsidRPr="00FE068F">
        <w:rPr>
          <w:lang w:val="en-GB"/>
        </w:rPr>
        <w:t xml:space="preserve">). Subjects </w:t>
      </w:r>
      <w:r w:rsidR="00C62DC3" w:rsidRPr="401C3B7E">
        <w:rPr>
          <w:lang w:val="en-GB"/>
        </w:rPr>
        <w:t>either received course credit or</w:t>
      </w:r>
      <w:r w:rsidR="00A51AB0" w:rsidRPr="401C3B7E">
        <w:rPr>
          <w:lang w:val="en-GB"/>
        </w:rPr>
        <w:t xml:space="preserve"> </w:t>
      </w:r>
      <w:r w:rsidR="3C8A432B" w:rsidRPr="68BF048E">
        <w:rPr>
          <w:lang w:val="en-GB"/>
        </w:rPr>
        <w:t>€</w:t>
      </w:r>
      <w:r w:rsidR="00A51AB0" w:rsidRPr="401C3B7E">
        <w:rPr>
          <w:lang w:val="en-GB"/>
        </w:rPr>
        <w:t>10 per hour as compensation and gave their informed written consent. The study was approved by the local ethics committee of the Leibniz Research Centre for Working Environment and Human Factors and was conducted in accordance with the Declaration of Helsinki.</w:t>
      </w:r>
    </w:p>
    <w:p w14:paraId="6914F9FA" w14:textId="5A729F94" w:rsidR="00A51AB0" w:rsidRDefault="00A51AB0" w:rsidP="00A51AB0">
      <w:pPr>
        <w:pStyle w:val="berschrift2"/>
        <w:rPr>
          <w:lang w:val="en-US"/>
        </w:rPr>
      </w:pPr>
      <w:r>
        <w:rPr>
          <w:lang w:val="en-US"/>
        </w:rPr>
        <w:t>Apparatus</w:t>
      </w:r>
      <w:r w:rsidR="00CB4643">
        <w:rPr>
          <w:lang w:val="en-US"/>
        </w:rPr>
        <w:t xml:space="preserve"> and </w:t>
      </w:r>
      <w:r>
        <w:rPr>
          <w:lang w:val="en-US"/>
        </w:rPr>
        <w:t>stimuli</w:t>
      </w:r>
    </w:p>
    <w:p w14:paraId="74C81047" w14:textId="5B98FE50" w:rsidR="000F6821" w:rsidRDefault="000F6821" w:rsidP="00A51AB0">
      <w:pPr>
        <w:rPr>
          <w:lang w:val="en-US"/>
        </w:rPr>
      </w:pPr>
      <w:r>
        <w:rPr>
          <w:lang w:val="en-US"/>
        </w:rPr>
        <w:t xml:space="preserve">All parts of the experiments </w:t>
      </w:r>
      <w:r w:rsidR="640F0EC7">
        <w:rPr>
          <w:lang w:val="en-US"/>
        </w:rPr>
        <w:t>were performed</w:t>
      </w:r>
      <w:r>
        <w:rPr>
          <w:lang w:val="en-US"/>
        </w:rPr>
        <w:t xml:space="preserve"> in the institute’s Gait Real-time </w:t>
      </w:r>
      <w:r w:rsidR="00DD38E6">
        <w:rPr>
          <w:lang w:val="en-US"/>
        </w:rPr>
        <w:t>Interactive</w:t>
      </w:r>
      <w:r>
        <w:rPr>
          <w:lang w:val="en-US"/>
        </w:rPr>
        <w:t xml:space="preserve"> Lab</w:t>
      </w:r>
      <w:r w:rsidR="002D226F">
        <w:rPr>
          <w:lang w:val="en-US"/>
        </w:rPr>
        <w:t>oratory</w:t>
      </w:r>
      <w:r>
        <w:rPr>
          <w:lang w:val="en-US"/>
        </w:rPr>
        <w:t xml:space="preserve"> (GRAIL, </w:t>
      </w:r>
      <w:proofErr w:type="spellStart"/>
      <w:r w:rsidR="00515645">
        <w:rPr>
          <w:lang w:val="en-US"/>
        </w:rPr>
        <w:t>M</w:t>
      </w:r>
      <w:r>
        <w:rPr>
          <w:lang w:val="en-US"/>
        </w:rPr>
        <w:t>otek</w:t>
      </w:r>
      <w:proofErr w:type="spellEnd"/>
      <w:r>
        <w:rPr>
          <w:lang w:val="en-US"/>
        </w:rPr>
        <w:t>, NL</w:t>
      </w:r>
      <w:r w:rsidR="00952343">
        <w:rPr>
          <w:lang w:val="en-US"/>
        </w:rPr>
        <w:t>, see</w:t>
      </w:r>
      <w:r w:rsidR="00952343" w:rsidRPr="00374180">
        <w:rPr>
          <w:lang w:val="en-US"/>
        </w:rPr>
        <w:t xml:space="preserve"> </w:t>
      </w:r>
      <w:r w:rsidR="00952343" w:rsidRPr="00952343">
        <w:fldChar w:fldCharType="begin"/>
      </w:r>
      <w:r w:rsidR="00952343" w:rsidRPr="00374180">
        <w:rPr>
          <w:lang w:val="en-US"/>
        </w:rPr>
        <w:instrText xml:space="preserve"> REF _Ref72484795 \h  \* MERGEFORMAT </w:instrText>
      </w:r>
      <w:r w:rsidR="00952343" w:rsidRPr="00952343">
        <w:fldChar w:fldCharType="separate"/>
      </w:r>
      <w:r w:rsidR="00B12A7D" w:rsidRPr="00971DD4">
        <w:rPr>
          <w:lang w:val="en-US"/>
        </w:rPr>
        <w:t>Figure 1</w:t>
      </w:r>
      <w:r w:rsidR="00952343" w:rsidRPr="00952343">
        <w:fldChar w:fldCharType="end"/>
      </w:r>
      <w:r>
        <w:rPr>
          <w:lang w:val="en-US"/>
        </w:rPr>
        <w:t xml:space="preserve">). </w:t>
      </w:r>
      <w:r w:rsidR="00C62DC3">
        <w:rPr>
          <w:lang w:val="en-US"/>
        </w:rPr>
        <w:t>We used</w:t>
      </w:r>
      <w:r>
        <w:rPr>
          <w:lang w:val="en-US"/>
        </w:rPr>
        <w:t xml:space="preserve"> a dual-belt treadmill with tilt and sway functionality, </w:t>
      </w:r>
      <w:r w:rsidR="00B606E7">
        <w:rPr>
          <w:lang w:val="en-US"/>
        </w:rPr>
        <w:t xml:space="preserve">a </w:t>
      </w:r>
      <w:r w:rsidR="008E32A9">
        <w:rPr>
          <w:lang w:val="en-US"/>
        </w:rPr>
        <w:t>10-camera</w:t>
      </w:r>
      <w:r w:rsidR="00B606E7">
        <w:rPr>
          <w:lang w:val="en-US"/>
        </w:rPr>
        <w:t xml:space="preserve"> </w:t>
      </w:r>
      <w:r w:rsidR="00F04D1B">
        <w:rPr>
          <w:lang w:val="en-US"/>
        </w:rPr>
        <w:t>infrared-based</w:t>
      </w:r>
      <w:r>
        <w:rPr>
          <w:lang w:val="en-US"/>
        </w:rPr>
        <w:t xml:space="preserve"> motion </w:t>
      </w:r>
      <w:r w:rsidR="2954421F">
        <w:rPr>
          <w:lang w:val="en-US"/>
        </w:rPr>
        <w:t>captur</w:t>
      </w:r>
      <w:r w:rsidR="4CF5A4A9">
        <w:rPr>
          <w:lang w:val="en-US"/>
        </w:rPr>
        <w:t>e</w:t>
      </w:r>
      <w:r w:rsidR="00B606E7">
        <w:rPr>
          <w:lang w:val="en-US"/>
        </w:rPr>
        <w:t xml:space="preserve"> system</w:t>
      </w:r>
      <w:r>
        <w:rPr>
          <w:lang w:val="en-US"/>
        </w:rPr>
        <w:t xml:space="preserve"> (Vicon Motion Systems, Oxford, UK)</w:t>
      </w:r>
      <w:r w:rsidR="00B606E7">
        <w:rPr>
          <w:lang w:val="en-US"/>
        </w:rPr>
        <w:t xml:space="preserve">, and </w:t>
      </w:r>
      <w:r w:rsidR="00721F54">
        <w:rPr>
          <w:lang w:val="en-US"/>
        </w:rPr>
        <w:t>3</w:t>
      </w:r>
      <w:r w:rsidR="00B606E7">
        <w:rPr>
          <w:lang w:val="en-US"/>
        </w:rPr>
        <w:t xml:space="preserve"> projectors</w:t>
      </w:r>
      <w:r w:rsidR="00952343">
        <w:rPr>
          <w:lang w:val="en-US"/>
        </w:rPr>
        <w:t xml:space="preserve"> (</w:t>
      </w:r>
      <w:r w:rsidR="0034058E">
        <w:rPr>
          <w:lang w:val="en-US"/>
        </w:rPr>
        <w:t>WUX450ST, Canon, Japan</w:t>
      </w:r>
      <w:r w:rsidR="00952343">
        <w:rPr>
          <w:lang w:val="en-US"/>
        </w:rPr>
        <w:t>)</w:t>
      </w:r>
      <w:r w:rsidR="00B606E7">
        <w:rPr>
          <w:lang w:val="en-US"/>
        </w:rPr>
        <w:t xml:space="preserve"> project</w:t>
      </w:r>
      <w:r w:rsidR="00721F54">
        <w:rPr>
          <w:lang w:val="en-US"/>
        </w:rPr>
        <w:t>ing</w:t>
      </w:r>
      <w:r w:rsidR="00B606E7">
        <w:rPr>
          <w:lang w:val="en-US"/>
        </w:rPr>
        <w:t xml:space="preserve"> </w:t>
      </w:r>
      <w:r w:rsidR="177D8D78">
        <w:rPr>
          <w:lang w:val="en-US"/>
        </w:rPr>
        <w:t>on</w:t>
      </w:r>
      <w:r w:rsidR="02D8C5A1">
        <w:rPr>
          <w:lang w:val="en-US"/>
        </w:rPr>
        <w:t>to</w:t>
      </w:r>
      <w:r w:rsidR="00B606E7">
        <w:rPr>
          <w:lang w:val="en-US"/>
        </w:rPr>
        <w:t xml:space="preserve"> a 180° curved projection screen </w:t>
      </w:r>
      <w:r w:rsidR="00952343">
        <w:rPr>
          <w:lang w:val="en-US"/>
        </w:rPr>
        <w:t>(</w:t>
      </w:r>
      <w:r w:rsidR="00952343" w:rsidRPr="00952343">
        <w:rPr>
          <w:lang w:val="en-US"/>
        </w:rPr>
        <w:t>c</w:t>
      </w:r>
      <w:r w:rsidR="00952343" w:rsidRPr="00374180">
        <w:rPr>
          <w:lang w:val="en-US"/>
        </w:rPr>
        <w:t>ircular screen 5m diameter, 2.9m height)</w:t>
      </w:r>
      <w:r w:rsidR="00721F54">
        <w:rPr>
          <w:rFonts w:ascii="Cambria" w:hAnsi="Cambria" w:cs="Cambria"/>
          <w:color w:val="493E31"/>
          <w:kern w:val="1"/>
          <w:sz w:val="18"/>
          <w:szCs w:val="18"/>
          <w:lang w:val="en-GB"/>
        </w:rPr>
        <w:t>.</w:t>
      </w:r>
      <w:r w:rsidR="00D14A25">
        <w:rPr>
          <w:lang w:val="en-US"/>
        </w:rPr>
        <w:t xml:space="preserve"> </w:t>
      </w:r>
      <w:proofErr w:type="spellStart"/>
      <w:r w:rsidR="00D14A25">
        <w:rPr>
          <w:lang w:val="en-US"/>
        </w:rPr>
        <w:t>DFlow</w:t>
      </w:r>
      <w:proofErr w:type="spellEnd"/>
      <w:r w:rsidR="00D14A25">
        <w:rPr>
          <w:lang w:val="en-US"/>
        </w:rPr>
        <w:t xml:space="preserve"> </w:t>
      </w:r>
      <w:r w:rsidR="0034058E">
        <w:rPr>
          <w:lang w:val="en-US"/>
        </w:rPr>
        <w:t>(</w:t>
      </w:r>
      <w:r w:rsidR="00D14A25">
        <w:rPr>
          <w:lang w:val="en-US"/>
        </w:rPr>
        <w:t xml:space="preserve">version </w:t>
      </w:r>
      <w:r w:rsidR="00E50358">
        <w:rPr>
          <w:lang w:val="en-US"/>
        </w:rPr>
        <w:t>2</w:t>
      </w:r>
      <w:r w:rsidR="0034058E">
        <w:rPr>
          <w:lang w:val="en-US"/>
        </w:rPr>
        <w:t>)</w:t>
      </w:r>
      <w:r w:rsidR="00D14A25">
        <w:rPr>
          <w:lang w:val="en-US"/>
        </w:rPr>
        <w:t xml:space="preserve"> </w:t>
      </w:r>
      <w:r w:rsidR="05355230">
        <w:rPr>
          <w:lang w:val="en-US"/>
        </w:rPr>
        <w:t xml:space="preserve">software </w:t>
      </w:r>
      <w:r w:rsidR="00D14A25">
        <w:rPr>
          <w:lang w:val="en-US"/>
        </w:rPr>
        <w:t xml:space="preserve">was used to control the treadmill and </w:t>
      </w:r>
      <w:r w:rsidR="25B0060F">
        <w:rPr>
          <w:lang w:val="en-US"/>
        </w:rPr>
        <w:t xml:space="preserve">the </w:t>
      </w:r>
      <w:r w:rsidR="00D14A25">
        <w:rPr>
          <w:lang w:val="en-US"/>
        </w:rPr>
        <w:t>projections</w:t>
      </w:r>
      <w:r w:rsidR="00721F54">
        <w:rPr>
          <w:lang w:val="en-US"/>
        </w:rPr>
        <w:t>.</w:t>
      </w:r>
    </w:p>
    <w:p w14:paraId="5230C757" w14:textId="428C6C36" w:rsidR="00952343" w:rsidRDefault="00224387" w:rsidP="00651505">
      <w:pPr>
        <w:jc w:val="center"/>
        <w:rPr>
          <w:lang w:val="en-US"/>
        </w:rPr>
      </w:pPr>
      <w:r>
        <w:rPr>
          <w:noProof/>
          <w:lang w:val="en-US"/>
        </w:rPr>
        <w:drawing>
          <wp:inline distT="0" distB="0" distL="0" distR="0" wp14:anchorId="71A63DC3" wp14:editId="622F9B18">
            <wp:extent cx="5731510" cy="4394200"/>
            <wp:effectExtent l="0" t="0" r="0" b="0"/>
            <wp:docPr id="26" name="Grafik 26" descr="A person walking on a plat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erson walking on a platfor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4394200"/>
                    </a:xfrm>
                    <a:prstGeom prst="rect">
                      <a:avLst/>
                    </a:prstGeom>
                  </pic:spPr>
                </pic:pic>
              </a:graphicData>
            </a:graphic>
          </wp:inline>
        </w:drawing>
      </w:r>
    </w:p>
    <w:p w14:paraId="7D050AC2" w14:textId="1E13ED33" w:rsidR="00952343" w:rsidRPr="00542AC9" w:rsidRDefault="123ECA93" w:rsidP="123ECA93">
      <w:pPr>
        <w:pStyle w:val="Beschriftung"/>
        <w:rPr>
          <w:rStyle w:val="Hervorhebung"/>
        </w:rPr>
      </w:pPr>
      <w:bookmarkStart w:id="0" w:name="_Ref72484795"/>
      <w:r w:rsidRPr="00542AC9">
        <w:rPr>
          <w:rStyle w:val="Hervorhebung"/>
        </w:rPr>
        <w:t xml:space="preserve">Figure </w:t>
      </w:r>
      <w:r w:rsidR="00952343" w:rsidRPr="123ECA93">
        <w:rPr>
          <w:rStyle w:val="Hervorhebung"/>
        </w:rPr>
        <w:fldChar w:fldCharType="begin"/>
      </w:r>
      <w:r w:rsidR="00952343" w:rsidRPr="123ECA93">
        <w:rPr>
          <w:rStyle w:val="Hervorhebung"/>
        </w:rPr>
        <w:instrText xml:space="preserve"> SEQ Figure \* ARABIC </w:instrText>
      </w:r>
      <w:r w:rsidR="00952343" w:rsidRPr="123ECA93">
        <w:rPr>
          <w:rStyle w:val="Hervorhebung"/>
        </w:rPr>
        <w:fldChar w:fldCharType="separate"/>
      </w:r>
      <w:r w:rsidRPr="00542AC9">
        <w:rPr>
          <w:rStyle w:val="Hervorhebung"/>
        </w:rPr>
        <w:t>1</w:t>
      </w:r>
      <w:r w:rsidR="00952343" w:rsidRPr="123ECA93">
        <w:rPr>
          <w:rStyle w:val="Hervorhebung"/>
        </w:rPr>
        <w:fldChar w:fldCharType="end"/>
      </w:r>
      <w:bookmarkEnd w:id="0"/>
      <w:r w:rsidRPr="00542AC9">
        <w:rPr>
          <w:rStyle w:val="Hervorhebung"/>
        </w:rPr>
        <w:t xml:space="preserve">. </w:t>
      </w:r>
      <w:r w:rsidRPr="00542AC9">
        <w:rPr>
          <w:rStyle w:val="Hervorhebung"/>
          <w:i w:val="0"/>
        </w:rPr>
        <w:t xml:space="preserve">GRAIL laboratory at the Leibniz Research Centre for Working Environment and Human Factors. </w:t>
      </w:r>
    </w:p>
    <w:p w14:paraId="06D1BCFE" w14:textId="307D402C" w:rsidR="002957A7" w:rsidRDefault="056C4F64" w:rsidP="00A51AB0">
      <w:pPr>
        <w:rPr>
          <w:lang w:val="en-US"/>
        </w:rPr>
      </w:pPr>
      <w:r w:rsidRPr="056C4F64">
        <w:rPr>
          <w:lang w:val="en-US"/>
        </w:rPr>
        <w:t>The mobile data collection set-up consisted of a 64-electrode cap (</w:t>
      </w:r>
      <w:proofErr w:type="spellStart"/>
      <w:r w:rsidRPr="056C4F64">
        <w:rPr>
          <w:lang w:val="en-US"/>
        </w:rPr>
        <w:t>ActiCap</w:t>
      </w:r>
      <w:proofErr w:type="spellEnd"/>
      <w:r w:rsidRPr="056C4F64">
        <w:rPr>
          <w:lang w:val="en-US"/>
        </w:rPr>
        <w:t xml:space="preserve"> Snap, Brain Products, Gilching, GER), two connected mobile amplifiers (LiveAmp, Brain Products, Gilching, GER), and a backpack containing the amplifiers’ trigger extension to allow for manual responses (LiveAmp Sensor and Trigger Extension, Brain Products, Gilching, GER) </w:t>
      </w:r>
      <w:r w:rsidRPr="056C4F64">
        <w:rPr>
          <w:lang w:val="en-US"/>
        </w:rPr>
        <w:lastRenderedPageBreak/>
        <w:t xml:space="preserve">and a Raspberry Pi (Raspberry Pi Foundation, UK) for visual and auditory stimulation. Participants were prepared with 26 reflective markers at distinct body sites to enable whole-body motion tracking. They also wore an </w:t>
      </w:r>
      <w:proofErr w:type="spellStart"/>
      <w:r w:rsidRPr="056C4F64">
        <w:rPr>
          <w:lang w:val="en-US"/>
        </w:rPr>
        <w:t>AiRScouter</w:t>
      </w:r>
      <w:proofErr w:type="spellEnd"/>
      <w:r w:rsidRPr="056C4F64">
        <w:rPr>
          <w:lang w:val="en-US"/>
        </w:rPr>
        <w:t xml:space="preserve"> WD360B (Brother, Japan) HMD with a translucent screen that was connected to the Raspberry Pi to present monocular visual stimuli. The HMD’s </w:t>
      </w:r>
      <w:r w:rsidR="008E32A9">
        <w:rPr>
          <w:lang w:val="en-US"/>
        </w:rPr>
        <w:t>translucent</w:t>
      </w:r>
      <w:r w:rsidRPr="056C4F64">
        <w:rPr>
          <w:lang w:val="en-US"/>
        </w:rPr>
        <w:t xml:space="preserve"> screen was placed in front of the left eye.</w:t>
      </w:r>
    </w:p>
    <w:p w14:paraId="241F22F7" w14:textId="2678DF4E" w:rsidR="00CB4643" w:rsidRDefault="006D1034" w:rsidP="0079223C">
      <w:pPr>
        <w:pStyle w:val="berschrift2"/>
        <w:rPr>
          <w:lang w:val="en-US"/>
        </w:rPr>
      </w:pPr>
      <w:r>
        <w:rPr>
          <w:lang w:val="en-US"/>
        </w:rPr>
        <w:t>Procedure</w:t>
      </w:r>
    </w:p>
    <w:p w14:paraId="12F7815B" w14:textId="77777777" w:rsidR="00903098" w:rsidRDefault="21035A5C" w:rsidP="00903098">
      <w:pPr>
        <w:rPr>
          <w:lang w:val="en-GB"/>
        </w:rPr>
      </w:pPr>
      <w:r w:rsidRPr="68BF048E">
        <w:rPr>
          <w:lang w:val="en-GB"/>
        </w:rPr>
        <w:t>At</w:t>
      </w:r>
      <w:r w:rsidR="008C3269">
        <w:rPr>
          <w:lang w:val="en-GB"/>
        </w:rPr>
        <w:t xml:space="preserve"> the beginning of the experiment</w:t>
      </w:r>
      <w:r w:rsidR="00F04D1B">
        <w:rPr>
          <w:lang w:val="en-GB"/>
        </w:rPr>
        <w:t>,</w:t>
      </w:r>
      <w:r w:rsidR="008C3269">
        <w:rPr>
          <w:lang w:val="en-GB"/>
        </w:rPr>
        <w:t xml:space="preserve"> participants read the experiment’s detailed </w:t>
      </w:r>
      <w:proofErr w:type="gramStart"/>
      <w:r w:rsidR="008C3269">
        <w:rPr>
          <w:lang w:val="en-GB"/>
        </w:rPr>
        <w:t xml:space="preserve">instructions, </w:t>
      </w:r>
      <w:r w:rsidR="00366F49">
        <w:rPr>
          <w:lang w:val="en-GB"/>
        </w:rPr>
        <w:t>and</w:t>
      </w:r>
      <w:proofErr w:type="gramEnd"/>
      <w:r w:rsidR="00366F49">
        <w:rPr>
          <w:lang w:val="en-GB"/>
        </w:rPr>
        <w:t xml:space="preserve"> </w:t>
      </w:r>
      <w:r w:rsidR="2DBB1DAC" w:rsidRPr="68BF048E">
        <w:rPr>
          <w:lang w:val="en-GB"/>
        </w:rPr>
        <w:t>completed</w:t>
      </w:r>
      <w:r w:rsidR="008C3269">
        <w:rPr>
          <w:lang w:val="en-GB"/>
        </w:rPr>
        <w:t xml:space="preserve"> a written consent form and a demographic questionnaire. After this, they were fitted with a 64-electrode EEG cap. Each electrode had to be prepared with electrolyte gel to ensure resistances below 10 </w:t>
      </w:r>
      <w:proofErr w:type="spellStart"/>
      <w:r w:rsidR="008C3269">
        <w:rPr>
          <w:lang w:val="en-GB"/>
        </w:rPr>
        <w:t>k</w:t>
      </w:r>
      <w:r w:rsidR="008C3269">
        <w:rPr>
          <w:rFonts w:ascii="greek" w:hAnsi="greek"/>
          <w:lang w:val="en-GB"/>
        </w:rPr>
        <w:t>Ohm</w:t>
      </w:r>
      <w:proofErr w:type="spellEnd"/>
      <w:r w:rsidR="008C3269">
        <w:rPr>
          <w:lang w:val="en-GB"/>
        </w:rPr>
        <w:t xml:space="preserve">. </w:t>
      </w:r>
      <w:r w:rsidR="00DC0791">
        <w:rPr>
          <w:lang w:val="en-GB"/>
        </w:rPr>
        <w:t xml:space="preserve">While the EEG electrodes were filled with conductive gel, participants completed a practice block on a computer. Here, they were introduced to the task, internalized the </w:t>
      </w:r>
      <w:proofErr w:type="spellStart"/>
      <w:r w:rsidR="007E0775">
        <w:rPr>
          <w:lang w:val="en-GB"/>
        </w:rPr>
        <w:t>color</w:t>
      </w:r>
      <w:proofErr w:type="spellEnd"/>
      <w:r w:rsidR="007E0775">
        <w:rPr>
          <w:lang w:val="en-GB"/>
        </w:rPr>
        <w:t>-response</w:t>
      </w:r>
      <w:r w:rsidR="00DC0791">
        <w:rPr>
          <w:lang w:val="en-GB"/>
        </w:rPr>
        <w:t xml:space="preserve"> assignment</w:t>
      </w:r>
      <w:r w:rsidR="00F04D1B">
        <w:rPr>
          <w:lang w:val="en-GB"/>
        </w:rPr>
        <w:t>,</w:t>
      </w:r>
      <w:r w:rsidR="00DC0791">
        <w:rPr>
          <w:lang w:val="en-GB"/>
        </w:rPr>
        <w:t xml:space="preserve"> and </w:t>
      </w:r>
      <w:r w:rsidR="4801BE98" w:rsidRPr="68BF048E">
        <w:rPr>
          <w:lang w:val="en-GB"/>
        </w:rPr>
        <w:t>became familiar with</w:t>
      </w:r>
      <w:r w:rsidR="00DC0791">
        <w:rPr>
          <w:lang w:val="en-GB"/>
        </w:rPr>
        <w:t xml:space="preserve"> both the visual and auditory </w:t>
      </w:r>
      <w:r w:rsidR="004576A0">
        <w:rPr>
          <w:lang w:val="en-GB"/>
        </w:rPr>
        <w:t>cue</w:t>
      </w:r>
      <w:r w:rsidR="0013151B">
        <w:rPr>
          <w:lang w:val="en-GB"/>
        </w:rPr>
        <w:t xml:space="preserve"> stimuli – the target stimuli were always presented in the visual domain</w:t>
      </w:r>
      <w:r w:rsidR="00DC0791">
        <w:rPr>
          <w:lang w:val="en-GB"/>
        </w:rPr>
        <w:t>. They completed two repeat</w:t>
      </w:r>
      <w:r w:rsidR="00ED21D6">
        <w:rPr>
          <w:lang w:val="en-GB"/>
        </w:rPr>
        <w:t xml:space="preserve">-only </w:t>
      </w:r>
      <w:r w:rsidR="00DC0791">
        <w:rPr>
          <w:lang w:val="en-GB"/>
        </w:rPr>
        <w:t>task blocks per modality</w:t>
      </w:r>
      <w:r w:rsidR="000674B5">
        <w:rPr>
          <w:lang w:val="en-GB"/>
        </w:rPr>
        <w:t xml:space="preserve"> </w:t>
      </w:r>
      <w:r w:rsidR="00DC0791">
        <w:rPr>
          <w:lang w:val="en-GB"/>
        </w:rPr>
        <w:t xml:space="preserve">condition before </w:t>
      </w:r>
      <w:r w:rsidR="1F389916" w:rsidRPr="68BF048E">
        <w:rPr>
          <w:lang w:val="en-GB"/>
        </w:rPr>
        <w:t>performing</w:t>
      </w:r>
      <w:r w:rsidR="00DC0791">
        <w:rPr>
          <w:lang w:val="en-GB"/>
        </w:rPr>
        <w:t xml:space="preserve"> the respective switch task. If a participant did not reach a minimum</w:t>
      </w:r>
      <w:r w:rsidR="00DF5016">
        <w:rPr>
          <w:lang w:val="en-GB"/>
        </w:rPr>
        <w:t xml:space="preserve"> of </w:t>
      </w:r>
      <w:r w:rsidR="00DC0791">
        <w:rPr>
          <w:lang w:val="en-GB"/>
        </w:rPr>
        <w:t xml:space="preserve">75% correct answers per block, they were asked to repeat the </w:t>
      </w:r>
      <w:r w:rsidR="27D86353" w:rsidRPr="68BF048E">
        <w:rPr>
          <w:lang w:val="en-GB"/>
        </w:rPr>
        <w:t>entire</w:t>
      </w:r>
      <w:r w:rsidR="278D8170" w:rsidRPr="68BF048E">
        <w:rPr>
          <w:lang w:val="en-GB"/>
        </w:rPr>
        <w:t xml:space="preserve"> </w:t>
      </w:r>
      <w:r w:rsidR="496D5E8E" w:rsidRPr="68BF048E">
        <w:rPr>
          <w:lang w:val="en-GB"/>
        </w:rPr>
        <w:t>training</w:t>
      </w:r>
      <w:r w:rsidR="00DC0791">
        <w:rPr>
          <w:lang w:val="en-GB"/>
        </w:rPr>
        <w:t xml:space="preserve"> </w:t>
      </w:r>
      <w:r w:rsidR="00BC0B68">
        <w:rPr>
          <w:lang w:val="en-GB"/>
        </w:rPr>
        <w:t>session</w:t>
      </w:r>
      <w:r w:rsidR="00DC0791">
        <w:rPr>
          <w:lang w:val="en-GB"/>
        </w:rPr>
        <w:t xml:space="preserve">. </w:t>
      </w:r>
      <w:r w:rsidR="30E6F63A" w:rsidRPr="68BF048E">
        <w:rPr>
          <w:lang w:val="en-GB"/>
        </w:rPr>
        <w:t>After</w:t>
      </w:r>
      <w:r w:rsidR="008C3269">
        <w:rPr>
          <w:lang w:val="en-GB"/>
        </w:rPr>
        <w:t xml:space="preserve"> this initial preparation period, they put on a safety harness</w:t>
      </w:r>
      <w:r w:rsidR="00886866">
        <w:rPr>
          <w:lang w:val="en-GB"/>
        </w:rPr>
        <w:t xml:space="preserve"> and were </w:t>
      </w:r>
      <w:r w:rsidR="00BC0B68">
        <w:rPr>
          <w:lang w:val="en-GB"/>
        </w:rPr>
        <w:t>fitted</w:t>
      </w:r>
      <w:r w:rsidR="00886866">
        <w:rPr>
          <w:lang w:val="en-GB"/>
        </w:rPr>
        <w:t xml:space="preserve"> with</w:t>
      </w:r>
      <w:r w:rsidR="008C3269">
        <w:rPr>
          <w:lang w:val="en-GB"/>
        </w:rPr>
        <w:t xml:space="preserve"> 26 </w:t>
      </w:r>
      <w:r w:rsidR="004D37CD">
        <w:rPr>
          <w:lang w:val="en-GB"/>
        </w:rPr>
        <w:t>motion-tracking</w:t>
      </w:r>
      <w:r w:rsidR="008C3269">
        <w:rPr>
          <w:lang w:val="en-GB"/>
        </w:rPr>
        <w:t xml:space="preserve"> reflectors </w:t>
      </w:r>
      <w:r w:rsidR="00886866">
        <w:rPr>
          <w:lang w:val="en-GB"/>
        </w:rPr>
        <w:t>at</w:t>
      </w:r>
      <w:r w:rsidR="008C3269">
        <w:rPr>
          <w:lang w:val="en-GB"/>
        </w:rPr>
        <w:t xml:space="preserve"> prominent body </w:t>
      </w:r>
      <w:r w:rsidR="374D8C9E" w:rsidRPr="68BF048E">
        <w:rPr>
          <w:lang w:val="en-GB"/>
        </w:rPr>
        <w:t>locations</w:t>
      </w:r>
      <w:r w:rsidR="008C3269">
        <w:rPr>
          <w:lang w:val="en-GB"/>
        </w:rPr>
        <w:t xml:space="preserve"> using adhesive tape. Finally, they put on a backpack </w:t>
      </w:r>
      <w:r w:rsidR="53A834DD" w:rsidRPr="68BF048E">
        <w:rPr>
          <w:lang w:val="en-GB"/>
        </w:rPr>
        <w:t>containing</w:t>
      </w:r>
      <w:r w:rsidR="008C3269">
        <w:rPr>
          <w:lang w:val="en-GB"/>
        </w:rPr>
        <w:t xml:space="preserve"> the trigger box</w:t>
      </w:r>
      <w:r w:rsidR="00BC0B68">
        <w:rPr>
          <w:lang w:val="en-GB"/>
        </w:rPr>
        <w:t>, the raspberry pi</w:t>
      </w:r>
      <w:r w:rsidR="008A6434">
        <w:rPr>
          <w:lang w:val="en-GB"/>
        </w:rPr>
        <w:t>, the HMD control box</w:t>
      </w:r>
      <w:r w:rsidR="00EC72F0">
        <w:rPr>
          <w:lang w:val="en-GB"/>
        </w:rPr>
        <w:t xml:space="preserve">, and two </w:t>
      </w:r>
      <w:r w:rsidR="00BC0B86">
        <w:rPr>
          <w:lang w:val="en-GB"/>
        </w:rPr>
        <w:t>power banks</w:t>
      </w:r>
      <w:r w:rsidR="006467D8">
        <w:rPr>
          <w:lang w:val="en-GB"/>
        </w:rPr>
        <w:t>,</w:t>
      </w:r>
      <w:r w:rsidR="008C3269">
        <w:rPr>
          <w:lang w:val="en-GB"/>
        </w:rPr>
        <w:t xml:space="preserve"> and were accompanied to the treadmill.</w:t>
      </w:r>
      <w:r w:rsidR="00DC0791">
        <w:rPr>
          <w:lang w:val="en-GB"/>
        </w:rPr>
        <w:t xml:space="preserve"> The </w:t>
      </w:r>
      <w:r w:rsidR="463E83C7" w:rsidRPr="68BF048E">
        <w:rPr>
          <w:lang w:val="en-GB"/>
        </w:rPr>
        <w:t>entire preparation</w:t>
      </w:r>
      <w:r w:rsidR="00DC0791">
        <w:rPr>
          <w:lang w:val="en-GB"/>
        </w:rPr>
        <w:t xml:space="preserve"> process took </w:t>
      </w:r>
      <w:r w:rsidR="00EC72F0">
        <w:rPr>
          <w:lang w:val="en-GB"/>
        </w:rPr>
        <w:t>approximately</w:t>
      </w:r>
      <w:r w:rsidR="00DC0791">
        <w:rPr>
          <w:lang w:val="en-GB"/>
        </w:rPr>
        <w:t xml:space="preserve"> 60 minutes per participant.</w:t>
      </w:r>
      <w:r w:rsidR="00886866">
        <w:rPr>
          <w:lang w:val="en-GB"/>
        </w:rPr>
        <w:t xml:space="preserve"> </w:t>
      </w:r>
    </w:p>
    <w:p w14:paraId="7F76EDB2" w14:textId="649DC0BA" w:rsidR="00903098" w:rsidRDefault="00903098" w:rsidP="00903098">
      <w:pPr>
        <w:rPr>
          <w:lang w:val="en-US"/>
        </w:rPr>
      </w:pPr>
      <w:r w:rsidRPr="056C4F64">
        <w:rPr>
          <w:lang w:val="en-US"/>
        </w:rPr>
        <w:t xml:space="preserve">The experimental paradigm included manipulations of the motor and cognitive task </w:t>
      </w:r>
      <w:r>
        <w:rPr>
          <w:lang w:val="en-US"/>
        </w:rPr>
        <w:t>domains</w:t>
      </w:r>
      <w:r w:rsidRPr="056C4F64">
        <w:rPr>
          <w:lang w:val="en-US"/>
        </w:rPr>
        <w:t xml:space="preserve">. The locomotor manipulation comprised three conditions: participants either stood still in the middle of the treadmill belts, walked with their preferred speed, or walked at this speed with horizontal perturbations to the left or right in quasi-random time intervals to counteract the automaticity of regular locomotion on a treadmill. The preferred gait speed was determined </w:t>
      </w:r>
      <w:r>
        <w:rPr>
          <w:lang w:val="en-US"/>
        </w:rPr>
        <w:t>before</w:t>
      </w:r>
      <w:r w:rsidRPr="056C4F64">
        <w:rPr>
          <w:lang w:val="en-US"/>
        </w:rPr>
        <w:t xml:space="preserve"> the experiment using a </w:t>
      </w:r>
      <w:proofErr w:type="gramStart"/>
      <w:r w:rsidRPr="056C4F64">
        <w:rPr>
          <w:lang w:val="en-US"/>
        </w:rPr>
        <w:t>step-wise</w:t>
      </w:r>
      <w:proofErr w:type="gramEnd"/>
      <w:r w:rsidRPr="056C4F64">
        <w:rPr>
          <w:lang w:val="en-US"/>
        </w:rPr>
        <w:t xml:space="preserve"> procedure with both ascending and descending speed setting sequences. The perturbations were evenly distributed throughout each trial. In addition, 10% of the trials contained no</w:t>
      </w:r>
      <w:r>
        <w:rPr>
          <w:lang w:val="en-US"/>
        </w:rPr>
        <w:t xml:space="preserve"> </w:t>
      </w:r>
      <w:r w:rsidRPr="056C4F64">
        <w:rPr>
          <w:lang w:val="en-US"/>
        </w:rPr>
        <w:t xml:space="preserve">perturbation to prevent </w:t>
      </w:r>
      <w:r>
        <w:rPr>
          <w:lang w:val="en-US"/>
        </w:rPr>
        <w:t>predictability</w:t>
      </w:r>
      <w:r w:rsidRPr="056C4F64">
        <w:rPr>
          <w:lang w:val="en-US"/>
        </w:rPr>
        <w:t xml:space="preserve"> of perturbation occurrence. For the cognitive task, participants had to perform a cued task-switching flanker paradigm. Irrespective of visual or auditory cue presentation, the main task was to correctly identify the center letter (“S” or “H”) in a 5-letter string depending that was projected in white on a dark projection screen (20% grayscale to avoid noticeable cross-projector luminance spillovers). Target stimulus strings could be either congruent (e.g. “SSSSS”) or incongruent (e.g. “SSHSS”). The ratio of congruent and incongruent trials was counterbalanced across conditions. To investigate cognitive-motor interference processes, we averaged across both congruency conditions to increase the number of trials</w:t>
      </w:r>
      <w:r>
        <w:rPr>
          <w:lang w:val="en-US"/>
        </w:rPr>
        <w:t xml:space="preserve"> </w:t>
      </w:r>
      <w:r w:rsidRPr="056C4F64">
        <w:rPr>
          <w:lang w:val="en-US"/>
        </w:rPr>
        <w:t>for repetition and switch trials within condition blocks. The correct hand to respond with was indicated by an auditory cue – a text-to-speech generated voice that said “green” or “red” (“</w:t>
      </w:r>
      <w:proofErr w:type="spellStart"/>
      <w:r w:rsidRPr="056C4F64">
        <w:rPr>
          <w:lang w:val="en-US"/>
        </w:rPr>
        <w:t>grün</w:t>
      </w:r>
      <w:proofErr w:type="spellEnd"/>
      <w:r w:rsidRPr="056C4F64">
        <w:rPr>
          <w:lang w:val="en-US"/>
        </w:rPr>
        <w:t>” or “rot” in German) – or a visual cue – a text projection on the HMU screen that read “green” or “red” in white font on a black, non-transparent background. Both cue stimuli had a duration of 400 ms. Assignments of cue color and correct manual response were pseudo-randomized to prevent bias.</w:t>
      </w:r>
    </w:p>
    <w:p w14:paraId="2C4CA7D4" w14:textId="149FFFB7" w:rsidR="00886866" w:rsidRDefault="75598FD4" w:rsidP="006D1034">
      <w:pPr>
        <w:rPr>
          <w:lang w:val="en-GB"/>
        </w:rPr>
      </w:pPr>
      <w:r w:rsidRPr="75598FD4">
        <w:rPr>
          <w:lang w:val="en-GB"/>
        </w:rPr>
        <w:t xml:space="preserve">On the treadmill, they had to complete several baseline blocks – standing only, walking only, and walking only with perturbations (2 minutes each). After the baseline recordings, participants completed 6 experimental conditions (each combination of the motor and cognitive task) </w:t>
      </w:r>
      <w:r w:rsidRPr="75598FD4">
        <w:rPr>
          <w:lang w:val="en-US"/>
        </w:rPr>
        <w:t>with a repetition block (either single red or single green) preceding the switch block of each condition (</w:t>
      </w:r>
      <w:proofErr w:type="gramStart"/>
      <w:r w:rsidRPr="75598FD4">
        <w:rPr>
          <w:lang w:val="en-US"/>
        </w:rPr>
        <w:t>single-task</w:t>
      </w:r>
      <w:proofErr w:type="gramEnd"/>
      <w:r w:rsidRPr="75598FD4">
        <w:rPr>
          <w:lang w:val="en-US"/>
        </w:rPr>
        <w:t>). Dual-task order (locomotor and cue modality condition) was pseudo-randomized to prevent sequence bias. Modalities were presented in alternating order. Which modality and movement condition came first was counterbalanced across participants.</w:t>
      </w:r>
      <w:r w:rsidRPr="75598FD4">
        <w:rPr>
          <w:lang w:val="en-GB"/>
        </w:rPr>
        <w:t xml:space="preserve"> Each single-task block consisted of 80 trials (20 for each possible combination of cue and </w:t>
      </w:r>
      <w:r w:rsidRPr="75598FD4">
        <w:rPr>
          <w:lang w:val="en-GB"/>
        </w:rPr>
        <w:lastRenderedPageBreak/>
        <w:t>stimulus), whereas dual-task trials consisted of 160 trials (20 for each possible combination of cue, stimulus, and switch condition).</w:t>
      </w:r>
    </w:p>
    <w:p w14:paraId="3C395694" w14:textId="55BEEE72" w:rsidR="002957A7" w:rsidRDefault="00040DB5" w:rsidP="002957A7">
      <w:pPr>
        <w:keepNext/>
      </w:pPr>
      <w:r w:rsidRPr="00040DB5">
        <w:rPr>
          <w:noProof/>
        </w:rPr>
        <w:drawing>
          <wp:inline distT="0" distB="0" distL="0" distR="0" wp14:anchorId="18CE63AF" wp14:editId="61BC377E">
            <wp:extent cx="5731510" cy="2441575"/>
            <wp:effectExtent l="0" t="0" r="0" b="0"/>
            <wp:docPr id="4" name="Grafik 4" descr="Diagram&#10;&#10;Description automatically generated with medium confidence">
              <a:extLst xmlns:a="http://schemas.openxmlformats.org/drawingml/2006/main">
                <a:ext uri="{FF2B5EF4-FFF2-40B4-BE49-F238E27FC236}">
                  <a16:creationId xmlns:a16="http://schemas.microsoft.com/office/drawing/2014/main" id="{A5441F4D-ACCD-AC76-8EDD-92BE321619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Diagram&#10;&#10;Description automatically generated with medium confidence">
                      <a:extLst>
                        <a:ext uri="{FF2B5EF4-FFF2-40B4-BE49-F238E27FC236}">
                          <a16:creationId xmlns:a16="http://schemas.microsoft.com/office/drawing/2014/main" id="{A5441F4D-ACCD-AC76-8EDD-92BE321619DC}"/>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l="15574" t="10012" b="26061"/>
                    <a:stretch/>
                  </pic:blipFill>
                  <pic:spPr>
                    <a:xfrm>
                      <a:off x="0" y="0"/>
                      <a:ext cx="5731510" cy="2441575"/>
                    </a:xfrm>
                    <a:prstGeom prst="rect">
                      <a:avLst/>
                    </a:prstGeom>
                  </pic:spPr>
                </pic:pic>
              </a:graphicData>
            </a:graphic>
          </wp:inline>
        </w:drawing>
      </w:r>
    </w:p>
    <w:p w14:paraId="232C2589" w14:textId="73877598" w:rsidR="002957A7" w:rsidRPr="00542AC9" w:rsidRDefault="123ECA93" w:rsidP="123ECA93">
      <w:pPr>
        <w:pStyle w:val="Beschriftung"/>
        <w:rPr>
          <w:rStyle w:val="Hervorhebung"/>
        </w:rPr>
      </w:pPr>
      <w:bookmarkStart w:id="1" w:name="_Ref76740658"/>
      <w:r w:rsidRPr="00542AC9">
        <w:rPr>
          <w:rStyle w:val="Hervorhebung"/>
        </w:rPr>
        <w:t xml:space="preserve">Figure </w:t>
      </w:r>
      <w:r w:rsidR="002957A7" w:rsidRPr="123ECA93">
        <w:rPr>
          <w:rStyle w:val="Hervorhebung"/>
        </w:rPr>
        <w:fldChar w:fldCharType="begin"/>
      </w:r>
      <w:r w:rsidR="002957A7" w:rsidRPr="123ECA93">
        <w:rPr>
          <w:rStyle w:val="Hervorhebung"/>
        </w:rPr>
        <w:instrText xml:space="preserve"> SEQ Figure \* ARABIC </w:instrText>
      </w:r>
      <w:r w:rsidR="002957A7" w:rsidRPr="123ECA93">
        <w:rPr>
          <w:rStyle w:val="Hervorhebung"/>
        </w:rPr>
        <w:fldChar w:fldCharType="separate"/>
      </w:r>
      <w:r w:rsidRPr="00542AC9">
        <w:rPr>
          <w:rStyle w:val="Hervorhebung"/>
        </w:rPr>
        <w:t>2</w:t>
      </w:r>
      <w:r w:rsidR="002957A7" w:rsidRPr="123ECA93">
        <w:rPr>
          <w:rStyle w:val="Hervorhebung"/>
        </w:rPr>
        <w:fldChar w:fldCharType="end"/>
      </w:r>
      <w:bookmarkEnd w:id="1"/>
      <w:r w:rsidRPr="00542AC9">
        <w:rPr>
          <w:rStyle w:val="Hervorhebung"/>
        </w:rPr>
        <w:t xml:space="preserve">. </w:t>
      </w:r>
      <w:r w:rsidRPr="00542AC9">
        <w:rPr>
          <w:rStyle w:val="Hervorhebung"/>
          <w:i w:val="0"/>
        </w:rPr>
        <w:t>The course of a trial with a mean duration of 2100 ms. A trial started with the presentation of a cue stimulus either auditorily via headphones or visually via an HMD. The modality of cue presentation was alternated in a block-wise manner. The cue stimulus was followed by a fixation cross for 200 ms and the target stimulus presentation on the projection screen in front of the participant for 1000 ms. The target stimulus was followed by another fixation cross presentation for 500 ms with a jitter of +/- 250 ms.</w:t>
      </w:r>
    </w:p>
    <w:p w14:paraId="061B713B" w14:textId="6C794B38" w:rsidR="006D1034" w:rsidRDefault="006D1034" w:rsidP="006D1034">
      <w:pPr>
        <w:rPr>
          <w:lang w:val="en-US"/>
        </w:rPr>
      </w:pPr>
      <w:r w:rsidRPr="0005341B">
        <w:rPr>
          <w:lang w:val="en-GB"/>
        </w:rPr>
        <w:t>A trial began with the cue</w:t>
      </w:r>
      <w:r w:rsidR="003C24F9">
        <w:rPr>
          <w:lang w:val="en-GB"/>
        </w:rPr>
        <w:t xml:space="preserve"> stimulus</w:t>
      </w:r>
      <w:r w:rsidRPr="0005341B">
        <w:rPr>
          <w:lang w:val="en-GB"/>
        </w:rPr>
        <w:t xml:space="preserve"> presentation for </w:t>
      </w:r>
      <w:r w:rsidR="007643FC" w:rsidRPr="0005341B">
        <w:rPr>
          <w:lang w:val="en-GB"/>
        </w:rPr>
        <w:t>400</w:t>
      </w:r>
      <w:r w:rsidRPr="0005341B">
        <w:rPr>
          <w:lang w:val="en-GB"/>
        </w:rPr>
        <w:t xml:space="preserve"> ms. This cue was then followed by a </w:t>
      </w:r>
      <w:r w:rsidR="00E33606">
        <w:rPr>
          <w:lang w:val="en-GB"/>
        </w:rPr>
        <w:t>cue-target interval</w:t>
      </w:r>
      <w:r w:rsidR="00E33606" w:rsidRPr="0005341B">
        <w:rPr>
          <w:lang w:val="en-GB"/>
        </w:rPr>
        <w:t xml:space="preserve"> </w:t>
      </w:r>
      <w:r w:rsidR="005556CF">
        <w:rPr>
          <w:lang w:val="en-GB"/>
        </w:rPr>
        <w:t>of</w:t>
      </w:r>
      <w:r w:rsidR="0079223C" w:rsidRPr="0005341B">
        <w:rPr>
          <w:lang w:val="en-GB"/>
        </w:rPr>
        <w:t xml:space="preserve"> </w:t>
      </w:r>
      <w:r w:rsidR="00C42814" w:rsidRPr="0005341B">
        <w:rPr>
          <w:lang w:val="en-GB"/>
        </w:rPr>
        <w:t>200</w:t>
      </w:r>
      <w:r w:rsidR="0079223C" w:rsidRPr="0005341B">
        <w:rPr>
          <w:lang w:val="en-GB"/>
        </w:rPr>
        <w:t xml:space="preserve"> ms</w:t>
      </w:r>
      <w:r w:rsidR="00D8703D" w:rsidRPr="0005341B">
        <w:rPr>
          <w:lang w:val="en-GB"/>
        </w:rPr>
        <w:t xml:space="preserve">. </w:t>
      </w:r>
      <w:r w:rsidR="0079223C" w:rsidRPr="0005341B">
        <w:rPr>
          <w:lang w:val="en-GB"/>
        </w:rPr>
        <w:t>During this period</w:t>
      </w:r>
      <w:r w:rsidRPr="0005341B">
        <w:rPr>
          <w:lang w:val="en-GB"/>
        </w:rPr>
        <w:t xml:space="preserve">, a </w:t>
      </w:r>
      <w:r w:rsidRPr="0005341B">
        <w:rPr>
          <w:rFonts w:ascii="Helvetica" w:hAnsi="Helvetica" w:cs="Helvetica"/>
          <w:lang w:val="en-GB"/>
        </w:rPr>
        <w:t>fi</w:t>
      </w:r>
      <w:r w:rsidRPr="0005341B">
        <w:rPr>
          <w:lang w:val="en-GB"/>
        </w:rPr>
        <w:t>xation cross was presented</w:t>
      </w:r>
      <w:r w:rsidR="0079223C" w:rsidRPr="0005341B">
        <w:rPr>
          <w:lang w:val="en-GB"/>
        </w:rPr>
        <w:t xml:space="preserve">. </w:t>
      </w:r>
      <w:r w:rsidRPr="0005341B">
        <w:rPr>
          <w:lang w:val="en-GB"/>
        </w:rPr>
        <w:t xml:space="preserve">The </w:t>
      </w:r>
      <w:r w:rsidR="00E33606">
        <w:rPr>
          <w:lang w:val="en-GB"/>
        </w:rPr>
        <w:t>target</w:t>
      </w:r>
      <w:r w:rsidR="003C24F9">
        <w:rPr>
          <w:lang w:val="en-GB"/>
        </w:rPr>
        <w:t xml:space="preserve"> </w:t>
      </w:r>
      <w:r w:rsidRPr="0005341B">
        <w:rPr>
          <w:lang w:val="en-GB"/>
        </w:rPr>
        <w:t xml:space="preserve">stimulus was presented for </w:t>
      </w:r>
      <w:r w:rsidR="00C42814" w:rsidRPr="0005341B">
        <w:rPr>
          <w:lang w:val="en-GB"/>
        </w:rPr>
        <w:t>1000</w:t>
      </w:r>
      <w:r w:rsidRPr="0005341B">
        <w:rPr>
          <w:lang w:val="en-GB"/>
        </w:rPr>
        <w:t xml:space="preserve"> m</w:t>
      </w:r>
      <w:r w:rsidR="0079223C" w:rsidRPr="0005341B">
        <w:rPr>
          <w:lang w:val="en-GB"/>
        </w:rPr>
        <w:t>s</w:t>
      </w:r>
      <w:r w:rsidR="00406E6F" w:rsidRPr="0005341B">
        <w:rPr>
          <w:lang w:val="en-GB"/>
        </w:rPr>
        <w:t>, followed by a fixation cross presentation for 500</w:t>
      </w:r>
      <w:r w:rsidR="003241CC" w:rsidRPr="0005341B">
        <w:rPr>
          <w:lang w:val="en-GB"/>
        </w:rPr>
        <w:t xml:space="preserve"> ms jittered by +/- 250 ms. </w:t>
      </w:r>
      <w:r w:rsidR="00406E6F" w:rsidRPr="0005341B">
        <w:rPr>
          <w:lang w:val="en-GB"/>
        </w:rPr>
        <w:t xml:space="preserve">A manual response could be made after stimulus presentation and before the presentation of the next cue. </w:t>
      </w:r>
      <w:r w:rsidR="0079223C" w:rsidRPr="0005341B">
        <w:rPr>
          <w:lang w:val="en-GB"/>
        </w:rPr>
        <w:t xml:space="preserve">If no response was made during this interval, the trial was counted as </w:t>
      </w:r>
      <w:r w:rsidR="00D27E4B">
        <w:rPr>
          <w:lang w:val="en-GB"/>
        </w:rPr>
        <w:t xml:space="preserve">a </w:t>
      </w:r>
      <w:r w:rsidR="0079223C" w:rsidRPr="0005341B">
        <w:rPr>
          <w:lang w:val="en-GB"/>
        </w:rPr>
        <w:t>response omission and therefore as an error trial.</w:t>
      </w:r>
      <w:r w:rsidR="002957A7" w:rsidRPr="0005341B">
        <w:rPr>
          <w:lang w:val="en-GB"/>
        </w:rPr>
        <w:t xml:space="preserve"> See </w:t>
      </w:r>
      <w:r w:rsidR="002957A7" w:rsidRPr="0005341B">
        <w:rPr>
          <w:lang w:val="en-GB"/>
        </w:rPr>
        <w:fldChar w:fldCharType="begin"/>
      </w:r>
      <w:r w:rsidR="002957A7" w:rsidRPr="0005341B">
        <w:rPr>
          <w:lang w:val="en-GB"/>
        </w:rPr>
        <w:instrText xml:space="preserve"> REF _Ref76740658 \h </w:instrText>
      </w:r>
      <w:r w:rsidR="002957A7" w:rsidRPr="0005341B">
        <w:rPr>
          <w:lang w:val="en-GB"/>
        </w:rPr>
      </w:r>
      <w:r w:rsidR="002957A7" w:rsidRPr="0005341B">
        <w:rPr>
          <w:lang w:val="en-GB"/>
        </w:rPr>
        <w:fldChar w:fldCharType="separate"/>
      </w:r>
      <w:r w:rsidR="00B12A7D" w:rsidRPr="001C44FD">
        <w:rPr>
          <w:rStyle w:val="Hervorhebung"/>
        </w:rPr>
        <w:t xml:space="preserve">Figure </w:t>
      </w:r>
      <w:r w:rsidR="00B12A7D">
        <w:rPr>
          <w:rStyle w:val="Hervorhebung"/>
          <w:noProof/>
        </w:rPr>
        <w:t>2</w:t>
      </w:r>
      <w:r w:rsidR="002957A7" w:rsidRPr="0005341B">
        <w:rPr>
          <w:lang w:val="en-GB"/>
        </w:rPr>
        <w:fldChar w:fldCharType="end"/>
      </w:r>
      <w:r w:rsidR="002957A7" w:rsidRPr="0005341B">
        <w:rPr>
          <w:lang w:val="en-GB"/>
        </w:rPr>
        <w:t xml:space="preserve"> for a visual representation </w:t>
      </w:r>
      <w:r w:rsidR="002957A7">
        <w:rPr>
          <w:lang w:val="en-GB"/>
        </w:rPr>
        <w:t>of the course of a trial.</w:t>
      </w:r>
      <w:r w:rsidR="0079223C">
        <w:rPr>
          <w:lang w:val="en-GB"/>
        </w:rPr>
        <w:t xml:space="preserve"> </w:t>
      </w:r>
      <w:r w:rsidR="00D27E4B">
        <w:rPr>
          <w:lang w:val="en-GB"/>
        </w:rPr>
        <w:t xml:space="preserve">The </w:t>
      </w:r>
      <w:r w:rsidR="52BE8C0D">
        <w:rPr>
          <w:lang w:val="en-GB"/>
        </w:rPr>
        <w:t>entire</w:t>
      </w:r>
      <w:r w:rsidR="00D27E4B">
        <w:rPr>
          <w:lang w:val="en-GB"/>
        </w:rPr>
        <w:t xml:space="preserve"> experimental procedure</w:t>
      </w:r>
      <w:r w:rsidR="0079223C">
        <w:rPr>
          <w:lang w:val="en-GB"/>
        </w:rPr>
        <w:t xml:space="preserve"> </w:t>
      </w:r>
      <w:r w:rsidR="00317C31">
        <w:rPr>
          <w:lang w:val="en-GB"/>
        </w:rPr>
        <w:t>took</w:t>
      </w:r>
      <w:r w:rsidR="0079223C">
        <w:rPr>
          <w:lang w:val="en-GB"/>
        </w:rPr>
        <w:t xml:space="preserve"> </w:t>
      </w:r>
      <w:r>
        <w:rPr>
          <w:lang w:val="en-GB"/>
        </w:rPr>
        <w:t>approx</w:t>
      </w:r>
      <w:r w:rsidR="00687C1F">
        <w:rPr>
          <w:lang w:val="en-GB"/>
        </w:rPr>
        <w:t>imately</w:t>
      </w:r>
      <w:r>
        <w:rPr>
          <w:lang w:val="en-GB"/>
        </w:rPr>
        <w:t xml:space="preserve"> </w:t>
      </w:r>
      <w:r w:rsidR="0079223C">
        <w:rPr>
          <w:lang w:val="en-GB"/>
        </w:rPr>
        <w:t>4</w:t>
      </w:r>
      <w:r>
        <w:rPr>
          <w:lang w:val="en-GB"/>
        </w:rPr>
        <w:t xml:space="preserve"> h</w:t>
      </w:r>
      <w:r w:rsidR="00687C1F">
        <w:rPr>
          <w:lang w:val="en-GB"/>
        </w:rPr>
        <w:t>ours</w:t>
      </w:r>
      <w:r>
        <w:rPr>
          <w:lang w:val="en-GB"/>
        </w:rPr>
        <w:t>.</w:t>
      </w:r>
    </w:p>
    <w:p w14:paraId="16955A1B" w14:textId="1C273F2A" w:rsidR="00C36BFA" w:rsidRDefault="00175218" w:rsidP="004D17FA">
      <w:pPr>
        <w:pStyle w:val="berschrift2"/>
        <w:rPr>
          <w:lang w:val="en-US"/>
        </w:rPr>
      </w:pPr>
      <w:r>
        <w:rPr>
          <w:lang w:val="en-US"/>
        </w:rPr>
        <w:t>Questionnaire and behavioral data</w:t>
      </w:r>
    </w:p>
    <w:p w14:paraId="45C10824" w14:textId="18083D8D" w:rsidR="005A7EC9" w:rsidRDefault="00175218" w:rsidP="00175218">
      <w:pPr>
        <w:rPr>
          <w:lang w:val="en-US"/>
        </w:rPr>
      </w:pPr>
      <w:r>
        <w:rPr>
          <w:lang w:val="en-US"/>
        </w:rPr>
        <w:t xml:space="preserve">To assess subjective workload, a German translation of the NASA Task-Load </w:t>
      </w:r>
      <w:proofErr w:type="spellStart"/>
      <w:r>
        <w:rPr>
          <w:lang w:val="en-US"/>
        </w:rPr>
        <w:t>indeX</w:t>
      </w:r>
      <w:proofErr w:type="spellEnd"/>
      <w:r>
        <w:rPr>
          <w:lang w:val="en-US"/>
        </w:rPr>
        <w:t xml:space="preserve"> (NASA-TLX</w:t>
      </w:r>
      <w:r w:rsidR="00DC0791">
        <w:rPr>
          <w:lang w:val="en-US"/>
        </w:rPr>
        <w:t xml:space="preserve">; </w:t>
      </w:r>
      <w:r w:rsidR="00DC0791">
        <w:rPr>
          <w:lang w:val="en-US"/>
        </w:rPr>
        <w:fldChar w:fldCharType="begin"/>
      </w:r>
      <w:r w:rsidR="006C6E43">
        <w:rPr>
          <w:lang w:val="en-US"/>
        </w:rPr>
        <w:instrText xml:space="preserve"> ADDIN ZOTERO_ITEM CSL_CITATION {"citationID":"8Z1URFH5","properties":{"formattedCitation":"(Hart &amp; Staveland, 1988)","plainCitation":"(Hart &amp; Staveland, 1988)","noteIndex":0},"citationItems":[{"id":"1e6YnVbL/3JKX8YMs","uris":["http://zotero.org/users/7328983/items/FTD4H84M"],"itemData":{"id":608,"type":"chapter","abstract":"The results of a multi-year research program to identify the factors associated with variations in subjective workload within and between different types of tasks are reviewed. Subjective evaluations of 10 workload-related factors were obtained from 16 different experiments. The experimental tasks included simple cognitive and manual control tasks, complex laboratory and supervisory control tasks, and aircraft simulation. Task-, behavior-, and subject-related correlates of subjective workload experiences varied as a function of difficulty manipulations within experiments, different sources of workload between experiments, and individual differences in workload definition. A multi-dimensional rating scale is proposed in which information about the magnitude and sources of six workload-related factors are combined to derive a sensitive and reliable estimate of workload. © 1988 Elsevier Science &amp; Technology.","container-title":"Human Mental Workload","event-place":"Amsterdam","ISBN":"0 444 70388 8","note":"PMID: 21357958\nDOI: 10.1016/S0166-4115(08)62386-9\nISSN: 01664115","publisher":"North-Holland Press","publisher-place":"Amsterdam","title":"Development of NASA-TLX (Task Load Index): Results of empirical and theoretical Research","URL":"http://www.sciencedirect.com/science/article/pii/S0166411508623869","author":[{"family":"Hart","given":"Sandra G."},{"family":"Staveland","given":"Lowell E."}],"editor":[{"family":"Hancock","given":"P.A"},{"family":"Meshkati","given":"N"}],"accessed":{"date-parts":[["2017",10,6]]},"issued":{"date-parts":[["1988"]]},"citation-key":"hartDevelopmentNASATLXTask1988"}}],"schema":"https://github.com/citation-style-language/schema/raw/master/csl-citation.json"} </w:instrText>
      </w:r>
      <w:r w:rsidR="00DC0791">
        <w:rPr>
          <w:lang w:val="en-US"/>
        </w:rPr>
        <w:fldChar w:fldCharType="separate"/>
      </w:r>
      <w:r w:rsidR="00E753E9">
        <w:rPr>
          <w:noProof/>
          <w:lang w:val="en-US"/>
        </w:rPr>
        <w:t>(Hart &amp; Staveland, 1988)</w:t>
      </w:r>
      <w:r w:rsidR="00DC0791">
        <w:rPr>
          <w:lang w:val="en-US"/>
        </w:rPr>
        <w:fldChar w:fldCharType="end"/>
      </w:r>
      <w:r>
        <w:rPr>
          <w:lang w:val="en-US"/>
        </w:rPr>
        <w:t xml:space="preserve">) was used. Participants </w:t>
      </w:r>
      <w:r w:rsidR="4647CD4B" w:rsidRPr="68BF048E">
        <w:rPr>
          <w:lang w:val="en-US"/>
        </w:rPr>
        <w:t>were required</w:t>
      </w:r>
      <w:r>
        <w:rPr>
          <w:lang w:val="en-US"/>
        </w:rPr>
        <w:t xml:space="preserve"> to </w:t>
      </w:r>
      <w:r w:rsidR="145FC2A2" w:rsidRPr="68BF048E">
        <w:rPr>
          <w:lang w:val="en-US"/>
        </w:rPr>
        <w:t>complete</w:t>
      </w:r>
      <w:r>
        <w:rPr>
          <w:lang w:val="en-US"/>
        </w:rPr>
        <w:t xml:space="preserve"> the questionnaire after the completion of each task. </w:t>
      </w:r>
      <w:r w:rsidR="61180DA8" w:rsidRPr="68BF048E">
        <w:rPr>
          <w:lang w:val="en-US"/>
        </w:rPr>
        <w:t>T</w:t>
      </w:r>
      <w:r w:rsidR="732E0318" w:rsidRPr="68BF048E">
        <w:rPr>
          <w:lang w:val="en-US"/>
        </w:rPr>
        <w:t>he</w:t>
      </w:r>
      <w:r>
        <w:rPr>
          <w:lang w:val="en-US"/>
        </w:rPr>
        <w:t xml:space="preserve"> unweighted </w:t>
      </w:r>
      <w:r w:rsidR="003F2906">
        <w:rPr>
          <w:lang w:val="en-US"/>
        </w:rPr>
        <w:t xml:space="preserve">mean </w:t>
      </w:r>
      <w:r>
        <w:rPr>
          <w:lang w:val="en-US"/>
        </w:rPr>
        <w:t>score</w:t>
      </w:r>
      <w:r w:rsidR="003F2906">
        <w:rPr>
          <w:lang w:val="en-US"/>
        </w:rPr>
        <w:t xml:space="preserve"> over all </w:t>
      </w:r>
      <w:r w:rsidR="00565478">
        <w:rPr>
          <w:lang w:val="en-US"/>
        </w:rPr>
        <w:t>sub-dimensions</w:t>
      </w:r>
      <w:r w:rsidR="63ED1E18" w:rsidRPr="68BF048E">
        <w:rPr>
          <w:lang w:val="en-US"/>
        </w:rPr>
        <w:t xml:space="preserve"> was analyzed</w:t>
      </w:r>
      <w:r w:rsidR="732E0318" w:rsidRPr="68BF048E">
        <w:rPr>
          <w:lang w:val="en-US"/>
        </w:rPr>
        <w:t>.</w:t>
      </w:r>
      <w:r>
        <w:rPr>
          <w:lang w:val="en-US"/>
        </w:rPr>
        <w:t xml:space="preserve"> Response time</w:t>
      </w:r>
      <w:r w:rsidR="00DC0791">
        <w:rPr>
          <w:lang w:val="en-US"/>
        </w:rPr>
        <w:t>s</w:t>
      </w:r>
      <w:r>
        <w:rPr>
          <w:lang w:val="en-US"/>
        </w:rPr>
        <w:t xml:space="preserve"> w</w:t>
      </w:r>
      <w:r w:rsidR="00DC0791">
        <w:rPr>
          <w:lang w:val="en-US"/>
        </w:rPr>
        <w:t>ere</w:t>
      </w:r>
      <w:r>
        <w:rPr>
          <w:lang w:val="en-US"/>
        </w:rPr>
        <w:t xml:space="preserve"> calculated as the latency between</w:t>
      </w:r>
      <w:r w:rsidR="006919C8">
        <w:rPr>
          <w:lang w:val="en-US"/>
        </w:rPr>
        <w:t xml:space="preserve"> target</w:t>
      </w:r>
      <w:r>
        <w:rPr>
          <w:lang w:val="en-US"/>
        </w:rPr>
        <w:t xml:space="preserve"> stimulus presentation and manual response</w:t>
      </w:r>
      <w:r w:rsidR="00DC0791">
        <w:rPr>
          <w:lang w:val="en-US"/>
        </w:rPr>
        <w:t xml:space="preserve"> in ms</w:t>
      </w:r>
      <w:r>
        <w:rPr>
          <w:lang w:val="en-US"/>
        </w:rPr>
        <w:t xml:space="preserve">. Accuracy was calculated as the ratio of correct </w:t>
      </w:r>
      <w:r w:rsidR="207D8FDE" w:rsidRPr="68BF048E">
        <w:rPr>
          <w:lang w:val="en-US"/>
        </w:rPr>
        <w:t>responses</w:t>
      </w:r>
      <w:r>
        <w:rPr>
          <w:lang w:val="en-US"/>
        </w:rPr>
        <w:t xml:space="preserve"> compared to the number of </w:t>
      </w:r>
      <w:r w:rsidR="003F2906">
        <w:rPr>
          <w:lang w:val="en-US"/>
        </w:rPr>
        <w:t xml:space="preserve">all </w:t>
      </w:r>
      <w:r>
        <w:rPr>
          <w:lang w:val="en-US"/>
        </w:rPr>
        <w:t xml:space="preserve">trials in a </w:t>
      </w:r>
      <w:r w:rsidR="00DC0791">
        <w:rPr>
          <w:lang w:val="en-US"/>
        </w:rPr>
        <w:t>condition block</w:t>
      </w:r>
      <w:r>
        <w:rPr>
          <w:lang w:val="en-US"/>
        </w:rPr>
        <w:t>.</w:t>
      </w:r>
      <w:r w:rsidR="005A7EC9">
        <w:rPr>
          <w:lang w:val="en-US"/>
        </w:rPr>
        <w:t xml:space="preserve"> </w:t>
      </w:r>
    </w:p>
    <w:p w14:paraId="2F974BD9" w14:textId="4D9DB389" w:rsidR="00175218" w:rsidRDefault="005A7EC9" w:rsidP="00175218">
      <w:pPr>
        <w:rPr>
          <w:lang w:val="en-US"/>
        </w:rPr>
      </w:pPr>
      <w:r>
        <w:rPr>
          <w:lang w:val="en-US"/>
        </w:rPr>
        <w:t xml:space="preserve">GRAIL motion capturing data was used to calculate step events that were added to the EEG event structure using custom </w:t>
      </w:r>
      <w:proofErr w:type="spellStart"/>
      <w:r>
        <w:rPr>
          <w:lang w:val="en-US"/>
        </w:rPr>
        <w:t>Matlab</w:t>
      </w:r>
      <w:proofErr w:type="spellEnd"/>
      <w:r>
        <w:rPr>
          <w:lang w:val="en-US"/>
        </w:rPr>
        <w:t xml:space="preserve"> scripts. A left or right step was detected when the 0.5-5 Hz band-pass filtered left or right heel marker time-series indicated a turning point on the vertical axis.</w:t>
      </w:r>
      <w:r w:rsidRPr="056C4F64">
        <w:rPr>
          <w:lang w:val="en-US"/>
        </w:rPr>
        <w:t xml:space="preserve"> </w:t>
      </w:r>
      <w:r>
        <w:rPr>
          <w:lang w:val="en-US"/>
        </w:rPr>
        <w:t>Mean stride time was calculated as the mean time difference between two consecutive left steps in ms per condition. Stride time variance was calculated as the mean variance between two consecutive left steps.</w:t>
      </w:r>
    </w:p>
    <w:p w14:paraId="09269EAF" w14:textId="342A50DB" w:rsidR="00175218" w:rsidRDefault="00175218" w:rsidP="00175218">
      <w:pPr>
        <w:pStyle w:val="berschrift2"/>
        <w:rPr>
          <w:lang w:val="en-US"/>
        </w:rPr>
      </w:pPr>
      <w:r>
        <w:rPr>
          <w:lang w:val="en-US"/>
        </w:rPr>
        <w:t>Electrophysiological data acquisition</w:t>
      </w:r>
    </w:p>
    <w:p w14:paraId="566CA837" w14:textId="670D5321" w:rsidR="00175218" w:rsidRPr="00812487" w:rsidRDefault="00175218" w:rsidP="00175218">
      <w:pPr>
        <w:rPr>
          <w:lang w:val="en-US"/>
        </w:rPr>
      </w:pPr>
      <w:r>
        <w:rPr>
          <w:lang w:val="en-US"/>
        </w:rPr>
        <w:t xml:space="preserve">EEG was recorded using 64 </w:t>
      </w:r>
      <w:r w:rsidR="32571A6C" w:rsidRPr="68BF048E">
        <w:rPr>
          <w:lang w:val="en-US"/>
        </w:rPr>
        <w:t>e</w:t>
      </w:r>
      <w:r>
        <w:rPr>
          <w:lang w:val="en-US"/>
        </w:rPr>
        <w:t>lectrodes in a standard 10-20-system montage (</w:t>
      </w:r>
      <w:r w:rsidR="00963ACE" w:rsidRPr="00963ACE">
        <w:rPr>
          <w:lang w:val="en-US"/>
        </w:rPr>
        <w:t xml:space="preserve">AF7, AF3, AF4, AF8, </w:t>
      </w:r>
      <w:r w:rsidR="00963ACE">
        <w:rPr>
          <w:lang w:val="en-US"/>
        </w:rPr>
        <w:t>Fp1, Fp2, F7, F5, F3, F1, Fz, F2, F4, F6, F8, FC5,</w:t>
      </w:r>
      <w:r w:rsidR="00963ACE" w:rsidRPr="002C2B98">
        <w:rPr>
          <w:lang w:val="en-US"/>
        </w:rPr>
        <w:t xml:space="preserve"> </w:t>
      </w:r>
      <w:r w:rsidR="00963ACE">
        <w:rPr>
          <w:lang w:val="en-US"/>
        </w:rPr>
        <w:t xml:space="preserve">FC3, FC1, FC2, FC4, FC6, FT9, FT7, T7, C5, C3, C1, </w:t>
      </w:r>
      <w:proofErr w:type="spellStart"/>
      <w:r w:rsidR="00963ACE">
        <w:rPr>
          <w:lang w:val="en-US"/>
        </w:rPr>
        <w:t>Cz</w:t>
      </w:r>
      <w:proofErr w:type="spellEnd"/>
      <w:r w:rsidR="00963ACE">
        <w:rPr>
          <w:lang w:val="en-US"/>
        </w:rPr>
        <w:t xml:space="preserve">, C2, C4, C6, T8, FT8, FT10, TP9, TP7, CP5, CP3, CP1, </w:t>
      </w:r>
      <w:proofErr w:type="spellStart"/>
      <w:r w:rsidR="00963ACE">
        <w:rPr>
          <w:lang w:val="en-US"/>
        </w:rPr>
        <w:t>CPz</w:t>
      </w:r>
      <w:proofErr w:type="spellEnd"/>
      <w:r w:rsidR="00963ACE">
        <w:rPr>
          <w:lang w:val="en-US"/>
        </w:rPr>
        <w:t xml:space="preserve">, CP2, CP4, CP6, TP8, TP10, P7, P5, P3, P1, </w:t>
      </w:r>
      <w:proofErr w:type="spellStart"/>
      <w:r w:rsidR="00963ACE">
        <w:rPr>
          <w:lang w:val="en-US"/>
        </w:rPr>
        <w:t>Pz</w:t>
      </w:r>
      <w:proofErr w:type="spellEnd"/>
      <w:r w:rsidR="00963ACE">
        <w:rPr>
          <w:lang w:val="en-US"/>
        </w:rPr>
        <w:t xml:space="preserve">, P2, P4, P6, P8, PO9, PO7, PO3, </w:t>
      </w:r>
      <w:proofErr w:type="spellStart"/>
      <w:r w:rsidR="00963ACE">
        <w:rPr>
          <w:lang w:val="en-US"/>
        </w:rPr>
        <w:t>POz</w:t>
      </w:r>
      <w:proofErr w:type="spellEnd"/>
      <w:r w:rsidR="00963ACE">
        <w:rPr>
          <w:lang w:val="en-US"/>
        </w:rPr>
        <w:t>, PO4, PO8, PO10, O1, Oz, O2</w:t>
      </w:r>
      <w:r>
        <w:rPr>
          <w:lang w:val="en-US"/>
        </w:rPr>
        <w:t xml:space="preserve">). </w:t>
      </w:r>
      <w:proofErr w:type="spellStart"/>
      <w:r>
        <w:rPr>
          <w:lang w:val="en-US"/>
        </w:rPr>
        <w:t>FCz</w:t>
      </w:r>
      <w:proofErr w:type="spellEnd"/>
      <w:r>
        <w:rPr>
          <w:lang w:val="en-US"/>
        </w:rPr>
        <w:t xml:space="preserve"> was used as </w:t>
      </w:r>
      <w:r w:rsidR="5E4C6E93" w:rsidRPr="68BF048E">
        <w:rPr>
          <w:lang w:val="en-US"/>
        </w:rPr>
        <w:t xml:space="preserve">the </w:t>
      </w:r>
      <w:r>
        <w:rPr>
          <w:lang w:val="en-US"/>
        </w:rPr>
        <w:t xml:space="preserve">online reference </w:t>
      </w:r>
      <w:r w:rsidRPr="00374180">
        <w:rPr>
          <w:lang w:val="en-US"/>
        </w:rPr>
        <w:t>electrode</w:t>
      </w:r>
      <w:r w:rsidR="732E0318" w:rsidRPr="68BF048E">
        <w:rPr>
          <w:lang w:val="en-US"/>
        </w:rPr>
        <w:t xml:space="preserve">, </w:t>
      </w:r>
      <w:r w:rsidR="266FFF10" w:rsidRPr="68BF048E">
        <w:rPr>
          <w:lang w:val="en-US"/>
        </w:rPr>
        <w:t xml:space="preserve">and </w:t>
      </w:r>
      <w:proofErr w:type="spellStart"/>
      <w:r w:rsidR="732E0318" w:rsidRPr="68BF048E">
        <w:rPr>
          <w:lang w:val="en-US"/>
        </w:rPr>
        <w:t>AFz</w:t>
      </w:r>
      <w:proofErr w:type="spellEnd"/>
      <w:r w:rsidR="732E0318" w:rsidRPr="68BF048E">
        <w:rPr>
          <w:lang w:val="en-US"/>
        </w:rPr>
        <w:t xml:space="preserve"> as the ground electrode.</w:t>
      </w:r>
      <w:r w:rsidRPr="00374180">
        <w:rPr>
          <w:lang w:val="en-US"/>
        </w:rPr>
        <w:t xml:space="preserve"> </w:t>
      </w:r>
      <w:r w:rsidRPr="00374180">
        <w:rPr>
          <w:lang w:val="en-US"/>
        </w:rPr>
        <w:lastRenderedPageBreak/>
        <w:t xml:space="preserve">After fitting a tight cap with </w:t>
      </w:r>
      <w:r w:rsidRPr="00175218">
        <w:rPr>
          <w:lang w:val="en-US"/>
        </w:rPr>
        <w:t>a</w:t>
      </w:r>
      <w:r>
        <w:rPr>
          <w:lang w:val="en-US"/>
        </w:rPr>
        <w:t xml:space="preserve"> </w:t>
      </w:r>
      <w:r w:rsidRPr="00374180">
        <w:rPr>
          <w:lang w:val="en-US"/>
        </w:rPr>
        <w:t xml:space="preserve">circumference ranging from 54 to 60 cm over the participant's head, actively shielded electrodes were inserted into the </w:t>
      </w:r>
      <w:r w:rsidRPr="00175218">
        <w:rPr>
          <w:lang w:val="en-US"/>
        </w:rPr>
        <w:t>embedded electrode</w:t>
      </w:r>
      <w:r w:rsidRPr="00374180">
        <w:rPr>
          <w:lang w:val="en-US"/>
        </w:rPr>
        <w:t xml:space="preserve"> holders and filled with conductive gel until impedances reached 10 k</w:t>
      </w:r>
      <w:r w:rsidRPr="00175218">
        <w:t>Ω</w:t>
      </w:r>
      <w:r w:rsidRPr="00374180">
        <w:rPr>
          <w:lang w:val="en-US"/>
        </w:rPr>
        <w:t xml:space="preserve"> or less.</w:t>
      </w:r>
      <w:r w:rsidRPr="00175218">
        <w:rPr>
          <w:lang w:val="en-US"/>
        </w:rPr>
        <w:t xml:space="preserve"> It was </w:t>
      </w:r>
      <w:r w:rsidR="00812487">
        <w:rPr>
          <w:lang w:val="en-US"/>
        </w:rPr>
        <w:t xml:space="preserve">ensured that cables did not cross as they were routed along the head using the cap’s loopholes before they were routed into the LiveAmp </w:t>
      </w:r>
      <w:r w:rsidR="00812487" w:rsidRPr="00374180">
        <w:rPr>
          <w:lang w:val="en-US"/>
        </w:rPr>
        <w:t xml:space="preserve">64. Data were recorded directly to a </w:t>
      </w:r>
      <w:r w:rsidR="004C1AD9" w:rsidRPr="00374180">
        <w:rPr>
          <w:lang w:val="en-US"/>
        </w:rPr>
        <w:t>micro-SD</w:t>
      </w:r>
      <w:r w:rsidR="00812487" w:rsidRPr="00374180">
        <w:rPr>
          <w:lang w:val="en-US"/>
        </w:rPr>
        <w:t xml:space="preserve"> card inserted into the amplifier </w:t>
      </w:r>
      <w:r w:rsidR="3EFB3D07" w:rsidRPr="68BF048E">
        <w:rPr>
          <w:lang w:val="en-US"/>
        </w:rPr>
        <w:t>at</w:t>
      </w:r>
      <w:r w:rsidR="00812487" w:rsidRPr="00374180">
        <w:rPr>
          <w:lang w:val="en-US"/>
        </w:rPr>
        <w:t xml:space="preserve"> a sampling rate of 500 Hz and a bit depth of 24 </w:t>
      </w:r>
      <w:r w:rsidR="7C4B89F7" w:rsidRPr="68BF048E">
        <w:rPr>
          <w:lang w:val="en-US"/>
        </w:rPr>
        <w:t>bit</w:t>
      </w:r>
      <w:r w:rsidR="41A3398A" w:rsidRPr="68BF048E">
        <w:rPr>
          <w:lang w:val="en-US"/>
        </w:rPr>
        <w:t>s</w:t>
      </w:r>
      <w:r w:rsidR="7C4B89F7" w:rsidRPr="68BF048E">
        <w:rPr>
          <w:lang w:val="en-US"/>
        </w:rPr>
        <w:t>.</w:t>
      </w:r>
      <w:r w:rsidR="00812487" w:rsidRPr="00374180">
        <w:rPr>
          <w:lang w:val="en-US"/>
        </w:rPr>
        <w:t xml:space="preserve"> At the same time, the online data stream which was received from the amplifier's Bluetooth connection was monitored on a laptop using the </w:t>
      </w:r>
      <w:proofErr w:type="spellStart"/>
      <w:r w:rsidR="00812487" w:rsidRPr="00374180">
        <w:rPr>
          <w:lang w:val="en-US"/>
        </w:rPr>
        <w:t>Brainvision</w:t>
      </w:r>
      <w:proofErr w:type="spellEnd"/>
      <w:r w:rsidR="00812487" w:rsidRPr="00374180">
        <w:rPr>
          <w:lang w:val="en-US"/>
        </w:rPr>
        <w:t xml:space="preserve"> Recorder software (Brain Products GmbH). </w:t>
      </w:r>
      <w:r w:rsidR="65C82C4F" w:rsidRPr="68BF048E">
        <w:rPr>
          <w:lang w:val="en-US"/>
        </w:rPr>
        <w:t>At the end</w:t>
      </w:r>
      <w:r w:rsidR="00812487" w:rsidRPr="00374180">
        <w:rPr>
          <w:lang w:val="en-US"/>
        </w:rPr>
        <w:t xml:space="preserve"> of the experiment, the EEG data were transferred from the SD card to the laptop using the LiveAmp File Converter software (Brain Products GmbH)</w:t>
      </w:r>
      <w:r w:rsidR="00812487" w:rsidRPr="00812487">
        <w:rPr>
          <w:lang w:val="en-US"/>
        </w:rPr>
        <w:t>.</w:t>
      </w:r>
    </w:p>
    <w:p w14:paraId="5559D4AD" w14:textId="59D7165E" w:rsidR="00175218" w:rsidRDefault="000950E3" w:rsidP="000950E3">
      <w:pPr>
        <w:pStyle w:val="berschrift2"/>
        <w:rPr>
          <w:lang w:val="en-US"/>
        </w:rPr>
      </w:pPr>
      <w:r>
        <w:rPr>
          <w:lang w:val="en-US"/>
        </w:rPr>
        <w:t>Data processing</w:t>
      </w:r>
    </w:p>
    <w:p w14:paraId="46035FB5" w14:textId="7EE92381" w:rsidR="00A36D81" w:rsidRDefault="056C4F64" w:rsidP="00B41FA9">
      <w:pPr>
        <w:rPr>
          <w:lang w:val="en-US"/>
        </w:rPr>
      </w:pPr>
      <w:r w:rsidRPr="056C4F64">
        <w:rPr>
          <w:lang w:val="en-US"/>
        </w:rPr>
        <w:t xml:space="preserve">In </w:t>
      </w:r>
      <w:r w:rsidR="003474A6">
        <w:rPr>
          <w:lang w:val="en-US"/>
        </w:rPr>
        <w:t>the</w:t>
      </w:r>
      <w:r w:rsidRPr="056C4F64">
        <w:rPr>
          <w:lang w:val="en-US"/>
        </w:rPr>
        <w:t xml:space="preserve"> first step, excess triggers that were recorded by accident (e.g. by starting a wrong condition) were manually removed from the datasets. Then, all data between condition blocks were excluded, and the data were high-pass filtered at 0.1 Hz using a second-order Butterworth filter; both functions were taken from the ERPLAB toolbox </w:t>
      </w:r>
      <w:r w:rsidR="00B41FA9" w:rsidRPr="056C4F64">
        <w:rPr>
          <w:lang w:val="en-US"/>
        </w:rPr>
        <w:fldChar w:fldCharType="begin"/>
      </w:r>
      <w:r w:rsidR="006C6E43">
        <w:rPr>
          <w:lang w:val="en-US"/>
        </w:rPr>
        <w:instrText xml:space="preserve"> ADDIN ZOTERO_ITEM CSL_CITATION {"citationID":"lx8smnFZ","properties":{"formattedCitation":"(Lopez-Calderon &amp; Luck, 2014)","plainCitation":"(Lopez-Calderon &amp; Luck, 2014)","noteIndex":0},"citationItems":[{"id":723,"uris":["http://zotero.org/users/7328983/items/KAE3XHPH"],"itemData":{"id":723,"type":"article-journal","abstract":"ERPLAB toolbox is a freely available, open-source toolbox for processing and analyzing event-related potential (ERP) data in the MATLAB environment. ERPLAB is closely integrated with EEGLAB, a popular open-source toolbox that provides many EEG preprocessing steps and an excellent user interface design. ERPLAB adds to EEGLAB's EEG processing functions, providing additional tools for filtering, artifact detection, re-referencing, and sorting of events, among others. ERPLAB also provides robust tools for averaging EEG segments together to create averaged ERPs, for creating difference waves and other recombinations of ERP waveforms through algebraic expressions, for filtering and re-referencing the averaged ERPs, for plotting ERP waveforms and scalp maps, and for quantifying several types of amplitudes and latencies. ERPLAB's tools can be accessed either from an easy-to-learn graphical user interface or from MATLAB scripts, and a command history function makes it easy for users with no programming experience to write scripts. Consequently, ERPLAB provides both ease of use and virtually unlimited power and flexibility, making it appropriate for the analysis of both simple and complex ERP experiments. Several forms of documentation are available, including a detailed user's guide, a step-by-step tutorial, a scripting guide, and a set of video-based demonstrations. © 2014 Lopez-Calderon and Luck.","container-title":"Frontiers in Human Neuroscience","DOI":"10.3389/fnhum.2014.00213","ISSN":"1662-5161","note":"PMID: 24782741\npublisher: Frontiers Media S. A.","page":"1-14","title":"ERPLAB: an open-source toolbox for the analysis of event-related potentials","volume":"8","author":[{"family":"Lopez-Calderon","given":"Javier"},{"family":"Luck","given":"Steven J."}],"issued":{"date-parts":[["2014",4,14]]},"citation-key":"lopez-calderonERPLABOpensourceToolbox2014"}}],"schema":"https://github.com/citation-style-language/schema/raw/master/csl-citation.json"} </w:instrText>
      </w:r>
      <w:r w:rsidR="00B41FA9" w:rsidRPr="056C4F64">
        <w:rPr>
          <w:lang w:val="en-US"/>
        </w:rPr>
        <w:fldChar w:fldCharType="separate"/>
      </w:r>
      <w:r w:rsidRPr="056C4F64">
        <w:rPr>
          <w:noProof/>
          <w:lang w:val="en-US"/>
        </w:rPr>
        <w:t>(Lopez-Calderon &amp; Luck, 2014)</w:t>
      </w:r>
      <w:r w:rsidR="00B41FA9" w:rsidRPr="056C4F64">
        <w:rPr>
          <w:lang w:val="en-US"/>
        </w:rPr>
        <w:fldChar w:fldCharType="end"/>
      </w:r>
      <w:r w:rsidRPr="056C4F64">
        <w:rPr>
          <w:lang w:val="en-US"/>
        </w:rPr>
        <w:t xml:space="preserve">. Next, the </w:t>
      </w:r>
      <w:r w:rsidR="00C75FA6">
        <w:rPr>
          <w:lang w:val="en-US"/>
        </w:rPr>
        <w:t>GRAIL data</w:t>
      </w:r>
      <w:r w:rsidRPr="056C4F64">
        <w:rPr>
          <w:lang w:val="en-US"/>
        </w:rPr>
        <w:t xml:space="preserve"> was merged with the EEG dataset</w:t>
      </w:r>
      <w:r w:rsidR="0046328F">
        <w:rPr>
          <w:lang w:val="en-US"/>
        </w:rPr>
        <w:t xml:space="preserve">. </w:t>
      </w:r>
    </w:p>
    <w:p w14:paraId="12933E89" w14:textId="504F5460" w:rsidR="00B41FA9" w:rsidRDefault="00B41FA9" w:rsidP="00B41FA9">
      <w:pPr>
        <w:rPr>
          <w:lang w:val="en-US"/>
        </w:rPr>
      </w:pPr>
      <w:r>
        <w:rPr>
          <w:lang w:val="en-US"/>
        </w:rPr>
        <w:t xml:space="preserve">After </w:t>
      </w:r>
      <w:r w:rsidR="0084770A">
        <w:rPr>
          <w:lang w:val="en-US"/>
        </w:rPr>
        <w:t>the data merging</w:t>
      </w:r>
      <w:r>
        <w:rPr>
          <w:lang w:val="en-US"/>
        </w:rPr>
        <w:t xml:space="preserve"> step, </w:t>
      </w:r>
      <w:r w:rsidR="002324F6">
        <w:rPr>
          <w:lang w:val="en-US"/>
        </w:rPr>
        <w:t xml:space="preserve">we followed the </w:t>
      </w:r>
      <w:proofErr w:type="spellStart"/>
      <w:r w:rsidR="002324F6">
        <w:rPr>
          <w:lang w:val="en-US"/>
        </w:rPr>
        <w:t>bemobil</w:t>
      </w:r>
      <w:proofErr w:type="spellEnd"/>
      <w:r w:rsidR="002324F6">
        <w:rPr>
          <w:lang w:val="en-US"/>
        </w:rPr>
        <w:t xml:space="preserve"> prep pipeline</w:t>
      </w:r>
      <w:r w:rsidR="00D3060B">
        <w:rPr>
          <w:lang w:val="en-US"/>
        </w:rPr>
        <w:t xml:space="preserve"> </w:t>
      </w:r>
      <w:r w:rsidR="00862F4A">
        <w:rPr>
          <w:lang w:val="en-US"/>
        </w:rPr>
        <w:fldChar w:fldCharType="begin"/>
      </w:r>
      <w:r w:rsidR="006C6E43">
        <w:rPr>
          <w:lang w:val="en-US"/>
        </w:rPr>
        <w:instrText xml:space="preserve"> ADDIN ZOTERO_ITEM CSL_CITATION {"citationID":"ICjLxTa2","properties":{"formattedCitation":"(Klug, Jeung, et al., 2022)","plainCitation":"(Klug, Jeung, et al., 2022)","noteIndex":0},"citationItems":[{"id":226,"uris":["http://zotero.org/users/7328983/items/CNHASDW8"],"itemData":{"id":226,"type":"report","abstract":"Advancements in hardware technology and analysis methods allow more and more mobility in electroencephalography (EEG) experiments. Mobile Brain/Body Imaging (MoBI) studies may record various types of data such as motion or eye tracking in addition to neural activity. Although there are options available to analyze EEG data in a standardized way, they do not fully cover complex multimodal data from mobile experiments. We thus propose the BeMoBIL Pipeline, an easy-to-use pipeline in MATLAB that supports the time-synchronized handling of multimodal data. It is based on EEGLAB and fieldtrip and consists of automated functions for EEG preprocessing and subsequent source separation. It also provides functions for motion data processing and extraction of event markers from different data modalities, including the extraction of events from EEG using independent component analysis. The pipeline introduces a new robust method for region-of-interest-based group-level clustering of independent EEG components. Finally, the BeMoBIL Pipeline provides analytical visualizations at various processing steps, keeping the analysis transparent and allowing for quality checks of the resulting outcomes. All parameters and steps are documented within the data structure and can be fully replicated using the same scripts. This pipeline makes the processing and analysis of (mobile) EEG and body data more reliable and independent of the prior experience of the individual researchers, thus facilitating the use of EEG in general and MoBI in particular. It is an open-source project available for download at https://github.com/BeMoBIL/bemobil-pipeline which allows for community-driven adaptations in the future.","genre":"preprint","language":"en","note":"DOI: 10.1101/2022.09.29.510051","publisher":"Neuroscience","source":"DOI.org (Crossref)","title":"The BeMoBIL Pipeline for automated analyses of multimodal mobile brain and body imaging data","URL":"http://biorxiv.org/lookup/doi/10.1101/2022.09.29.510051","author":[{"family":"Klug","given":"M."},{"family":"Jeung","given":"S."},{"family":"Wunderlich","given":"A."},{"family":"Gehrke","given":"L."},{"family":"Protzak","given":"J."},{"family":"Djebbara","given":"Z."},{"family":"Argubi-Wollesen","given":"A."},{"family":"Wollesen","given":"B."},{"family":"Gramann","given":"K."}],"accessed":{"date-parts":[["2022",12,1]]},"issued":{"date-parts":[["2022",9,30]]},"citation-key":"klugBeMoBILPipelineAutomated2022"}}],"schema":"https://github.com/citation-style-language/schema/raw/master/csl-citation.json"} </w:instrText>
      </w:r>
      <w:r w:rsidR="00862F4A">
        <w:rPr>
          <w:lang w:val="en-US"/>
        </w:rPr>
        <w:fldChar w:fldCharType="separate"/>
      </w:r>
      <w:r w:rsidR="00BA4029">
        <w:rPr>
          <w:noProof/>
          <w:lang w:val="en-US"/>
        </w:rPr>
        <w:t>(Klug, Jeung, et al., 2022)</w:t>
      </w:r>
      <w:r w:rsidR="00862F4A">
        <w:rPr>
          <w:lang w:val="en-US"/>
        </w:rPr>
        <w:fldChar w:fldCharType="end"/>
      </w:r>
      <w:r w:rsidR="002324F6">
        <w:rPr>
          <w:lang w:val="en-US"/>
        </w:rPr>
        <w:t xml:space="preserve"> to </w:t>
      </w:r>
      <w:r w:rsidR="50C97CC2" w:rsidRPr="68BF048E">
        <w:rPr>
          <w:lang w:val="en-US"/>
        </w:rPr>
        <w:t xml:space="preserve">further </w:t>
      </w:r>
      <w:r w:rsidR="002324F6">
        <w:rPr>
          <w:lang w:val="en-US"/>
        </w:rPr>
        <w:t xml:space="preserve">clean the data. First, </w:t>
      </w:r>
      <w:r>
        <w:rPr>
          <w:lang w:val="en-US"/>
        </w:rPr>
        <w:t>50 Hz line</w:t>
      </w:r>
      <w:r w:rsidR="502E9FDB" w:rsidRPr="68BF048E">
        <w:rPr>
          <w:lang w:val="en-US"/>
        </w:rPr>
        <w:t xml:space="preserve"> </w:t>
      </w:r>
      <w:r>
        <w:rPr>
          <w:lang w:val="en-US"/>
        </w:rPr>
        <w:t xml:space="preserve">noise was removed using the </w:t>
      </w:r>
      <w:proofErr w:type="spellStart"/>
      <w:r>
        <w:rPr>
          <w:lang w:val="en-US"/>
        </w:rPr>
        <w:t>zapline</w:t>
      </w:r>
      <w:proofErr w:type="spellEnd"/>
      <w:r>
        <w:rPr>
          <w:lang w:val="en-US"/>
        </w:rPr>
        <w:t xml:space="preserve"> function</w:t>
      </w:r>
      <w:r w:rsidR="00CA13E9">
        <w:rPr>
          <w:lang w:val="en-US"/>
        </w:rPr>
        <w:t xml:space="preserve"> </w:t>
      </w:r>
      <w:r w:rsidR="00CA13E9">
        <w:rPr>
          <w:lang w:val="en-US"/>
        </w:rPr>
        <w:fldChar w:fldCharType="begin"/>
      </w:r>
      <w:r w:rsidR="006C6E43">
        <w:rPr>
          <w:lang w:val="en-US"/>
        </w:rPr>
        <w:instrText xml:space="preserve"> ADDIN ZOTERO_ITEM CSL_CITATION {"citationID":"AodlvgUf","properties":{"formattedCitation":"(de Cheveign\\uc0\\u233{}, 2020)","plainCitation":"(de Cheveigné, 2020)","noteIndex":0},"citationItems":[{"id":153,"uris":["http://zotero.org/users/7328983/items/TTB8SDJI"],"itemData":{"id":153,"type":"article-journal","abstract":"Power line artifacts are the bane of animal and human electrophysiology. A number of methods are available to help attenuate or eliminate them, but each has its own set of drawbacks. In this brief note I present a simple method that combines the advantages of spectral and spatial ﬁltering, while minimizing their downsides. A perfect-reconstruction ﬁlterbank is used to split the data into two parts, one noise-free and the other contaminated by line artifact. The artifact-contaminated stream is processed by a spatial ﬁlter to project out line components, and added to the noise-free part to obtain clean data. This method is applicable to multichannel data such as electroencephalography (EEG), magnetoencephalography (MEG), or multichannel local ﬁeld potentials (LFP). I brieﬂy review past methods, pointing out their drawbacks, describe the new method, and evaluate the outcome using synthetic and real data.","container-title":"NeuroImage","DOI":"10.1016/j.neuroimage.2019.116356","ISSN":"10538119","journalAbbreviation":"NeuroImage","language":"en","note":"00020","page":"116356","source":"DOI.org (Crossref)","title":"ZapLine: A simple and effective method to remove power line artifacts","title-short":"ZapLine","volume":"207","author":[{"family":"Cheveigné","given":"Alain","non-dropping-particle":"de"}],"issued":{"date-parts":[["2020",2]]},"citation-key":"decheveigneZapLineSimpleEffective2020"}}],"schema":"https://github.com/citation-style-language/schema/raw/master/csl-citation.json"} </w:instrText>
      </w:r>
      <w:r w:rsidR="00CA13E9">
        <w:rPr>
          <w:lang w:val="en-US"/>
        </w:rPr>
        <w:fldChar w:fldCharType="separate"/>
      </w:r>
      <w:r w:rsidR="00CA13E9" w:rsidRPr="00CA13E9">
        <w:rPr>
          <w:rFonts w:cs="Times New Roman"/>
          <w:lang w:val="en-US"/>
        </w:rPr>
        <w:t xml:space="preserve">(de </w:t>
      </w:r>
      <w:proofErr w:type="spellStart"/>
      <w:r w:rsidR="00CA13E9" w:rsidRPr="00CA13E9">
        <w:rPr>
          <w:rFonts w:cs="Times New Roman"/>
          <w:lang w:val="en-US"/>
        </w:rPr>
        <w:t>Cheveigné</w:t>
      </w:r>
      <w:proofErr w:type="spellEnd"/>
      <w:r w:rsidR="00CA13E9" w:rsidRPr="00CA13E9">
        <w:rPr>
          <w:rFonts w:cs="Times New Roman"/>
          <w:lang w:val="en-US"/>
        </w:rPr>
        <w:t>, 2020)</w:t>
      </w:r>
      <w:r w:rsidR="00CA13E9">
        <w:rPr>
          <w:lang w:val="en-US"/>
        </w:rPr>
        <w:fldChar w:fldCharType="end"/>
      </w:r>
      <w:r>
        <w:rPr>
          <w:lang w:val="en-US"/>
        </w:rPr>
        <w:t>,</w:t>
      </w:r>
      <w:r w:rsidR="002324F6">
        <w:rPr>
          <w:lang w:val="en-US"/>
        </w:rPr>
        <w:t xml:space="preserve"> then </w:t>
      </w:r>
      <w:r w:rsidR="00720DD0">
        <w:rPr>
          <w:lang w:val="en-US"/>
        </w:rPr>
        <w:t xml:space="preserve">data </w:t>
      </w:r>
      <w:r w:rsidR="002324F6">
        <w:rPr>
          <w:lang w:val="en-US"/>
        </w:rPr>
        <w:t xml:space="preserve">channels </w:t>
      </w:r>
      <w:r w:rsidR="00720DD0">
        <w:rPr>
          <w:lang w:val="en-US"/>
        </w:rPr>
        <w:t xml:space="preserve">with </w:t>
      </w:r>
      <w:r w:rsidR="2199C0DC" w:rsidRPr="68BF048E">
        <w:rPr>
          <w:lang w:val="en-US"/>
        </w:rPr>
        <w:t>poor</w:t>
      </w:r>
      <w:r w:rsidR="00720DD0">
        <w:rPr>
          <w:lang w:val="en-US"/>
        </w:rPr>
        <w:t xml:space="preserve"> quality </w:t>
      </w:r>
      <w:r w:rsidR="002324F6">
        <w:rPr>
          <w:lang w:val="en-US"/>
        </w:rPr>
        <w:t xml:space="preserve">were </w:t>
      </w:r>
      <w:r w:rsidR="00720DD0">
        <w:rPr>
          <w:lang w:val="en-US"/>
        </w:rPr>
        <w:t xml:space="preserve">identified, </w:t>
      </w:r>
      <w:r w:rsidR="002324F6">
        <w:rPr>
          <w:lang w:val="en-US"/>
        </w:rPr>
        <w:t>rejected</w:t>
      </w:r>
      <w:r w:rsidR="00720DD0">
        <w:rPr>
          <w:lang w:val="en-US"/>
        </w:rPr>
        <w:t>,</w:t>
      </w:r>
      <w:r w:rsidR="002324F6">
        <w:rPr>
          <w:lang w:val="en-US"/>
        </w:rPr>
        <w:t xml:space="preserve"> and interpolated. From here, a separate ICA dataset was created as a duplicate of our EEG data that was </w:t>
      </w:r>
      <w:proofErr w:type="gramStart"/>
      <w:r w:rsidR="002324F6">
        <w:rPr>
          <w:lang w:val="en-US"/>
        </w:rPr>
        <w:t>high-pass</w:t>
      </w:r>
      <w:proofErr w:type="gramEnd"/>
      <w:r w:rsidR="002324F6">
        <w:rPr>
          <w:lang w:val="en-US"/>
        </w:rPr>
        <w:t xml:space="preserve"> filtered </w:t>
      </w:r>
      <w:r w:rsidR="4504B43E" w:rsidRPr="68BF048E">
        <w:rPr>
          <w:lang w:val="en-US"/>
        </w:rPr>
        <w:t xml:space="preserve">at 1.5 Hz </w:t>
      </w:r>
      <w:r w:rsidR="002324F6">
        <w:rPr>
          <w:lang w:val="en-US"/>
        </w:rPr>
        <w:t>(filter order 165</w:t>
      </w:r>
      <w:r w:rsidR="003C2093">
        <w:rPr>
          <w:lang w:val="en-US"/>
        </w:rPr>
        <w:t>1</w:t>
      </w:r>
      <w:r w:rsidR="002324F6">
        <w:rPr>
          <w:lang w:val="en-US"/>
        </w:rPr>
        <w:t xml:space="preserve">). </w:t>
      </w:r>
      <w:r w:rsidR="0088456F">
        <w:rPr>
          <w:lang w:val="en-US"/>
        </w:rPr>
        <w:t>Before</w:t>
      </w:r>
      <w:r w:rsidR="6D36EDEB" w:rsidRPr="68BF048E">
        <w:rPr>
          <w:lang w:val="en-US"/>
        </w:rPr>
        <w:t xml:space="preserve"> </w:t>
      </w:r>
      <w:r w:rsidR="00D4704B">
        <w:rPr>
          <w:lang w:val="en-US"/>
        </w:rPr>
        <w:t>AMICA calculations, the data</w:t>
      </w:r>
      <w:r w:rsidR="221DF2FE" w:rsidRPr="68BF048E">
        <w:rPr>
          <w:lang w:val="en-US"/>
        </w:rPr>
        <w:t xml:space="preserve"> </w:t>
      </w:r>
      <w:r w:rsidR="00D4704B">
        <w:rPr>
          <w:lang w:val="en-US"/>
        </w:rPr>
        <w:t>rank was reduced using a PCA</w:t>
      </w:r>
      <w:r w:rsidR="00AE74E4">
        <w:rPr>
          <w:lang w:val="en-US"/>
        </w:rPr>
        <w:t xml:space="preserve"> (rank reduction: 64 [overall electrodes] - 1 [average reference] - total number of rejected channels)</w:t>
      </w:r>
      <w:r w:rsidR="00D4704B">
        <w:rPr>
          <w:lang w:val="en-US"/>
        </w:rPr>
        <w:t xml:space="preserve">. </w:t>
      </w:r>
      <w:r w:rsidR="002324F6">
        <w:rPr>
          <w:lang w:val="en-US"/>
        </w:rPr>
        <w:t xml:space="preserve">This dataset was then used to </w:t>
      </w:r>
      <w:r w:rsidR="00D4704B">
        <w:rPr>
          <w:lang w:val="en-US"/>
        </w:rPr>
        <w:t>compute an</w:t>
      </w:r>
      <w:r w:rsidR="002324F6">
        <w:rPr>
          <w:lang w:val="en-US"/>
        </w:rPr>
        <w:t xml:space="preserve"> AMICA with</w:t>
      </w:r>
      <w:r w:rsidR="008C6A8E">
        <w:rPr>
          <w:lang w:val="en-US"/>
        </w:rPr>
        <w:t xml:space="preserve"> a likelihood-based</w:t>
      </w:r>
      <w:r w:rsidR="002324F6">
        <w:rPr>
          <w:lang w:val="en-US"/>
        </w:rPr>
        <w:t xml:space="preserve"> auto-rejection</w:t>
      </w:r>
      <w:r w:rsidR="008C6A8E">
        <w:rPr>
          <w:lang w:val="en-US"/>
        </w:rPr>
        <w:t xml:space="preserve"> procedure</w:t>
      </w:r>
      <w:r w:rsidR="00170052">
        <w:rPr>
          <w:lang w:val="en-US"/>
        </w:rPr>
        <w:t xml:space="preserve"> </w:t>
      </w:r>
      <w:r w:rsidR="00170052">
        <w:rPr>
          <w:lang w:val="en-US"/>
        </w:rPr>
        <w:fldChar w:fldCharType="begin"/>
      </w:r>
      <w:r w:rsidR="006C6E43">
        <w:rPr>
          <w:lang w:val="en-US"/>
        </w:rPr>
        <w:instrText xml:space="preserve"> ADDIN ZOTERO_ITEM CSL_CITATION {"citationID":"AQRcIHwg","properties":{"formattedCitation":"(Klug, Berg, et al., 2022)","plainCitation":"(Klug, Berg, et al., 2022)","noteIndex":0},"citationItems":[{"id":7,"uris":["http://zotero.org/users/7328983/items/REKDWRMY"],"itemData":{"id":7,"type":"article","abstract":"Objective. Electroencephalography (EEG) studies increasingly make use of more ecologically valid experimental protocols involving mobile participants that actively engage with their environment leading to increased artifacts in the recorded data (MoBI; Gramann et al., 2011). When analyzing EEG data, especially in the mobile context, removing samples regarded as artifactual is a common approach before computing independent component analysis (ICA). Automatic tools for this exist, such as the automatic sample rejection of the AMICA algorithm (Palmer et al., 2011), but the impact of both movement intensity and the automatic sample rejection has not been systematically evaluated yet.","DOI":"10.1101/2022.09.13.507772","language":"en","source":"Zotero","title":"No need for extensive artifact rejection for ICA - A multi-study evaluation on stationary and mobile EEG datasets","author":[{"family":"Klug","given":"Marius"},{"family":"Berg","given":"Timotheus"},{"family":"Gramann","given":"Klaus"}],"issued":{"date-parts":[["2022"]]},"citation-key":"klugNoNeedExtensive2022"}}],"schema":"https://github.com/citation-style-language/schema/raw/master/csl-citation.json"} </w:instrText>
      </w:r>
      <w:r w:rsidR="00170052">
        <w:rPr>
          <w:lang w:val="en-US"/>
        </w:rPr>
        <w:fldChar w:fldCharType="separate"/>
      </w:r>
      <w:r w:rsidR="00BA4029">
        <w:rPr>
          <w:noProof/>
          <w:lang w:val="en-US"/>
        </w:rPr>
        <w:t>(Klug, Berg, et al., 2022)</w:t>
      </w:r>
      <w:r w:rsidR="00170052">
        <w:rPr>
          <w:lang w:val="en-US"/>
        </w:rPr>
        <w:fldChar w:fldCharType="end"/>
      </w:r>
      <w:r w:rsidR="008C6A8E">
        <w:rPr>
          <w:lang w:val="en-US"/>
        </w:rPr>
        <w:t xml:space="preserve"> to </w:t>
      </w:r>
      <w:r w:rsidR="009825C0">
        <w:rPr>
          <w:lang w:val="en-US"/>
        </w:rPr>
        <w:t xml:space="preserve">clean data from artifactual or unlikely </w:t>
      </w:r>
      <w:r w:rsidR="30117444" w:rsidRPr="68BF048E">
        <w:rPr>
          <w:lang w:val="en-US"/>
        </w:rPr>
        <w:t>data</w:t>
      </w:r>
      <w:r w:rsidR="55C5D67D" w:rsidRPr="68BF048E">
        <w:rPr>
          <w:lang w:val="en-US"/>
        </w:rPr>
        <w:t xml:space="preserve"> </w:t>
      </w:r>
      <w:r w:rsidR="30117444" w:rsidRPr="68BF048E">
        <w:rPr>
          <w:lang w:val="en-US"/>
        </w:rPr>
        <w:t>points</w:t>
      </w:r>
      <w:r w:rsidR="002324F6">
        <w:rPr>
          <w:lang w:val="en-US"/>
        </w:rPr>
        <w:t xml:space="preserve"> (10</w:t>
      </w:r>
      <w:r w:rsidR="009825C0">
        <w:rPr>
          <w:lang w:val="en-US"/>
        </w:rPr>
        <w:t xml:space="preserve"> likelihood-based</w:t>
      </w:r>
      <w:r w:rsidR="002324F6">
        <w:rPr>
          <w:lang w:val="en-US"/>
        </w:rPr>
        <w:t xml:space="preserve"> rejection iterations</w:t>
      </w:r>
      <w:r w:rsidR="009825C0">
        <w:rPr>
          <w:lang w:val="en-US"/>
        </w:rPr>
        <w:t xml:space="preserve"> before AMICA</w:t>
      </w:r>
      <w:r w:rsidR="002324F6">
        <w:rPr>
          <w:lang w:val="en-US"/>
        </w:rPr>
        <w:t>, maximum iterations</w:t>
      </w:r>
      <w:r w:rsidR="009825C0">
        <w:rPr>
          <w:lang w:val="en-US"/>
        </w:rPr>
        <w:t xml:space="preserve"> of the AMICA</w:t>
      </w:r>
      <w:r w:rsidR="002324F6">
        <w:rPr>
          <w:lang w:val="en-US"/>
        </w:rPr>
        <w:t xml:space="preserve"> = 200</w:t>
      </w:r>
      <w:r w:rsidR="002F67E0">
        <w:rPr>
          <w:lang w:val="en-US"/>
        </w:rPr>
        <w:t>0</w:t>
      </w:r>
      <w:r w:rsidR="00446F12">
        <w:rPr>
          <w:lang w:val="en-US"/>
        </w:rPr>
        <w:t xml:space="preserve">, AMICA </w:t>
      </w:r>
      <w:r w:rsidR="4524E849" w:rsidRPr="68BF048E">
        <w:rPr>
          <w:lang w:val="en-US"/>
        </w:rPr>
        <w:t>auto</w:t>
      </w:r>
      <w:r w:rsidR="10FCA3D6" w:rsidRPr="68BF048E">
        <w:rPr>
          <w:lang w:val="en-US"/>
        </w:rPr>
        <w:t>-</w:t>
      </w:r>
      <w:r w:rsidR="4524E849" w:rsidRPr="68BF048E">
        <w:rPr>
          <w:lang w:val="en-US"/>
        </w:rPr>
        <w:t>rejection</w:t>
      </w:r>
      <w:r w:rsidR="00446F12">
        <w:rPr>
          <w:lang w:val="en-US"/>
        </w:rPr>
        <w:t xml:space="preserve"> enabled</w:t>
      </w:r>
      <w:r w:rsidR="002324F6">
        <w:rPr>
          <w:lang w:val="en-US"/>
        </w:rPr>
        <w:t xml:space="preserve">). After AMICA, dipoles were fitted </w:t>
      </w:r>
      <w:r w:rsidR="002462D5">
        <w:rPr>
          <w:lang w:val="en-US"/>
        </w:rPr>
        <w:t>for each IC</w:t>
      </w:r>
      <w:r w:rsidR="002324F6">
        <w:rPr>
          <w:lang w:val="en-US"/>
        </w:rPr>
        <w:t xml:space="preserve"> to obtain optimal results from </w:t>
      </w:r>
      <w:proofErr w:type="spellStart"/>
      <w:r w:rsidR="002324F6">
        <w:rPr>
          <w:lang w:val="en-US"/>
        </w:rPr>
        <w:t>ICLabel</w:t>
      </w:r>
      <w:proofErr w:type="spellEnd"/>
      <w:r w:rsidR="002324F6">
        <w:rPr>
          <w:lang w:val="en-US"/>
        </w:rPr>
        <w:t xml:space="preserve"> classification</w:t>
      </w:r>
      <w:r w:rsidR="00446F12">
        <w:rPr>
          <w:lang w:val="en-US"/>
        </w:rPr>
        <w:t xml:space="preserve"> </w:t>
      </w:r>
      <w:r w:rsidR="00446F12">
        <w:rPr>
          <w:lang w:val="en-US"/>
        </w:rPr>
        <w:fldChar w:fldCharType="begin"/>
      </w:r>
      <w:r w:rsidR="006C6E43">
        <w:rPr>
          <w:lang w:val="en-US"/>
        </w:rPr>
        <w:instrText xml:space="preserve"> ADDIN ZOTERO_ITEM CSL_CITATION {"citationID":"ZJSg6Zf9","properties":{"formattedCitation":"(Pion-Tonachini et al., 2019)","plainCitation":"(Pion-Tonachini et al., 2019)","noteIndex":0},"citationItems":[{"id":1181,"uris":["http://zotero.org/users/7328983/items/JJ7PVVDC"],"itemData":{"id":1181,"type":"article-journal","abstract":"The electroencephalogram (EEG) provides a non-invasive, minimally restrictive, and relatively low cost measure of mesoscale brain dynamics with high temporal resolution. Although signals recorded in parallel by multiple, near-adjacent EEG scalp electrode channels are highly-correlated and combine signals from many different sources, biological and non-biological, independent component analysis (ICA) has been shown to isolate the various source generator processes underlying those recordings. Independent components (IC) found by ICA decomposition can be manually inspected, selected, and interpreted, but doing so requires both time and practice as ICs have no particular order or intrinsic interpretations and therefore require further study of their properties. Alternatively, sufficiently-accurate automated IC classifiers can be used to classify ICs into broad source categories, speeding the analysis of EEG studies with many subjects and enabling the use of ICA decomposition in near-real-time applications. While many such classifiers have been proposed recently, this work presents the ICLabel project comprised of (1) an IC dataset containing spatiotemporal measures for over 200,000 ICs from more than 6,000 EEG recordings, (2) a website for collecting crowdsourced IC labels and educating EEG researchers and practitioners about IC interpretation, and (3) the automated ICLabel classifier. The classifier improves upon existing methods in two ways: by improving the accuracy of the computed label estimates and by enhancing its computational efficiency. The ICLabel classifier outperforms or performs comparably to the previous best publicly available method for all measured IC categories while computing those labels ten times faster than that classifier as shown in a rigorous comparison against all other publicly available EEG IC classifiers.","container-title":"NeuroImage","DOI":"10.1016/j.neuroimage.2019.05.026","ISSN":"10538119","page":"181-197","title":"ICLabel: An automated electroencephalographic independent component classifier, dataset, and website","volume":"198","author":[{"family":"Pion-Tonachini","given":"Luca"},{"family":"Kreutz-Delgado","given":"Ken"},{"family":"Makeig","given":"Scott"}],"issued":{"date-parts":[["2019",9,22]]},"citation-key":"pion-tonachiniICLabelAutomatedElectroencephalographic2019"}}],"schema":"https://github.com/citation-style-language/schema/raw/master/csl-citation.json"} </w:instrText>
      </w:r>
      <w:r w:rsidR="00446F12">
        <w:rPr>
          <w:lang w:val="en-US"/>
        </w:rPr>
        <w:fldChar w:fldCharType="separate"/>
      </w:r>
      <w:r w:rsidR="00E351C7">
        <w:rPr>
          <w:noProof/>
          <w:lang w:val="en-US"/>
        </w:rPr>
        <w:t>(Pion-Tonachini et al., 2019)</w:t>
      </w:r>
      <w:r w:rsidR="00446F12">
        <w:rPr>
          <w:lang w:val="en-US"/>
        </w:rPr>
        <w:fldChar w:fldCharType="end"/>
      </w:r>
      <w:r w:rsidR="002324F6">
        <w:rPr>
          <w:lang w:val="en-US"/>
        </w:rPr>
        <w:t>. Using</w:t>
      </w:r>
      <w:r w:rsidR="00AB3B9C">
        <w:rPr>
          <w:lang w:val="en-US"/>
        </w:rPr>
        <w:t xml:space="preserve"> the results from</w:t>
      </w:r>
      <w:r w:rsidR="002324F6">
        <w:rPr>
          <w:lang w:val="en-US"/>
        </w:rPr>
        <w:t xml:space="preserve"> </w:t>
      </w:r>
      <w:proofErr w:type="spellStart"/>
      <w:r w:rsidR="002324F6">
        <w:rPr>
          <w:lang w:val="en-US"/>
        </w:rPr>
        <w:t>ICLabel</w:t>
      </w:r>
      <w:proofErr w:type="spellEnd"/>
      <w:r w:rsidR="002324F6">
        <w:rPr>
          <w:lang w:val="en-US"/>
        </w:rPr>
        <w:t xml:space="preserve">, we rejected all independent components that were classified </w:t>
      </w:r>
      <w:r w:rsidR="00EE0484">
        <w:rPr>
          <w:lang w:val="en-US"/>
        </w:rPr>
        <w:t>as reflecting</w:t>
      </w:r>
      <w:r w:rsidR="002324F6">
        <w:rPr>
          <w:lang w:val="en-US"/>
        </w:rPr>
        <w:t xml:space="preserve"> brain activity with less than 50% probability.</w:t>
      </w:r>
    </w:p>
    <w:p w14:paraId="35D2D4E1" w14:textId="77777777" w:rsidR="000950E3" w:rsidRDefault="000950E3" w:rsidP="00BB34D8">
      <w:pPr>
        <w:pStyle w:val="berschrift2"/>
        <w:rPr>
          <w:lang w:val="en-US"/>
        </w:rPr>
      </w:pPr>
      <w:r>
        <w:rPr>
          <w:lang w:val="en-US"/>
        </w:rPr>
        <w:t>EEG parametrization and analysis</w:t>
      </w:r>
    </w:p>
    <w:p w14:paraId="72626401" w14:textId="54C3179C" w:rsidR="0020727A" w:rsidRDefault="008B63EC" w:rsidP="008B63EC">
      <w:pPr>
        <w:rPr>
          <w:lang w:val="en-US"/>
        </w:rPr>
      </w:pPr>
      <w:r w:rsidRPr="008B63EC">
        <w:rPr>
          <w:b/>
          <w:bCs/>
          <w:lang w:val="en-US"/>
        </w:rPr>
        <w:t>ERPs.</w:t>
      </w:r>
      <w:r>
        <w:rPr>
          <w:lang w:val="en-US"/>
        </w:rPr>
        <w:t xml:space="preserve"> </w:t>
      </w:r>
      <w:r w:rsidRPr="00374180">
        <w:rPr>
          <w:lang w:val="en-US"/>
        </w:rPr>
        <w:t>The preprocessed data were averaged for each channel and each experimental condition. Within these conditions, the data were baselined from −</w:t>
      </w:r>
      <w:r w:rsidR="00DC2FD6">
        <w:rPr>
          <w:lang w:val="en-US"/>
        </w:rPr>
        <w:t>800</w:t>
      </w:r>
      <w:r w:rsidRPr="00374180">
        <w:rPr>
          <w:lang w:val="en-US"/>
        </w:rPr>
        <w:t xml:space="preserve"> ms to -</w:t>
      </w:r>
      <w:r w:rsidR="00DC2FD6">
        <w:rPr>
          <w:lang w:val="en-US"/>
        </w:rPr>
        <w:t>600</w:t>
      </w:r>
      <w:r w:rsidRPr="00374180">
        <w:rPr>
          <w:lang w:val="en-US"/>
        </w:rPr>
        <w:t xml:space="preserve"> ms prior to </w:t>
      </w:r>
      <w:r w:rsidR="00060789">
        <w:rPr>
          <w:lang w:val="en-US"/>
        </w:rPr>
        <w:t>target</w:t>
      </w:r>
      <w:r w:rsidR="00060789" w:rsidRPr="00374180">
        <w:rPr>
          <w:lang w:val="en-US"/>
        </w:rPr>
        <w:t xml:space="preserve"> </w:t>
      </w:r>
      <w:r w:rsidRPr="00374180">
        <w:rPr>
          <w:lang w:val="en-US"/>
        </w:rPr>
        <w:t>onset</w:t>
      </w:r>
      <w:r w:rsidR="00DC2FD6">
        <w:rPr>
          <w:lang w:val="en-US"/>
        </w:rPr>
        <w:t xml:space="preserve"> (right before the onset of the cue)</w:t>
      </w:r>
      <w:r w:rsidR="00B02B2A">
        <w:rPr>
          <w:lang w:val="en-US"/>
        </w:rPr>
        <w:t xml:space="preserve"> for CNV analysis</w:t>
      </w:r>
      <w:r w:rsidRPr="00374180">
        <w:rPr>
          <w:lang w:val="en-US"/>
        </w:rPr>
        <w:t>.</w:t>
      </w:r>
      <w:r w:rsidR="00B02B2A">
        <w:rPr>
          <w:lang w:val="en-US"/>
        </w:rPr>
        <w:t xml:space="preserve"> For target-related P3 analysis, </w:t>
      </w:r>
      <w:r w:rsidR="00DB58C1">
        <w:rPr>
          <w:lang w:val="en-US"/>
        </w:rPr>
        <w:t xml:space="preserve">the time window ranging from </w:t>
      </w:r>
      <w:r w:rsidR="00B02B2A">
        <w:rPr>
          <w:lang w:val="en-US"/>
        </w:rPr>
        <w:t>-200 to 0 ms relative to target onset</w:t>
      </w:r>
      <w:r w:rsidR="007135EC">
        <w:rPr>
          <w:lang w:val="en-US"/>
        </w:rPr>
        <w:t xml:space="preserve"> was used as the baseline period</w:t>
      </w:r>
      <w:r w:rsidR="00B02B2A">
        <w:rPr>
          <w:lang w:val="en-US"/>
        </w:rPr>
        <w:t>.</w:t>
      </w:r>
      <w:r w:rsidRPr="00374180">
        <w:rPr>
          <w:lang w:val="en-US"/>
        </w:rPr>
        <w:t xml:space="preserve"> To quantify amplitudes and latencies </w:t>
      </w:r>
      <w:r w:rsidR="007135EC">
        <w:rPr>
          <w:lang w:val="en-US"/>
        </w:rPr>
        <w:t>of the ERP components of interest</w:t>
      </w:r>
      <w:r w:rsidRPr="00374180">
        <w:rPr>
          <w:lang w:val="en-US"/>
        </w:rPr>
        <w:t xml:space="preserve">, we used </w:t>
      </w:r>
      <w:r w:rsidR="005F313B">
        <w:rPr>
          <w:lang w:val="en-US"/>
        </w:rPr>
        <w:t>the factorial mass univariate analysis</w:t>
      </w:r>
      <w:r w:rsidR="009E0FCC">
        <w:rPr>
          <w:lang w:val="en-US"/>
        </w:rPr>
        <w:t xml:space="preserve"> (FMU</w:t>
      </w:r>
      <w:r w:rsidR="00B150D4">
        <w:rPr>
          <w:lang w:val="en-US"/>
        </w:rPr>
        <w:t>A)</w:t>
      </w:r>
      <w:r w:rsidR="005F313B">
        <w:rPr>
          <w:lang w:val="en-US"/>
        </w:rPr>
        <w:t xml:space="preserve"> approach </w:t>
      </w:r>
      <w:r w:rsidR="00F7612B">
        <w:rPr>
          <w:lang w:val="en-US"/>
        </w:rPr>
        <w:t xml:space="preserve">presented by Fields and Kuperberg </w:t>
      </w:r>
      <w:r w:rsidR="00F7612B">
        <w:rPr>
          <w:lang w:val="en-US"/>
        </w:rPr>
        <w:fldChar w:fldCharType="begin"/>
      </w:r>
      <w:r w:rsidR="006C6E43">
        <w:rPr>
          <w:lang w:val="en-US"/>
        </w:rPr>
        <w:instrText xml:space="preserve"> ADDIN ZOTERO_ITEM CSL_CITATION {"citationID":"7hxrtmA5","properties":{"formattedCitation":"(2020)","plainCitation":"(2020)","noteIndex":0},"citationItems":[{"id":137,"uris":["http://zotero.org/users/7328983/items/33SXIHRE"],"itemData":{"id":137,"type":"article-journal","abstract":"ERP studies produce large spatiotemporal data sets. These rich data sets are key to enabling us to understand cognitive and neural processes. However, they also present a massive multiple comparisons problem, potentially leading to a large number of studies with false positive effects (a high Type I error rate). Standard approaches to ERP statistical analysis, which average over time windows and regions of interest, do not always control for Type I error, and their inflexibility can lead to low power to detect true effects. Mass univariate approaches offer an alternative analytic method. However, they have thus far been viewed as appropriate primarily for exploratory statistical analysis and only applicable to simple designs. Here, we present new simulation studies showing that permutation‐based mass univariate tests can be employed with complex factorial designs. Most importantly, we show that mass univariate approaches provide slightly greater power than traditional spatiotemporal averaging approaches when strong a priori time windows and spatial regions are used. Moreover, their power decreases only modestly when more exploratory spatiotemporal parameters are used. We argue that mass univariate approaches are preferable to traditional spatiotemporal averaging analysis approaches for many ERP studies.","container-title":"Psychophysiology","DOI":"10.1111/psyp.13468","ISSN":"0048-5772, 1469-8986","issue":"2","journalAbbreviation":"Psychophysiology","language":"en","note":"00041","source":"DOI.org (Crossref)","title":"Having your cake and eating it too: Flexibility and power with mass univariate statistics for ERP data","title-short":"Having your cake and eating it too","URL":"https://onlinelibrary.wiley.com/doi/10.1111/psyp.13468","volume":"57","author":[{"family":"Fields","given":"Eric C."},{"family":"Kuperberg","given":"Gina R."}],"accessed":{"date-parts":[["2021",11,10]]},"issued":{"date-parts":[["2020",2]]},"citation-key":"fieldsHavingYourCake2020"},"label":"page","suppress-author":true}],"schema":"https://github.com/citation-style-language/schema/raw/master/csl-citation.json"} </w:instrText>
      </w:r>
      <w:r w:rsidR="00F7612B">
        <w:rPr>
          <w:lang w:val="en-US"/>
        </w:rPr>
        <w:fldChar w:fldCharType="separate"/>
      </w:r>
      <w:r w:rsidR="00F7612B">
        <w:rPr>
          <w:noProof/>
          <w:lang w:val="en-US"/>
        </w:rPr>
        <w:t>(2020)</w:t>
      </w:r>
      <w:r w:rsidR="00F7612B">
        <w:rPr>
          <w:lang w:val="en-US"/>
        </w:rPr>
        <w:fldChar w:fldCharType="end"/>
      </w:r>
      <w:r w:rsidR="00F7612B">
        <w:rPr>
          <w:lang w:val="en-US"/>
        </w:rPr>
        <w:t xml:space="preserve">. </w:t>
      </w:r>
      <w:r w:rsidR="00B150D4">
        <w:rPr>
          <w:lang w:val="en-US"/>
        </w:rPr>
        <w:t>FMUA is used to compute</w:t>
      </w:r>
      <w:r w:rsidR="003C1646">
        <w:rPr>
          <w:lang w:val="en-US"/>
        </w:rPr>
        <w:t xml:space="preserve"> </w:t>
      </w:r>
      <w:r w:rsidR="00596892">
        <w:rPr>
          <w:lang w:val="en-US"/>
        </w:rPr>
        <w:t>tests on</w:t>
      </w:r>
      <w:r w:rsidR="00B150D4">
        <w:rPr>
          <w:lang w:val="en-US"/>
        </w:rPr>
        <w:t xml:space="preserve"> </w:t>
      </w:r>
      <w:r w:rsidR="00596892">
        <w:rPr>
          <w:lang w:val="en-US"/>
        </w:rPr>
        <w:t xml:space="preserve">all </w:t>
      </w:r>
      <w:r w:rsidR="003C1646">
        <w:rPr>
          <w:lang w:val="en-US"/>
        </w:rPr>
        <w:t>electrode</w:t>
      </w:r>
      <w:r w:rsidR="00596892">
        <w:rPr>
          <w:lang w:val="en-US"/>
        </w:rPr>
        <w:t>s</w:t>
      </w:r>
      <w:r w:rsidR="003C1646">
        <w:rPr>
          <w:lang w:val="en-US"/>
        </w:rPr>
        <w:t xml:space="preserve"> and </w:t>
      </w:r>
      <w:r w:rsidR="0088456F">
        <w:rPr>
          <w:lang w:val="en-US"/>
        </w:rPr>
        <w:t>time points</w:t>
      </w:r>
      <w:r w:rsidR="003C1646">
        <w:rPr>
          <w:lang w:val="en-US"/>
        </w:rPr>
        <w:t xml:space="preserve"> in a </w:t>
      </w:r>
      <w:r w:rsidR="00C75FA6">
        <w:rPr>
          <w:lang w:val="en-US"/>
        </w:rPr>
        <w:t>time window</w:t>
      </w:r>
      <w:r w:rsidR="00596892">
        <w:rPr>
          <w:lang w:val="en-US"/>
        </w:rPr>
        <w:t xml:space="preserve"> of interest</w:t>
      </w:r>
      <w:r w:rsidR="00783389">
        <w:rPr>
          <w:lang w:val="en-US"/>
        </w:rPr>
        <w:t xml:space="preserve"> and controls for family-wise errors. We used this approach </w:t>
      </w:r>
      <w:r w:rsidR="00CF18BD">
        <w:rPr>
          <w:lang w:val="en-US"/>
        </w:rPr>
        <w:t xml:space="preserve">to compute </w:t>
      </w:r>
      <w:r w:rsidR="00FA07CD">
        <w:rPr>
          <w:lang w:val="en-US"/>
        </w:rPr>
        <w:t>FMUAs with the factors task difficulty</w:t>
      </w:r>
      <w:r w:rsidR="000605D8">
        <w:rPr>
          <w:lang w:val="en-US"/>
        </w:rPr>
        <w:t xml:space="preserve"> (repeat vs. switch trial)</w:t>
      </w:r>
      <w:r w:rsidR="00FA07CD">
        <w:rPr>
          <w:lang w:val="en-US"/>
        </w:rPr>
        <w:t>, cue modality, and movement c</w:t>
      </w:r>
      <w:r w:rsidR="00D0465C">
        <w:rPr>
          <w:lang w:val="en-US"/>
        </w:rPr>
        <w:t>omplexity</w:t>
      </w:r>
      <w:r w:rsidR="00CA109B">
        <w:rPr>
          <w:lang w:val="en-US"/>
        </w:rPr>
        <w:t xml:space="preserve"> in a priori </w:t>
      </w:r>
      <w:r w:rsidR="00D2372E">
        <w:rPr>
          <w:lang w:val="en-US"/>
        </w:rPr>
        <w:t xml:space="preserve">defined </w:t>
      </w:r>
      <w:r w:rsidR="0088456F">
        <w:rPr>
          <w:lang w:val="en-US"/>
        </w:rPr>
        <w:t>time windows</w:t>
      </w:r>
      <w:r w:rsidR="00CA109B">
        <w:rPr>
          <w:lang w:val="en-US"/>
        </w:rPr>
        <w:t xml:space="preserve"> and regions of interest</w:t>
      </w:r>
      <w:r w:rsidR="00C152F8">
        <w:rPr>
          <w:lang w:val="en-US"/>
        </w:rPr>
        <w:t xml:space="preserve"> (see below)</w:t>
      </w:r>
      <w:r w:rsidR="00D2372E">
        <w:rPr>
          <w:lang w:val="en-US"/>
        </w:rPr>
        <w:t>. A</w:t>
      </w:r>
      <w:r w:rsidR="00F006F5">
        <w:rPr>
          <w:lang w:val="en-US"/>
        </w:rPr>
        <w:t xml:space="preserve"> significance level of .05</w:t>
      </w:r>
      <w:r w:rsidR="00D2372E">
        <w:rPr>
          <w:lang w:val="en-US"/>
        </w:rPr>
        <w:t xml:space="preserve"> was used for all tests</w:t>
      </w:r>
      <w:r w:rsidR="00D0465C">
        <w:rPr>
          <w:lang w:val="en-US"/>
        </w:rPr>
        <w:t>.</w:t>
      </w:r>
      <w:r w:rsidR="00CA109B">
        <w:rPr>
          <w:lang w:val="en-US"/>
        </w:rPr>
        <w:t xml:space="preserve"> </w:t>
      </w:r>
      <w:r w:rsidR="27A6C0E6">
        <w:rPr>
          <w:lang w:val="en-US"/>
        </w:rPr>
        <w:t>The</w:t>
      </w:r>
      <w:r w:rsidR="00CA109B">
        <w:rPr>
          <w:lang w:val="en-US"/>
        </w:rPr>
        <w:t xml:space="preserve"> </w:t>
      </w:r>
      <w:r w:rsidR="27A6C0E6">
        <w:rPr>
          <w:lang w:val="en-US"/>
        </w:rPr>
        <w:t>c</w:t>
      </w:r>
      <w:r w:rsidR="00C152F8">
        <w:rPr>
          <w:lang w:val="en-US"/>
        </w:rPr>
        <w:t xml:space="preserve">omputed ANOVAs were corrected for multiple comparisons with </w:t>
      </w:r>
      <w:r w:rsidR="00886D6D">
        <w:rPr>
          <w:lang w:val="en-US"/>
        </w:rPr>
        <w:t xml:space="preserve">the </w:t>
      </w:r>
      <w:r w:rsidR="00C152F8">
        <w:rPr>
          <w:lang w:val="en-US"/>
        </w:rPr>
        <w:t>Permutation Based Cluster Mass</w:t>
      </w:r>
      <w:r w:rsidR="00886D6D">
        <w:rPr>
          <w:lang w:val="en-US"/>
        </w:rPr>
        <w:t xml:space="preserve"> technique </w:t>
      </w:r>
      <w:r w:rsidR="00886D6D">
        <w:rPr>
          <w:lang w:val="en-US"/>
        </w:rPr>
        <w:fldChar w:fldCharType="begin"/>
      </w:r>
      <w:r w:rsidR="006C6E43">
        <w:rPr>
          <w:lang w:val="en-US"/>
        </w:rPr>
        <w:instrText xml:space="preserve"> ADDIN ZOTERO_ITEM CSL_CITATION {"citationID":"cWVO5sOX","properties":{"formattedCitation":"(Groppe et al., 2011)","plainCitation":"(Groppe et al., 2011)","noteIndex":0},"citationItems":[{"id":139,"uris":["http://zotero.org/users/7328983/items/7LY6WKGG"],"itemData":{"id":139,"type":"article-journal","abstract":"Event-related potentials (ERPs) and magnetic fields (ERFs) are typically analyzed via ANOVAs on mean activity in a priori windows. Advances in computing power and statistics have produced an alternative, mass univariate analyses consisting of thousands of statistical tests and powerful corrections for multiple comparisons. Such analyses are most useful when one has little a priori knowledge of effect locations or latencies, and for delineating effect boundaries. Mass univariate analyses complement and, at times, obviate traditional analyses. Here we review this approach as applied to ERP/ERF data and four methods for multiple comparison correction: strong control of the family-wise error rate (FWER) via permutation tests, weak control of FWER via cluster-based permutation tests, false discovery rate control, and control of the generalized FWER. We end with recommendations for their use and introduce free MATLAB software for their implementation.","container-title":"Psychophysiology","DOI":"10.1111/j.1469-8986.2011.01273.x","ISSN":"00485772","issue":"12","language":"en","note":"00000","page":"1711-1725","source":"DOI.org (Crossref)","title":"Mass univariate analysis of event-related brain potentials/fields I: A critical tutorial review: Mass univariate analysis of ERPs/ERFs I: Review","title-short":"Mass univariate analysis of event-related brain potentials/fields I","volume":"48","author":[{"family":"Groppe","given":"David M."},{"family":"Urbach","given":"Thomas P."},{"family":"Kutas","given":"Marta"}],"issued":{"date-parts":[["2011",12]]},"citation-key":"groppeMassUnivariateAnalysis2011a"}}],"schema":"https://github.com/citation-style-language/schema/raw/master/csl-citation.json"} </w:instrText>
      </w:r>
      <w:r w:rsidR="00886D6D">
        <w:rPr>
          <w:lang w:val="en-US"/>
        </w:rPr>
        <w:fldChar w:fldCharType="separate"/>
      </w:r>
      <w:r w:rsidR="00886D6D" w:rsidRPr="001B5A1B">
        <w:rPr>
          <w:noProof/>
          <w:lang w:val="en-US"/>
        </w:rPr>
        <w:t>(Groppe et al., 2011)</w:t>
      </w:r>
      <w:r w:rsidR="00886D6D">
        <w:rPr>
          <w:lang w:val="en-US"/>
        </w:rPr>
        <w:fldChar w:fldCharType="end"/>
      </w:r>
      <w:r w:rsidR="00886D6D" w:rsidRPr="001B5A1B">
        <w:rPr>
          <w:lang w:val="en-US"/>
        </w:rPr>
        <w:t>.</w:t>
      </w:r>
      <w:r w:rsidR="002A6EDD" w:rsidRPr="001B5A1B">
        <w:rPr>
          <w:lang w:val="en-US"/>
        </w:rPr>
        <w:t xml:space="preserve"> Here, data points that are spatially and temporally adjacent are clustered if they exceed the </w:t>
      </w:r>
      <w:r w:rsidR="009554A8" w:rsidRPr="001B5A1B">
        <w:rPr>
          <w:lang w:val="en-US"/>
        </w:rPr>
        <w:t xml:space="preserve">cluster inclusion threshold. </w:t>
      </w:r>
      <w:r w:rsidR="009554A8">
        <w:rPr>
          <w:lang w:val="en-US"/>
        </w:rPr>
        <w:t xml:space="preserve">Then, all F-values in a cluster </w:t>
      </w:r>
      <w:r w:rsidR="00F87D52">
        <w:rPr>
          <w:lang w:val="en-US"/>
        </w:rPr>
        <w:t>are summed and compared to a null distribution created by performing 10000 permutations.</w:t>
      </w:r>
      <w:r w:rsidR="00CC0778">
        <w:rPr>
          <w:lang w:val="en-US"/>
        </w:rPr>
        <w:t xml:space="preserve"> This cluster-based technique is </w:t>
      </w:r>
      <w:r w:rsidR="00C31F9D">
        <w:rPr>
          <w:lang w:val="en-US"/>
        </w:rPr>
        <w:t xml:space="preserve">useful to uncover ERP effects, as clusters are more likely to occur </w:t>
      </w:r>
      <w:r w:rsidR="00092A9B">
        <w:rPr>
          <w:lang w:val="en-US"/>
        </w:rPr>
        <w:t xml:space="preserve">in a significant pattern compared to signal noise </w:t>
      </w:r>
      <w:r w:rsidR="00092A9B">
        <w:rPr>
          <w:lang w:val="en-US"/>
        </w:rPr>
        <w:fldChar w:fldCharType="begin"/>
      </w:r>
      <w:r w:rsidR="006C6E43">
        <w:rPr>
          <w:lang w:val="en-US"/>
        </w:rPr>
        <w:instrText xml:space="preserve"> ADDIN ZOTERO_ITEM CSL_CITATION {"citationID":"XFQChk4A","properties":{"formattedCitation":"(Fields &amp; Kuperberg, 2020; Groppe et al., 2011)","plainCitation":"(Fields &amp; Kuperberg, 2020; Groppe et al., 2011)","noteIndex":0},"citationItems":[{"id":137,"uris":["http://zotero.org/users/7328983/items/33SXIHRE"],"itemData":{"id":137,"type":"article-journal","abstract":"ERP studies produce large spatiotemporal data sets. These rich data sets are key to enabling us to understand cognitive and neural processes. However, they also present a massive multiple comparisons problem, potentially leading to a large number of studies with false positive effects (a high Type I error rate). Standard approaches to ERP statistical analysis, which average over time windows and regions of interest, do not always control for Type I error, and their inflexibility can lead to low power to detect true effects. Mass univariate approaches offer an alternative analytic method. However, they have thus far been viewed as appropriate primarily for exploratory statistical analysis and only applicable to simple designs. Here, we present new simulation studies showing that permutation‐based mass univariate tests can be employed with complex factorial designs. Most importantly, we show that mass univariate approaches provide slightly greater power than traditional spatiotemporal averaging approaches when strong a priori time windows and spatial regions are used. Moreover, their power decreases only modestly when more exploratory spatiotemporal parameters are used. We argue that mass univariate approaches are preferable to traditional spatiotemporal averaging analysis approaches for many ERP studies.","container-title":"Psychophysiology","DOI":"10.1111/psyp.13468","ISSN":"0048-5772, 1469-8986","issue":"2","journalAbbreviation":"Psychophysiology","language":"en","note":"00041","source":"DOI.org (Crossref)","title":"Having your cake and eating it too: Flexibility and power with mass univariate statistics for ERP data","title-short":"Having your cake and eating it too","URL":"https://onlinelibrary.wiley.com/doi/10.1111/psyp.13468","volume":"57","author":[{"family":"Fields","given":"Eric C."},{"family":"Kuperberg","given":"Gina R."}],"accessed":{"date-parts":[["2021",11,10]]},"issued":{"date-parts":[["2020",2]]},"citation-key":"fieldsHavingYourCake2020"}},{"id":139,"uris":["http://zotero.org/users/7328983/items/7LY6WKGG"],"itemData":{"id":139,"type":"article-journal","abstract":"Event-related potentials (ERPs) and magnetic fields (ERFs) are typically analyzed via ANOVAs on mean activity in a priori windows. Advances in computing power and statistics have produced an alternative, mass univariate analyses consisting of thousands of statistical tests and powerful corrections for multiple comparisons. Such analyses are most useful when one has little a priori knowledge of effect locations or latencies, and for delineating effect boundaries. Mass univariate analyses complement and, at times, obviate traditional analyses. Here we review this approach as applied to ERP/ERF data and four methods for multiple comparison correction: strong control of the family-wise error rate (FWER) via permutation tests, weak control of FWER via cluster-based permutation tests, false discovery rate control, and control of the generalized FWER. We end with recommendations for their use and introduce free MATLAB software for their implementation.","container-title":"Psychophysiology","DOI":"10.1111/j.1469-8986.2011.01273.x","ISSN":"00485772","issue":"12","language":"en","note":"00000","page":"1711-1725","source":"DOI.org (Crossref)","title":"Mass univariate analysis of event-related brain potentials/fields I: A critical tutorial review: Mass univariate analysis of ERPs/ERFs I: Review","title-short":"Mass univariate analysis of event-related brain potentials/fields I","volume":"48","author":[{"family":"Groppe","given":"David M."},{"family":"Urbach","given":"Thomas P."},{"family":"Kutas","given":"Marta"}],"issued":{"date-parts":[["2011",12]]},"citation-key":"groppeMassUnivariateAnalysis2011a"}}],"schema":"https://github.com/citation-style-language/schema/raw/master/csl-citation.json"} </w:instrText>
      </w:r>
      <w:r w:rsidR="00092A9B">
        <w:rPr>
          <w:lang w:val="en-US"/>
        </w:rPr>
        <w:fldChar w:fldCharType="separate"/>
      </w:r>
      <w:r w:rsidR="0020727A">
        <w:rPr>
          <w:noProof/>
          <w:lang w:val="en-US"/>
        </w:rPr>
        <w:t>(Fields &amp; Kuperberg, 2020; Groppe et al., 2011)</w:t>
      </w:r>
      <w:r w:rsidR="00092A9B">
        <w:rPr>
          <w:lang w:val="en-US"/>
        </w:rPr>
        <w:fldChar w:fldCharType="end"/>
      </w:r>
      <w:r w:rsidR="00092A9B">
        <w:rPr>
          <w:lang w:val="en-US"/>
        </w:rPr>
        <w:t>.</w:t>
      </w:r>
      <w:r w:rsidR="00E23F8C">
        <w:rPr>
          <w:lang w:val="en-US"/>
        </w:rPr>
        <w:t xml:space="preserve"> </w:t>
      </w:r>
      <w:r w:rsidR="0020727A">
        <w:rPr>
          <w:lang w:val="en-US"/>
        </w:rPr>
        <w:t xml:space="preserve">Follow-up </w:t>
      </w:r>
      <w:r w:rsidR="00634686">
        <w:rPr>
          <w:lang w:val="en-US"/>
        </w:rPr>
        <w:t>FMUAs were conducted, if a factor had more than 2 levels or in case of a significant interaction</w:t>
      </w:r>
      <w:r w:rsidR="00A32DFD">
        <w:rPr>
          <w:lang w:val="en-US"/>
        </w:rPr>
        <w:t xml:space="preserve"> (recommended instead of t-tests when </w:t>
      </w:r>
      <w:r w:rsidR="00A32DFD">
        <w:rPr>
          <w:lang w:val="en-US"/>
        </w:rPr>
        <w:lastRenderedPageBreak/>
        <w:t xml:space="preserve">a </w:t>
      </w:r>
      <w:r w:rsidR="00C75FA6">
        <w:rPr>
          <w:lang w:val="en-US"/>
        </w:rPr>
        <w:t>clustering</w:t>
      </w:r>
      <w:r w:rsidR="00A32DFD">
        <w:rPr>
          <w:lang w:val="en-US"/>
        </w:rPr>
        <w:t xml:space="preserve"> technique was used before; </w:t>
      </w:r>
      <w:r w:rsidR="00C92D07">
        <w:rPr>
          <w:lang w:val="en-US"/>
        </w:rPr>
        <w:t>Fields, 2019)</w:t>
      </w:r>
      <w:r w:rsidR="00634686">
        <w:rPr>
          <w:lang w:val="en-US"/>
        </w:rPr>
        <w:t>.</w:t>
      </w:r>
      <w:r w:rsidR="003F5C1D">
        <w:rPr>
          <w:lang w:val="en-US"/>
        </w:rPr>
        <w:t xml:space="preserve"> </w:t>
      </w:r>
      <w:r w:rsidR="004767F2" w:rsidRPr="00E23F8C">
        <w:rPr>
          <w:lang w:val="en-US"/>
        </w:rPr>
        <w:t>See</w:t>
      </w:r>
      <w:r w:rsidR="00AE74E4">
        <w:rPr>
          <w:lang w:val="en-US"/>
        </w:rPr>
        <w:t xml:space="preserve"> the authors’ </w:t>
      </w:r>
      <w:r w:rsidR="00C75FA6">
        <w:rPr>
          <w:lang w:val="en-US"/>
        </w:rPr>
        <w:t>GitHub</w:t>
      </w:r>
      <w:r w:rsidR="00AE74E4">
        <w:rPr>
          <w:lang w:val="en-US"/>
        </w:rPr>
        <w:t xml:space="preserve"> repository</w:t>
      </w:r>
      <w:r w:rsidR="004767F2" w:rsidRPr="00E23F8C">
        <w:rPr>
          <w:lang w:val="en-US"/>
        </w:rPr>
        <w:t xml:space="preserve"> </w:t>
      </w:r>
      <w:r w:rsidR="00C75FA6">
        <w:rPr>
          <w:lang w:val="en-US"/>
        </w:rPr>
        <w:t xml:space="preserve">for more information </w:t>
      </w:r>
      <w:r w:rsidR="00AE74E4">
        <w:rPr>
          <w:lang w:val="en-US"/>
        </w:rPr>
        <w:t>(</w:t>
      </w:r>
      <w:hyperlink r:id="rId19" w:history="1">
        <w:r w:rsidR="00AE74E4" w:rsidRPr="00227479">
          <w:rPr>
            <w:rStyle w:val="Hyperlink"/>
            <w:lang w:val="en-US"/>
          </w:rPr>
          <w:t>https://github.com/ericcfields/FMUT/wiki/Using-FMUT</w:t>
        </w:r>
      </w:hyperlink>
      <w:r w:rsidR="00AE74E4">
        <w:rPr>
          <w:lang w:val="en-US"/>
        </w:rPr>
        <w:t>).</w:t>
      </w:r>
      <w:r w:rsidR="004767F2">
        <w:rPr>
          <w:lang w:val="en-US"/>
        </w:rPr>
        <w:t xml:space="preserve"> </w:t>
      </w:r>
      <w:r w:rsidR="003F5C1D">
        <w:rPr>
          <w:lang w:val="en-US"/>
        </w:rPr>
        <w:t xml:space="preserve">All significant </w:t>
      </w:r>
      <w:r w:rsidR="008474B1">
        <w:rPr>
          <w:lang w:val="en-US"/>
        </w:rPr>
        <w:t>FMUA comparisons’ F-value raster figures can be found in the supplementary material.</w:t>
      </w:r>
    </w:p>
    <w:p w14:paraId="2CEA3505" w14:textId="690F55C1" w:rsidR="008F088C" w:rsidRDefault="008F088C" w:rsidP="00A36D81">
      <w:pPr>
        <w:rPr>
          <w:lang w:val="en-US"/>
        </w:rPr>
      </w:pPr>
      <w:proofErr w:type="spellStart"/>
      <w:r w:rsidRPr="00502542">
        <w:rPr>
          <w:b/>
          <w:bCs/>
          <w:lang w:val="en-US"/>
        </w:rPr>
        <w:t>Front</w:t>
      </w:r>
      <w:r w:rsidR="00BB05C5">
        <w:rPr>
          <w:b/>
          <w:bCs/>
          <w:lang w:val="en-US"/>
        </w:rPr>
        <w:t>o</w:t>
      </w:r>
      <w:proofErr w:type="spellEnd"/>
      <w:r w:rsidR="00BB05C5">
        <w:rPr>
          <w:b/>
          <w:bCs/>
          <w:lang w:val="en-US"/>
        </w:rPr>
        <w:t>-central</w:t>
      </w:r>
      <w:r w:rsidRPr="00502542">
        <w:rPr>
          <w:b/>
          <w:bCs/>
          <w:lang w:val="en-US"/>
        </w:rPr>
        <w:t xml:space="preserve"> </w:t>
      </w:r>
      <w:r w:rsidR="0074484B">
        <w:rPr>
          <w:b/>
          <w:bCs/>
          <w:lang w:val="en-US"/>
        </w:rPr>
        <w:t>CNV</w:t>
      </w:r>
      <w:r w:rsidR="00502542">
        <w:rPr>
          <w:lang w:val="en-US"/>
        </w:rPr>
        <w:t xml:space="preserve">. We </w:t>
      </w:r>
      <w:r w:rsidR="00095884">
        <w:rPr>
          <w:lang w:val="en-US"/>
        </w:rPr>
        <w:t>investigated</w:t>
      </w:r>
      <w:r w:rsidR="00502542">
        <w:rPr>
          <w:lang w:val="en-US"/>
        </w:rPr>
        <w:t xml:space="preserve"> the </w:t>
      </w:r>
      <w:r w:rsidR="004677E3">
        <w:rPr>
          <w:lang w:val="en-US"/>
        </w:rPr>
        <w:t>CNV</w:t>
      </w:r>
      <w:r w:rsidR="00056769">
        <w:rPr>
          <w:lang w:val="en-US"/>
        </w:rPr>
        <w:t xml:space="preserve"> </w:t>
      </w:r>
      <w:r w:rsidR="00502542">
        <w:rPr>
          <w:lang w:val="en-US"/>
        </w:rPr>
        <w:t xml:space="preserve">in a </w:t>
      </w:r>
      <w:proofErr w:type="spellStart"/>
      <w:r w:rsidR="00502542">
        <w:rPr>
          <w:lang w:val="en-US"/>
        </w:rPr>
        <w:t>fronto</w:t>
      </w:r>
      <w:proofErr w:type="spellEnd"/>
      <w:r w:rsidR="00502542">
        <w:rPr>
          <w:lang w:val="en-US"/>
        </w:rPr>
        <w:t>-central electrode patch (</w:t>
      </w:r>
      <w:r w:rsidR="00DE2CA6">
        <w:rPr>
          <w:lang w:val="en-US"/>
        </w:rPr>
        <w:t xml:space="preserve">F1, F2, Fz, FC1, FC2, </w:t>
      </w:r>
      <w:proofErr w:type="spellStart"/>
      <w:r w:rsidR="00DE2CA6">
        <w:rPr>
          <w:lang w:val="en-US"/>
        </w:rPr>
        <w:t>Cz</w:t>
      </w:r>
      <w:proofErr w:type="spellEnd"/>
      <w:r w:rsidR="00DE2CA6">
        <w:rPr>
          <w:lang w:val="en-US"/>
        </w:rPr>
        <w:t>, C1, C2</w:t>
      </w:r>
      <w:r w:rsidR="00502542">
        <w:rPr>
          <w:lang w:val="en-US"/>
        </w:rPr>
        <w:t>)</w:t>
      </w:r>
      <w:r w:rsidR="00DE2CA6">
        <w:rPr>
          <w:lang w:val="en-US"/>
        </w:rPr>
        <w:t>.</w:t>
      </w:r>
      <w:r w:rsidR="00865624">
        <w:rPr>
          <w:lang w:val="en-US"/>
        </w:rPr>
        <w:t xml:space="preserve"> The </w:t>
      </w:r>
      <w:r w:rsidR="004677E3">
        <w:rPr>
          <w:lang w:val="en-US"/>
        </w:rPr>
        <w:t>CNV</w:t>
      </w:r>
      <w:r w:rsidR="00865624">
        <w:rPr>
          <w:lang w:val="en-US"/>
        </w:rPr>
        <w:t xml:space="preserve"> was investigated in the time window between </w:t>
      </w:r>
      <w:r w:rsidR="00534F4D">
        <w:rPr>
          <w:lang w:val="en-US"/>
        </w:rPr>
        <w:t>-</w:t>
      </w:r>
      <w:r w:rsidR="00E83420">
        <w:rPr>
          <w:lang w:val="en-US"/>
        </w:rPr>
        <w:t>150</w:t>
      </w:r>
      <w:r w:rsidR="00534F4D">
        <w:rPr>
          <w:lang w:val="en-US"/>
        </w:rPr>
        <w:t xml:space="preserve"> </w:t>
      </w:r>
      <w:r w:rsidR="00E83420">
        <w:rPr>
          <w:lang w:val="en-US"/>
        </w:rPr>
        <w:t xml:space="preserve">ms before </w:t>
      </w:r>
      <w:r w:rsidR="00534F4D">
        <w:rPr>
          <w:lang w:val="en-US"/>
        </w:rPr>
        <w:t xml:space="preserve">and </w:t>
      </w:r>
      <w:r w:rsidR="00E83420">
        <w:rPr>
          <w:lang w:val="en-US"/>
        </w:rPr>
        <w:t>50</w:t>
      </w:r>
      <w:r w:rsidR="00865624">
        <w:rPr>
          <w:lang w:val="en-US"/>
        </w:rPr>
        <w:t xml:space="preserve"> ms </w:t>
      </w:r>
      <w:r w:rsidR="00E83420">
        <w:rPr>
          <w:lang w:val="en-US"/>
        </w:rPr>
        <w:t>after</w:t>
      </w:r>
      <w:r w:rsidR="00865624">
        <w:rPr>
          <w:lang w:val="en-US"/>
        </w:rPr>
        <w:t xml:space="preserve"> </w:t>
      </w:r>
      <w:r w:rsidR="006969B9">
        <w:rPr>
          <w:lang w:val="en-US"/>
        </w:rPr>
        <w:t xml:space="preserve">target </w:t>
      </w:r>
      <w:r w:rsidR="00D91021">
        <w:rPr>
          <w:lang w:val="en-US"/>
        </w:rPr>
        <w:t xml:space="preserve">stimulus </w:t>
      </w:r>
      <w:r w:rsidR="00865624">
        <w:rPr>
          <w:lang w:val="en-US"/>
        </w:rPr>
        <w:t>onset</w:t>
      </w:r>
      <w:r w:rsidR="00B02B2A">
        <w:rPr>
          <w:lang w:val="en-US"/>
        </w:rPr>
        <w:t>.</w:t>
      </w:r>
    </w:p>
    <w:p w14:paraId="089C2264" w14:textId="2C7B654C" w:rsidR="00502542" w:rsidRDefault="00E000BB" w:rsidP="00A36D81">
      <w:pPr>
        <w:rPr>
          <w:lang w:val="en-US"/>
        </w:rPr>
      </w:pPr>
      <w:r>
        <w:rPr>
          <w:b/>
          <w:bCs/>
          <w:lang w:val="en-US"/>
        </w:rPr>
        <w:t>Centro-p</w:t>
      </w:r>
      <w:r w:rsidRPr="00502542">
        <w:rPr>
          <w:b/>
          <w:bCs/>
          <w:lang w:val="en-US"/>
        </w:rPr>
        <w:t>ariet</w:t>
      </w:r>
      <w:r>
        <w:rPr>
          <w:b/>
          <w:bCs/>
          <w:lang w:val="en-US"/>
        </w:rPr>
        <w:t>o</w:t>
      </w:r>
      <w:r w:rsidR="00A87ABC">
        <w:rPr>
          <w:b/>
          <w:bCs/>
          <w:lang w:val="en-US"/>
        </w:rPr>
        <w:t>-</w:t>
      </w:r>
      <w:r w:rsidR="00BB05C5">
        <w:rPr>
          <w:b/>
          <w:bCs/>
          <w:lang w:val="en-US"/>
        </w:rPr>
        <w:t>occipital</w:t>
      </w:r>
      <w:r w:rsidR="008B63EC" w:rsidRPr="00502542">
        <w:rPr>
          <w:b/>
          <w:bCs/>
          <w:lang w:val="en-US"/>
        </w:rPr>
        <w:t xml:space="preserve"> P3</w:t>
      </w:r>
      <w:r w:rsidR="00502542">
        <w:rPr>
          <w:lang w:val="en-US"/>
        </w:rPr>
        <w:t xml:space="preserve">. </w:t>
      </w:r>
      <w:r>
        <w:rPr>
          <w:lang w:val="en-US"/>
        </w:rPr>
        <w:t xml:space="preserve">The </w:t>
      </w:r>
      <w:r w:rsidR="00DD4E61">
        <w:rPr>
          <w:lang w:val="en-US"/>
        </w:rPr>
        <w:t>P3 component</w:t>
      </w:r>
      <w:r w:rsidR="00DF036E">
        <w:rPr>
          <w:lang w:val="en-US"/>
        </w:rPr>
        <w:t xml:space="preserve"> </w:t>
      </w:r>
      <w:r>
        <w:rPr>
          <w:lang w:val="en-US"/>
        </w:rPr>
        <w:t xml:space="preserve">was </w:t>
      </w:r>
      <w:r w:rsidR="00DF036E">
        <w:rPr>
          <w:lang w:val="en-US"/>
        </w:rPr>
        <w:t xml:space="preserve">investigated in a parieto-occipital electrode patch. </w:t>
      </w:r>
      <w:r>
        <w:rPr>
          <w:lang w:val="en-US"/>
        </w:rPr>
        <w:t>The</w:t>
      </w:r>
      <w:r w:rsidR="00EF39E7">
        <w:rPr>
          <w:lang w:val="en-US"/>
        </w:rPr>
        <w:t xml:space="preserve"> P3 component was analyzed in the time window between </w:t>
      </w:r>
      <w:r w:rsidR="00725F2B">
        <w:rPr>
          <w:lang w:val="en-US"/>
        </w:rPr>
        <w:t>250</w:t>
      </w:r>
      <w:r w:rsidR="00EF39E7">
        <w:rPr>
          <w:lang w:val="en-US"/>
        </w:rPr>
        <w:t xml:space="preserve"> and 600 ms after</w:t>
      </w:r>
      <w:r w:rsidR="00D91021">
        <w:rPr>
          <w:lang w:val="en-US"/>
        </w:rPr>
        <w:t xml:space="preserve"> target</w:t>
      </w:r>
      <w:r w:rsidR="00EF39E7">
        <w:rPr>
          <w:lang w:val="en-US"/>
        </w:rPr>
        <w:t xml:space="preserve"> stimulus onset (</w:t>
      </w:r>
      <w:proofErr w:type="spellStart"/>
      <w:r w:rsidR="00EF39E7">
        <w:rPr>
          <w:lang w:val="en-US"/>
        </w:rPr>
        <w:t>CPz</w:t>
      </w:r>
      <w:proofErr w:type="spellEnd"/>
      <w:r w:rsidR="00EF39E7">
        <w:rPr>
          <w:lang w:val="en-US"/>
        </w:rPr>
        <w:t xml:space="preserve">, CP1, CP2, </w:t>
      </w:r>
      <w:proofErr w:type="spellStart"/>
      <w:r w:rsidR="00EF39E7">
        <w:rPr>
          <w:lang w:val="en-US"/>
        </w:rPr>
        <w:t>Pz</w:t>
      </w:r>
      <w:proofErr w:type="spellEnd"/>
      <w:r w:rsidR="00EF39E7">
        <w:rPr>
          <w:lang w:val="en-US"/>
        </w:rPr>
        <w:t>, P1, P2, P3,</w:t>
      </w:r>
      <w:r w:rsidR="00F05152">
        <w:rPr>
          <w:lang w:val="en-US"/>
        </w:rPr>
        <w:t xml:space="preserve"> </w:t>
      </w:r>
      <w:r w:rsidR="00EF39E7">
        <w:rPr>
          <w:lang w:val="en-US"/>
        </w:rPr>
        <w:t xml:space="preserve">P4, </w:t>
      </w:r>
      <w:proofErr w:type="spellStart"/>
      <w:r w:rsidR="00EF39E7">
        <w:rPr>
          <w:lang w:val="en-US"/>
        </w:rPr>
        <w:t>POz</w:t>
      </w:r>
      <w:proofErr w:type="spellEnd"/>
      <w:r w:rsidR="00EF39E7">
        <w:rPr>
          <w:lang w:val="en-US"/>
        </w:rPr>
        <w:t xml:space="preserve">, PO3, PO4, </w:t>
      </w:r>
      <w:r w:rsidR="003C4F0D">
        <w:rPr>
          <w:lang w:val="en-US"/>
        </w:rPr>
        <w:t>Oz, O1, O2).</w:t>
      </w:r>
    </w:p>
    <w:p w14:paraId="2801BB67" w14:textId="07245F6E" w:rsidR="000950E3" w:rsidRDefault="000950E3" w:rsidP="000950E3">
      <w:pPr>
        <w:pStyle w:val="berschrift2"/>
        <w:rPr>
          <w:lang w:val="en-US"/>
        </w:rPr>
      </w:pPr>
      <w:r>
        <w:rPr>
          <w:lang w:val="en-US"/>
        </w:rPr>
        <w:t>Statistical analysis</w:t>
      </w:r>
    </w:p>
    <w:p w14:paraId="04B9F460" w14:textId="7295F541" w:rsidR="000B60AD" w:rsidRDefault="75598FD4" w:rsidP="00175218">
      <w:pPr>
        <w:rPr>
          <w:lang w:val="en-US"/>
        </w:rPr>
      </w:pPr>
      <w:r w:rsidRPr="75598FD4">
        <w:rPr>
          <w:lang w:val="en-US"/>
        </w:rPr>
        <w:t>The experimental design left us with three possible factors for analyses: locomotion difficulty (standing vs. walking vs. perturbed walking), task difficulty (single-task conditions, repeat trials in a mixed-task condition, switch trials in a mixed-task condition), and modality (visual cue presentation vs. auditory cue presentation).</w:t>
      </w:r>
    </w:p>
    <w:p w14:paraId="10AE956E" w14:textId="7235F380" w:rsidR="00402FA7" w:rsidRDefault="056C4F64" w:rsidP="00175218">
      <w:pPr>
        <w:rPr>
          <w:lang w:val="en-US"/>
        </w:rPr>
      </w:pPr>
      <w:r w:rsidRPr="056C4F64">
        <w:rPr>
          <w:lang w:val="en-US"/>
        </w:rPr>
        <w:t>Repeated-measures ANOVAs for subjective</w:t>
      </w:r>
      <w:r w:rsidR="006824F9">
        <w:rPr>
          <w:lang w:val="en-US"/>
        </w:rPr>
        <w:t xml:space="preserve">, response, and gait </w:t>
      </w:r>
      <w:r w:rsidRPr="056C4F64">
        <w:rPr>
          <w:lang w:val="en-US"/>
        </w:rPr>
        <w:t xml:space="preserve">data were performed with </w:t>
      </w:r>
      <w:proofErr w:type="spellStart"/>
      <w:r w:rsidRPr="056C4F64">
        <w:rPr>
          <w:lang w:val="en-US"/>
        </w:rPr>
        <w:t>Matlab’s</w:t>
      </w:r>
      <w:proofErr w:type="spellEnd"/>
      <w:r w:rsidRPr="056C4F64">
        <w:rPr>
          <w:lang w:val="en-US"/>
        </w:rPr>
        <w:t xml:space="preserve"> built-in functions (</w:t>
      </w:r>
      <w:proofErr w:type="spellStart"/>
      <w:r w:rsidRPr="056C4F64">
        <w:rPr>
          <w:lang w:val="en-US"/>
        </w:rPr>
        <w:t>fitrm</w:t>
      </w:r>
      <w:proofErr w:type="spellEnd"/>
      <w:r w:rsidRPr="056C4F64">
        <w:rPr>
          <w:lang w:val="en-US"/>
        </w:rPr>
        <w:t xml:space="preserve">, </w:t>
      </w:r>
      <w:proofErr w:type="spellStart"/>
      <w:r w:rsidRPr="056C4F64">
        <w:rPr>
          <w:lang w:val="en-US"/>
        </w:rPr>
        <w:t>ranova</w:t>
      </w:r>
      <w:proofErr w:type="spellEnd"/>
      <w:r w:rsidRPr="056C4F64">
        <w:rPr>
          <w:lang w:val="en-US"/>
        </w:rPr>
        <w:t>). Post-hoc tests were performed using the Tukey-Kramer procedure. When a sphericity assumption was violated, p-values</w:t>
      </w:r>
      <w:r w:rsidR="006824F9">
        <w:rPr>
          <w:lang w:val="en-US"/>
        </w:rPr>
        <w:t xml:space="preserve"> were</w:t>
      </w:r>
      <w:r w:rsidRPr="056C4F64">
        <w:rPr>
          <w:lang w:val="en-US"/>
        </w:rPr>
        <w:t xml:space="preserve"> Greenhouse-</w:t>
      </w:r>
      <w:proofErr w:type="spellStart"/>
      <w:r w:rsidRPr="056C4F64">
        <w:rPr>
          <w:lang w:val="en-US"/>
        </w:rPr>
        <w:t>Geisser</w:t>
      </w:r>
      <w:proofErr w:type="spellEnd"/>
      <w:r w:rsidRPr="056C4F64">
        <w:rPr>
          <w:lang w:val="en-US"/>
        </w:rPr>
        <w:t xml:space="preserve"> corrected (indicated by </w:t>
      </w:r>
      <w:proofErr w:type="spellStart"/>
      <w:r w:rsidRPr="056C4F64">
        <w:rPr>
          <w:lang w:val="en-US"/>
        </w:rPr>
        <w:t>p</w:t>
      </w:r>
      <w:r w:rsidRPr="056C4F64">
        <w:rPr>
          <w:vertAlign w:val="subscript"/>
          <w:lang w:val="en-US"/>
        </w:rPr>
        <w:t>GG</w:t>
      </w:r>
      <w:proofErr w:type="spellEnd"/>
      <w:r w:rsidRPr="056C4F64">
        <w:rPr>
          <w:lang w:val="en-US"/>
        </w:rPr>
        <w:t xml:space="preserve">). When necessary, family-wise errors were corrected for false discovery rate as outlined by Cramer and colleagues </w:t>
      </w:r>
      <w:r w:rsidR="429BBBC3" w:rsidRPr="056C4F64">
        <w:rPr>
          <w:lang w:val="en-US"/>
        </w:rPr>
        <w:fldChar w:fldCharType="begin"/>
      </w:r>
      <w:r w:rsidR="006C6E43">
        <w:rPr>
          <w:lang w:val="en-US"/>
        </w:rPr>
        <w:instrText xml:space="preserve"> ADDIN ZOTERO_ITEM CSL_CITATION {"citationID":"kbfwxLJi","properties":{"formattedCitation":"(2016)","plainCitation":"(2016)","noteIndex":0},"citationItems":[{"id":331,"uris":["http://zotero.org/users/7328983/items/6NZDQVIL"],"itemData":{"id":331,"type":"article-journal","abstract":"© 2015, The Author(s). Many psychologists do not realize that exploratory use of the popular multiway analysis of variance harbors a multiple-comparison problem. In the case of two factors, three separate null hypotheses are subject to test (i.e., two main effects and one interaction). Consequently, the probability of at least one Type I error (if all null hypotheses are true) is 14 % rather than 5 %, if the three tests are independent. We explain the multiple-comparison problem and demonstrate that researchers almost never correct for it. To mitigate the problem, we describe four remedies: the omnibus F test, control of the familywise error rate, control of the false discovery rate, and preregistration of the hypotheses.","container-title":"Psychonomic Bulletin and Review","DOI":"10.3758/s13423-015-0913-5","ISSN":"15315320","issue":"2","note":"publisher: Springer New York LLC","page":"640-647","title":"Hidden multiplicity in exploratory multiway ANOVA: Prevalence and remedies","volume":"23","author":[{"family":"Cramer","given":"Angélique O.J."},{"family":"Ravenzwaaij","given":"Don","non-dropping-particle":"van"},{"family":"Matzke","given":"Dora"},{"family":"Steingroever","given":"Helen"},{"family":"Wetzels","given":"Ruud"},{"family":"Grasman","given":"Raoul P.P.P."},{"family":"Waldorp","given":"Lourens J."},{"family":"Wagenmakers","given":"Eric Jan"}],"issued":{"date-parts":[["2016",4,1]]},"citation-key":"cramerHiddenMultiplicityExploratory2016"},"label":"page","suppress-author":true}],"schema":"https://github.com/citation-style-language/schema/raw/master/csl-citation.json"} </w:instrText>
      </w:r>
      <w:r w:rsidR="429BBBC3" w:rsidRPr="056C4F64">
        <w:rPr>
          <w:lang w:val="en-US"/>
        </w:rPr>
        <w:fldChar w:fldCharType="separate"/>
      </w:r>
      <w:r w:rsidRPr="056C4F64">
        <w:rPr>
          <w:noProof/>
          <w:lang w:val="en-US"/>
        </w:rPr>
        <w:t>(2016)</w:t>
      </w:r>
      <w:r w:rsidR="429BBBC3" w:rsidRPr="056C4F64">
        <w:rPr>
          <w:lang w:val="en-US"/>
        </w:rPr>
        <w:fldChar w:fldCharType="end"/>
      </w:r>
      <w:r w:rsidRPr="056C4F64">
        <w:rPr>
          <w:lang w:val="en-US"/>
        </w:rPr>
        <w:t xml:space="preserve">. Whenever used, </w:t>
      </w:r>
      <w:r w:rsidR="00F05152">
        <w:rPr>
          <w:lang w:val="en-US"/>
        </w:rPr>
        <w:t>FDR-adjusted</w:t>
      </w:r>
      <w:r w:rsidRPr="056C4F64">
        <w:rPr>
          <w:lang w:val="en-US"/>
        </w:rPr>
        <w:t xml:space="preserve"> critical p-values (</w:t>
      </w:r>
      <w:proofErr w:type="spellStart"/>
      <w:r w:rsidRPr="056C4F64">
        <w:rPr>
          <w:lang w:val="en-US"/>
        </w:rPr>
        <w:t>p</w:t>
      </w:r>
      <w:r w:rsidRPr="056C4F64">
        <w:rPr>
          <w:vertAlign w:val="subscript"/>
          <w:lang w:val="en-US"/>
        </w:rPr>
        <w:t>crit</w:t>
      </w:r>
      <w:proofErr w:type="spellEnd"/>
      <w:r w:rsidRPr="056C4F64">
        <w:rPr>
          <w:lang w:val="en-US"/>
        </w:rPr>
        <w:t xml:space="preserve">) are provided. Effect sizes for </w:t>
      </w:r>
      <w:proofErr w:type="spellStart"/>
      <w:r w:rsidRPr="056C4F64">
        <w:rPr>
          <w:lang w:val="en-US"/>
        </w:rPr>
        <w:t>rmANOVAs</w:t>
      </w:r>
      <w:proofErr w:type="spellEnd"/>
      <w:r w:rsidRPr="056C4F64">
        <w:rPr>
          <w:lang w:val="en-US"/>
        </w:rPr>
        <w:t xml:space="preserve"> are reported as adjusted partial eta squared as described by </w:t>
      </w:r>
      <w:proofErr w:type="spellStart"/>
      <w:r w:rsidRPr="056C4F64">
        <w:rPr>
          <w:lang w:val="en-US"/>
        </w:rPr>
        <w:t>Mordkoff</w:t>
      </w:r>
      <w:proofErr w:type="spellEnd"/>
      <w:r w:rsidRPr="056C4F64">
        <w:rPr>
          <w:lang w:val="en-US"/>
        </w:rPr>
        <w:t xml:space="preserve"> </w:t>
      </w:r>
      <w:r w:rsidR="429BBBC3" w:rsidRPr="056C4F64">
        <w:rPr>
          <w:lang w:val="en-US"/>
        </w:rPr>
        <w:fldChar w:fldCharType="begin"/>
      </w:r>
      <w:r w:rsidR="006C6E43">
        <w:rPr>
          <w:lang w:val="en-US"/>
        </w:rPr>
        <w:instrText xml:space="preserve"> ADDIN ZOTERO_ITEM CSL_CITATION {"citationID":"InJdcIUL","properties":{"formattedCitation":"(2019)","plainCitation":"(2019)","noteIndex":0},"citationItems":[{"id":305,"uris":["http://zotero.org/users/7328983/items/ZU7XM3IG"],"itemData":{"id":305,"type":"article-journal","abstract":"Accurate estimates of population effect size are critical to empirical science, for both reporting experimental results and conducting a priori power analyses. Unfortunately, the current most-popular measure of standardized effect size, partial eta squared ([Formula: see text]), is known to have positive bias. Two less-biased alternatives, partial epsilon squared ([Formula: see text]) and partial omega squared ([Formula: see text]), have both existed for decades, but neither is often employed. Given that researchers appear reluctant to abandon [Formula: see text], this article provides a simple method for removing bias from this measure, to produce a value referred to as adjusted partial eta squared (adj [Formula: see text]). Some of the many benefits of adopting this measure are briefly discussed.","container-title":"Advances in Methods and Practices in Psychological Science","DOI":"10.1177/2515245919855053","ISSN":"2515-2459","issue":"3","note":"publisher: SAGE Publications","page":"228-232","title":"A Simple Method for Removing Bias From a Popular Measure of Standardized Effect Size: Adjusted Partial Eta Squared","volume":"2","author":[{"family":"Mordkoff","given":"J. Toby"}],"issued":{"date-parts":[["2019",9]]},"citation-key":"mordkoffSimpleMethodRemoving2019"},"label":"page","suppress-author":true}],"schema":"https://github.com/citation-style-language/schema/raw/master/csl-citation.json"} </w:instrText>
      </w:r>
      <w:r w:rsidR="429BBBC3" w:rsidRPr="056C4F64">
        <w:rPr>
          <w:lang w:val="en-US"/>
        </w:rPr>
        <w:fldChar w:fldCharType="separate"/>
      </w:r>
      <w:r w:rsidRPr="056C4F64">
        <w:rPr>
          <w:noProof/>
          <w:lang w:val="en-US"/>
        </w:rPr>
        <w:t>(2019)</w:t>
      </w:r>
      <w:r w:rsidR="429BBBC3" w:rsidRPr="056C4F64">
        <w:rPr>
          <w:lang w:val="en-US"/>
        </w:rPr>
        <w:fldChar w:fldCharType="end"/>
      </w:r>
      <w:r w:rsidRPr="056C4F64">
        <w:rPr>
          <w:lang w:val="en-US"/>
        </w:rPr>
        <w:t>.</w:t>
      </w:r>
    </w:p>
    <w:p w14:paraId="3F63A314" w14:textId="14B44A51" w:rsidR="00857B52" w:rsidRDefault="75598FD4" w:rsidP="00175218">
      <w:pPr>
        <w:rPr>
          <w:lang w:val="en-US"/>
        </w:rPr>
      </w:pPr>
      <w:r w:rsidRPr="75598FD4">
        <w:rPr>
          <w:lang w:val="en-US"/>
        </w:rPr>
        <w:t>We analyzed questionnaire</w:t>
      </w:r>
      <w:r w:rsidR="00CE0D63">
        <w:rPr>
          <w:lang w:val="en-US"/>
        </w:rPr>
        <w:t xml:space="preserve"> data</w:t>
      </w:r>
      <w:r w:rsidRPr="75598FD4">
        <w:rPr>
          <w:lang w:val="en-US"/>
        </w:rPr>
        <w:t xml:space="preserve"> with a 3 (locomotion) x 2 (task difficulty) x 2 (cue modality) </w:t>
      </w:r>
      <w:proofErr w:type="spellStart"/>
      <w:r w:rsidRPr="75598FD4">
        <w:rPr>
          <w:lang w:val="en-US"/>
        </w:rPr>
        <w:t>rmANOVA</w:t>
      </w:r>
      <w:proofErr w:type="spellEnd"/>
      <w:r w:rsidRPr="75598FD4">
        <w:rPr>
          <w:lang w:val="en-US"/>
        </w:rPr>
        <w:t xml:space="preserve"> design. Task difficulty needed to be reduced to two factor levels (single-task condition vs. mixed-task condition) as we </w:t>
      </w:r>
      <w:proofErr w:type="spellStart"/>
      <w:r w:rsidRPr="75598FD4">
        <w:rPr>
          <w:lang w:val="en-US"/>
        </w:rPr>
        <w:t>coud</w:t>
      </w:r>
      <w:proofErr w:type="spellEnd"/>
      <w:r w:rsidRPr="75598FD4">
        <w:rPr>
          <w:lang w:val="en-US"/>
        </w:rPr>
        <w:t xml:space="preserve"> not tear apart contributions of repeat and switch trials to the dependent variables within the mixed-task blocks. For gait analysis, we could only take walking conditions into account, therefore leaving us with a 2 (locomotion) x 2 (task difficulty) x 2 (cue modality) design.</w:t>
      </w:r>
    </w:p>
    <w:p w14:paraId="74BE6A92" w14:textId="1E63F5FF" w:rsidR="00340FDF" w:rsidRPr="00A10445" w:rsidRDefault="00587F14" w:rsidP="00C477BD">
      <w:pPr>
        <w:rPr>
          <w:lang w:val="en-US"/>
        </w:rPr>
      </w:pPr>
      <w:r>
        <w:rPr>
          <w:lang w:val="en-US"/>
        </w:rPr>
        <w:t>Response- and EEG-related analyses allowed for a 3 (locomotion) x 3 (task difficulty) x 2 (cue modality) analysis</w:t>
      </w:r>
      <w:r w:rsidR="00C477BD">
        <w:rPr>
          <w:lang w:val="en-US"/>
        </w:rPr>
        <w:t>, though we split the</w:t>
      </w:r>
      <w:r w:rsidR="00340FDF">
        <w:rPr>
          <w:lang w:val="en-US"/>
        </w:rPr>
        <w:t xml:space="preserve"> analyses into separate modality-specific </w:t>
      </w:r>
      <w:r w:rsidR="00C477BD">
        <w:rPr>
          <w:lang w:val="en-US"/>
        </w:rPr>
        <w:t>calculations</w:t>
      </w:r>
      <w:r w:rsidR="00340FDF">
        <w:rPr>
          <w:lang w:val="en-US"/>
        </w:rPr>
        <w:t xml:space="preserve">. The reason behind this was that both data sources showed distinctly different patterns between auditory and visual cue </w:t>
      </w:r>
      <w:r w:rsidR="00C477BD">
        <w:rPr>
          <w:lang w:val="en-US"/>
        </w:rPr>
        <w:t>conditions</w:t>
      </w:r>
      <w:r w:rsidR="00340FDF">
        <w:rPr>
          <w:lang w:val="en-US"/>
        </w:rPr>
        <w:t>.</w:t>
      </w:r>
    </w:p>
    <w:p w14:paraId="106DD882" w14:textId="4C361FFC" w:rsidR="00C36BFA" w:rsidRDefault="00C36BFA" w:rsidP="00A51AB0">
      <w:pPr>
        <w:rPr>
          <w:lang w:val="en-US"/>
        </w:rPr>
      </w:pPr>
    </w:p>
    <w:p w14:paraId="6A340FB8" w14:textId="0CEA1A6E" w:rsidR="00156AEA" w:rsidRDefault="00156AEA">
      <w:pPr>
        <w:jc w:val="left"/>
        <w:rPr>
          <w:lang w:val="en-US"/>
        </w:rPr>
      </w:pPr>
      <w:r>
        <w:rPr>
          <w:lang w:val="en-US"/>
        </w:rPr>
        <w:br w:type="page"/>
      </w:r>
    </w:p>
    <w:p w14:paraId="0C04B812" w14:textId="12F77F76" w:rsidR="00156AEA" w:rsidRDefault="00156AEA" w:rsidP="00B43173">
      <w:pPr>
        <w:pStyle w:val="berschrift1"/>
        <w:rPr>
          <w:lang w:val="en-US"/>
        </w:rPr>
      </w:pPr>
      <w:r>
        <w:rPr>
          <w:lang w:val="en-US"/>
        </w:rPr>
        <w:lastRenderedPageBreak/>
        <w:t>RESULTS</w:t>
      </w:r>
    </w:p>
    <w:p w14:paraId="0EE5DB9C" w14:textId="672E6C2D" w:rsidR="10CD7DD0" w:rsidRDefault="4ABEFB07" w:rsidP="10CD7DD0">
      <w:pPr>
        <w:rPr>
          <w:lang w:val="en-US"/>
        </w:rPr>
      </w:pPr>
      <w:r w:rsidRPr="4ABEFB07">
        <w:rPr>
          <w:lang w:val="en-US"/>
        </w:rPr>
        <w:t>We</w:t>
      </w:r>
      <w:r w:rsidR="0794D4CC" w:rsidRPr="0794D4CC">
        <w:rPr>
          <w:lang w:val="en-US"/>
        </w:rPr>
        <w:t xml:space="preserve"> </w:t>
      </w:r>
      <w:proofErr w:type="spellStart"/>
      <w:r w:rsidR="0794D4CC" w:rsidRPr="0794D4CC">
        <w:rPr>
          <w:lang w:val="en-US"/>
        </w:rPr>
        <w:t>analysed</w:t>
      </w:r>
      <w:proofErr w:type="spellEnd"/>
      <w:r w:rsidR="0794D4CC" w:rsidRPr="0794D4CC">
        <w:rPr>
          <w:lang w:val="en-US"/>
        </w:rPr>
        <w:t xml:space="preserve"> our data in terms of</w:t>
      </w:r>
      <w:r w:rsidR="0B5664C9" w:rsidRPr="0B5664C9">
        <w:rPr>
          <w:lang w:val="en-US"/>
        </w:rPr>
        <w:t xml:space="preserve">: </w:t>
      </w:r>
      <w:r w:rsidR="00EB4A64">
        <w:rPr>
          <w:lang w:val="en-US"/>
        </w:rPr>
        <w:fldChar w:fldCharType="begin"/>
      </w:r>
      <w:r w:rsidR="00EB4A64">
        <w:rPr>
          <w:lang w:val="en-US"/>
        </w:rPr>
        <w:instrText xml:space="preserve"> REF _Ref180071258 \r \h </w:instrText>
      </w:r>
      <w:r w:rsidR="00EB4A64">
        <w:rPr>
          <w:lang w:val="en-US"/>
        </w:rPr>
      </w:r>
      <w:r w:rsidR="00EB4A64">
        <w:rPr>
          <w:lang w:val="en-US"/>
        </w:rPr>
        <w:fldChar w:fldCharType="separate"/>
      </w:r>
      <w:r w:rsidR="00EB4A64">
        <w:rPr>
          <w:lang w:val="en-US"/>
        </w:rPr>
        <w:t>3.1</w:t>
      </w:r>
      <w:r w:rsidR="00EB4A64">
        <w:rPr>
          <w:lang w:val="en-US"/>
        </w:rPr>
        <w:fldChar w:fldCharType="end"/>
      </w:r>
      <w:r w:rsidR="00EB4A64">
        <w:rPr>
          <w:lang w:val="en-US"/>
        </w:rPr>
        <w:t xml:space="preserve"> </w:t>
      </w:r>
      <w:r w:rsidR="0794D4CC" w:rsidRPr="0794D4CC">
        <w:rPr>
          <w:lang w:val="en-US"/>
        </w:rPr>
        <w:t xml:space="preserve">perceived </w:t>
      </w:r>
      <w:r w:rsidR="0F1EBB23" w:rsidRPr="0F1EBB23">
        <w:rPr>
          <w:lang w:val="en-US"/>
        </w:rPr>
        <w:t>workload</w:t>
      </w:r>
      <w:r w:rsidR="0B5664C9" w:rsidRPr="0B5664C9">
        <w:rPr>
          <w:lang w:val="en-US"/>
        </w:rPr>
        <w:t xml:space="preserve">; </w:t>
      </w:r>
      <w:r w:rsidR="00EB4A64">
        <w:rPr>
          <w:lang w:val="en-US"/>
        </w:rPr>
        <w:fldChar w:fldCharType="begin"/>
      </w:r>
      <w:r w:rsidR="00EB4A64">
        <w:rPr>
          <w:lang w:val="en-US"/>
        </w:rPr>
        <w:instrText xml:space="preserve"> REF _Ref180071272 \r \h </w:instrText>
      </w:r>
      <w:r w:rsidR="00EB4A64">
        <w:rPr>
          <w:lang w:val="en-US"/>
        </w:rPr>
      </w:r>
      <w:r w:rsidR="00EB4A64">
        <w:rPr>
          <w:lang w:val="en-US"/>
        </w:rPr>
        <w:fldChar w:fldCharType="separate"/>
      </w:r>
      <w:r w:rsidR="00EB4A64">
        <w:rPr>
          <w:lang w:val="en-US"/>
        </w:rPr>
        <w:t>3.2</w:t>
      </w:r>
      <w:r w:rsidR="00EB4A64">
        <w:rPr>
          <w:lang w:val="en-US"/>
        </w:rPr>
        <w:fldChar w:fldCharType="end"/>
      </w:r>
      <w:r w:rsidR="00EB4A64">
        <w:rPr>
          <w:lang w:val="en-US"/>
        </w:rPr>
        <w:t xml:space="preserve"> </w:t>
      </w:r>
      <w:r w:rsidR="0B5664C9" w:rsidRPr="0B5664C9">
        <w:rPr>
          <w:lang w:val="en-US"/>
        </w:rPr>
        <w:t xml:space="preserve">gait and </w:t>
      </w:r>
      <w:r w:rsidR="40DA1EC1" w:rsidRPr="40DA1EC1">
        <w:rPr>
          <w:lang w:val="en-US"/>
        </w:rPr>
        <w:t xml:space="preserve">task performance, </w:t>
      </w:r>
      <w:r w:rsidR="49CE8CC0" w:rsidRPr="49CE8CC0">
        <w:rPr>
          <w:lang w:val="en-US"/>
        </w:rPr>
        <w:t xml:space="preserve">and </w:t>
      </w:r>
      <w:r w:rsidR="00EB4A64">
        <w:rPr>
          <w:lang w:val="en-US"/>
        </w:rPr>
        <w:fldChar w:fldCharType="begin"/>
      </w:r>
      <w:r w:rsidR="00EB4A64">
        <w:rPr>
          <w:lang w:val="en-US"/>
        </w:rPr>
        <w:instrText xml:space="preserve"> REF _Ref180071287 \r \h </w:instrText>
      </w:r>
      <w:r w:rsidR="00EB4A64">
        <w:rPr>
          <w:lang w:val="en-US"/>
        </w:rPr>
      </w:r>
      <w:r w:rsidR="00EB4A64">
        <w:rPr>
          <w:lang w:val="en-US"/>
        </w:rPr>
        <w:fldChar w:fldCharType="separate"/>
      </w:r>
      <w:r w:rsidR="00EB4A64">
        <w:rPr>
          <w:lang w:val="en-US"/>
        </w:rPr>
        <w:t>3.3</w:t>
      </w:r>
      <w:r w:rsidR="00EB4A64">
        <w:rPr>
          <w:lang w:val="en-US"/>
        </w:rPr>
        <w:fldChar w:fldCharType="end"/>
      </w:r>
      <w:r w:rsidR="00EB4A64">
        <w:rPr>
          <w:lang w:val="en-US"/>
        </w:rPr>
        <w:t xml:space="preserve"> </w:t>
      </w:r>
      <w:r w:rsidR="0E6A04BE" w:rsidRPr="0E6A04BE">
        <w:rPr>
          <w:lang w:val="en-US"/>
        </w:rPr>
        <w:t xml:space="preserve">the </w:t>
      </w:r>
      <w:r w:rsidR="2AA5DAF4" w:rsidRPr="2AA5DAF4">
        <w:rPr>
          <w:lang w:val="en-US"/>
        </w:rPr>
        <w:t xml:space="preserve">ERPs </w:t>
      </w:r>
      <w:r w:rsidR="58AECA62" w:rsidRPr="58AECA62">
        <w:rPr>
          <w:lang w:val="en-US"/>
        </w:rPr>
        <w:t xml:space="preserve">locked to the </w:t>
      </w:r>
      <w:r w:rsidR="7E22A98B" w:rsidRPr="7E22A98B">
        <w:rPr>
          <w:lang w:val="en-US"/>
        </w:rPr>
        <w:t xml:space="preserve">presentation of </w:t>
      </w:r>
      <w:r w:rsidR="465E8FA8" w:rsidRPr="465E8FA8">
        <w:rPr>
          <w:lang w:val="en-US"/>
        </w:rPr>
        <w:t>visual and auditory cues</w:t>
      </w:r>
      <w:r w:rsidR="70ADFBC3" w:rsidRPr="70ADFBC3">
        <w:rPr>
          <w:lang w:val="en-US"/>
        </w:rPr>
        <w:t xml:space="preserve"> </w:t>
      </w:r>
      <w:r w:rsidR="00304777">
        <w:rPr>
          <w:lang w:val="en-US"/>
        </w:rPr>
        <w:t>(</w:t>
      </w:r>
      <w:proofErr w:type="spellStart"/>
      <w:r w:rsidR="00EB4A64">
        <w:rPr>
          <w:lang w:val="en-US"/>
        </w:rPr>
        <w:t>fronto</w:t>
      </w:r>
      <w:proofErr w:type="spellEnd"/>
      <w:r w:rsidR="00EB4A64">
        <w:rPr>
          <w:lang w:val="en-US"/>
        </w:rPr>
        <w:t xml:space="preserve">-central CNV) </w:t>
      </w:r>
      <w:r w:rsidR="1D3BE91B" w:rsidRPr="1D3BE91B">
        <w:rPr>
          <w:lang w:val="en-US"/>
        </w:rPr>
        <w:t xml:space="preserve">as well as target </w:t>
      </w:r>
      <w:r w:rsidR="04E52409" w:rsidRPr="04E52409">
        <w:rPr>
          <w:lang w:val="en-US"/>
        </w:rPr>
        <w:t>stimulus</w:t>
      </w:r>
      <w:r w:rsidR="00EB4A64">
        <w:rPr>
          <w:lang w:val="en-US"/>
        </w:rPr>
        <w:t xml:space="preserve"> (</w:t>
      </w:r>
      <w:proofErr w:type="spellStart"/>
      <w:r w:rsidR="00EB4A64">
        <w:rPr>
          <w:lang w:val="en-US"/>
        </w:rPr>
        <w:t>centro</w:t>
      </w:r>
      <w:proofErr w:type="spellEnd"/>
      <w:r w:rsidR="00EB4A64">
        <w:rPr>
          <w:lang w:val="en-US"/>
        </w:rPr>
        <w:t>-parietal P3).</w:t>
      </w:r>
    </w:p>
    <w:p w14:paraId="79416F47" w14:textId="05940B05" w:rsidR="00282BBE" w:rsidRDefault="00282BBE" w:rsidP="4D04FE7A">
      <w:pPr>
        <w:rPr>
          <w:lang w:val="en-US"/>
        </w:rPr>
      </w:pPr>
      <w:r>
        <w:rPr>
          <w:i/>
          <w:iCs/>
          <w:lang w:val="en-US"/>
        </w:rPr>
        <w:t>A-priori hypotheses:</w:t>
      </w:r>
    </w:p>
    <w:p w14:paraId="3E74463C" w14:textId="753CB40D" w:rsidR="00282BBE" w:rsidRDefault="00F95256" w:rsidP="00BE0E02">
      <w:pPr>
        <w:pStyle w:val="Listenabsatz"/>
        <w:numPr>
          <w:ilvl w:val="0"/>
          <w:numId w:val="11"/>
        </w:numPr>
        <w:rPr>
          <w:lang w:val="en-US"/>
        </w:rPr>
      </w:pPr>
      <w:r>
        <w:rPr>
          <w:lang w:val="en-US"/>
        </w:rPr>
        <w:t>Workload</w:t>
      </w:r>
      <w:r w:rsidR="00BE0E02">
        <w:rPr>
          <w:lang w:val="en-US"/>
        </w:rPr>
        <w:t xml:space="preserve">: </w:t>
      </w:r>
      <w:r>
        <w:rPr>
          <w:lang w:val="en-US"/>
        </w:rPr>
        <w:t>Subjects will indicate higher workload levels wit</w:t>
      </w:r>
      <w:r w:rsidR="00C128F8">
        <w:rPr>
          <w:lang w:val="en-US"/>
        </w:rPr>
        <w:t>h higher CMI (more difficult motor and cognitive conditions).</w:t>
      </w:r>
      <w:r w:rsidR="00585042">
        <w:rPr>
          <w:lang w:val="en-US"/>
        </w:rPr>
        <w:t xml:space="preserve"> According to Wickens’ Multiple Resource Theory visual cuing will result in higher perceived workload. On the other hand, </w:t>
      </w:r>
      <w:r w:rsidR="00F076C9">
        <w:rPr>
          <w:lang w:val="en-US"/>
        </w:rPr>
        <w:t xml:space="preserve">auditory cuing </w:t>
      </w:r>
      <w:r w:rsidR="00B95DC0">
        <w:rPr>
          <w:lang w:val="en-US"/>
        </w:rPr>
        <w:t>might</w:t>
      </w:r>
      <w:r w:rsidR="00F076C9">
        <w:rPr>
          <w:lang w:val="en-US"/>
        </w:rPr>
        <w:t xml:space="preserve"> increase</w:t>
      </w:r>
      <w:r w:rsidR="00B95DC0">
        <w:rPr>
          <w:lang w:val="en-US"/>
        </w:rPr>
        <w:t xml:space="preserve"> workload </w:t>
      </w:r>
      <w:r w:rsidR="000127F4" w:rsidRPr="00D806B1">
        <w:rPr>
          <w:lang w:val="en-US"/>
        </w:rPr>
        <w:t xml:space="preserve">due to processing demands for </w:t>
      </w:r>
      <w:r w:rsidR="00A03DD0">
        <w:rPr>
          <w:lang w:val="en-US"/>
        </w:rPr>
        <w:t>trans-</w:t>
      </w:r>
      <w:r w:rsidR="000127F4" w:rsidRPr="00D806B1">
        <w:rPr>
          <w:lang w:val="en-US"/>
        </w:rPr>
        <w:t>modality</w:t>
      </w:r>
      <w:r w:rsidR="00A03DD0">
        <w:rPr>
          <w:lang w:val="en-US"/>
        </w:rPr>
        <w:t xml:space="preserve"> </w:t>
      </w:r>
      <w:r w:rsidR="000127F4" w:rsidRPr="00D806B1">
        <w:rPr>
          <w:lang w:val="en-US"/>
        </w:rPr>
        <w:t>transformation</w:t>
      </w:r>
      <w:r w:rsidR="00B95DC0">
        <w:rPr>
          <w:lang w:val="en-US"/>
        </w:rPr>
        <w:t>.</w:t>
      </w:r>
    </w:p>
    <w:p w14:paraId="4CF07018" w14:textId="46D11391" w:rsidR="00BE0E02" w:rsidRDefault="00B95DC0" w:rsidP="00BE0E02">
      <w:pPr>
        <w:pStyle w:val="Listenabsatz"/>
        <w:numPr>
          <w:ilvl w:val="0"/>
          <w:numId w:val="11"/>
        </w:numPr>
        <w:rPr>
          <w:lang w:val="en-US"/>
        </w:rPr>
      </w:pPr>
      <w:r>
        <w:rPr>
          <w:lang w:val="en-US"/>
        </w:rPr>
        <w:t>Response measures</w:t>
      </w:r>
      <w:r w:rsidR="00BE0E02">
        <w:rPr>
          <w:lang w:val="en-US"/>
        </w:rPr>
        <w:t>:</w:t>
      </w:r>
      <w:r w:rsidR="00A03DD0">
        <w:rPr>
          <w:lang w:val="en-US"/>
        </w:rPr>
        <w:t xml:space="preserve"> Increasing </w:t>
      </w:r>
      <w:r w:rsidR="00D41C3F">
        <w:rPr>
          <w:lang w:val="en-US"/>
        </w:rPr>
        <w:t>motor difficulty (especially perturbations) as well as more difficult cognitive tasks (single task &lt; repeat &lt; switch)</w:t>
      </w:r>
      <w:r w:rsidR="00CA7385">
        <w:rPr>
          <w:lang w:val="en-US"/>
        </w:rPr>
        <w:t xml:space="preserve"> will increase response times and decrease accuracy</w:t>
      </w:r>
      <w:r w:rsidR="00D41C3F">
        <w:rPr>
          <w:lang w:val="en-US"/>
        </w:rPr>
        <w:t xml:space="preserve">. </w:t>
      </w:r>
      <w:r w:rsidR="0002045C">
        <w:rPr>
          <w:lang w:val="en-US"/>
        </w:rPr>
        <w:t xml:space="preserve">CMI effects will be elevated for auditory cue presentation in more difficult cognitive tasks, whereas visual cuing will </w:t>
      </w:r>
      <w:r w:rsidR="007E226F">
        <w:rPr>
          <w:lang w:val="en-US"/>
        </w:rPr>
        <w:t>result in comparatively worse response results with easy tasks.</w:t>
      </w:r>
    </w:p>
    <w:p w14:paraId="30524625" w14:textId="02448F19" w:rsidR="00B95DC0" w:rsidRPr="00BE6156" w:rsidRDefault="00B95DC0" w:rsidP="00BE6156">
      <w:pPr>
        <w:pStyle w:val="Listenabsatz"/>
        <w:numPr>
          <w:ilvl w:val="0"/>
          <w:numId w:val="11"/>
        </w:numPr>
        <w:rPr>
          <w:lang w:val="en-US"/>
        </w:rPr>
      </w:pPr>
      <w:r w:rsidRPr="00BE6156">
        <w:rPr>
          <w:lang w:val="en-US"/>
        </w:rPr>
        <w:t>Gait measures:</w:t>
      </w:r>
      <w:r w:rsidR="007E226F" w:rsidRPr="00BE6156">
        <w:rPr>
          <w:lang w:val="en-US"/>
        </w:rPr>
        <w:t xml:space="preserve"> </w:t>
      </w:r>
      <w:r w:rsidR="00BE6156" w:rsidRPr="00D806B1">
        <w:rPr>
          <w:lang w:val="en-US"/>
        </w:rPr>
        <w:t>Stride times will be reduced during perturbed walking conditions to maintain stable balance.</w:t>
      </w:r>
      <w:r w:rsidR="00BE6156">
        <w:rPr>
          <w:lang w:val="en-US"/>
        </w:rPr>
        <w:t xml:space="preserve"> </w:t>
      </w:r>
      <w:r w:rsidR="00BE6156" w:rsidRPr="00D806B1">
        <w:rPr>
          <w:lang w:val="en-US"/>
        </w:rPr>
        <w:t>In mixed-task blocks, stride times will be lengthened due to increased dual-task costs.</w:t>
      </w:r>
    </w:p>
    <w:p w14:paraId="1C134189" w14:textId="51C1DBA2" w:rsidR="00BE0E02" w:rsidRDefault="00B95DC0">
      <w:pPr>
        <w:pStyle w:val="Listenabsatz"/>
        <w:numPr>
          <w:ilvl w:val="0"/>
          <w:numId w:val="11"/>
        </w:numPr>
        <w:rPr>
          <w:lang w:val="en-US"/>
        </w:rPr>
      </w:pPr>
      <w:r>
        <w:rPr>
          <w:lang w:val="en-US"/>
        </w:rPr>
        <w:t>CNV</w:t>
      </w:r>
      <w:r w:rsidR="00BE0E02">
        <w:rPr>
          <w:lang w:val="en-US"/>
        </w:rPr>
        <w:t>:</w:t>
      </w:r>
      <w:r w:rsidR="0004362E">
        <w:rPr>
          <w:lang w:val="en-US"/>
        </w:rPr>
        <w:t xml:space="preserve"> Increased task difficulty / cognitive effort will increase </w:t>
      </w:r>
      <w:r w:rsidR="00866CBD">
        <w:rPr>
          <w:lang w:val="en-US"/>
        </w:rPr>
        <w:t xml:space="preserve">cue-related </w:t>
      </w:r>
      <w:r w:rsidR="0004362E">
        <w:rPr>
          <w:lang w:val="en-US"/>
        </w:rPr>
        <w:t xml:space="preserve">CNV amplitudes whereas </w:t>
      </w:r>
      <w:r w:rsidR="003D2EC3">
        <w:rPr>
          <w:lang w:val="en-US"/>
        </w:rPr>
        <w:t>higher locomotor load will decrease them.</w:t>
      </w:r>
      <w:r w:rsidR="008A2840">
        <w:rPr>
          <w:lang w:val="en-US"/>
        </w:rPr>
        <w:t xml:space="preserve"> </w:t>
      </w:r>
      <w:r w:rsidR="00394980">
        <w:rPr>
          <w:lang w:val="en-US"/>
        </w:rPr>
        <w:t>This effect might be mitigated by cue moda</w:t>
      </w:r>
      <w:r w:rsidR="00022CD5">
        <w:rPr>
          <w:lang w:val="en-US"/>
        </w:rPr>
        <w:t>lity.</w:t>
      </w:r>
    </w:p>
    <w:p w14:paraId="1260B0F2" w14:textId="670D4204" w:rsidR="00B95DC0" w:rsidRPr="008A2840" w:rsidRDefault="00B95DC0" w:rsidP="00D806B1">
      <w:pPr>
        <w:pStyle w:val="Listenabsatz"/>
        <w:numPr>
          <w:ilvl w:val="0"/>
          <w:numId w:val="11"/>
        </w:numPr>
        <w:rPr>
          <w:lang w:val="en-US"/>
        </w:rPr>
      </w:pPr>
      <w:r>
        <w:rPr>
          <w:lang w:val="en-US"/>
        </w:rPr>
        <w:t xml:space="preserve">P3: </w:t>
      </w:r>
      <w:r w:rsidR="00022CD5">
        <w:rPr>
          <w:lang w:val="en-US"/>
        </w:rPr>
        <w:t xml:space="preserve">We expect a similar pattern for target-related </w:t>
      </w:r>
      <w:r w:rsidR="00F2781A" w:rsidRPr="00D806B1">
        <w:rPr>
          <w:lang w:val="en-US"/>
        </w:rPr>
        <w:t>P3 amplitudes</w:t>
      </w:r>
      <w:r w:rsidR="00022CD5">
        <w:rPr>
          <w:lang w:val="en-US"/>
        </w:rPr>
        <w:t xml:space="preserve">. </w:t>
      </w:r>
      <w:r w:rsidR="00E9536D">
        <w:rPr>
          <w:lang w:val="en-US"/>
        </w:rPr>
        <w:t>They</w:t>
      </w:r>
      <w:r w:rsidR="00F2781A" w:rsidRPr="00D806B1">
        <w:rPr>
          <w:lang w:val="en-US"/>
        </w:rPr>
        <w:t xml:space="preserve"> will decrease with increasing motor loads in dual-task conditions.</w:t>
      </w:r>
      <w:r w:rsidR="00F2781A">
        <w:rPr>
          <w:lang w:val="en-US"/>
        </w:rPr>
        <w:t xml:space="preserve"> </w:t>
      </w:r>
      <w:r w:rsidR="00022CD5">
        <w:rPr>
          <w:lang w:val="en-US"/>
        </w:rPr>
        <w:t>A</w:t>
      </w:r>
      <w:r w:rsidR="00F2781A" w:rsidRPr="00D806B1">
        <w:rPr>
          <w:lang w:val="en-US"/>
        </w:rPr>
        <w:t>mplitudes will increase with increasing cognitive task demands.</w:t>
      </w:r>
      <w:r w:rsidR="008A2840">
        <w:rPr>
          <w:lang w:val="en-US"/>
        </w:rPr>
        <w:t xml:space="preserve"> Also, his effect might be mitigated by cue modality.</w:t>
      </w:r>
    </w:p>
    <w:p w14:paraId="59770817" w14:textId="639068DB" w:rsidR="00156AEA" w:rsidRDefault="00BB03B0" w:rsidP="00590480">
      <w:pPr>
        <w:pStyle w:val="berschrift2"/>
        <w:rPr>
          <w:lang w:val="en-US"/>
        </w:rPr>
      </w:pPr>
      <w:bookmarkStart w:id="2" w:name="_Ref180071258"/>
      <w:r w:rsidRPr="00BB03B0">
        <w:rPr>
          <w:lang w:val="en-US"/>
        </w:rPr>
        <w:t>Subjective workload</w:t>
      </w:r>
      <w:bookmarkEnd w:id="2"/>
    </w:p>
    <w:p w14:paraId="4FF8A2AD" w14:textId="4E341FA0" w:rsidR="0063453E" w:rsidRPr="00BB03B0" w:rsidRDefault="0063453E" w:rsidP="0063453E">
      <w:pPr>
        <w:pStyle w:val="Beschriftung"/>
        <w:rPr>
          <w:b/>
          <w:bCs/>
          <w:lang w:val="en-US"/>
        </w:rPr>
      </w:pPr>
      <w:bookmarkStart w:id="3" w:name="_Ref131166911"/>
      <w:r w:rsidRPr="00EE00FE">
        <w:rPr>
          <w:lang w:val="en-US"/>
        </w:rPr>
        <w:t xml:space="preserve">Table </w:t>
      </w:r>
      <w:r w:rsidR="002F7331">
        <w:rPr>
          <w:lang w:val="en-US"/>
        </w:rPr>
        <w:fldChar w:fldCharType="begin"/>
      </w:r>
      <w:r w:rsidR="002F7331">
        <w:rPr>
          <w:lang w:val="en-US"/>
        </w:rPr>
        <w:instrText xml:space="preserve"> SEQ Table \* ARABIC </w:instrText>
      </w:r>
      <w:r w:rsidR="002F7331">
        <w:rPr>
          <w:lang w:val="en-US"/>
        </w:rPr>
        <w:fldChar w:fldCharType="separate"/>
      </w:r>
      <w:r w:rsidR="002F7331">
        <w:rPr>
          <w:noProof/>
          <w:lang w:val="en-US"/>
        </w:rPr>
        <w:t>1</w:t>
      </w:r>
      <w:r w:rsidR="002F7331">
        <w:rPr>
          <w:lang w:val="en-US"/>
        </w:rPr>
        <w:fldChar w:fldCharType="end"/>
      </w:r>
      <w:bookmarkEnd w:id="3"/>
      <w:r w:rsidRPr="00EE00FE">
        <w:rPr>
          <w:lang w:val="en-US"/>
        </w:rPr>
        <w:t>. Subjective workload</w:t>
      </w:r>
      <w:r w:rsidR="00EE00FE" w:rsidRPr="00EE00FE">
        <w:rPr>
          <w:lang w:val="en-US"/>
        </w:rPr>
        <w:t xml:space="preserve"> repeated measures </w:t>
      </w:r>
      <w:proofErr w:type="gramStart"/>
      <w:r w:rsidR="00EE00FE" w:rsidRPr="00EE00FE">
        <w:rPr>
          <w:lang w:val="en-US"/>
        </w:rPr>
        <w:t xml:space="preserve">ANOVA </w:t>
      </w:r>
      <w:r w:rsidRPr="00EE00FE">
        <w:rPr>
          <w:lang w:val="en-US"/>
        </w:rPr>
        <w:t xml:space="preserve"> results</w:t>
      </w:r>
      <w:proofErr w:type="gramEnd"/>
      <w:r w:rsidRPr="00EE00FE">
        <w:rPr>
          <w:lang w:val="en-US"/>
        </w:rPr>
        <w:t>.</w:t>
      </w:r>
    </w:p>
    <w:tbl>
      <w:tblPr>
        <w:tblStyle w:val="Listentabelle6farbig"/>
        <w:tblW w:w="7934" w:type="dxa"/>
        <w:tblLayout w:type="fixed"/>
        <w:tblLook w:val="04A0" w:firstRow="1" w:lastRow="0" w:firstColumn="1" w:lastColumn="0" w:noHBand="0" w:noVBand="1"/>
      </w:tblPr>
      <w:tblGrid>
        <w:gridCol w:w="2263"/>
        <w:gridCol w:w="993"/>
        <w:gridCol w:w="993"/>
        <w:gridCol w:w="850"/>
        <w:gridCol w:w="851"/>
        <w:gridCol w:w="1133"/>
        <w:gridCol w:w="851"/>
      </w:tblGrid>
      <w:tr w:rsidR="00EC699B" w:rsidRPr="00FF79AB" w14:paraId="653F7850" w14:textId="77777777" w:rsidTr="005D30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6D81D672" w14:textId="790C431E" w:rsidR="00EC699B" w:rsidRPr="00FF79AB" w:rsidRDefault="00EC699B" w:rsidP="00651505">
            <w:pPr>
              <w:rPr>
                <w:b w:val="0"/>
                <w:bCs w:val="0"/>
                <w:sz w:val="18"/>
                <w:szCs w:val="18"/>
                <w:lang w:val="en-US"/>
              </w:rPr>
            </w:pPr>
            <w:r>
              <w:rPr>
                <w:sz w:val="18"/>
                <w:szCs w:val="18"/>
                <w:lang w:val="en-US"/>
              </w:rPr>
              <w:t>Effect</w:t>
            </w:r>
          </w:p>
        </w:tc>
        <w:tc>
          <w:tcPr>
            <w:tcW w:w="993" w:type="dxa"/>
            <w:shd w:val="clear" w:color="auto" w:fill="FFFFFF" w:themeFill="background1"/>
          </w:tcPr>
          <w:p w14:paraId="107C8B41" w14:textId="5ECC5CFD" w:rsidR="00EC699B" w:rsidRDefault="00EC699B" w:rsidP="00F550F1">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df</w:t>
            </w:r>
            <w:proofErr w:type="spellEnd"/>
          </w:p>
        </w:tc>
        <w:tc>
          <w:tcPr>
            <w:tcW w:w="993" w:type="dxa"/>
            <w:shd w:val="clear" w:color="auto" w:fill="FFFFFF" w:themeFill="background1"/>
          </w:tcPr>
          <w:p w14:paraId="290CBC3E" w14:textId="2DAAE76A" w:rsidR="00EC699B" w:rsidRPr="00FF79AB" w:rsidRDefault="00EC699B" w:rsidP="00F550F1">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Pr>
                <w:sz w:val="18"/>
                <w:szCs w:val="18"/>
                <w:lang w:val="en-US"/>
              </w:rPr>
              <w:t>F</w:t>
            </w:r>
          </w:p>
        </w:tc>
        <w:tc>
          <w:tcPr>
            <w:tcW w:w="850" w:type="dxa"/>
            <w:shd w:val="clear" w:color="auto" w:fill="FFFFFF" w:themeFill="background1"/>
          </w:tcPr>
          <w:p w14:paraId="689E4E7E" w14:textId="39200764" w:rsidR="00EC699B" w:rsidRPr="00FF79AB" w:rsidRDefault="00EC699B" w:rsidP="00F550F1">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p</w:t>
            </w:r>
            <w:r w:rsidRPr="00FC44CC">
              <w:rPr>
                <w:sz w:val="18"/>
                <w:szCs w:val="18"/>
                <w:vertAlign w:val="subscript"/>
                <w:lang w:val="en-US"/>
              </w:rPr>
              <w:t>gg</w:t>
            </w:r>
            <w:proofErr w:type="spellEnd"/>
          </w:p>
        </w:tc>
        <w:tc>
          <w:tcPr>
            <w:tcW w:w="851" w:type="dxa"/>
            <w:shd w:val="clear" w:color="auto" w:fill="FFFFFF" w:themeFill="background1"/>
          </w:tcPr>
          <w:p w14:paraId="21C11DBA" w14:textId="2D4ED864" w:rsidR="00EC699B" w:rsidRPr="00053470" w:rsidRDefault="00EC699B" w:rsidP="00F550F1">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6"/>
                <w:szCs w:val="16"/>
                <w:lang w:val="en-US"/>
              </w:rPr>
            </w:pPr>
            <w:proofErr w:type="spellStart"/>
            <w:r>
              <w:rPr>
                <w:rFonts w:eastAsia="Times New Roman" w:cs="Times New Roman"/>
                <w:sz w:val="18"/>
                <w:szCs w:val="18"/>
                <w:lang w:val="en-US"/>
              </w:rPr>
              <w:t>p</w:t>
            </w:r>
            <w:r w:rsidRPr="00053470">
              <w:rPr>
                <w:rFonts w:eastAsia="Times New Roman" w:cs="Times New Roman"/>
                <w:sz w:val="16"/>
                <w:szCs w:val="16"/>
                <w:vertAlign w:val="subscript"/>
                <w:lang w:val="en-US"/>
              </w:rPr>
              <w:t>crit</w:t>
            </w:r>
            <w:proofErr w:type="spellEnd"/>
          </w:p>
        </w:tc>
        <w:tc>
          <w:tcPr>
            <w:tcW w:w="1133" w:type="dxa"/>
            <w:shd w:val="clear" w:color="auto" w:fill="FFFFFF" w:themeFill="background1"/>
          </w:tcPr>
          <w:p w14:paraId="7DD3496A" w14:textId="66033001" w:rsidR="00EC699B" w:rsidRPr="00EC699B" w:rsidRDefault="00EC699B" w:rsidP="00F550F1">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6"/>
                <w:szCs w:val="16"/>
                <w:lang w:val="en-US"/>
              </w:rPr>
            </w:pPr>
            <w:r w:rsidRPr="00EC699B">
              <w:rPr>
                <w:rFonts w:eastAsia="Times New Roman" w:cs="Times New Roman"/>
                <w:sz w:val="16"/>
                <w:szCs w:val="16"/>
                <w:lang w:val="en-US"/>
              </w:rPr>
              <w:t>significance</w:t>
            </w:r>
          </w:p>
        </w:tc>
        <w:tc>
          <w:tcPr>
            <w:tcW w:w="851" w:type="dxa"/>
            <w:shd w:val="clear" w:color="auto" w:fill="FFFFFF" w:themeFill="background1"/>
          </w:tcPr>
          <w:p w14:paraId="1C362BEA" w14:textId="34AA217B" w:rsidR="00EC699B" w:rsidRPr="00FF79AB" w:rsidRDefault="00E3198A" w:rsidP="00F550F1">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m:oMathPara>
              <m:oMath>
                <m:sSubSup>
                  <m:sSubSupPr>
                    <m:ctrlPr>
                      <w:rPr>
                        <w:rFonts w:ascii="Cambria Math" w:hAnsi="Cambria Math"/>
                        <w:i/>
                        <w:sz w:val="18"/>
                        <w:szCs w:val="18"/>
                        <w:lang w:val="en-US"/>
                      </w:rPr>
                    </m:ctrlPr>
                  </m:sSubSupPr>
                  <m:e>
                    <m:r>
                      <m:rPr>
                        <m:sty m:val="bi"/>
                      </m:rPr>
                      <w:rPr>
                        <w:rFonts w:ascii="Cambria Math" w:hAnsi="Cambria Math"/>
                        <w:sz w:val="18"/>
                        <w:szCs w:val="18"/>
                        <w:lang w:val="en-US"/>
                      </w:rPr>
                      <m:t>η</m:t>
                    </m:r>
                  </m:e>
                  <m:sub>
                    <m:r>
                      <m:rPr>
                        <m:sty m:val="bi"/>
                      </m:rPr>
                      <w:rPr>
                        <w:rFonts w:ascii="Cambria Math" w:hAnsi="Cambria Math"/>
                        <w:sz w:val="18"/>
                        <w:szCs w:val="18"/>
                        <w:lang w:val="en-US"/>
                      </w:rPr>
                      <m:t>part</m:t>
                    </m:r>
                  </m:sub>
                  <m:sup>
                    <m:r>
                      <m:rPr>
                        <m:sty m:val="bi"/>
                      </m:rPr>
                      <w:rPr>
                        <w:rFonts w:ascii="Cambria Math" w:hAnsi="Cambria Math"/>
                        <w:sz w:val="18"/>
                        <w:szCs w:val="18"/>
                        <w:lang w:val="en-US"/>
                      </w:rPr>
                      <m:t>2</m:t>
                    </m:r>
                  </m:sup>
                </m:sSubSup>
              </m:oMath>
            </m:oMathPara>
          </w:p>
        </w:tc>
      </w:tr>
      <w:tr w:rsidR="00EC699B" w:rsidRPr="00FF79AB" w14:paraId="56747467"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37CD2A4B" w14:textId="77777777" w:rsidR="00EC699B" w:rsidRPr="00FF79AB" w:rsidRDefault="00EC699B" w:rsidP="00651505">
            <w:pPr>
              <w:rPr>
                <w:sz w:val="18"/>
                <w:szCs w:val="18"/>
                <w:lang w:val="en-US"/>
              </w:rPr>
            </w:pPr>
            <w:r w:rsidRPr="00FF79AB">
              <w:rPr>
                <w:sz w:val="18"/>
                <w:szCs w:val="18"/>
                <w:lang w:val="en-US"/>
              </w:rPr>
              <w:t>modality</w:t>
            </w:r>
          </w:p>
        </w:tc>
        <w:tc>
          <w:tcPr>
            <w:tcW w:w="993" w:type="dxa"/>
            <w:shd w:val="clear" w:color="auto" w:fill="FFFFFF" w:themeFill="background1"/>
          </w:tcPr>
          <w:p w14:paraId="2CC8C6F9" w14:textId="4C0DF7F3" w:rsidR="00EC699B" w:rsidRDefault="00EC699B"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w:t>
            </w:r>
            <w:r w:rsidR="00F23E37">
              <w:rPr>
                <w:sz w:val="18"/>
                <w:szCs w:val="18"/>
                <w:lang w:val="en-US"/>
              </w:rPr>
              <w:t>1</w:t>
            </w:r>
            <w:r>
              <w:rPr>
                <w:sz w:val="18"/>
                <w:szCs w:val="18"/>
                <w:lang w:val="en-US"/>
              </w:rPr>
              <w:t>,1</w:t>
            </w:r>
          </w:p>
        </w:tc>
        <w:tc>
          <w:tcPr>
            <w:tcW w:w="993" w:type="dxa"/>
            <w:shd w:val="clear" w:color="auto" w:fill="FFFFFF" w:themeFill="background1"/>
          </w:tcPr>
          <w:p w14:paraId="54DC6333" w14:textId="4EEE1179" w:rsidR="00EC699B" w:rsidRPr="00FF79AB" w:rsidRDefault="00F23E37"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2.75</w:t>
            </w:r>
          </w:p>
        </w:tc>
        <w:tc>
          <w:tcPr>
            <w:tcW w:w="850" w:type="dxa"/>
            <w:shd w:val="clear" w:color="auto" w:fill="FFFFFF" w:themeFill="background1"/>
          </w:tcPr>
          <w:p w14:paraId="25D68135" w14:textId="1E2133E3" w:rsidR="00EC699B" w:rsidRPr="00FF79AB" w:rsidRDefault="00F23E37"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.11</w:t>
            </w:r>
          </w:p>
        </w:tc>
        <w:tc>
          <w:tcPr>
            <w:tcW w:w="851" w:type="dxa"/>
            <w:shd w:val="clear" w:color="auto" w:fill="FFFFFF" w:themeFill="background1"/>
          </w:tcPr>
          <w:p w14:paraId="4DCF6064" w14:textId="7AD058A3" w:rsidR="00EC699B" w:rsidRPr="00FF79AB" w:rsidRDefault="00F23E37"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.03</w:t>
            </w:r>
          </w:p>
        </w:tc>
        <w:tc>
          <w:tcPr>
            <w:tcW w:w="1133" w:type="dxa"/>
            <w:shd w:val="clear" w:color="auto" w:fill="FFFFFF" w:themeFill="background1"/>
          </w:tcPr>
          <w:p w14:paraId="2E726A3C" w14:textId="055013BB" w:rsidR="00EC699B" w:rsidRDefault="00F23E37"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31279463" w14:textId="7B7D2B3A" w:rsidR="00EC699B" w:rsidRPr="00FF79AB" w:rsidRDefault="00F23E37" w:rsidP="00F550F1">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.07</w:t>
            </w:r>
          </w:p>
        </w:tc>
      </w:tr>
      <w:tr w:rsidR="00EC699B" w:rsidRPr="00FF79AB" w14:paraId="336C89F8"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4CA27679" w14:textId="77777777" w:rsidR="00EC699B" w:rsidRPr="00FF79AB" w:rsidRDefault="00EC699B" w:rsidP="00153BCD">
            <w:pPr>
              <w:rPr>
                <w:sz w:val="18"/>
                <w:szCs w:val="18"/>
                <w:lang w:val="en-US"/>
              </w:rPr>
            </w:pPr>
            <w:r w:rsidRPr="00FF79AB">
              <w:rPr>
                <w:sz w:val="18"/>
                <w:szCs w:val="18"/>
                <w:lang w:val="en-US"/>
              </w:rPr>
              <w:t>move</w:t>
            </w:r>
          </w:p>
        </w:tc>
        <w:tc>
          <w:tcPr>
            <w:tcW w:w="993" w:type="dxa"/>
            <w:shd w:val="clear" w:color="auto" w:fill="FFFFFF" w:themeFill="background1"/>
          </w:tcPr>
          <w:p w14:paraId="580D716F" w14:textId="0BF04A22" w:rsidR="00EC699B" w:rsidRDefault="00EC699B"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w:t>
            </w:r>
            <w:r w:rsidR="00F23E37">
              <w:rPr>
                <w:sz w:val="18"/>
                <w:szCs w:val="18"/>
                <w:lang w:val="en-US"/>
              </w:rPr>
              <w:t>2</w:t>
            </w:r>
            <w:r>
              <w:rPr>
                <w:sz w:val="18"/>
                <w:szCs w:val="18"/>
                <w:lang w:val="en-US"/>
              </w:rPr>
              <w:t>,2</w:t>
            </w:r>
          </w:p>
        </w:tc>
        <w:tc>
          <w:tcPr>
            <w:tcW w:w="993" w:type="dxa"/>
            <w:shd w:val="clear" w:color="auto" w:fill="FFFFFF" w:themeFill="background1"/>
          </w:tcPr>
          <w:p w14:paraId="0FA7DEBF" w14:textId="1C58A9C9" w:rsidR="00EC699B" w:rsidRPr="00FF79AB" w:rsidRDefault="00F23E37"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11.52</w:t>
            </w:r>
          </w:p>
        </w:tc>
        <w:tc>
          <w:tcPr>
            <w:tcW w:w="850" w:type="dxa"/>
            <w:shd w:val="clear" w:color="auto" w:fill="FFFFFF" w:themeFill="background1"/>
          </w:tcPr>
          <w:p w14:paraId="3618F03F" w14:textId="107636AD" w:rsidR="00EC699B" w:rsidRPr="00FF79AB" w:rsidRDefault="00F23E37"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&lt; .001</w:t>
            </w:r>
          </w:p>
        </w:tc>
        <w:tc>
          <w:tcPr>
            <w:tcW w:w="851" w:type="dxa"/>
            <w:shd w:val="clear" w:color="auto" w:fill="FFFFFF" w:themeFill="background1"/>
          </w:tcPr>
          <w:p w14:paraId="41C50BD3" w14:textId="2F5955CB" w:rsidR="00EC699B" w:rsidRPr="00FF79AB" w:rsidRDefault="00F23E37"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.04</w:t>
            </w:r>
          </w:p>
        </w:tc>
        <w:tc>
          <w:tcPr>
            <w:tcW w:w="1133" w:type="dxa"/>
            <w:shd w:val="clear" w:color="auto" w:fill="FFFFFF" w:themeFill="background1"/>
          </w:tcPr>
          <w:p w14:paraId="05C20CF7" w14:textId="113D16DA" w:rsidR="00EC699B" w:rsidRDefault="00F23E37"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75C576D4" w14:textId="467BB99C" w:rsidR="00EC699B" w:rsidRPr="00FF79AB" w:rsidRDefault="00F23E37" w:rsidP="00153BC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.32</w:t>
            </w:r>
          </w:p>
        </w:tc>
      </w:tr>
      <w:tr w:rsidR="00F23E37" w:rsidRPr="00FF79AB" w14:paraId="1B35CDA8"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6A542421" w14:textId="05633AA0" w:rsidR="00F23E37" w:rsidRPr="00FF79AB" w:rsidRDefault="00F23E37" w:rsidP="00153BCD">
            <w:pPr>
              <w:rPr>
                <w:sz w:val="18"/>
                <w:szCs w:val="18"/>
                <w:lang w:val="en-US"/>
              </w:rPr>
            </w:pPr>
            <w:r>
              <w:rPr>
                <w:sz w:val="18"/>
                <w:szCs w:val="18"/>
                <w:lang w:val="en-US"/>
              </w:rPr>
              <w:t>mix</w:t>
            </w:r>
          </w:p>
        </w:tc>
        <w:tc>
          <w:tcPr>
            <w:tcW w:w="993" w:type="dxa"/>
            <w:shd w:val="clear" w:color="auto" w:fill="FFFFFF" w:themeFill="background1"/>
          </w:tcPr>
          <w:p w14:paraId="38FAF40F" w14:textId="69B394EF"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0E71B6C6" w14:textId="495831D6"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111.81</w:t>
            </w:r>
          </w:p>
        </w:tc>
        <w:tc>
          <w:tcPr>
            <w:tcW w:w="850" w:type="dxa"/>
            <w:shd w:val="clear" w:color="auto" w:fill="FFFFFF" w:themeFill="background1"/>
          </w:tcPr>
          <w:p w14:paraId="3B7D7CCE" w14:textId="4A27CA93"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&lt; .001</w:t>
            </w:r>
          </w:p>
        </w:tc>
        <w:tc>
          <w:tcPr>
            <w:tcW w:w="851" w:type="dxa"/>
            <w:shd w:val="clear" w:color="auto" w:fill="FFFFFF" w:themeFill="background1"/>
          </w:tcPr>
          <w:p w14:paraId="5829D17D" w14:textId="53DA25D7"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.05</w:t>
            </w:r>
          </w:p>
        </w:tc>
        <w:tc>
          <w:tcPr>
            <w:tcW w:w="1133" w:type="dxa"/>
            <w:shd w:val="clear" w:color="auto" w:fill="FFFFFF" w:themeFill="background1"/>
          </w:tcPr>
          <w:p w14:paraId="57567C67" w14:textId="3ADA219A"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2BEF6D03" w14:textId="38F86B3E" w:rsidR="00F23E37" w:rsidRDefault="00F23E37" w:rsidP="00153BC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.83</w:t>
            </w:r>
          </w:p>
        </w:tc>
      </w:tr>
      <w:tr w:rsidR="00EC699B" w:rsidRPr="00FF79AB" w14:paraId="2E5870BD"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130EC8BE" w14:textId="77777777" w:rsidR="00EC699B" w:rsidRPr="00FF79AB" w:rsidRDefault="00EC699B" w:rsidP="0086569D">
            <w:pPr>
              <w:rPr>
                <w:sz w:val="18"/>
                <w:szCs w:val="18"/>
                <w:lang w:val="en-US"/>
              </w:rPr>
            </w:pPr>
            <w:r w:rsidRPr="00FF79AB">
              <w:rPr>
                <w:sz w:val="18"/>
                <w:szCs w:val="18"/>
                <w:lang w:val="en-US"/>
              </w:rPr>
              <w:t>modality * move</w:t>
            </w:r>
          </w:p>
        </w:tc>
        <w:tc>
          <w:tcPr>
            <w:tcW w:w="993" w:type="dxa"/>
            <w:shd w:val="clear" w:color="auto" w:fill="FFFFFF" w:themeFill="background1"/>
          </w:tcPr>
          <w:p w14:paraId="65EF2773" w14:textId="138C6207" w:rsidR="00EC699B" w:rsidRDefault="00EC699B"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w:t>
            </w:r>
            <w:r w:rsidR="00F23E37">
              <w:rPr>
                <w:sz w:val="18"/>
                <w:szCs w:val="18"/>
                <w:lang w:val="en-US"/>
              </w:rPr>
              <w:t>2</w:t>
            </w:r>
            <w:r>
              <w:rPr>
                <w:sz w:val="18"/>
                <w:szCs w:val="18"/>
                <w:lang w:val="en-US"/>
              </w:rPr>
              <w:t>,2</w:t>
            </w:r>
          </w:p>
        </w:tc>
        <w:tc>
          <w:tcPr>
            <w:tcW w:w="993" w:type="dxa"/>
            <w:shd w:val="clear" w:color="auto" w:fill="FFFFFF" w:themeFill="background1"/>
          </w:tcPr>
          <w:p w14:paraId="3937E5BC" w14:textId="0B995D8B" w:rsidR="00EC699B" w:rsidRPr="00FF79AB"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1.03</w:t>
            </w:r>
          </w:p>
        </w:tc>
        <w:tc>
          <w:tcPr>
            <w:tcW w:w="850" w:type="dxa"/>
            <w:shd w:val="clear" w:color="auto" w:fill="FFFFFF" w:themeFill="background1"/>
          </w:tcPr>
          <w:p w14:paraId="3075266E" w14:textId="15A65D6A" w:rsidR="00EC699B" w:rsidRPr="00FF79AB"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.37</w:t>
            </w:r>
          </w:p>
        </w:tc>
        <w:tc>
          <w:tcPr>
            <w:tcW w:w="851" w:type="dxa"/>
            <w:shd w:val="clear" w:color="auto" w:fill="FFFFFF" w:themeFill="background1"/>
          </w:tcPr>
          <w:p w14:paraId="67AC1967" w14:textId="67A19F3A" w:rsidR="00EC699B" w:rsidRPr="00FF79AB"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.02</w:t>
            </w:r>
          </w:p>
        </w:tc>
        <w:tc>
          <w:tcPr>
            <w:tcW w:w="1133" w:type="dxa"/>
            <w:shd w:val="clear" w:color="auto" w:fill="FFFFFF" w:themeFill="background1"/>
          </w:tcPr>
          <w:p w14:paraId="245D11CF" w14:textId="3E665A20" w:rsidR="00EC699B"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1950083B" w14:textId="405929FE" w:rsidR="00EC699B" w:rsidRPr="00FF79AB"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.00</w:t>
            </w:r>
          </w:p>
        </w:tc>
      </w:tr>
      <w:tr w:rsidR="00F23E37" w:rsidRPr="00FF79AB" w14:paraId="79BC96E6"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11A58A95" w14:textId="2F13F92E" w:rsidR="00F23E37" w:rsidRPr="00FF79AB" w:rsidRDefault="00F23E37" w:rsidP="0086569D">
            <w:pPr>
              <w:rPr>
                <w:sz w:val="18"/>
                <w:szCs w:val="18"/>
                <w:lang w:val="en-US"/>
              </w:rPr>
            </w:pPr>
            <w:r>
              <w:rPr>
                <w:sz w:val="18"/>
                <w:szCs w:val="18"/>
                <w:lang w:val="en-US"/>
              </w:rPr>
              <w:t xml:space="preserve">modality * mix </w:t>
            </w:r>
          </w:p>
        </w:tc>
        <w:tc>
          <w:tcPr>
            <w:tcW w:w="993" w:type="dxa"/>
            <w:shd w:val="clear" w:color="auto" w:fill="FFFFFF" w:themeFill="background1"/>
          </w:tcPr>
          <w:p w14:paraId="16C230A7" w14:textId="15215C66"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32D124D3" w14:textId="5268D287"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3.73</w:t>
            </w:r>
          </w:p>
        </w:tc>
        <w:tc>
          <w:tcPr>
            <w:tcW w:w="850" w:type="dxa"/>
            <w:shd w:val="clear" w:color="auto" w:fill="FFFFFF" w:themeFill="background1"/>
          </w:tcPr>
          <w:p w14:paraId="1C7E884C" w14:textId="32F29EA7"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.07</w:t>
            </w:r>
          </w:p>
        </w:tc>
        <w:tc>
          <w:tcPr>
            <w:tcW w:w="851" w:type="dxa"/>
            <w:shd w:val="clear" w:color="auto" w:fill="FFFFFF" w:themeFill="background1"/>
          </w:tcPr>
          <w:p w14:paraId="3D3F96B0" w14:textId="37531B67"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.04</w:t>
            </w:r>
          </w:p>
        </w:tc>
        <w:tc>
          <w:tcPr>
            <w:tcW w:w="1133" w:type="dxa"/>
            <w:shd w:val="clear" w:color="auto" w:fill="FFFFFF" w:themeFill="background1"/>
          </w:tcPr>
          <w:p w14:paraId="4B84B7ED" w14:textId="7CFA0841"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3D90DEB5" w14:textId="0ED2BA66"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.11</w:t>
            </w:r>
          </w:p>
        </w:tc>
      </w:tr>
      <w:tr w:rsidR="00F23E37" w:rsidRPr="00FF79AB" w14:paraId="0B671DD5"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09FC5686" w14:textId="227E5E8B" w:rsidR="00F23E37" w:rsidRDefault="00F23E37" w:rsidP="0086569D">
            <w:pPr>
              <w:rPr>
                <w:sz w:val="18"/>
                <w:szCs w:val="18"/>
                <w:lang w:val="en-US"/>
              </w:rPr>
            </w:pPr>
            <w:r>
              <w:rPr>
                <w:sz w:val="18"/>
                <w:szCs w:val="18"/>
                <w:lang w:val="en-US"/>
              </w:rPr>
              <w:t>move * mix</w:t>
            </w:r>
          </w:p>
        </w:tc>
        <w:tc>
          <w:tcPr>
            <w:tcW w:w="993" w:type="dxa"/>
            <w:shd w:val="clear" w:color="auto" w:fill="FFFFFF" w:themeFill="background1"/>
          </w:tcPr>
          <w:p w14:paraId="3090040F" w14:textId="40D26F23"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42,2</w:t>
            </w:r>
          </w:p>
        </w:tc>
        <w:tc>
          <w:tcPr>
            <w:tcW w:w="993" w:type="dxa"/>
            <w:shd w:val="clear" w:color="auto" w:fill="FFFFFF" w:themeFill="background1"/>
          </w:tcPr>
          <w:p w14:paraId="1FF881D4" w14:textId="7CC63B78"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0.34</w:t>
            </w:r>
          </w:p>
        </w:tc>
        <w:tc>
          <w:tcPr>
            <w:tcW w:w="850" w:type="dxa"/>
            <w:shd w:val="clear" w:color="auto" w:fill="FFFFFF" w:themeFill="background1"/>
          </w:tcPr>
          <w:p w14:paraId="1B995558" w14:textId="5B0E0A45"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.34</w:t>
            </w:r>
          </w:p>
        </w:tc>
        <w:tc>
          <w:tcPr>
            <w:tcW w:w="851" w:type="dxa"/>
            <w:shd w:val="clear" w:color="auto" w:fill="FFFFFF" w:themeFill="background1"/>
          </w:tcPr>
          <w:p w14:paraId="646BD4B4" w14:textId="62639C0B"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.01</w:t>
            </w:r>
          </w:p>
        </w:tc>
        <w:tc>
          <w:tcPr>
            <w:tcW w:w="1133" w:type="dxa"/>
            <w:shd w:val="clear" w:color="auto" w:fill="FFFFFF" w:themeFill="background1"/>
          </w:tcPr>
          <w:p w14:paraId="17CBDF06" w14:textId="68F725C3"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0337B6A9" w14:textId="6BC9969C" w:rsidR="00F23E37" w:rsidRDefault="00F23E37" w:rsidP="0086569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-.03</w:t>
            </w:r>
          </w:p>
        </w:tc>
      </w:tr>
      <w:tr w:rsidR="00F23E37" w:rsidRPr="00FF79AB" w14:paraId="4F86A7AC"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3A9D2492" w14:textId="592BCEE6" w:rsidR="00F23E37" w:rsidRDefault="00F23E37" w:rsidP="0086569D">
            <w:pPr>
              <w:rPr>
                <w:sz w:val="18"/>
                <w:szCs w:val="18"/>
                <w:lang w:val="en-US"/>
              </w:rPr>
            </w:pPr>
            <w:r>
              <w:rPr>
                <w:sz w:val="18"/>
                <w:szCs w:val="18"/>
                <w:lang w:val="en-US"/>
              </w:rPr>
              <w:t>modality * move * mix</w:t>
            </w:r>
          </w:p>
        </w:tc>
        <w:tc>
          <w:tcPr>
            <w:tcW w:w="993" w:type="dxa"/>
            <w:shd w:val="clear" w:color="auto" w:fill="FFFFFF" w:themeFill="background1"/>
          </w:tcPr>
          <w:p w14:paraId="3990B541" w14:textId="3081A41E"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42,2</w:t>
            </w:r>
          </w:p>
        </w:tc>
        <w:tc>
          <w:tcPr>
            <w:tcW w:w="993" w:type="dxa"/>
            <w:shd w:val="clear" w:color="auto" w:fill="FFFFFF" w:themeFill="background1"/>
          </w:tcPr>
          <w:p w14:paraId="7F864BA3" w14:textId="14A2941E"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0.17</w:t>
            </w:r>
          </w:p>
        </w:tc>
        <w:tc>
          <w:tcPr>
            <w:tcW w:w="850" w:type="dxa"/>
            <w:shd w:val="clear" w:color="auto" w:fill="FFFFFF" w:themeFill="background1"/>
          </w:tcPr>
          <w:p w14:paraId="5E10A1ED" w14:textId="65315236"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.79</w:t>
            </w:r>
          </w:p>
        </w:tc>
        <w:tc>
          <w:tcPr>
            <w:tcW w:w="851" w:type="dxa"/>
            <w:shd w:val="clear" w:color="auto" w:fill="FFFFFF" w:themeFill="background1"/>
          </w:tcPr>
          <w:p w14:paraId="3F20E8B9" w14:textId="0C6082EA"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w:t>
            </w:r>
          </w:p>
        </w:tc>
        <w:tc>
          <w:tcPr>
            <w:tcW w:w="1133" w:type="dxa"/>
            <w:shd w:val="clear" w:color="auto" w:fill="FFFFFF" w:themeFill="background1"/>
          </w:tcPr>
          <w:p w14:paraId="6C8CE310" w14:textId="5CB8DDF5"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73EFBF31" w14:textId="1B453E0F" w:rsidR="00F23E37" w:rsidRDefault="00F23E37" w:rsidP="0086569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-.04</w:t>
            </w:r>
          </w:p>
        </w:tc>
      </w:tr>
    </w:tbl>
    <w:p w14:paraId="16BB817A" w14:textId="77777777" w:rsidR="00156AEA" w:rsidRDefault="00156AEA" w:rsidP="00A51AB0">
      <w:pPr>
        <w:rPr>
          <w:lang w:val="en-US"/>
        </w:rPr>
      </w:pPr>
    </w:p>
    <w:p w14:paraId="3B158DFB" w14:textId="77777777" w:rsidR="00436AFC" w:rsidRPr="00D806B1" w:rsidRDefault="00436AFC" w:rsidP="00436AFC">
      <w:pPr>
        <w:rPr>
          <w:lang w:val="en-US"/>
        </w:rPr>
      </w:pPr>
      <w:r w:rsidRPr="00D806B1">
        <w:rPr>
          <w:lang w:val="en-US"/>
        </w:rPr>
        <w:t>Participants' perceived workload was significantly influenced by both movement conditions and task complexity:</w:t>
      </w:r>
    </w:p>
    <w:p w14:paraId="44F499EB" w14:textId="77777777" w:rsidR="00436AFC" w:rsidRPr="00D806B1" w:rsidRDefault="00436AFC" w:rsidP="00436AFC">
      <w:pPr>
        <w:numPr>
          <w:ilvl w:val="0"/>
          <w:numId w:val="14"/>
        </w:numPr>
        <w:rPr>
          <w:lang w:val="en-US"/>
        </w:rPr>
      </w:pPr>
      <w:r w:rsidRPr="00D806B1">
        <w:rPr>
          <w:b/>
          <w:bCs/>
          <w:lang w:val="en-US"/>
        </w:rPr>
        <w:t>Movement Effect</w:t>
      </w:r>
      <w:r w:rsidRPr="00D806B1">
        <w:rPr>
          <w:lang w:val="en-US"/>
        </w:rPr>
        <w:t xml:space="preserve">: Perturbed walking (M = 7.39, SD = 3.52) was rated as more demanding than both standing (M = 5.83, SD = 3.29; </w:t>
      </w:r>
      <w:proofErr w:type="spellStart"/>
      <w:r w:rsidRPr="00D806B1">
        <w:rPr>
          <w:lang w:val="en-US"/>
        </w:rPr>
        <w:t>p</w:t>
      </w:r>
      <w:r w:rsidRPr="00D806B1">
        <w:rPr>
          <w:vertAlign w:val="subscript"/>
          <w:lang w:val="en-US"/>
        </w:rPr>
        <w:t>stand</w:t>
      </w:r>
      <w:proofErr w:type="spellEnd"/>
      <w:r w:rsidRPr="00D806B1">
        <w:rPr>
          <w:vertAlign w:val="subscript"/>
          <w:lang w:val="en-US"/>
        </w:rPr>
        <w:t xml:space="preserve">-perturbation </w:t>
      </w:r>
      <w:r w:rsidRPr="00D806B1">
        <w:rPr>
          <w:lang w:val="en-US"/>
        </w:rPr>
        <w:t xml:space="preserve">&lt; .01) and regular walking (M = 5.99, SD = 3.24; </w:t>
      </w:r>
      <w:proofErr w:type="spellStart"/>
      <w:r w:rsidRPr="00D806B1">
        <w:rPr>
          <w:lang w:val="en-US"/>
        </w:rPr>
        <w:t>p</w:t>
      </w:r>
      <w:r w:rsidRPr="00D806B1">
        <w:rPr>
          <w:vertAlign w:val="subscript"/>
          <w:lang w:val="en-US"/>
        </w:rPr>
        <w:t>walk</w:t>
      </w:r>
      <w:proofErr w:type="spellEnd"/>
      <w:r w:rsidRPr="00D806B1">
        <w:rPr>
          <w:vertAlign w:val="subscript"/>
          <w:lang w:val="en-US"/>
        </w:rPr>
        <w:t xml:space="preserve">-perturbation </w:t>
      </w:r>
      <w:r w:rsidRPr="00D806B1">
        <w:rPr>
          <w:lang w:val="en-US"/>
        </w:rPr>
        <w:t>&lt; .001).</w:t>
      </w:r>
    </w:p>
    <w:p w14:paraId="76C1AE00" w14:textId="77777777" w:rsidR="00436AFC" w:rsidRPr="00D806B1" w:rsidRDefault="00436AFC" w:rsidP="00436AFC">
      <w:pPr>
        <w:numPr>
          <w:ilvl w:val="0"/>
          <w:numId w:val="14"/>
        </w:numPr>
        <w:rPr>
          <w:lang w:val="en-US"/>
        </w:rPr>
      </w:pPr>
      <w:r w:rsidRPr="00D806B1">
        <w:rPr>
          <w:b/>
          <w:bCs/>
          <w:lang w:val="en-US"/>
        </w:rPr>
        <w:t>Task Complexity</w:t>
      </w:r>
      <w:r w:rsidRPr="00D806B1">
        <w:rPr>
          <w:lang w:val="en-US"/>
        </w:rPr>
        <w:t>: Mixed-task blocks (M = 8.22, SD = 3.26) were rated as more demanding than repeat-only blocks (M = 4.59, SD = 2.47).</w:t>
      </w:r>
    </w:p>
    <w:p w14:paraId="3DA234ED" w14:textId="25FD6408" w:rsidR="00DD1833" w:rsidRDefault="00436AFC" w:rsidP="00A51AB0">
      <w:pPr>
        <w:rPr>
          <w:rFonts w:eastAsiaTheme="minorEastAsia" w:cs="Times New Roman"/>
          <w:iCs/>
          <w:lang w:val="en-US"/>
        </w:rPr>
      </w:pPr>
      <w:r w:rsidRPr="00D806B1">
        <w:rPr>
          <w:lang w:val="en-US"/>
        </w:rPr>
        <w:lastRenderedPageBreak/>
        <w:t>These findings suggest that both physical instability and cognitive task switching contribute substantially to perceived workload.</w:t>
      </w:r>
      <w:r w:rsidR="001227BE">
        <w:rPr>
          <w:rFonts w:eastAsiaTheme="minorEastAsia" w:cs="Times New Roman"/>
          <w:iCs/>
          <w:lang w:val="en-US"/>
        </w:rPr>
        <w:t xml:space="preserve"> </w:t>
      </w:r>
      <w:r w:rsidR="001377A3">
        <w:rPr>
          <w:rFonts w:eastAsiaTheme="minorEastAsia" w:cs="Times New Roman"/>
          <w:iCs/>
          <w:lang w:val="en-US"/>
        </w:rPr>
        <w:t xml:space="preserve">For a detailed overview of ANOVA results, see </w:t>
      </w:r>
      <w:r w:rsidR="006526BB">
        <w:rPr>
          <w:rFonts w:eastAsiaTheme="minorEastAsia" w:cs="Times New Roman"/>
          <w:iCs/>
          <w:lang w:val="en-US"/>
        </w:rPr>
        <w:fldChar w:fldCharType="begin"/>
      </w:r>
      <w:r w:rsidR="006526BB">
        <w:rPr>
          <w:rFonts w:eastAsiaTheme="minorEastAsia" w:cs="Times New Roman"/>
          <w:iCs/>
          <w:lang w:val="en-US"/>
        </w:rPr>
        <w:instrText xml:space="preserve"> REF _Ref131166911 \h </w:instrText>
      </w:r>
      <w:r w:rsidR="006526BB">
        <w:rPr>
          <w:rFonts w:eastAsiaTheme="minorEastAsia" w:cs="Times New Roman"/>
          <w:iCs/>
          <w:lang w:val="en-US"/>
        </w:rPr>
      </w:r>
      <w:r w:rsidR="006526BB">
        <w:rPr>
          <w:rFonts w:eastAsiaTheme="minorEastAsia" w:cs="Times New Roman"/>
          <w:iCs/>
          <w:lang w:val="en-US"/>
        </w:rPr>
        <w:fldChar w:fldCharType="separate"/>
      </w:r>
      <w:r w:rsidR="00B12A7D" w:rsidRPr="00EE00FE">
        <w:rPr>
          <w:lang w:val="en-US"/>
        </w:rPr>
        <w:t xml:space="preserve">Table </w:t>
      </w:r>
      <w:r w:rsidR="00B12A7D">
        <w:rPr>
          <w:noProof/>
          <w:lang w:val="en-US"/>
        </w:rPr>
        <w:t>1</w:t>
      </w:r>
      <w:r w:rsidR="006526BB">
        <w:rPr>
          <w:rFonts w:eastAsiaTheme="minorEastAsia" w:cs="Times New Roman"/>
          <w:iCs/>
          <w:lang w:val="en-US"/>
        </w:rPr>
        <w:fldChar w:fldCharType="end"/>
      </w:r>
      <w:r w:rsidR="00E46478">
        <w:rPr>
          <w:rFonts w:eastAsiaTheme="minorEastAsia" w:cs="Times New Roman"/>
          <w:iCs/>
          <w:lang w:val="en-US"/>
        </w:rPr>
        <w:t xml:space="preserve"> and </w:t>
      </w:r>
      <w:r w:rsidR="000B4DEA">
        <w:rPr>
          <w:rFonts w:eastAsiaTheme="minorEastAsia" w:cs="Times New Roman"/>
          <w:iCs/>
          <w:lang w:val="en-US"/>
        </w:rPr>
        <w:fldChar w:fldCharType="begin"/>
      </w:r>
      <w:r w:rsidR="000B4DEA">
        <w:rPr>
          <w:rFonts w:eastAsiaTheme="minorEastAsia" w:cs="Times New Roman"/>
          <w:iCs/>
          <w:lang w:val="en-US"/>
        </w:rPr>
        <w:instrText xml:space="preserve"> REF _Ref136533650 \h </w:instrText>
      </w:r>
      <w:r w:rsidR="000B4DEA">
        <w:rPr>
          <w:rFonts w:eastAsiaTheme="minorEastAsia" w:cs="Times New Roman"/>
          <w:iCs/>
          <w:lang w:val="en-US"/>
        </w:rPr>
      </w:r>
      <w:r w:rsidR="000B4DEA">
        <w:rPr>
          <w:rFonts w:eastAsiaTheme="minorEastAsia" w:cs="Times New Roman"/>
          <w:iCs/>
          <w:lang w:val="en-US"/>
        </w:rPr>
        <w:fldChar w:fldCharType="separate"/>
      </w:r>
      <w:r w:rsidR="00B12A7D" w:rsidRPr="00F05152">
        <w:rPr>
          <w:rStyle w:val="Hervorhebung"/>
        </w:rPr>
        <w:t xml:space="preserve">Figure </w:t>
      </w:r>
      <w:r w:rsidR="00B12A7D">
        <w:rPr>
          <w:rStyle w:val="Hervorhebung"/>
          <w:noProof/>
        </w:rPr>
        <w:t>3</w:t>
      </w:r>
      <w:r w:rsidR="000B4DEA">
        <w:rPr>
          <w:rFonts w:eastAsiaTheme="minorEastAsia" w:cs="Times New Roman"/>
          <w:iCs/>
          <w:lang w:val="en-US"/>
        </w:rPr>
        <w:fldChar w:fldCharType="end"/>
      </w:r>
      <w:r w:rsidR="000B4DEA">
        <w:rPr>
          <w:rFonts w:eastAsiaTheme="minorEastAsia" w:cs="Times New Roman"/>
          <w:iCs/>
          <w:lang w:val="en-US"/>
        </w:rPr>
        <w:t>.</w:t>
      </w:r>
    </w:p>
    <w:p w14:paraId="1004D118" w14:textId="77777777" w:rsidR="003340D1" w:rsidRDefault="003340D1" w:rsidP="003340D1">
      <w:pPr>
        <w:keepNext/>
        <w:jc w:val="center"/>
      </w:pPr>
      <w:r>
        <w:rPr>
          <w:noProof/>
          <w:lang w:val="en-US"/>
        </w:rPr>
        <w:drawing>
          <wp:inline distT="0" distB="0" distL="0" distR="0" wp14:anchorId="34D084F2" wp14:editId="1AE86155">
            <wp:extent cx="3126535" cy="3126535"/>
            <wp:effectExtent l="0" t="0" r="0" b="0"/>
            <wp:docPr id="262868281" name="Grafik 26286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68281" name="Grafik 26286828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26535" cy="3126535"/>
                    </a:xfrm>
                    <a:prstGeom prst="rect">
                      <a:avLst/>
                    </a:prstGeom>
                  </pic:spPr>
                </pic:pic>
              </a:graphicData>
            </a:graphic>
          </wp:inline>
        </w:drawing>
      </w:r>
    </w:p>
    <w:p w14:paraId="19948E45" w14:textId="37C0DD6F" w:rsidR="00DD1833" w:rsidRPr="00DE5F3A" w:rsidRDefault="123ECA93" w:rsidP="154B5F54">
      <w:pPr>
        <w:pStyle w:val="Beschriftung"/>
        <w:rPr>
          <w:rStyle w:val="Hervorhebung"/>
          <w:i w:val="0"/>
          <w:iCs w:val="0"/>
        </w:rPr>
      </w:pPr>
      <w:bookmarkStart w:id="4" w:name="_Ref136533650"/>
      <w:r w:rsidRPr="00DE5F3A">
        <w:rPr>
          <w:rStyle w:val="Hervorhebung"/>
        </w:rPr>
        <w:t xml:space="preserve">Figure </w:t>
      </w:r>
      <w:r w:rsidRPr="154B5F54">
        <w:rPr>
          <w:rStyle w:val="Hervorhebung"/>
        </w:rPr>
        <w:fldChar w:fldCharType="begin"/>
      </w:r>
      <w:r w:rsidRPr="154B5F54">
        <w:rPr>
          <w:rStyle w:val="Hervorhebung"/>
        </w:rPr>
        <w:instrText xml:space="preserve"> SEQ Figure \* ARABIC </w:instrText>
      </w:r>
      <w:r w:rsidRPr="154B5F54">
        <w:rPr>
          <w:rStyle w:val="Hervorhebung"/>
        </w:rPr>
        <w:fldChar w:fldCharType="separate"/>
      </w:r>
      <w:r w:rsidRPr="00DE5F3A">
        <w:rPr>
          <w:rStyle w:val="Hervorhebung"/>
        </w:rPr>
        <w:t>3</w:t>
      </w:r>
      <w:r w:rsidRPr="154B5F54">
        <w:rPr>
          <w:rStyle w:val="Hervorhebung"/>
        </w:rPr>
        <w:fldChar w:fldCharType="end"/>
      </w:r>
      <w:bookmarkEnd w:id="4"/>
      <w:r w:rsidRPr="00DE5F3A">
        <w:rPr>
          <w:rStyle w:val="Hervorhebung"/>
        </w:rPr>
        <w:t xml:space="preserve">. </w:t>
      </w:r>
      <w:r w:rsidRPr="00DE5F3A">
        <w:rPr>
          <w:rStyle w:val="Hervorhebung"/>
          <w:i w:val="0"/>
          <w:iCs w:val="0"/>
        </w:rPr>
        <w:t>NASA-TLX mean raw scores. For the calculation of the overall mean scores, all subdimensions (cognitive demands, physical demands, time demands, performance, effort, and frustration) were averaged.</w:t>
      </w:r>
    </w:p>
    <w:p w14:paraId="3D303993" w14:textId="1F4AEA20" w:rsidR="00340FDF" w:rsidRPr="00340FDF" w:rsidRDefault="00156AEA" w:rsidP="00340FDF">
      <w:pPr>
        <w:pStyle w:val="berschrift2"/>
        <w:rPr>
          <w:lang w:val="en-US"/>
        </w:rPr>
      </w:pPr>
      <w:bookmarkStart w:id="5" w:name="_Ref180071272"/>
      <w:r w:rsidRPr="00BB03B0">
        <w:rPr>
          <w:lang w:val="en-US"/>
        </w:rPr>
        <w:t>Behavior</w:t>
      </w:r>
      <w:bookmarkEnd w:id="5"/>
    </w:p>
    <w:p w14:paraId="3D62FFE7" w14:textId="10740622" w:rsidR="00340FDF" w:rsidRDefault="00340FDF" w:rsidP="00590480">
      <w:pPr>
        <w:pStyle w:val="berschrift3"/>
        <w:rPr>
          <w:lang w:val="en-US"/>
        </w:rPr>
      </w:pPr>
      <w:r>
        <w:rPr>
          <w:lang w:val="en-US"/>
        </w:rPr>
        <w:t xml:space="preserve">Gait </w:t>
      </w:r>
      <w:r w:rsidR="00BA4E6F">
        <w:rPr>
          <w:lang w:val="en-US"/>
        </w:rPr>
        <w:t>analysis</w:t>
      </w:r>
    </w:p>
    <w:p w14:paraId="34A945CD" w14:textId="2DC0C54B" w:rsidR="00340FDF" w:rsidRPr="00971DD4" w:rsidRDefault="00340FDF" w:rsidP="00971DD4">
      <w:pPr>
        <w:pStyle w:val="Beschriftung"/>
        <w:rPr>
          <w:b/>
          <w:bCs/>
          <w:lang w:val="en-US"/>
        </w:rPr>
      </w:pPr>
      <w:bookmarkStart w:id="6" w:name="_Ref187311465"/>
      <w:r w:rsidRPr="006526BB">
        <w:rPr>
          <w:lang w:val="en-US"/>
        </w:rPr>
        <w:t xml:space="preserve">Table </w:t>
      </w:r>
      <w:r w:rsidR="002F7331">
        <w:rPr>
          <w:lang w:val="en-US"/>
        </w:rPr>
        <w:fldChar w:fldCharType="begin"/>
      </w:r>
      <w:r w:rsidR="002F7331">
        <w:rPr>
          <w:lang w:val="en-US"/>
        </w:rPr>
        <w:instrText xml:space="preserve"> SEQ Table \* ARABIC </w:instrText>
      </w:r>
      <w:r w:rsidR="002F7331">
        <w:rPr>
          <w:lang w:val="en-US"/>
        </w:rPr>
        <w:fldChar w:fldCharType="separate"/>
      </w:r>
      <w:r w:rsidR="002F7331">
        <w:rPr>
          <w:noProof/>
          <w:lang w:val="en-US"/>
        </w:rPr>
        <w:t>2</w:t>
      </w:r>
      <w:r w:rsidR="002F7331">
        <w:rPr>
          <w:lang w:val="en-US"/>
        </w:rPr>
        <w:fldChar w:fldCharType="end"/>
      </w:r>
      <w:bookmarkEnd w:id="6"/>
      <w:r w:rsidRPr="006526BB">
        <w:rPr>
          <w:lang w:val="en-US"/>
        </w:rPr>
        <w:t xml:space="preserve">. </w:t>
      </w:r>
      <w:r>
        <w:rPr>
          <w:lang w:val="en-US"/>
        </w:rPr>
        <w:t>Mean stride time repeated measures ANOVA results.</w:t>
      </w:r>
    </w:p>
    <w:tbl>
      <w:tblPr>
        <w:tblStyle w:val="Listentabelle6farbig"/>
        <w:tblW w:w="7934" w:type="dxa"/>
        <w:tblLayout w:type="fixed"/>
        <w:tblLook w:val="04A0" w:firstRow="1" w:lastRow="0" w:firstColumn="1" w:lastColumn="0" w:noHBand="0" w:noVBand="1"/>
      </w:tblPr>
      <w:tblGrid>
        <w:gridCol w:w="2263"/>
        <w:gridCol w:w="993"/>
        <w:gridCol w:w="993"/>
        <w:gridCol w:w="850"/>
        <w:gridCol w:w="851"/>
        <w:gridCol w:w="1133"/>
        <w:gridCol w:w="851"/>
      </w:tblGrid>
      <w:tr w:rsidR="00F85E6D" w:rsidRPr="00FF79AB" w14:paraId="1AF4DC0B" w14:textId="77777777" w:rsidTr="005D30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5892BE8" w14:textId="1F5E7B59" w:rsidR="00F85E6D" w:rsidRPr="00FF79AB" w:rsidRDefault="00F85E6D" w:rsidP="00F85E6D">
            <w:pPr>
              <w:rPr>
                <w:sz w:val="18"/>
                <w:szCs w:val="18"/>
                <w:lang w:val="en-US"/>
              </w:rPr>
            </w:pPr>
            <w:r>
              <w:rPr>
                <w:sz w:val="18"/>
                <w:szCs w:val="18"/>
                <w:lang w:val="en-US"/>
              </w:rPr>
              <w:t>Effect</w:t>
            </w:r>
          </w:p>
        </w:tc>
        <w:tc>
          <w:tcPr>
            <w:tcW w:w="993" w:type="dxa"/>
          </w:tcPr>
          <w:p w14:paraId="6A66334D" w14:textId="06AEDA3B" w:rsidR="00F85E6D" w:rsidRDefault="00F85E6D"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df</w:t>
            </w:r>
            <w:proofErr w:type="spellEnd"/>
          </w:p>
        </w:tc>
        <w:tc>
          <w:tcPr>
            <w:tcW w:w="993" w:type="dxa"/>
          </w:tcPr>
          <w:p w14:paraId="6DCB10DF" w14:textId="7CF6B530" w:rsidR="00F85E6D" w:rsidRDefault="00F85E6D"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Pr>
                <w:sz w:val="18"/>
                <w:szCs w:val="18"/>
                <w:lang w:val="en-US"/>
              </w:rPr>
              <w:t>F</w:t>
            </w:r>
          </w:p>
        </w:tc>
        <w:tc>
          <w:tcPr>
            <w:tcW w:w="850" w:type="dxa"/>
          </w:tcPr>
          <w:p w14:paraId="22533D8A" w14:textId="1F91F5A4" w:rsidR="00F85E6D" w:rsidRDefault="00F85E6D"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p</w:t>
            </w:r>
            <w:r w:rsidRPr="00FC44CC">
              <w:rPr>
                <w:sz w:val="18"/>
                <w:szCs w:val="18"/>
                <w:vertAlign w:val="subscript"/>
                <w:lang w:val="en-US"/>
              </w:rPr>
              <w:t>gg</w:t>
            </w:r>
            <w:proofErr w:type="spellEnd"/>
          </w:p>
        </w:tc>
        <w:tc>
          <w:tcPr>
            <w:tcW w:w="851" w:type="dxa"/>
          </w:tcPr>
          <w:p w14:paraId="6E6C9AA4" w14:textId="3D894A27" w:rsidR="00F85E6D" w:rsidRDefault="00F85E6D"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rFonts w:eastAsia="Times New Roman" w:cs="Times New Roman"/>
                <w:sz w:val="18"/>
                <w:szCs w:val="18"/>
                <w:lang w:val="en-US"/>
              </w:rPr>
              <w:t>p</w:t>
            </w:r>
            <w:r w:rsidRPr="00053470">
              <w:rPr>
                <w:rFonts w:eastAsia="Times New Roman" w:cs="Times New Roman"/>
                <w:sz w:val="16"/>
                <w:szCs w:val="16"/>
                <w:vertAlign w:val="subscript"/>
                <w:lang w:val="en-US"/>
              </w:rPr>
              <w:t>crit</w:t>
            </w:r>
            <w:proofErr w:type="spellEnd"/>
          </w:p>
        </w:tc>
        <w:tc>
          <w:tcPr>
            <w:tcW w:w="1133" w:type="dxa"/>
          </w:tcPr>
          <w:p w14:paraId="577578AB" w14:textId="56EE8F23" w:rsidR="00F85E6D" w:rsidRDefault="00F85E6D"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Pr>
                <w:rFonts w:eastAsia="Times New Roman" w:cs="Times New Roman"/>
                <w:sz w:val="18"/>
                <w:szCs w:val="18"/>
                <w:lang w:val="en-US"/>
              </w:rPr>
              <w:t>significance</w:t>
            </w:r>
          </w:p>
        </w:tc>
        <w:tc>
          <w:tcPr>
            <w:tcW w:w="851" w:type="dxa"/>
          </w:tcPr>
          <w:p w14:paraId="50A311F6" w14:textId="18F60ACF" w:rsidR="00F85E6D" w:rsidRDefault="00E3198A" w:rsidP="00F85E6D">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m:oMathPara>
              <m:oMath>
                <m:sSubSup>
                  <m:sSubSupPr>
                    <m:ctrlPr>
                      <w:rPr>
                        <w:rFonts w:ascii="Cambria Math" w:hAnsi="Cambria Math"/>
                        <w:i/>
                        <w:sz w:val="18"/>
                        <w:szCs w:val="18"/>
                        <w:lang w:val="en-US"/>
                      </w:rPr>
                    </m:ctrlPr>
                  </m:sSubSupPr>
                  <m:e>
                    <m:r>
                      <m:rPr>
                        <m:sty m:val="bi"/>
                      </m:rPr>
                      <w:rPr>
                        <w:rFonts w:ascii="Cambria Math" w:hAnsi="Cambria Math"/>
                        <w:sz w:val="18"/>
                        <w:szCs w:val="18"/>
                        <w:lang w:val="en-US"/>
                      </w:rPr>
                      <m:t>η</m:t>
                    </m:r>
                  </m:e>
                  <m:sub>
                    <m:r>
                      <m:rPr>
                        <m:sty m:val="bi"/>
                      </m:rPr>
                      <w:rPr>
                        <w:rFonts w:ascii="Cambria Math" w:hAnsi="Cambria Math"/>
                        <w:sz w:val="18"/>
                        <w:szCs w:val="18"/>
                        <w:lang w:val="en-US"/>
                      </w:rPr>
                      <m:t>part</m:t>
                    </m:r>
                  </m:sub>
                  <m:sup>
                    <m:r>
                      <m:rPr>
                        <m:sty m:val="bi"/>
                      </m:rPr>
                      <w:rPr>
                        <w:rFonts w:ascii="Cambria Math" w:hAnsi="Cambria Math"/>
                        <w:sz w:val="18"/>
                        <w:szCs w:val="18"/>
                        <w:lang w:val="en-US"/>
                      </w:rPr>
                      <m:t>2</m:t>
                    </m:r>
                  </m:sup>
                </m:sSubSup>
              </m:oMath>
            </m:oMathPara>
          </w:p>
        </w:tc>
      </w:tr>
      <w:tr w:rsidR="00F85E6D" w:rsidRPr="00FF79AB" w14:paraId="1709F7E1"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07C0AFC0" w14:textId="77777777" w:rsidR="00F85E6D" w:rsidRPr="00FF79AB" w:rsidRDefault="00F85E6D" w:rsidP="00F85E6D">
            <w:pPr>
              <w:rPr>
                <w:sz w:val="18"/>
                <w:szCs w:val="18"/>
                <w:lang w:val="en-US"/>
              </w:rPr>
            </w:pPr>
            <w:r w:rsidRPr="00FF79AB">
              <w:rPr>
                <w:sz w:val="18"/>
                <w:szCs w:val="18"/>
                <w:lang w:val="en-US"/>
              </w:rPr>
              <w:t>modality</w:t>
            </w:r>
          </w:p>
        </w:tc>
        <w:tc>
          <w:tcPr>
            <w:tcW w:w="993" w:type="dxa"/>
            <w:shd w:val="clear" w:color="auto" w:fill="FFFFFF" w:themeFill="background1"/>
          </w:tcPr>
          <w:p w14:paraId="06231AC4"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0BC685A8" w14:textId="18E204C5" w:rsidR="00F85E6D" w:rsidRPr="00FF79AB"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0.10</w:t>
            </w:r>
          </w:p>
        </w:tc>
        <w:tc>
          <w:tcPr>
            <w:tcW w:w="850" w:type="dxa"/>
            <w:shd w:val="clear" w:color="auto" w:fill="FFFFFF" w:themeFill="background1"/>
          </w:tcPr>
          <w:p w14:paraId="5A023733" w14:textId="2D0BF9A0" w:rsidR="00F85E6D" w:rsidRPr="00FF79AB"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.76</w:t>
            </w:r>
          </w:p>
        </w:tc>
        <w:tc>
          <w:tcPr>
            <w:tcW w:w="851" w:type="dxa"/>
            <w:shd w:val="clear" w:color="auto" w:fill="FFFFFF" w:themeFill="background1"/>
          </w:tcPr>
          <w:p w14:paraId="220C9012" w14:textId="7BAEA50C" w:rsidR="00F85E6D" w:rsidRPr="00FF79AB"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w:t>
            </w:r>
          </w:p>
        </w:tc>
        <w:tc>
          <w:tcPr>
            <w:tcW w:w="1133" w:type="dxa"/>
            <w:shd w:val="clear" w:color="auto" w:fill="FFFFFF" w:themeFill="background1"/>
          </w:tcPr>
          <w:p w14:paraId="56FFD5A2"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2FB3928D" w14:textId="268EEAA1" w:rsidR="00F85E6D" w:rsidRPr="00FF79AB"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-.04</w:t>
            </w:r>
          </w:p>
        </w:tc>
      </w:tr>
      <w:tr w:rsidR="00F85E6D" w:rsidRPr="00FF79AB" w14:paraId="1AB5B9FA"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74771F3E" w14:textId="77777777" w:rsidR="00F85E6D" w:rsidRPr="00FF79AB" w:rsidRDefault="00F85E6D" w:rsidP="00F85E6D">
            <w:pPr>
              <w:rPr>
                <w:sz w:val="18"/>
                <w:szCs w:val="18"/>
                <w:lang w:val="en-US"/>
              </w:rPr>
            </w:pPr>
            <w:r w:rsidRPr="00FF79AB">
              <w:rPr>
                <w:sz w:val="18"/>
                <w:szCs w:val="18"/>
                <w:lang w:val="en-US"/>
              </w:rPr>
              <w:t>move</w:t>
            </w:r>
          </w:p>
        </w:tc>
        <w:tc>
          <w:tcPr>
            <w:tcW w:w="993" w:type="dxa"/>
            <w:shd w:val="clear" w:color="auto" w:fill="FFFFFF" w:themeFill="background1"/>
          </w:tcPr>
          <w:p w14:paraId="18F689AF" w14:textId="5360C231"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450CB14D" w14:textId="0E105B5B"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45.49</w:t>
            </w:r>
          </w:p>
        </w:tc>
        <w:tc>
          <w:tcPr>
            <w:tcW w:w="850" w:type="dxa"/>
            <w:shd w:val="clear" w:color="auto" w:fill="FFFFFF" w:themeFill="background1"/>
          </w:tcPr>
          <w:p w14:paraId="12FAAFB1" w14:textId="77777777"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&lt; .001</w:t>
            </w:r>
          </w:p>
        </w:tc>
        <w:tc>
          <w:tcPr>
            <w:tcW w:w="851" w:type="dxa"/>
            <w:shd w:val="clear" w:color="auto" w:fill="FFFFFF" w:themeFill="background1"/>
          </w:tcPr>
          <w:p w14:paraId="3632CF2D" w14:textId="0E798ED9"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.05</w:t>
            </w:r>
          </w:p>
        </w:tc>
        <w:tc>
          <w:tcPr>
            <w:tcW w:w="1133" w:type="dxa"/>
            <w:shd w:val="clear" w:color="auto" w:fill="FFFFFF" w:themeFill="background1"/>
          </w:tcPr>
          <w:p w14:paraId="5642BBD3" w14:textId="7777777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592C7C9F" w14:textId="457555C0"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.67</w:t>
            </w:r>
          </w:p>
        </w:tc>
      </w:tr>
      <w:tr w:rsidR="00F85E6D" w14:paraId="3548EB57"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48AC79F8" w14:textId="77777777" w:rsidR="00F85E6D" w:rsidRPr="00FF79AB" w:rsidRDefault="00F85E6D" w:rsidP="00F85E6D">
            <w:pPr>
              <w:rPr>
                <w:sz w:val="18"/>
                <w:szCs w:val="18"/>
                <w:lang w:val="en-US"/>
              </w:rPr>
            </w:pPr>
            <w:r>
              <w:rPr>
                <w:sz w:val="18"/>
                <w:szCs w:val="18"/>
                <w:lang w:val="en-US"/>
              </w:rPr>
              <w:t>mix</w:t>
            </w:r>
          </w:p>
        </w:tc>
        <w:tc>
          <w:tcPr>
            <w:tcW w:w="993" w:type="dxa"/>
            <w:shd w:val="clear" w:color="auto" w:fill="FFFFFF" w:themeFill="background1"/>
          </w:tcPr>
          <w:p w14:paraId="1BD00A3E"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1725BCA0" w14:textId="540BF6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8.39</w:t>
            </w:r>
          </w:p>
        </w:tc>
        <w:tc>
          <w:tcPr>
            <w:tcW w:w="850" w:type="dxa"/>
            <w:shd w:val="clear" w:color="auto" w:fill="FFFFFF" w:themeFill="background1"/>
          </w:tcPr>
          <w:p w14:paraId="1DC20046" w14:textId="324CA4E2"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w:t>
            </w:r>
          </w:p>
        </w:tc>
        <w:tc>
          <w:tcPr>
            <w:tcW w:w="851" w:type="dxa"/>
            <w:shd w:val="clear" w:color="auto" w:fill="FFFFFF" w:themeFill="background1"/>
          </w:tcPr>
          <w:p w14:paraId="36912F1C" w14:textId="263C6F73"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.04</w:t>
            </w:r>
          </w:p>
        </w:tc>
        <w:tc>
          <w:tcPr>
            <w:tcW w:w="1133" w:type="dxa"/>
            <w:shd w:val="clear" w:color="auto" w:fill="FFFFFF" w:themeFill="background1"/>
          </w:tcPr>
          <w:p w14:paraId="7AC9090E" w14:textId="7A2F0065"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0D6D4DA8" w14:textId="79BEDB4F"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.25</w:t>
            </w:r>
          </w:p>
        </w:tc>
      </w:tr>
      <w:tr w:rsidR="00F85E6D" w:rsidRPr="00FF79AB" w14:paraId="6AF0E310"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4979431E" w14:textId="77777777" w:rsidR="00F85E6D" w:rsidRPr="00FF79AB" w:rsidRDefault="00F85E6D" w:rsidP="00F85E6D">
            <w:pPr>
              <w:rPr>
                <w:sz w:val="18"/>
                <w:szCs w:val="18"/>
                <w:lang w:val="en-US"/>
              </w:rPr>
            </w:pPr>
            <w:r w:rsidRPr="00FF79AB">
              <w:rPr>
                <w:sz w:val="18"/>
                <w:szCs w:val="18"/>
                <w:lang w:val="en-US"/>
              </w:rPr>
              <w:t>modality * move</w:t>
            </w:r>
          </w:p>
        </w:tc>
        <w:tc>
          <w:tcPr>
            <w:tcW w:w="993" w:type="dxa"/>
            <w:shd w:val="clear" w:color="auto" w:fill="FFFFFF" w:themeFill="background1"/>
          </w:tcPr>
          <w:p w14:paraId="4C10BFEC" w14:textId="04624004"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399F9B66" w14:textId="56573753"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3.72</w:t>
            </w:r>
          </w:p>
        </w:tc>
        <w:tc>
          <w:tcPr>
            <w:tcW w:w="850" w:type="dxa"/>
            <w:shd w:val="clear" w:color="auto" w:fill="FFFFFF" w:themeFill="background1"/>
          </w:tcPr>
          <w:p w14:paraId="3B1969A7" w14:textId="0B256E6D"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.07</w:t>
            </w:r>
          </w:p>
        </w:tc>
        <w:tc>
          <w:tcPr>
            <w:tcW w:w="851" w:type="dxa"/>
            <w:shd w:val="clear" w:color="auto" w:fill="FFFFFF" w:themeFill="background1"/>
          </w:tcPr>
          <w:p w14:paraId="58F6FE17" w14:textId="10E80C3A"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.04</w:t>
            </w:r>
          </w:p>
        </w:tc>
        <w:tc>
          <w:tcPr>
            <w:tcW w:w="1133" w:type="dxa"/>
            <w:shd w:val="clear" w:color="auto" w:fill="FFFFFF" w:themeFill="background1"/>
          </w:tcPr>
          <w:p w14:paraId="167E8AB4" w14:textId="7777777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0F9BE6C6" w14:textId="041F91D7" w:rsidR="00F85E6D" w:rsidRPr="00FF79AB"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.10</w:t>
            </w:r>
          </w:p>
        </w:tc>
      </w:tr>
      <w:tr w:rsidR="00F85E6D" w14:paraId="6886ACD2"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3643D24D" w14:textId="77777777" w:rsidR="00F85E6D" w:rsidRPr="00FF79AB" w:rsidRDefault="00F85E6D" w:rsidP="00F85E6D">
            <w:pPr>
              <w:rPr>
                <w:sz w:val="18"/>
                <w:szCs w:val="18"/>
                <w:lang w:val="en-US"/>
              </w:rPr>
            </w:pPr>
            <w:r>
              <w:rPr>
                <w:sz w:val="18"/>
                <w:szCs w:val="18"/>
                <w:lang w:val="en-US"/>
              </w:rPr>
              <w:t xml:space="preserve">modality * mix </w:t>
            </w:r>
          </w:p>
        </w:tc>
        <w:tc>
          <w:tcPr>
            <w:tcW w:w="993" w:type="dxa"/>
            <w:shd w:val="clear" w:color="auto" w:fill="FFFFFF" w:themeFill="background1"/>
          </w:tcPr>
          <w:p w14:paraId="62E7A69E"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6BEFE2A6" w14:textId="060609E8"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1.76</w:t>
            </w:r>
          </w:p>
        </w:tc>
        <w:tc>
          <w:tcPr>
            <w:tcW w:w="850" w:type="dxa"/>
            <w:shd w:val="clear" w:color="auto" w:fill="FFFFFF" w:themeFill="background1"/>
          </w:tcPr>
          <w:p w14:paraId="6CD6DFAE" w14:textId="22B77CE6"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.20</w:t>
            </w:r>
          </w:p>
        </w:tc>
        <w:tc>
          <w:tcPr>
            <w:tcW w:w="851" w:type="dxa"/>
            <w:shd w:val="clear" w:color="auto" w:fill="FFFFFF" w:themeFill="background1"/>
          </w:tcPr>
          <w:p w14:paraId="0A500D47" w14:textId="1825009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.03</w:t>
            </w:r>
          </w:p>
        </w:tc>
        <w:tc>
          <w:tcPr>
            <w:tcW w:w="1133" w:type="dxa"/>
            <w:shd w:val="clear" w:color="auto" w:fill="FFFFFF" w:themeFill="background1"/>
          </w:tcPr>
          <w:p w14:paraId="3C1A0208"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4CCCD14F" w14:textId="1F3A28AA"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.03</w:t>
            </w:r>
          </w:p>
        </w:tc>
      </w:tr>
      <w:tr w:rsidR="00F85E6D" w14:paraId="27EDB72D"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11A0EE6D" w14:textId="77777777" w:rsidR="00F85E6D" w:rsidRDefault="00F85E6D" w:rsidP="00F85E6D">
            <w:pPr>
              <w:rPr>
                <w:sz w:val="18"/>
                <w:szCs w:val="18"/>
                <w:lang w:val="en-US"/>
              </w:rPr>
            </w:pPr>
            <w:r>
              <w:rPr>
                <w:sz w:val="18"/>
                <w:szCs w:val="18"/>
                <w:lang w:val="en-US"/>
              </w:rPr>
              <w:t>move * mix</w:t>
            </w:r>
          </w:p>
        </w:tc>
        <w:tc>
          <w:tcPr>
            <w:tcW w:w="993" w:type="dxa"/>
            <w:shd w:val="clear" w:color="auto" w:fill="FFFFFF" w:themeFill="background1"/>
          </w:tcPr>
          <w:p w14:paraId="65E781EB" w14:textId="6FDBE7AC"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7D7008A8" w14:textId="7777777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0.34</w:t>
            </w:r>
          </w:p>
        </w:tc>
        <w:tc>
          <w:tcPr>
            <w:tcW w:w="850" w:type="dxa"/>
            <w:shd w:val="clear" w:color="auto" w:fill="FFFFFF" w:themeFill="background1"/>
          </w:tcPr>
          <w:p w14:paraId="4E0911A3" w14:textId="7777777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.34</w:t>
            </w:r>
          </w:p>
        </w:tc>
        <w:tc>
          <w:tcPr>
            <w:tcW w:w="851" w:type="dxa"/>
            <w:shd w:val="clear" w:color="auto" w:fill="FFFFFF" w:themeFill="background1"/>
          </w:tcPr>
          <w:p w14:paraId="4CF676C0" w14:textId="080AA06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.01</w:t>
            </w:r>
          </w:p>
        </w:tc>
        <w:tc>
          <w:tcPr>
            <w:tcW w:w="1133" w:type="dxa"/>
            <w:shd w:val="clear" w:color="auto" w:fill="FFFFFF" w:themeFill="background1"/>
          </w:tcPr>
          <w:p w14:paraId="26368A1B" w14:textId="77777777"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155CE5EF" w14:textId="663807BF" w:rsidR="00F85E6D" w:rsidRDefault="00F85E6D" w:rsidP="00F85E6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-.01</w:t>
            </w:r>
          </w:p>
        </w:tc>
      </w:tr>
      <w:tr w:rsidR="00F85E6D" w14:paraId="575A32CB"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6598F969" w14:textId="77777777" w:rsidR="00F85E6D" w:rsidRDefault="00F85E6D" w:rsidP="00F85E6D">
            <w:pPr>
              <w:rPr>
                <w:sz w:val="18"/>
                <w:szCs w:val="18"/>
                <w:lang w:val="en-US"/>
              </w:rPr>
            </w:pPr>
            <w:r>
              <w:rPr>
                <w:sz w:val="18"/>
                <w:szCs w:val="18"/>
                <w:lang w:val="en-US"/>
              </w:rPr>
              <w:t>modality * move * mix</w:t>
            </w:r>
          </w:p>
        </w:tc>
        <w:tc>
          <w:tcPr>
            <w:tcW w:w="993" w:type="dxa"/>
            <w:shd w:val="clear" w:color="auto" w:fill="FFFFFF" w:themeFill="background1"/>
          </w:tcPr>
          <w:p w14:paraId="38A51699" w14:textId="3C0CA596"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3060C32D" w14:textId="55A77E7E"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0.84</w:t>
            </w:r>
          </w:p>
        </w:tc>
        <w:tc>
          <w:tcPr>
            <w:tcW w:w="850" w:type="dxa"/>
            <w:shd w:val="clear" w:color="auto" w:fill="FFFFFF" w:themeFill="background1"/>
          </w:tcPr>
          <w:p w14:paraId="0B2C55CA" w14:textId="0D77A2A2"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.37</w:t>
            </w:r>
          </w:p>
        </w:tc>
        <w:tc>
          <w:tcPr>
            <w:tcW w:w="851" w:type="dxa"/>
            <w:shd w:val="clear" w:color="auto" w:fill="FFFFFF" w:themeFill="background1"/>
          </w:tcPr>
          <w:p w14:paraId="3EE3E1F4" w14:textId="20960EF8"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.02</w:t>
            </w:r>
          </w:p>
        </w:tc>
        <w:tc>
          <w:tcPr>
            <w:tcW w:w="1133" w:type="dxa"/>
            <w:shd w:val="clear" w:color="auto" w:fill="FFFFFF" w:themeFill="background1"/>
          </w:tcPr>
          <w:p w14:paraId="476010A0"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4B6AB2CD" w14:textId="77777777" w:rsidR="00F85E6D" w:rsidRDefault="00F85E6D" w:rsidP="00F85E6D">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-.04</w:t>
            </w:r>
          </w:p>
        </w:tc>
      </w:tr>
    </w:tbl>
    <w:p w14:paraId="13F2AFBD" w14:textId="77777777" w:rsidR="00F85E6D" w:rsidRDefault="00F85E6D" w:rsidP="00F85E6D">
      <w:pPr>
        <w:pStyle w:val="berschrift3"/>
        <w:numPr>
          <w:ilvl w:val="0"/>
          <w:numId w:val="0"/>
        </w:numPr>
        <w:ind w:left="720" w:hanging="720"/>
        <w:rPr>
          <w:lang w:val="en-US"/>
        </w:rPr>
      </w:pPr>
    </w:p>
    <w:p w14:paraId="3437B97B" w14:textId="77777777" w:rsidR="00096921" w:rsidRPr="00D806B1" w:rsidRDefault="00096921" w:rsidP="00D806B1">
      <w:pPr>
        <w:pStyle w:val="berschrift3"/>
        <w:numPr>
          <w:ilvl w:val="0"/>
          <w:numId w:val="0"/>
        </w:numPr>
        <w:ind w:left="720" w:hanging="720"/>
        <w:rPr>
          <w:lang w:val="en-US"/>
        </w:rPr>
      </w:pPr>
      <w:r w:rsidRPr="00D806B1">
        <w:rPr>
          <w:lang w:val="en-US"/>
        </w:rPr>
        <w:t>Mean stride time analysis revealed significant differences in locomotor patterns:</w:t>
      </w:r>
    </w:p>
    <w:p w14:paraId="58D380F8" w14:textId="77777777" w:rsidR="00096921" w:rsidRPr="00D806B1" w:rsidRDefault="00096921" w:rsidP="00096921">
      <w:pPr>
        <w:pStyle w:val="berschrift3"/>
        <w:numPr>
          <w:ilvl w:val="0"/>
          <w:numId w:val="15"/>
        </w:numPr>
        <w:rPr>
          <w:lang w:val="en-US"/>
        </w:rPr>
      </w:pPr>
      <w:r w:rsidRPr="00D806B1">
        <w:rPr>
          <w:b/>
          <w:bCs/>
          <w:lang w:val="en-US"/>
        </w:rPr>
        <w:t>Walking Condition</w:t>
      </w:r>
      <w:r w:rsidRPr="00D806B1">
        <w:rPr>
          <w:lang w:val="en-US"/>
        </w:rPr>
        <w:t>: Regular treadmill walking (M = 1270.90 ms, SD = 105.42) had longer stride times compared to perturbed walking (M = 1220 ms, SD = 105.33).</w:t>
      </w:r>
    </w:p>
    <w:p w14:paraId="45078967" w14:textId="77777777" w:rsidR="00096921" w:rsidRPr="00D806B1" w:rsidRDefault="00096921" w:rsidP="00096921">
      <w:pPr>
        <w:pStyle w:val="berschrift3"/>
        <w:numPr>
          <w:ilvl w:val="0"/>
          <w:numId w:val="15"/>
        </w:numPr>
        <w:rPr>
          <w:lang w:val="en-US"/>
        </w:rPr>
      </w:pPr>
      <w:r w:rsidRPr="00D806B1">
        <w:rPr>
          <w:b/>
          <w:bCs/>
          <w:lang w:val="en-US"/>
        </w:rPr>
        <w:t>Task Complexity</w:t>
      </w:r>
      <w:r w:rsidRPr="00D806B1">
        <w:rPr>
          <w:lang w:val="en-US"/>
        </w:rPr>
        <w:t>: Mixed blocks (M = 1251.40 ms, SD = 109.42) resulted in longer stride times than single-task blocks (M = 1239.50 ms, SD = 107.10).</w:t>
      </w:r>
    </w:p>
    <w:p w14:paraId="6068597D" w14:textId="335500D9" w:rsidR="00F85E6D" w:rsidRPr="002F7331" w:rsidRDefault="00096921" w:rsidP="00096921">
      <w:pPr>
        <w:rPr>
          <w:rFonts w:eastAsiaTheme="minorEastAsia" w:cs="Times New Roman"/>
          <w:iCs/>
          <w:lang w:val="en-US"/>
        </w:rPr>
      </w:pPr>
      <w:r w:rsidRPr="00D806B1">
        <w:rPr>
          <w:lang w:val="en-US"/>
        </w:rPr>
        <w:t>These results indicate that both walking perturbations and increased cognitive load affect gait patterns.</w:t>
      </w:r>
      <w:r w:rsidR="002F7331" w:rsidRPr="002F7331">
        <w:rPr>
          <w:rFonts w:eastAsiaTheme="minorEastAsia" w:cs="Times New Roman"/>
          <w:iCs/>
          <w:lang w:val="en-US"/>
        </w:rPr>
        <w:t xml:space="preserve"> </w:t>
      </w:r>
      <w:r w:rsidR="002F7331">
        <w:rPr>
          <w:rFonts w:eastAsiaTheme="minorEastAsia" w:cs="Times New Roman"/>
          <w:iCs/>
          <w:lang w:val="en-US"/>
        </w:rPr>
        <w:t xml:space="preserve">For a detailed overview of ANOVA results, see </w:t>
      </w:r>
      <w:r w:rsidR="002F7331">
        <w:rPr>
          <w:rFonts w:eastAsiaTheme="minorEastAsia" w:cs="Times New Roman"/>
          <w:iCs/>
          <w:lang w:val="en-US"/>
        </w:rPr>
        <w:fldChar w:fldCharType="begin"/>
      </w:r>
      <w:r w:rsidR="002F7331">
        <w:rPr>
          <w:rFonts w:eastAsiaTheme="minorEastAsia" w:cs="Times New Roman"/>
          <w:iCs/>
          <w:lang w:val="en-US"/>
        </w:rPr>
        <w:instrText xml:space="preserve"> REF _Ref187311465 \h </w:instrText>
      </w:r>
      <w:r w:rsidR="002F7331">
        <w:rPr>
          <w:rFonts w:eastAsiaTheme="minorEastAsia" w:cs="Times New Roman"/>
          <w:iCs/>
          <w:lang w:val="en-US"/>
        </w:rPr>
      </w:r>
      <w:r w:rsidR="002F7331">
        <w:rPr>
          <w:rFonts w:eastAsiaTheme="minorEastAsia" w:cs="Times New Roman"/>
          <w:iCs/>
          <w:lang w:val="en-US"/>
        </w:rPr>
        <w:fldChar w:fldCharType="separate"/>
      </w:r>
      <w:r w:rsidR="002F7331" w:rsidRPr="006526BB">
        <w:rPr>
          <w:lang w:val="en-US"/>
        </w:rPr>
        <w:t xml:space="preserve">Table </w:t>
      </w:r>
      <w:r w:rsidR="002F7331">
        <w:rPr>
          <w:noProof/>
          <w:lang w:val="en-US"/>
        </w:rPr>
        <w:t>2</w:t>
      </w:r>
      <w:r w:rsidR="002F7331">
        <w:rPr>
          <w:rFonts w:eastAsiaTheme="minorEastAsia" w:cs="Times New Roman"/>
          <w:iCs/>
          <w:lang w:val="en-US"/>
        </w:rPr>
        <w:fldChar w:fldCharType="end"/>
      </w:r>
      <w:r w:rsidR="002F7331">
        <w:rPr>
          <w:rFonts w:eastAsiaTheme="minorEastAsia" w:cs="Times New Roman"/>
          <w:iCs/>
          <w:lang w:val="en-US"/>
        </w:rPr>
        <w:t>.</w:t>
      </w:r>
    </w:p>
    <w:p w14:paraId="462AD28C" w14:textId="50EE48B6" w:rsidR="00576D2B" w:rsidRDefault="00BB03B0" w:rsidP="00590480">
      <w:pPr>
        <w:pStyle w:val="berschrift3"/>
        <w:rPr>
          <w:lang w:val="en-US"/>
        </w:rPr>
      </w:pPr>
      <w:r w:rsidRPr="00BB03B0">
        <w:rPr>
          <w:lang w:val="en-US"/>
        </w:rPr>
        <w:t>Response times</w:t>
      </w:r>
    </w:p>
    <w:p w14:paraId="5AA0EF4E" w14:textId="19563100" w:rsidR="006526BB" w:rsidRPr="00BB03B0" w:rsidRDefault="002F7331" w:rsidP="006526BB">
      <w:pPr>
        <w:pStyle w:val="Beschriftung"/>
        <w:rPr>
          <w:b/>
          <w:bCs/>
          <w:lang w:val="en-US"/>
        </w:rPr>
      </w:pPr>
      <w:r w:rsidRPr="006526BB">
        <w:rPr>
          <w:lang w:val="en-US"/>
        </w:rPr>
        <w:t xml:space="preserve">Table </w:t>
      </w:r>
      <w:r>
        <w:rPr>
          <w:lang w:val="en-US"/>
        </w:rPr>
        <w:fldChar w:fldCharType="begin"/>
      </w:r>
      <w:r>
        <w:rPr>
          <w:lang w:val="en-US"/>
        </w:rPr>
        <w:instrText xml:space="preserve"> SEQ Table \* ARABIC </w:instrText>
      </w:r>
      <w:r>
        <w:rPr>
          <w:lang w:val="en-US"/>
        </w:rPr>
        <w:fldChar w:fldCharType="separate"/>
      </w:r>
      <w:r>
        <w:rPr>
          <w:noProof/>
          <w:lang w:val="en-US"/>
        </w:rPr>
        <w:t>3</w:t>
      </w:r>
      <w:r>
        <w:rPr>
          <w:lang w:val="en-US"/>
        </w:rPr>
        <w:fldChar w:fldCharType="end"/>
      </w:r>
      <w:r w:rsidRPr="006526BB">
        <w:rPr>
          <w:lang w:val="en-US"/>
        </w:rPr>
        <w:t xml:space="preserve">. Response times </w:t>
      </w:r>
      <w:r>
        <w:rPr>
          <w:lang w:val="en-US"/>
        </w:rPr>
        <w:t xml:space="preserve">repeated measures </w:t>
      </w:r>
      <w:r w:rsidRPr="006526BB">
        <w:rPr>
          <w:lang w:val="en-US"/>
        </w:rPr>
        <w:t>ANOVA results</w:t>
      </w:r>
      <w:r>
        <w:rPr>
          <w:lang w:val="en-US"/>
        </w:rPr>
        <w:t xml:space="preserve"> – Visual condition blocks</w:t>
      </w:r>
      <w:r w:rsidRPr="006526BB">
        <w:rPr>
          <w:lang w:val="en-US"/>
        </w:rPr>
        <w:t>.</w:t>
      </w:r>
    </w:p>
    <w:tbl>
      <w:tblPr>
        <w:tblStyle w:val="Listentabelle6farbig"/>
        <w:tblW w:w="7934" w:type="dxa"/>
        <w:tblLayout w:type="fixed"/>
        <w:tblLook w:val="04A0" w:firstRow="1" w:lastRow="0" w:firstColumn="1" w:lastColumn="0" w:noHBand="0" w:noVBand="1"/>
      </w:tblPr>
      <w:tblGrid>
        <w:gridCol w:w="2263"/>
        <w:gridCol w:w="993"/>
        <w:gridCol w:w="993"/>
        <w:gridCol w:w="850"/>
        <w:gridCol w:w="851"/>
        <w:gridCol w:w="1133"/>
        <w:gridCol w:w="851"/>
      </w:tblGrid>
      <w:tr w:rsidR="00F94AC5" w:rsidRPr="00FF79AB" w14:paraId="17608DAD" w14:textId="77777777" w:rsidTr="005D30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03CFCCF7" w14:textId="77777777" w:rsidR="00F94AC5" w:rsidRPr="00FF79AB" w:rsidRDefault="00F94AC5" w:rsidP="00651505">
            <w:pPr>
              <w:rPr>
                <w:b w:val="0"/>
                <w:bCs w:val="0"/>
                <w:sz w:val="18"/>
                <w:szCs w:val="18"/>
                <w:lang w:val="en-US"/>
              </w:rPr>
            </w:pPr>
            <w:r>
              <w:rPr>
                <w:sz w:val="18"/>
                <w:szCs w:val="18"/>
                <w:lang w:val="en-US"/>
              </w:rPr>
              <w:lastRenderedPageBreak/>
              <w:t>Effect</w:t>
            </w:r>
          </w:p>
        </w:tc>
        <w:tc>
          <w:tcPr>
            <w:tcW w:w="993" w:type="dxa"/>
            <w:shd w:val="clear" w:color="auto" w:fill="FFFFFF" w:themeFill="background1"/>
          </w:tcPr>
          <w:p w14:paraId="55F6C438" w14:textId="77777777" w:rsidR="00F94AC5" w:rsidRDefault="00F94AC5" w:rsidP="00651505">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df</w:t>
            </w:r>
            <w:proofErr w:type="spellEnd"/>
          </w:p>
        </w:tc>
        <w:tc>
          <w:tcPr>
            <w:tcW w:w="993" w:type="dxa"/>
            <w:shd w:val="clear" w:color="auto" w:fill="FFFFFF" w:themeFill="background1"/>
          </w:tcPr>
          <w:p w14:paraId="76D283CA" w14:textId="77777777" w:rsidR="00F94AC5" w:rsidRPr="00FF79AB" w:rsidRDefault="00F94AC5" w:rsidP="00651505">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Pr>
                <w:sz w:val="18"/>
                <w:szCs w:val="18"/>
                <w:lang w:val="en-US"/>
              </w:rPr>
              <w:t>F</w:t>
            </w:r>
          </w:p>
        </w:tc>
        <w:tc>
          <w:tcPr>
            <w:tcW w:w="850" w:type="dxa"/>
            <w:shd w:val="clear" w:color="auto" w:fill="FFFFFF" w:themeFill="background1"/>
          </w:tcPr>
          <w:p w14:paraId="0516C85C" w14:textId="77777777" w:rsidR="00F94AC5" w:rsidRPr="00FF79AB" w:rsidRDefault="00F94AC5" w:rsidP="00651505">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p</w:t>
            </w:r>
            <w:r w:rsidRPr="00FC44CC">
              <w:rPr>
                <w:sz w:val="18"/>
                <w:szCs w:val="18"/>
                <w:vertAlign w:val="subscript"/>
                <w:lang w:val="en-US"/>
              </w:rPr>
              <w:t>gg</w:t>
            </w:r>
            <w:proofErr w:type="spellEnd"/>
          </w:p>
        </w:tc>
        <w:tc>
          <w:tcPr>
            <w:tcW w:w="851" w:type="dxa"/>
            <w:shd w:val="clear" w:color="auto" w:fill="FFFFFF" w:themeFill="background1"/>
          </w:tcPr>
          <w:p w14:paraId="56111B28" w14:textId="77777777" w:rsidR="00F94AC5" w:rsidRPr="00053470" w:rsidRDefault="00F94AC5" w:rsidP="00651505">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6"/>
                <w:szCs w:val="16"/>
                <w:lang w:val="en-US"/>
              </w:rPr>
            </w:pPr>
            <w:proofErr w:type="spellStart"/>
            <w:r>
              <w:rPr>
                <w:rFonts w:eastAsia="Times New Roman" w:cs="Times New Roman"/>
                <w:sz w:val="18"/>
                <w:szCs w:val="18"/>
                <w:lang w:val="en-US"/>
              </w:rPr>
              <w:t>p</w:t>
            </w:r>
            <w:r w:rsidRPr="00053470">
              <w:rPr>
                <w:rFonts w:eastAsia="Times New Roman" w:cs="Times New Roman"/>
                <w:sz w:val="16"/>
                <w:szCs w:val="16"/>
                <w:vertAlign w:val="subscript"/>
                <w:lang w:val="en-US"/>
              </w:rPr>
              <w:t>crit</w:t>
            </w:r>
            <w:proofErr w:type="spellEnd"/>
          </w:p>
        </w:tc>
        <w:tc>
          <w:tcPr>
            <w:tcW w:w="1133" w:type="dxa"/>
            <w:shd w:val="clear" w:color="auto" w:fill="FFFFFF" w:themeFill="background1"/>
          </w:tcPr>
          <w:p w14:paraId="1B25C7CC" w14:textId="3AD55F5C" w:rsidR="00F94AC5" w:rsidRPr="00520602" w:rsidRDefault="00F94AC5" w:rsidP="00651505">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8"/>
                <w:szCs w:val="18"/>
                <w:lang w:val="en-US"/>
              </w:rPr>
            </w:pPr>
            <w:r>
              <w:rPr>
                <w:rFonts w:eastAsia="Times New Roman" w:cs="Times New Roman"/>
                <w:sz w:val="18"/>
                <w:szCs w:val="18"/>
                <w:lang w:val="en-US"/>
              </w:rPr>
              <w:t>significance</w:t>
            </w:r>
          </w:p>
        </w:tc>
        <w:tc>
          <w:tcPr>
            <w:tcW w:w="851" w:type="dxa"/>
            <w:shd w:val="clear" w:color="auto" w:fill="FFFFFF" w:themeFill="background1"/>
          </w:tcPr>
          <w:p w14:paraId="694BAE09" w14:textId="133CB62E" w:rsidR="00F94AC5" w:rsidRPr="00FF79AB" w:rsidRDefault="00E3198A" w:rsidP="00651505">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m:oMathPara>
              <m:oMath>
                <m:sSubSup>
                  <m:sSubSupPr>
                    <m:ctrlPr>
                      <w:rPr>
                        <w:rFonts w:ascii="Cambria Math" w:hAnsi="Cambria Math"/>
                        <w:i/>
                        <w:sz w:val="18"/>
                        <w:szCs w:val="18"/>
                        <w:lang w:val="en-US"/>
                      </w:rPr>
                    </m:ctrlPr>
                  </m:sSubSupPr>
                  <m:e>
                    <m:r>
                      <m:rPr>
                        <m:sty m:val="bi"/>
                      </m:rPr>
                      <w:rPr>
                        <w:rFonts w:ascii="Cambria Math" w:hAnsi="Cambria Math"/>
                        <w:sz w:val="18"/>
                        <w:szCs w:val="18"/>
                        <w:lang w:val="en-US"/>
                      </w:rPr>
                      <m:t>η</m:t>
                    </m:r>
                  </m:e>
                  <m:sub>
                    <m:r>
                      <m:rPr>
                        <m:sty m:val="bi"/>
                      </m:rPr>
                      <w:rPr>
                        <w:rFonts w:ascii="Cambria Math" w:hAnsi="Cambria Math"/>
                        <w:sz w:val="18"/>
                        <w:szCs w:val="18"/>
                        <w:lang w:val="en-US"/>
                      </w:rPr>
                      <m:t>part</m:t>
                    </m:r>
                  </m:sub>
                  <m:sup>
                    <m:r>
                      <m:rPr>
                        <m:sty m:val="bi"/>
                      </m:rPr>
                      <w:rPr>
                        <w:rFonts w:ascii="Cambria Math" w:hAnsi="Cambria Math"/>
                        <w:sz w:val="18"/>
                        <w:szCs w:val="18"/>
                        <w:lang w:val="en-US"/>
                      </w:rPr>
                      <m:t>2</m:t>
                    </m:r>
                  </m:sup>
                </m:sSubSup>
              </m:oMath>
            </m:oMathPara>
          </w:p>
        </w:tc>
      </w:tr>
      <w:tr w:rsidR="00F94AC5" w:rsidRPr="00FF79AB" w14:paraId="2BCDCA6B"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6E27E9BB" w14:textId="1B6EC70F" w:rsidR="00F94AC5" w:rsidRPr="00FF79AB" w:rsidRDefault="00B934C7" w:rsidP="00651505">
            <w:pPr>
              <w:rPr>
                <w:sz w:val="18"/>
                <w:szCs w:val="18"/>
                <w:lang w:val="en-US"/>
              </w:rPr>
            </w:pPr>
            <w:r>
              <w:rPr>
                <w:sz w:val="18"/>
                <w:szCs w:val="18"/>
                <w:lang w:val="en-US"/>
              </w:rPr>
              <w:t>move</w:t>
            </w:r>
          </w:p>
        </w:tc>
        <w:tc>
          <w:tcPr>
            <w:tcW w:w="993" w:type="dxa"/>
            <w:shd w:val="clear" w:color="auto" w:fill="FFFFFF" w:themeFill="background1"/>
          </w:tcPr>
          <w:p w14:paraId="0C3E9A81" w14:textId="03D75AED" w:rsidR="00F94AC5" w:rsidRDefault="00F94AC5"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w:t>
            </w:r>
            <w:r w:rsidR="00B934C7">
              <w:rPr>
                <w:sz w:val="18"/>
                <w:szCs w:val="18"/>
                <w:lang w:val="en-US"/>
              </w:rPr>
              <w:t>1</w:t>
            </w:r>
            <w:r>
              <w:rPr>
                <w:sz w:val="18"/>
                <w:szCs w:val="18"/>
                <w:lang w:val="en-US"/>
              </w:rPr>
              <w:t>,1</w:t>
            </w:r>
          </w:p>
        </w:tc>
        <w:tc>
          <w:tcPr>
            <w:tcW w:w="993" w:type="dxa"/>
            <w:shd w:val="clear" w:color="auto" w:fill="FFFFFF" w:themeFill="background1"/>
          </w:tcPr>
          <w:p w14:paraId="58BA0C2C" w14:textId="77C7ECB8" w:rsidR="00F94AC5" w:rsidRPr="00FF79AB" w:rsidRDefault="00B934C7"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3.96</w:t>
            </w:r>
          </w:p>
        </w:tc>
        <w:tc>
          <w:tcPr>
            <w:tcW w:w="850" w:type="dxa"/>
            <w:shd w:val="clear" w:color="auto" w:fill="FFFFFF" w:themeFill="background1"/>
          </w:tcPr>
          <w:p w14:paraId="7471CE7F" w14:textId="4BD138A4" w:rsidR="00F94AC5" w:rsidRPr="00FF79AB" w:rsidRDefault="00B934C7"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.03</w:t>
            </w:r>
          </w:p>
        </w:tc>
        <w:tc>
          <w:tcPr>
            <w:tcW w:w="851" w:type="dxa"/>
            <w:shd w:val="clear" w:color="auto" w:fill="FFFFFF" w:themeFill="background1"/>
          </w:tcPr>
          <w:p w14:paraId="4D0BC829" w14:textId="3476D7B3" w:rsidR="00F94AC5" w:rsidRPr="00FF79AB" w:rsidRDefault="00F94AC5"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w:t>
            </w:r>
            <w:r w:rsidR="00042D21">
              <w:rPr>
                <w:sz w:val="18"/>
                <w:szCs w:val="18"/>
                <w:lang w:val="en-US"/>
              </w:rPr>
              <w:t>2</w:t>
            </w:r>
          </w:p>
        </w:tc>
        <w:tc>
          <w:tcPr>
            <w:tcW w:w="1133" w:type="dxa"/>
            <w:shd w:val="clear" w:color="auto" w:fill="FFFFFF" w:themeFill="background1"/>
          </w:tcPr>
          <w:p w14:paraId="6A110F99" w14:textId="4E3DCBFD" w:rsidR="00F94AC5" w:rsidRDefault="00042D21"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580AA7A2" w14:textId="06A8202B" w:rsidR="00F94AC5" w:rsidRPr="00FF79AB" w:rsidRDefault="00F94AC5"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r w:rsidR="006C7607">
              <w:rPr>
                <w:sz w:val="18"/>
                <w:szCs w:val="18"/>
                <w:lang w:val="en-US"/>
              </w:rPr>
              <w:t>12</w:t>
            </w:r>
          </w:p>
        </w:tc>
      </w:tr>
      <w:tr w:rsidR="00F94AC5" w:rsidRPr="00FF79AB" w14:paraId="6C66BA20"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464B9495" w14:textId="5AFC8D82" w:rsidR="00F94AC5" w:rsidRPr="00FF79AB" w:rsidRDefault="00B934C7" w:rsidP="00651505">
            <w:pPr>
              <w:rPr>
                <w:sz w:val="18"/>
                <w:szCs w:val="18"/>
                <w:lang w:val="en-US"/>
              </w:rPr>
            </w:pPr>
            <w:r>
              <w:rPr>
                <w:sz w:val="18"/>
                <w:szCs w:val="18"/>
                <w:lang w:val="en-US"/>
              </w:rPr>
              <w:t>difficulty</w:t>
            </w:r>
          </w:p>
        </w:tc>
        <w:tc>
          <w:tcPr>
            <w:tcW w:w="993" w:type="dxa"/>
            <w:shd w:val="clear" w:color="auto" w:fill="FFFFFF" w:themeFill="background1"/>
          </w:tcPr>
          <w:p w14:paraId="5C8FFCC2" w14:textId="25CD8E38" w:rsidR="00F94AC5" w:rsidRDefault="00F94AC5" w:rsidP="00651505">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w:t>
            </w:r>
            <w:r w:rsidR="00B934C7">
              <w:rPr>
                <w:sz w:val="18"/>
                <w:szCs w:val="18"/>
                <w:lang w:val="en-US"/>
              </w:rPr>
              <w:t>2</w:t>
            </w:r>
            <w:r>
              <w:rPr>
                <w:sz w:val="18"/>
                <w:szCs w:val="18"/>
                <w:lang w:val="en-US"/>
              </w:rPr>
              <w:t>,2</w:t>
            </w:r>
          </w:p>
        </w:tc>
        <w:tc>
          <w:tcPr>
            <w:tcW w:w="993" w:type="dxa"/>
            <w:shd w:val="clear" w:color="auto" w:fill="FFFFFF" w:themeFill="background1"/>
          </w:tcPr>
          <w:p w14:paraId="1AE07625" w14:textId="59D5B396" w:rsidR="00F94AC5" w:rsidRPr="00FF79AB" w:rsidRDefault="00B934C7" w:rsidP="00651505">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177.3</w:t>
            </w:r>
          </w:p>
        </w:tc>
        <w:tc>
          <w:tcPr>
            <w:tcW w:w="850" w:type="dxa"/>
            <w:shd w:val="clear" w:color="auto" w:fill="FFFFFF" w:themeFill="background1"/>
          </w:tcPr>
          <w:p w14:paraId="302130D9" w14:textId="14C9EA57" w:rsidR="00F94AC5" w:rsidRPr="00FF79AB" w:rsidRDefault="00B934C7" w:rsidP="00651505">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&lt; .001</w:t>
            </w:r>
          </w:p>
        </w:tc>
        <w:tc>
          <w:tcPr>
            <w:tcW w:w="851" w:type="dxa"/>
            <w:shd w:val="clear" w:color="auto" w:fill="FFFFFF" w:themeFill="background1"/>
          </w:tcPr>
          <w:p w14:paraId="045BD2A5" w14:textId="212FD051" w:rsidR="00F94AC5" w:rsidRPr="00FF79AB" w:rsidRDefault="00F94AC5" w:rsidP="00651505">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w:t>
            </w:r>
            <w:r w:rsidR="00B934C7">
              <w:rPr>
                <w:sz w:val="18"/>
                <w:szCs w:val="18"/>
                <w:lang w:val="en-US"/>
              </w:rPr>
              <w:t>5</w:t>
            </w:r>
          </w:p>
        </w:tc>
        <w:tc>
          <w:tcPr>
            <w:tcW w:w="1133" w:type="dxa"/>
            <w:shd w:val="clear" w:color="auto" w:fill="FFFFFF" w:themeFill="background1"/>
          </w:tcPr>
          <w:p w14:paraId="2FE6D9D0" w14:textId="3F8C00D1" w:rsidR="00F94AC5" w:rsidRDefault="006F2230" w:rsidP="00981D2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51ACC74D" w14:textId="42577C8E" w:rsidR="00F94AC5" w:rsidRPr="00FF79AB" w:rsidRDefault="006F2230" w:rsidP="00981D2D">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r w:rsidR="006C7607">
              <w:rPr>
                <w:sz w:val="18"/>
                <w:szCs w:val="18"/>
                <w:lang w:val="en-US"/>
              </w:rPr>
              <w:t>89</w:t>
            </w:r>
          </w:p>
        </w:tc>
      </w:tr>
      <w:tr w:rsidR="00F94AC5" w:rsidRPr="00FF79AB" w14:paraId="12ECB0ED"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11A090D0" w14:textId="36A518AE" w:rsidR="00F94AC5" w:rsidRPr="00FF79AB" w:rsidRDefault="00B934C7" w:rsidP="00651505">
            <w:pPr>
              <w:rPr>
                <w:sz w:val="18"/>
                <w:szCs w:val="18"/>
                <w:lang w:val="en-US"/>
              </w:rPr>
            </w:pPr>
            <w:r>
              <w:rPr>
                <w:sz w:val="18"/>
                <w:szCs w:val="18"/>
                <w:lang w:val="en-US"/>
              </w:rPr>
              <w:t>move * difficulty</w:t>
            </w:r>
          </w:p>
        </w:tc>
        <w:tc>
          <w:tcPr>
            <w:tcW w:w="993" w:type="dxa"/>
            <w:shd w:val="clear" w:color="auto" w:fill="FFFFFF" w:themeFill="background1"/>
          </w:tcPr>
          <w:p w14:paraId="57E02419" w14:textId="76B0923D" w:rsidR="00F94AC5" w:rsidRDefault="00F94AC5"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4</w:t>
            </w:r>
            <w:r w:rsidR="00B934C7">
              <w:rPr>
                <w:sz w:val="18"/>
                <w:szCs w:val="18"/>
                <w:lang w:val="en-US"/>
              </w:rPr>
              <w:t>2</w:t>
            </w:r>
            <w:r>
              <w:rPr>
                <w:sz w:val="18"/>
                <w:szCs w:val="18"/>
                <w:lang w:val="en-US"/>
              </w:rPr>
              <w:t>,2</w:t>
            </w:r>
          </w:p>
        </w:tc>
        <w:tc>
          <w:tcPr>
            <w:tcW w:w="993" w:type="dxa"/>
            <w:shd w:val="clear" w:color="auto" w:fill="FFFFFF" w:themeFill="background1"/>
          </w:tcPr>
          <w:p w14:paraId="4CD5B730" w14:textId="6EE735DA" w:rsidR="00F94AC5" w:rsidRPr="00FF79AB" w:rsidRDefault="00B934C7"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3.31</w:t>
            </w:r>
          </w:p>
        </w:tc>
        <w:tc>
          <w:tcPr>
            <w:tcW w:w="850" w:type="dxa"/>
            <w:shd w:val="clear" w:color="auto" w:fill="FFFFFF" w:themeFill="background1"/>
          </w:tcPr>
          <w:p w14:paraId="3DE179B0" w14:textId="3709EA9A" w:rsidR="00F94AC5" w:rsidRPr="00FF79AB" w:rsidRDefault="00B934C7"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.02</w:t>
            </w:r>
          </w:p>
        </w:tc>
        <w:tc>
          <w:tcPr>
            <w:tcW w:w="851" w:type="dxa"/>
            <w:shd w:val="clear" w:color="auto" w:fill="FFFFFF" w:themeFill="background1"/>
          </w:tcPr>
          <w:p w14:paraId="0E063932" w14:textId="1279D9E9" w:rsidR="00F94AC5" w:rsidRDefault="00F94AC5"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w:t>
            </w:r>
            <w:r w:rsidR="00042D21">
              <w:rPr>
                <w:sz w:val="18"/>
                <w:szCs w:val="18"/>
                <w:lang w:val="en-US"/>
              </w:rPr>
              <w:t>3</w:t>
            </w:r>
          </w:p>
        </w:tc>
        <w:tc>
          <w:tcPr>
            <w:tcW w:w="1133" w:type="dxa"/>
            <w:shd w:val="clear" w:color="auto" w:fill="FFFFFF" w:themeFill="background1"/>
          </w:tcPr>
          <w:p w14:paraId="2C065E5E" w14:textId="67A96974" w:rsidR="00F94AC5" w:rsidRDefault="00042D21"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1FCCE7FE" w14:textId="693F6E9D" w:rsidR="00F94AC5" w:rsidRPr="00FF79AB" w:rsidRDefault="006C7607" w:rsidP="00651505">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.09</w:t>
            </w:r>
          </w:p>
        </w:tc>
      </w:tr>
    </w:tbl>
    <w:p w14:paraId="7B83C094" w14:textId="77777777" w:rsidR="00576D2B" w:rsidRPr="007526D5" w:rsidRDefault="00576D2B" w:rsidP="00A51AB0">
      <w:pPr>
        <w:rPr>
          <w:lang w:val="en-US"/>
        </w:rPr>
      </w:pPr>
    </w:p>
    <w:p w14:paraId="555C578A" w14:textId="4694BD61" w:rsidR="00A6378A" w:rsidRDefault="000E732C" w:rsidP="75598FD4">
      <w:pPr>
        <w:rPr>
          <w:lang w:val="en-US"/>
        </w:rPr>
      </w:pPr>
      <w:r w:rsidRPr="007526D5">
        <w:rPr>
          <w:lang w:val="en-US"/>
        </w:rPr>
        <w:t xml:space="preserve">Looking at the </w:t>
      </w:r>
      <w:r w:rsidR="00B934C7">
        <w:rPr>
          <w:lang w:val="en-US"/>
        </w:rPr>
        <w:t>response-related</w:t>
      </w:r>
      <w:r w:rsidR="00B934C7" w:rsidRPr="007526D5">
        <w:rPr>
          <w:lang w:val="en-US"/>
        </w:rPr>
        <w:t xml:space="preserve"> </w:t>
      </w:r>
      <w:r w:rsidR="00B934C7">
        <w:rPr>
          <w:lang w:val="en-US"/>
        </w:rPr>
        <w:t>auditor</w:t>
      </w:r>
      <w:r w:rsidR="00906112">
        <w:rPr>
          <w:lang w:val="en-US"/>
        </w:rPr>
        <w:t>ily cued condition</w:t>
      </w:r>
      <w:r w:rsidR="00B934C7">
        <w:rPr>
          <w:lang w:val="en-US"/>
        </w:rPr>
        <w:t xml:space="preserve"> </w:t>
      </w:r>
      <w:r w:rsidRPr="007526D5">
        <w:rPr>
          <w:lang w:val="en-US"/>
        </w:rPr>
        <w:t xml:space="preserve">outcomes, </w:t>
      </w:r>
      <w:r w:rsidR="00042D21">
        <w:rPr>
          <w:lang w:val="en-US"/>
        </w:rPr>
        <w:t xml:space="preserve">cognitive task difficulty </w:t>
      </w:r>
      <w:r w:rsidR="00B934C7">
        <w:rPr>
          <w:lang w:val="en-US"/>
        </w:rPr>
        <w:t>as well as the interaction showed significant differences</w:t>
      </w:r>
      <w:r w:rsidR="00641793" w:rsidRPr="007526D5">
        <w:rPr>
          <w:lang w:val="en-US"/>
        </w:rPr>
        <w:t>.</w:t>
      </w:r>
      <w:r w:rsidRPr="007526D5">
        <w:rPr>
          <w:lang w:val="en-US"/>
        </w:rPr>
        <w:t xml:space="preserve"> </w:t>
      </w:r>
    </w:p>
    <w:p w14:paraId="76B892F8" w14:textId="77777777" w:rsidR="00A6378A" w:rsidRPr="00D806B1" w:rsidRDefault="00641793" w:rsidP="00A6378A">
      <w:pPr>
        <w:pStyle w:val="Listenabsatz"/>
        <w:numPr>
          <w:ilvl w:val="0"/>
          <w:numId w:val="18"/>
        </w:numPr>
        <w:rPr>
          <w:lang w:val="en-US"/>
        </w:rPr>
      </w:pPr>
      <w:r w:rsidRPr="00A6378A">
        <w:rPr>
          <w:lang w:val="en-US"/>
        </w:rPr>
        <w:t xml:space="preserve">Here, </w:t>
      </w:r>
      <w:r w:rsidR="000E732C" w:rsidRPr="00A6378A">
        <w:rPr>
          <w:i/>
          <w:iCs/>
          <w:lang w:val="en-US"/>
        </w:rPr>
        <w:t>difficulty</w:t>
      </w:r>
      <w:r w:rsidRPr="00A6378A">
        <w:rPr>
          <w:lang w:val="en-US"/>
        </w:rPr>
        <w:t xml:space="preserve"> </w:t>
      </w:r>
      <w:r w:rsidR="00042D21" w:rsidRPr="00A6378A">
        <w:rPr>
          <w:lang w:val="en-US"/>
        </w:rPr>
        <w:t>indicated</w:t>
      </w:r>
      <w:r w:rsidR="00D968FF" w:rsidRPr="00D806B1">
        <w:rPr>
          <w:rFonts w:eastAsiaTheme="minorEastAsia" w:cs="Times New Roman"/>
          <w:lang w:val="en-US"/>
        </w:rPr>
        <w:t xml:space="preserve"> lower response times for </w:t>
      </w:r>
      <w:r w:rsidR="002109A8" w:rsidRPr="00D806B1">
        <w:rPr>
          <w:rFonts w:eastAsiaTheme="minorEastAsia" w:cs="Times New Roman"/>
          <w:lang w:val="en-US"/>
        </w:rPr>
        <w:t xml:space="preserve">the </w:t>
      </w:r>
      <w:r w:rsidR="006C7607" w:rsidRPr="00D806B1">
        <w:rPr>
          <w:rFonts w:eastAsiaTheme="minorEastAsia" w:cs="Times New Roman"/>
          <w:lang w:val="en-US"/>
        </w:rPr>
        <w:t xml:space="preserve">single-task trials </w:t>
      </w:r>
      <w:r w:rsidR="002109A8" w:rsidRPr="00D806B1">
        <w:rPr>
          <w:rFonts w:eastAsiaTheme="minorEastAsia" w:cs="Times New Roman"/>
          <w:lang w:val="en-US"/>
        </w:rPr>
        <w:t>(</w:t>
      </w:r>
      <w:r w:rsidR="002109A8" w:rsidRPr="00D806B1">
        <w:rPr>
          <w:rFonts w:eastAsiaTheme="minorEastAsia" w:cs="Times New Roman"/>
          <w:i/>
          <w:iCs/>
          <w:lang w:val="en-US"/>
        </w:rPr>
        <w:t>M</w:t>
      </w:r>
      <w:r w:rsidR="002109A8" w:rsidRPr="00D806B1">
        <w:rPr>
          <w:rFonts w:eastAsiaTheme="minorEastAsia" w:cs="Times New Roman"/>
          <w:lang w:val="en-US"/>
        </w:rPr>
        <w:t> = </w:t>
      </w:r>
      <w:r w:rsidR="006C7607" w:rsidRPr="00D806B1">
        <w:rPr>
          <w:rFonts w:eastAsiaTheme="minorEastAsia" w:cs="Times New Roman"/>
          <w:lang w:val="en-US"/>
        </w:rPr>
        <w:t>486.30</w:t>
      </w:r>
      <w:r w:rsidR="002109A8" w:rsidRPr="00D806B1">
        <w:rPr>
          <w:rFonts w:eastAsiaTheme="minorEastAsia" w:cs="Times New Roman"/>
          <w:lang w:val="en-US"/>
        </w:rPr>
        <w:t xml:space="preserve"> </w:t>
      </w:r>
      <w:r w:rsidR="002109A8" w:rsidRPr="00D806B1">
        <w:rPr>
          <w:rFonts w:eastAsiaTheme="minorEastAsia" w:cs="Times New Roman"/>
          <w:i/>
          <w:iCs/>
          <w:lang w:val="en-US"/>
        </w:rPr>
        <w:t>SD</w:t>
      </w:r>
      <w:r w:rsidR="002109A8" w:rsidRPr="00D806B1">
        <w:rPr>
          <w:rFonts w:eastAsiaTheme="minorEastAsia" w:cs="Times New Roman"/>
          <w:lang w:val="en-US"/>
        </w:rPr>
        <w:t> = </w:t>
      </w:r>
      <w:r w:rsidR="006C7607" w:rsidRPr="00D806B1">
        <w:rPr>
          <w:rFonts w:eastAsiaTheme="minorEastAsia" w:cs="Times New Roman"/>
          <w:lang w:val="en-US"/>
        </w:rPr>
        <w:t>70.56</w:t>
      </w:r>
      <w:r w:rsidR="002109A8" w:rsidRPr="00D806B1">
        <w:rPr>
          <w:rFonts w:eastAsiaTheme="minorEastAsia" w:cs="Times New Roman"/>
          <w:lang w:val="en-US"/>
        </w:rPr>
        <w:t xml:space="preserve">) compared to </w:t>
      </w:r>
      <w:r w:rsidR="006C7607" w:rsidRPr="00D806B1">
        <w:rPr>
          <w:rFonts w:eastAsiaTheme="minorEastAsia" w:cs="Times New Roman"/>
          <w:lang w:val="en-US"/>
        </w:rPr>
        <w:t xml:space="preserve">repeat </w:t>
      </w:r>
      <w:r w:rsidR="002109A8" w:rsidRPr="00D806B1">
        <w:rPr>
          <w:rFonts w:eastAsiaTheme="minorEastAsia" w:cs="Times New Roman"/>
          <w:lang w:val="en-US"/>
        </w:rPr>
        <w:t>(</w:t>
      </w:r>
      <w:r w:rsidR="002109A8" w:rsidRPr="00D806B1">
        <w:rPr>
          <w:rFonts w:eastAsiaTheme="minorEastAsia" w:cs="Times New Roman"/>
          <w:i/>
          <w:iCs/>
          <w:lang w:val="en-US"/>
        </w:rPr>
        <w:t>M</w:t>
      </w:r>
      <w:r w:rsidR="002109A8" w:rsidRPr="00D806B1">
        <w:rPr>
          <w:rFonts w:eastAsiaTheme="minorEastAsia" w:cs="Times New Roman"/>
          <w:lang w:val="en-US"/>
        </w:rPr>
        <w:t> = </w:t>
      </w:r>
      <w:r w:rsidR="006C7607" w:rsidRPr="00D806B1">
        <w:rPr>
          <w:rFonts w:eastAsiaTheme="minorEastAsia" w:cs="Times New Roman"/>
          <w:lang w:val="en-US"/>
        </w:rPr>
        <w:t>570.21</w:t>
      </w:r>
      <w:r w:rsidR="002109A8" w:rsidRPr="00D806B1">
        <w:rPr>
          <w:rFonts w:eastAsiaTheme="minorEastAsia" w:cs="Times New Roman"/>
          <w:lang w:val="en-US"/>
        </w:rPr>
        <w:t xml:space="preserve">, </w:t>
      </w:r>
      <w:r w:rsidR="002109A8" w:rsidRPr="00D806B1">
        <w:rPr>
          <w:rFonts w:eastAsiaTheme="minorEastAsia" w:cs="Times New Roman"/>
          <w:i/>
          <w:iCs/>
          <w:lang w:val="en-US"/>
        </w:rPr>
        <w:t>SD</w:t>
      </w:r>
      <w:r w:rsidR="002109A8" w:rsidRPr="00D806B1">
        <w:rPr>
          <w:rFonts w:eastAsiaTheme="minorEastAsia" w:cs="Times New Roman"/>
          <w:lang w:val="en-US"/>
        </w:rPr>
        <w:t> = </w:t>
      </w:r>
      <w:r w:rsidR="006C7607" w:rsidRPr="00D806B1">
        <w:rPr>
          <w:rFonts w:eastAsiaTheme="minorEastAsia" w:cs="Times New Roman"/>
          <w:lang w:val="en-US"/>
        </w:rPr>
        <w:t xml:space="preserve">74.98; </w:t>
      </w:r>
      <w:r w:rsidR="006C7607" w:rsidRPr="00D806B1">
        <w:rPr>
          <w:rFonts w:eastAsiaTheme="minorEastAsia" w:cs="Times New Roman"/>
          <w:i/>
          <w:iCs/>
          <w:lang w:val="en-US"/>
        </w:rPr>
        <w:t xml:space="preserve">p </w:t>
      </w:r>
      <w:r w:rsidR="006C7607" w:rsidRPr="00D806B1">
        <w:rPr>
          <w:rFonts w:eastAsiaTheme="minorEastAsia" w:cs="Times New Roman"/>
          <w:lang w:val="en-US"/>
        </w:rPr>
        <w:t>&lt; .001</w:t>
      </w:r>
      <w:r w:rsidR="002109A8" w:rsidRPr="00D806B1">
        <w:rPr>
          <w:rFonts w:eastAsiaTheme="minorEastAsia" w:cs="Times New Roman"/>
          <w:lang w:val="en-US"/>
        </w:rPr>
        <w:t>)</w:t>
      </w:r>
      <w:r w:rsidR="006C7607" w:rsidRPr="00D806B1">
        <w:rPr>
          <w:rFonts w:eastAsiaTheme="minorEastAsia" w:cs="Times New Roman"/>
          <w:lang w:val="en-US"/>
        </w:rPr>
        <w:t xml:space="preserve"> and switch trials (</w:t>
      </w:r>
      <w:r w:rsidR="006C7607" w:rsidRPr="00D806B1">
        <w:rPr>
          <w:rFonts w:eastAsiaTheme="minorEastAsia" w:cs="Times New Roman"/>
          <w:i/>
          <w:iCs/>
          <w:lang w:val="en-US"/>
        </w:rPr>
        <w:t>M</w:t>
      </w:r>
      <w:r w:rsidR="006C7607" w:rsidRPr="00D806B1">
        <w:rPr>
          <w:rFonts w:eastAsiaTheme="minorEastAsia" w:cs="Times New Roman"/>
          <w:lang w:val="en-US"/>
        </w:rPr>
        <w:t xml:space="preserve"> = 635.13, </w:t>
      </w:r>
      <w:r w:rsidR="006C7607" w:rsidRPr="00D806B1">
        <w:rPr>
          <w:rFonts w:eastAsiaTheme="minorEastAsia" w:cs="Times New Roman"/>
          <w:i/>
          <w:iCs/>
          <w:lang w:val="en-US"/>
        </w:rPr>
        <w:t>SD</w:t>
      </w:r>
      <w:r w:rsidR="006C7607" w:rsidRPr="00D806B1">
        <w:rPr>
          <w:rFonts w:eastAsiaTheme="minorEastAsia" w:cs="Times New Roman"/>
          <w:lang w:val="en-US"/>
        </w:rPr>
        <w:t xml:space="preserve"> = 83.39; </w:t>
      </w:r>
      <w:r w:rsidR="006C7607" w:rsidRPr="00D806B1">
        <w:rPr>
          <w:rFonts w:eastAsiaTheme="minorEastAsia" w:cs="Times New Roman"/>
          <w:i/>
          <w:iCs/>
          <w:lang w:val="en-US"/>
        </w:rPr>
        <w:t xml:space="preserve">p </w:t>
      </w:r>
      <w:r w:rsidR="006C7607" w:rsidRPr="00D806B1">
        <w:rPr>
          <w:rFonts w:eastAsiaTheme="minorEastAsia" w:cs="Times New Roman"/>
          <w:lang w:val="en-US"/>
        </w:rPr>
        <w:t>&lt; .001)</w:t>
      </w:r>
      <w:r w:rsidR="002109A8" w:rsidRPr="00D806B1">
        <w:rPr>
          <w:rFonts w:eastAsiaTheme="minorEastAsia" w:cs="Times New Roman"/>
          <w:lang w:val="en-US"/>
        </w:rPr>
        <w:t>.</w:t>
      </w:r>
      <w:r w:rsidR="006C7607" w:rsidRPr="00D806B1">
        <w:rPr>
          <w:rFonts w:eastAsiaTheme="minorEastAsia" w:cs="Times New Roman"/>
          <w:lang w:val="en-US"/>
        </w:rPr>
        <w:t xml:space="preserve"> Repeat trials also indicated a lower response time than switch trials (</w:t>
      </w:r>
      <w:r w:rsidR="006C7607" w:rsidRPr="00D806B1">
        <w:rPr>
          <w:rFonts w:eastAsiaTheme="minorEastAsia" w:cs="Times New Roman"/>
          <w:i/>
          <w:iCs/>
          <w:lang w:val="en-US"/>
        </w:rPr>
        <w:t>p</w:t>
      </w:r>
      <w:r w:rsidR="006C7607" w:rsidRPr="00D806B1">
        <w:rPr>
          <w:rFonts w:eastAsiaTheme="minorEastAsia" w:cs="Times New Roman"/>
          <w:lang w:val="en-US"/>
        </w:rPr>
        <w:t xml:space="preserve"> &lt; .001)</w:t>
      </w:r>
      <w:r w:rsidR="00A22CCD" w:rsidRPr="00D806B1">
        <w:rPr>
          <w:rFonts w:eastAsiaTheme="minorEastAsia" w:cs="Times New Roman"/>
          <w:lang w:val="en-US"/>
        </w:rPr>
        <w:t xml:space="preserve">. </w:t>
      </w:r>
    </w:p>
    <w:p w14:paraId="73370C10" w14:textId="77777777" w:rsidR="00A6378A" w:rsidRPr="00D806B1" w:rsidRDefault="00A22CCD" w:rsidP="00A6378A">
      <w:pPr>
        <w:pStyle w:val="Listenabsatz"/>
        <w:numPr>
          <w:ilvl w:val="0"/>
          <w:numId w:val="18"/>
        </w:numPr>
        <w:rPr>
          <w:lang w:val="en-US"/>
        </w:rPr>
      </w:pPr>
      <w:r w:rsidRPr="00D806B1">
        <w:rPr>
          <w:rFonts w:eastAsiaTheme="minorEastAsia" w:cs="Times New Roman"/>
          <w:lang w:val="en-US"/>
        </w:rPr>
        <w:t>Unfolding the interaction term, we found significant difference between regular and perturbed walking within repeat (</w:t>
      </w:r>
      <w:proofErr w:type="spellStart"/>
      <w:r w:rsidRPr="00D806B1">
        <w:rPr>
          <w:rFonts w:eastAsiaTheme="minorEastAsia" w:cs="Times New Roman"/>
          <w:i/>
          <w:iCs/>
          <w:lang w:val="en-US"/>
        </w:rPr>
        <w:t>M</w:t>
      </w:r>
      <w:r w:rsidRPr="00D806B1">
        <w:rPr>
          <w:rFonts w:eastAsiaTheme="minorEastAsia" w:cs="Times New Roman"/>
          <w:vertAlign w:val="subscript"/>
          <w:lang w:val="en-US"/>
        </w:rPr>
        <w:t>walking</w:t>
      </w:r>
      <w:proofErr w:type="spellEnd"/>
      <w:r w:rsidRPr="00D806B1">
        <w:rPr>
          <w:rFonts w:eastAsiaTheme="minorEastAsia" w:cs="Times New Roman"/>
          <w:lang w:val="en-US"/>
        </w:rPr>
        <w:t xml:space="preserve"> = 589.60, </w:t>
      </w:r>
      <w:proofErr w:type="spellStart"/>
      <w:r w:rsidRPr="00D806B1">
        <w:rPr>
          <w:rFonts w:eastAsiaTheme="minorEastAsia" w:cs="Times New Roman"/>
          <w:i/>
          <w:iCs/>
          <w:lang w:val="en-US"/>
        </w:rPr>
        <w:t>SD</w:t>
      </w:r>
      <w:r w:rsidRPr="00D806B1">
        <w:rPr>
          <w:rFonts w:eastAsiaTheme="minorEastAsia" w:cs="Times New Roman"/>
          <w:vertAlign w:val="subscript"/>
          <w:lang w:val="en-US"/>
        </w:rPr>
        <w:t>walking</w:t>
      </w:r>
      <w:proofErr w:type="spellEnd"/>
      <w:r w:rsidRPr="00D806B1">
        <w:rPr>
          <w:rFonts w:eastAsiaTheme="minorEastAsia" w:cs="Times New Roman"/>
          <w:lang w:val="en-US"/>
        </w:rPr>
        <w:t xml:space="preserve"> = 78.04; </w:t>
      </w:r>
      <w:proofErr w:type="spellStart"/>
      <w:r w:rsidRPr="00D806B1">
        <w:rPr>
          <w:rFonts w:eastAsiaTheme="minorEastAsia" w:cs="Times New Roman"/>
          <w:i/>
          <w:iCs/>
          <w:lang w:val="en-US"/>
        </w:rPr>
        <w:t>M</w:t>
      </w:r>
      <w:r w:rsidRPr="00D806B1">
        <w:rPr>
          <w:rFonts w:eastAsiaTheme="minorEastAsia" w:cs="Times New Roman"/>
          <w:vertAlign w:val="subscript"/>
          <w:lang w:val="en-US"/>
        </w:rPr>
        <w:t>perturbation</w:t>
      </w:r>
      <w:proofErr w:type="spellEnd"/>
      <w:r w:rsidRPr="00D806B1">
        <w:rPr>
          <w:rFonts w:eastAsiaTheme="minorEastAsia" w:cs="Times New Roman"/>
          <w:lang w:val="en-US"/>
        </w:rPr>
        <w:t xml:space="preserve"> = 558.29, </w:t>
      </w:r>
      <w:proofErr w:type="spellStart"/>
      <w:r w:rsidRPr="00D806B1">
        <w:rPr>
          <w:rFonts w:eastAsiaTheme="minorEastAsia" w:cs="Times New Roman"/>
          <w:i/>
          <w:iCs/>
          <w:lang w:val="en-US"/>
        </w:rPr>
        <w:t>SD</w:t>
      </w:r>
      <w:r w:rsidRPr="00D806B1">
        <w:rPr>
          <w:rFonts w:eastAsiaTheme="minorEastAsia" w:cs="Times New Roman"/>
          <w:vertAlign w:val="subscript"/>
          <w:lang w:val="en-US"/>
        </w:rPr>
        <w:t>perturbation</w:t>
      </w:r>
      <w:proofErr w:type="spellEnd"/>
      <w:r w:rsidRPr="00D806B1">
        <w:rPr>
          <w:rFonts w:eastAsiaTheme="minorEastAsia" w:cs="Times New Roman"/>
          <w:lang w:val="en-US"/>
        </w:rPr>
        <w:t xml:space="preserve"> = 73.84; </w:t>
      </w:r>
      <w:r w:rsidRPr="00D806B1">
        <w:rPr>
          <w:rFonts w:eastAsiaTheme="minorEastAsia" w:cs="Times New Roman"/>
          <w:i/>
          <w:iCs/>
          <w:lang w:val="en-US"/>
        </w:rPr>
        <w:t xml:space="preserve">p </w:t>
      </w:r>
      <w:r w:rsidRPr="00D806B1">
        <w:rPr>
          <w:rFonts w:eastAsiaTheme="minorEastAsia" w:cs="Times New Roman"/>
          <w:lang w:val="en-US"/>
        </w:rPr>
        <w:t>= .001) and switch trials (</w:t>
      </w:r>
      <w:proofErr w:type="spellStart"/>
      <w:r w:rsidRPr="00D806B1">
        <w:rPr>
          <w:rFonts w:eastAsiaTheme="minorEastAsia" w:cs="Times New Roman"/>
          <w:i/>
          <w:iCs/>
          <w:lang w:val="en-US"/>
        </w:rPr>
        <w:t>M</w:t>
      </w:r>
      <w:r w:rsidRPr="00D806B1">
        <w:rPr>
          <w:rFonts w:eastAsiaTheme="minorEastAsia" w:cs="Times New Roman"/>
          <w:vertAlign w:val="subscript"/>
          <w:lang w:val="en-US"/>
        </w:rPr>
        <w:t>walking</w:t>
      </w:r>
      <w:proofErr w:type="spellEnd"/>
      <w:r w:rsidRPr="00D806B1">
        <w:rPr>
          <w:rFonts w:eastAsiaTheme="minorEastAsia" w:cs="Times New Roman"/>
          <w:lang w:val="en-US"/>
        </w:rPr>
        <w:t xml:space="preserve"> = 657.48, </w:t>
      </w:r>
      <w:proofErr w:type="spellStart"/>
      <w:r w:rsidRPr="00D806B1">
        <w:rPr>
          <w:rFonts w:eastAsiaTheme="minorEastAsia" w:cs="Times New Roman"/>
          <w:i/>
          <w:iCs/>
          <w:lang w:val="en-US"/>
        </w:rPr>
        <w:t>SD</w:t>
      </w:r>
      <w:r w:rsidRPr="00D806B1">
        <w:rPr>
          <w:rFonts w:eastAsiaTheme="minorEastAsia" w:cs="Times New Roman"/>
          <w:vertAlign w:val="subscript"/>
          <w:lang w:val="en-US"/>
        </w:rPr>
        <w:t>walking</w:t>
      </w:r>
      <w:proofErr w:type="spellEnd"/>
      <w:r w:rsidRPr="00D806B1">
        <w:rPr>
          <w:rFonts w:eastAsiaTheme="minorEastAsia" w:cs="Times New Roman"/>
          <w:lang w:val="en-US"/>
        </w:rPr>
        <w:t xml:space="preserve"> = 81.57; </w:t>
      </w:r>
      <w:proofErr w:type="spellStart"/>
      <w:r w:rsidRPr="00D806B1">
        <w:rPr>
          <w:rFonts w:eastAsiaTheme="minorEastAsia" w:cs="Times New Roman"/>
          <w:i/>
          <w:iCs/>
          <w:lang w:val="en-US"/>
        </w:rPr>
        <w:t>M</w:t>
      </w:r>
      <w:r w:rsidRPr="00D806B1">
        <w:rPr>
          <w:rFonts w:eastAsiaTheme="minorEastAsia" w:cs="Times New Roman"/>
          <w:vertAlign w:val="subscript"/>
          <w:lang w:val="en-US"/>
        </w:rPr>
        <w:t>perturbation</w:t>
      </w:r>
      <w:proofErr w:type="spellEnd"/>
      <w:r w:rsidRPr="00D806B1">
        <w:rPr>
          <w:rFonts w:eastAsiaTheme="minorEastAsia" w:cs="Times New Roman"/>
          <w:lang w:val="en-US"/>
        </w:rPr>
        <w:t xml:space="preserve"> = 616.79, </w:t>
      </w:r>
      <w:proofErr w:type="spellStart"/>
      <w:r w:rsidRPr="00D806B1">
        <w:rPr>
          <w:rFonts w:eastAsiaTheme="minorEastAsia" w:cs="Times New Roman"/>
          <w:i/>
          <w:iCs/>
          <w:lang w:val="en-US"/>
        </w:rPr>
        <w:t>SD</w:t>
      </w:r>
      <w:r w:rsidRPr="00D806B1">
        <w:rPr>
          <w:rFonts w:eastAsiaTheme="minorEastAsia" w:cs="Times New Roman"/>
          <w:vertAlign w:val="subscript"/>
          <w:lang w:val="en-US"/>
        </w:rPr>
        <w:t>perturbation</w:t>
      </w:r>
      <w:proofErr w:type="spellEnd"/>
      <w:r w:rsidRPr="00D806B1">
        <w:rPr>
          <w:rFonts w:eastAsiaTheme="minorEastAsia" w:cs="Times New Roman"/>
          <w:lang w:val="en-US"/>
        </w:rPr>
        <w:t xml:space="preserve"> = 86.20; </w:t>
      </w:r>
      <w:r w:rsidRPr="00D806B1">
        <w:rPr>
          <w:rFonts w:eastAsiaTheme="minorEastAsia" w:cs="Times New Roman"/>
          <w:i/>
          <w:iCs/>
          <w:lang w:val="en-US"/>
        </w:rPr>
        <w:t xml:space="preserve">p </w:t>
      </w:r>
      <w:r w:rsidRPr="00D806B1">
        <w:rPr>
          <w:rFonts w:eastAsiaTheme="minorEastAsia" w:cs="Times New Roman"/>
          <w:lang w:val="en-US"/>
        </w:rPr>
        <w:t>= .001) while there was no difference in single-task conditions.</w:t>
      </w:r>
      <w:r w:rsidR="004A6786" w:rsidRPr="00D806B1">
        <w:rPr>
          <w:rFonts w:eastAsiaTheme="minorEastAsia" w:cs="Times New Roman"/>
          <w:lang w:val="en-US"/>
        </w:rPr>
        <w:t xml:space="preserve"> </w:t>
      </w:r>
    </w:p>
    <w:p w14:paraId="63092FF7" w14:textId="6AD7C896" w:rsidR="00F575BB" w:rsidRPr="00D806B1" w:rsidRDefault="00B12A7D" w:rsidP="00A6378A">
      <w:pPr>
        <w:rPr>
          <w:lang w:val="en-US"/>
        </w:rPr>
      </w:pPr>
      <w:r w:rsidRPr="00D806B1">
        <w:rPr>
          <w:rFonts w:eastAsiaTheme="minorEastAsia" w:cs="Times New Roman"/>
          <w:lang w:val="en-US"/>
        </w:rPr>
        <w:t xml:space="preserve">For a detailed overview of ANOVA results, see </w:t>
      </w:r>
      <w:r w:rsidRPr="00D806B1">
        <w:rPr>
          <w:rFonts w:eastAsiaTheme="minorEastAsia" w:cs="Times New Roman"/>
          <w:lang w:val="en-US"/>
        </w:rPr>
        <w:fldChar w:fldCharType="begin"/>
      </w:r>
      <w:r w:rsidRPr="00D806B1">
        <w:rPr>
          <w:rFonts w:eastAsiaTheme="minorEastAsia" w:cs="Times New Roman"/>
          <w:lang w:val="en-US"/>
        </w:rPr>
        <w:instrText xml:space="preserve"> REF _Ref131166957 \h </w:instrText>
      </w:r>
      <w:r w:rsidRPr="00D806B1">
        <w:rPr>
          <w:rFonts w:eastAsiaTheme="minorEastAsia" w:cs="Times New Roman"/>
          <w:lang w:val="en-US"/>
        </w:rPr>
      </w:r>
      <w:r w:rsidRPr="00D806B1">
        <w:rPr>
          <w:rFonts w:eastAsiaTheme="minorEastAsia" w:cs="Times New Roman"/>
          <w:lang w:val="en-US"/>
        </w:rPr>
        <w:fldChar w:fldCharType="separate"/>
      </w:r>
      <w:r w:rsidRPr="00A6378A">
        <w:rPr>
          <w:lang w:val="en-US"/>
        </w:rPr>
        <w:t xml:space="preserve">Table </w:t>
      </w:r>
      <w:r w:rsidRPr="00A6378A">
        <w:rPr>
          <w:noProof/>
          <w:lang w:val="en-US"/>
        </w:rPr>
        <w:t>3</w:t>
      </w:r>
      <w:r w:rsidRPr="00D806B1">
        <w:rPr>
          <w:rFonts w:eastAsiaTheme="minorEastAsia" w:cs="Times New Roman"/>
          <w:lang w:val="en-US"/>
        </w:rPr>
        <w:fldChar w:fldCharType="end"/>
      </w:r>
      <w:r w:rsidRPr="00D806B1">
        <w:rPr>
          <w:rFonts w:eastAsiaTheme="minorEastAsia" w:cs="Times New Roman"/>
          <w:lang w:val="en-US"/>
        </w:rPr>
        <w:t>.</w:t>
      </w:r>
    </w:p>
    <w:p w14:paraId="1AD431F6" w14:textId="3709A4D3" w:rsidR="00B934C7" w:rsidRPr="002F7331" w:rsidRDefault="002F7331" w:rsidP="002F7331">
      <w:pPr>
        <w:pStyle w:val="Beschriftung"/>
        <w:keepNext/>
        <w:rPr>
          <w:lang w:val="en-US"/>
        </w:rPr>
      </w:pPr>
      <w:r w:rsidRPr="002F7331">
        <w:rPr>
          <w:lang w:val="en-US"/>
        </w:rPr>
        <w:t xml:space="preserve">Table </w:t>
      </w:r>
      <w:r>
        <w:fldChar w:fldCharType="begin"/>
      </w:r>
      <w:r w:rsidRPr="002F7331">
        <w:rPr>
          <w:lang w:val="en-US"/>
        </w:rPr>
        <w:instrText xml:space="preserve"> SEQ Table \* ARABIC </w:instrText>
      </w:r>
      <w:r>
        <w:fldChar w:fldCharType="separate"/>
      </w:r>
      <w:r w:rsidRPr="002F7331">
        <w:rPr>
          <w:noProof/>
          <w:lang w:val="en-US"/>
        </w:rPr>
        <w:t>4</w:t>
      </w:r>
      <w:r>
        <w:fldChar w:fldCharType="end"/>
      </w:r>
      <w:r w:rsidRPr="002F7331">
        <w:rPr>
          <w:lang w:val="en-US"/>
        </w:rPr>
        <w:t>. Response times repeated measures ANOVA results – Visual condition blocks.</w:t>
      </w:r>
    </w:p>
    <w:tbl>
      <w:tblPr>
        <w:tblStyle w:val="Listentabelle6farbig"/>
        <w:tblW w:w="7934" w:type="dxa"/>
        <w:tblLayout w:type="fixed"/>
        <w:tblLook w:val="04A0" w:firstRow="1" w:lastRow="0" w:firstColumn="1" w:lastColumn="0" w:noHBand="0" w:noVBand="1"/>
      </w:tblPr>
      <w:tblGrid>
        <w:gridCol w:w="2263"/>
        <w:gridCol w:w="993"/>
        <w:gridCol w:w="993"/>
        <w:gridCol w:w="850"/>
        <w:gridCol w:w="851"/>
        <w:gridCol w:w="1133"/>
        <w:gridCol w:w="851"/>
      </w:tblGrid>
      <w:tr w:rsidR="00A22CCD" w:rsidRPr="00FF79AB" w14:paraId="696A37C8" w14:textId="77777777" w:rsidTr="005D30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58CCA66" w14:textId="77777777" w:rsidR="00A22CCD" w:rsidRPr="00FF79AB" w:rsidRDefault="00A22CCD" w:rsidP="00A60564">
            <w:pPr>
              <w:rPr>
                <w:b w:val="0"/>
                <w:bCs w:val="0"/>
                <w:sz w:val="18"/>
                <w:szCs w:val="18"/>
                <w:lang w:val="en-US"/>
              </w:rPr>
            </w:pPr>
            <w:r>
              <w:rPr>
                <w:sz w:val="18"/>
                <w:szCs w:val="18"/>
                <w:lang w:val="en-US"/>
              </w:rPr>
              <w:t>Effect</w:t>
            </w:r>
          </w:p>
        </w:tc>
        <w:tc>
          <w:tcPr>
            <w:tcW w:w="993" w:type="dxa"/>
          </w:tcPr>
          <w:p w14:paraId="353D9228" w14:textId="77777777" w:rsidR="00A22CCD" w:rsidRDefault="00A22CCD" w:rsidP="00A60564">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df</w:t>
            </w:r>
            <w:proofErr w:type="spellEnd"/>
          </w:p>
        </w:tc>
        <w:tc>
          <w:tcPr>
            <w:tcW w:w="993" w:type="dxa"/>
          </w:tcPr>
          <w:p w14:paraId="161CDFFA" w14:textId="77777777" w:rsidR="00A22CCD" w:rsidRPr="00FF79AB" w:rsidRDefault="00A22CCD" w:rsidP="00A60564">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Pr>
                <w:sz w:val="18"/>
                <w:szCs w:val="18"/>
                <w:lang w:val="en-US"/>
              </w:rPr>
              <w:t>F</w:t>
            </w:r>
          </w:p>
        </w:tc>
        <w:tc>
          <w:tcPr>
            <w:tcW w:w="850" w:type="dxa"/>
          </w:tcPr>
          <w:p w14:paraId="6CC92C52" w14:textId="77777777" w:rsidR="00A22CCD" w:rsidRPr="00FF79AB" w:rsidRDefault="00A22CCD" w:rsidP="00A60564">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p</w:t>
            </w:r>
            <w:r w:rsidRPr="00FC44CC">
              <w:rPr>
                <w:sz w:val="18"/>
                <w:szCs w:val="18"/>
                <w:vertAlign w:val="subscript"/>
                <w:lang w:val="en-US"/>
              </w:rPr>
              <w:t>gg</w:t>
            </w:r>
            <w:proofErr w:type="spellEnd"/>
          </w:p>
        </w:tc>
        <w:tc>
          <w:tcPr>
            <w:tcW w:w="851" w:type="dxa"/>
          </w:tcPr>
          <w:p w14:paraId="7CB62FF6" w14:textId="77777777" w:rsidR="00A22CCD" w:rsidRPr="00053470" w:rsidRDefault="00A22CCD" w:rsidP="00A6056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6"/>
                <w:szCs w:val="16"/>
                <w:lang w:val="en-US"/>
              </w:rPr>
            </w:pPr>
            <w:proofErr w:type="spellStart"/>
            <w:r>
              <w:rPr>
                <w:rFonts w:eastAsia="Times New Roman" w:cs="Times New Roman"/>
                <w:sz w:val="18"/>
                <w:szCs w:val="18"/>
                <w:lang w:val="en-US"/>
              </w:rPr>
              <w:t>p</w:t>
            </w:r>
            <w:r w:rsidRPr="00053470">
              <w:rPr>
                <w:rFonts w:eastAsia="Times New Roman" w:cs="Times New Roman"/>
                <w:sz w:val="16"/>
                <w:szCs w:val="16"/>
                <w:vertAlign w:val="subscript"/>
                <w:lang w:val="en-US"/>
              </w:rPr>
              <w:t>crit</w:t>
            </w:r>
            <w:proofErr w:type="spellEnd"/>
          </w:p>
        </w:tc>
        <w:tc>
          <w:tcPr>
            <w:tcW w:w="1133" w:type="dxa"/>
          </w:tcPr>
          <w:p w14:paraId="745AD90A" w14:textId="77777777" w:rsidR="00A22CCD" w:rsidRPr="00520602" w:rsidRDefault="00A22CCD" w:rsidP="00A6056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18"/>
                <w:szCs w:val="18"/>
                <w:lang w:val="en-US"/>
              </w:rPr>
            </w:pPr>
            <w:r>
              <w:rPr>
                <w:rFonts w:eastAsia="Times New Roman" w:cs="Times New Roman"/>
                <w:sz w:val="18"/>
                <w:szCs w:val="18"/>
                <w:lang w:val="en-US"/>
              </w:rPr>
              <w:t>significance</w:t>
            </w:r>
          </w:p>
        </w:tc>
        <w:tc>
          <w:tcPr>
            <w:tcW w:w="851" w:type="dxa"/>
          </w:tcPr>
          <w:p w14:paraId="5C454B65" w14:textId="77777777" w:rsidR="00A22CCD" w:rsidRPr="00FF79AB" w:rsidRDefault="00E3198A" w:rsidP="00A60564">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m:oMathPara>
              <m:oMath>
                <m:sSubSup>
                  <m:sSubSupPr>
                    <m:ctrlPr>
                      <w:rPr>
                        <w:rFonts w:ascii="Cambria Math" w:hAnsi="Cambria Math"/>
                        <w:i/>
                        <w:sz w:val="18"/>
                        <w:szCs w:val="18"/>
                        <w:lang w:val="en-US"/>
                      </w:rPr>
                    </m:ctrlPr>
                  </m:sSubSupPr>
                  <m:e>
                    <m:r>
                      <m:rPr>
                        <m:sty m:val="bi"/>
                      </m:rPr>
                      <w:rPr>
                        <w:rFonts w:ascii="Cambria Math" w:hAnsi="Cambria Math"/>
                        <w:sz w:val="18"/>
                        <w:szCs w:val="18"/>
                        <w:lang w:val="en-US"/>
                      </w:rPr>
                      <m:t>η</m:t>
                    </m:r>
                  </m:e>
                  <m:sub>
                    <m:r>
                      <m:rPr>
                        <m:sty m:val="bi"/>
                      </m:rPr>
                      <w:rPr>
                        <w:rFonts w:ascii="Cambria Math" w:hAnsi="Cambria Math"/>
                        <w:sz w:val="18"/>
                        <w:szCs w:val="18"/>
                        <w:lang w:val="en-US"/>
                      </w:rPr>
                      <m:t>part</m:t>
                    </m:r>
                  </m:sub>
                  <m:sup>
                    <m:r>
                      <m:rPr>
                        <m:sty m:val="bi"/>
                      </m:rPr>
                      <w:rPr>
                        <w:rFonts w:ascii="Cambria Math" w:hAnsi="Cambria Math"/>
                        <w:sz w:val="18"/>
                        <w:szCs w:val="18"/>
                        <w:lang w:val="en-US"/>
                      </w:rPr>
                      <m:t>2</m:t>
                    </m:r>
                  </m:sup>
                </m:sSubSup>
              </m:oMath>
            </m:oMathPara>
          </w:p>
        </w:tc>
      </w:tr>
      <w:tr w:rsidR="005D3011" w:rsidRPr="00FF79AB" w14:paraId="44381310"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2AEAE88C" w14:textId="77777777" w:rsidR="00A22CCD" w:rsidRPr="00FF79AB" w:rsidRDefault="00A22CCD" w:rsidP="00A60564">
            <w:pPr>
              <w:rPr>
                <w:sz w:val="18"/>
                <w:szCs w:val="18"/>
                <w:lang w:val="en-US"/>
              </w:rPr>
            </w:pPr>
            <w:r>
              <w:rPr>
                <w:sz w:val="18"/>
                <w:szCs w:val="18"/>
                <w:lang w:val="en-US"/>
              </w:rPr>
              <w:t>move</w:t>
            </w:r>
          </w:p>
        </w:tc>
        <w:tc>
          <w:tcPr>
            <w:tcW w:w="993" w:type="dxa"/>
            <w:shd w:val="clear" w:color="auto" w:fill="FFFFFF" w:themeFill="background1"/>
          </w:tcPr>
          <w:p w14:paraId="10E80420" w14:textId="77777777" w:rsidR="00A22CCD"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21,1</w:t>
            </w:r>
          </w:p>
        </w:tc>
        <w:tc>
          <w:tcPr>
            <w:tcW w:w="993" w:type="dxa"/>
            <w:shd w:val="clear" w:color="auto" w:fill="FFFFFF" w:themeFill="background1"/>
          </w:tcPr>
          <w:p w14:paraId="2FF2FB1F" w14:textId="684DDFE7" w:rsidR="00A22CCD" w:rsidRPr="00FF79AB"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0.70</w:t>
            </w:r>
          </w:p>
        </w:tc>
        <w:tc>
          <w:tcPr>
            <w:tcW w:w="850" w:type="dxa"/>
            <w:shd w:val="clear" w:color="auto" w:fill="FFFFFF" w:themeFill="background1"/>
          </w:tcPr>
          <w:p w14:paraId="17989048" w14:textId="6B24F8DB" w:rsidR="00A22CCD" w:rsidRPr="00FF79AB"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0.50</w:t>
            </w:r>
          </w:p>
        </w:tc>
        <w:tc>
          <w:tcPr>
            <w:tcW w:w="851" w:type="dxa"/>
            <w:shd w:val="clear" w:color="auto" w:fill="FFFFFF" w:themeFill="background1"/>
          </w:tcPr>
          <w:p w14:paraId="52E3E097" w14:textId="77777777" w:rsidR="00A22CCD" w:rsidRPr="00FF79AB"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.02</w:t>
            </w:r>
          </w:p>
        </w:tc>
        <w:tc>
          <w:tcPr>
            <w:tcW w:w="1133" w:type="dxa"/>
            <w:shd w:val="clear" w:color="auto" w:fill="FFFFFF" w:themeFill="background1"/>
          </w:tcPr>
          <w:p w14:paraId="0B2BD0CF" w14:textId="77777777" w:rsidR="00A22CCD"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2AF64169" w14:textId="404037A7" w:rsidR="00A22CCD" w:rsidRPr="00FF79AB"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-.01</w:t>
            </w:r>
          </w:p>
        </w:tc>
      </w:tr>
      <w:tr w:rsidR="00A22CCD" w:rsidRPr="00FF79AB" w14:paraId="76B95F4F" w14:textId="77777777" w:rsidTr="005D3011">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36403650" w14:textId="77777777" w:rsidR="00A22CCD" w:rsidRPr="00FF79AB" w:rsidRDefault="00A22CCD" w:rsidP="00A60564">
            <w:pPr>
              <w:rPr>
                <w:sz w:val="18"/>
                <w:szCs w:val="18"/>
                <w:lang w:val="en-US"/>
              </w:rPr>
            </w:pPr>
            <w:r>
              <w:rPr>
                <w:sz w:val="18"/>
                <w:szCs w:val="18"/>
                <w:lang w:val="en-US"/>
              </w:rPr>
              <w:t>difficulty</w:t>
            </w:r>
          </w:p>
        </w:tc>
        <w:tc>
          <w:tcPr>
            <w:tcW w:w="993" w:type="dxa"/>
            <w:shd w:val="clear" w:color="auto" w:fill="FFFFFF" w:themeFill="background1"/>
          </w:tcPr>
          <w:p w14:paraId="58706B4F" w14:textId="77777777" w:rsidR="00A22CCD" w:rsidRDefault="00A22CC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42,2</w:t>
            </w:r>
          </w:p>
        </w:tc>
        <w:tc>
          <w:tcPr>
            <w:tcW w:w="993" w:type="dxa"/>
            <w:shd w:val="clear" w:color="auto" w:fill="FFFFFF" w:themeFill="background1"/>
          </w:tcPr>
          <w:p w14:paraId="6BD1A424" w14:textId="3A5CF370" w:rsidR="00A22CCD" w:rsidRPr="00FF79AB" w:rsidRDefault="00B12A7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29.66</w:t>
            </w:r>
          </w:p>
        </w:tc>
        <w:tc>
          <w:tcPr>
            <w:tcW w:w="850" w:type="dxa"/>
            <w:shd w:val="clear" w:color="auto" w:fill="FFFFFF" w:themeFill="background1"/>
          </w:tcPr>
          <w:p w14:paraId="6492EF3D" w14:textId="77777777" w:rsidR="00A22CCD" w:rsidRPr="00FF79AB" w:rsidRDefault="00A22CC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&lt; .001</w:t>
            </w:r>
          </w:p>
        </w:tc>
        <w:tc>
          <w:tcPr>
            <w:tcW w:w="851" w:type="dxa"/>
            <w:shd w:val="clear" w:color="auto" w:fill="FFFFFF" w:themeFill="background1"/>
          </w:tcPr>
          <w:p w14:paraId="73F0E23B" w14:textId="77777777" w:rsidR="00A22CCD" w:rsidRPr="00FF79AB" w:rsidRDefault="00A22CC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.05</w:t>
            </w:r>
          </w:p>
        </w:tc>
        <w:tc>
          <w:tcPr>
            <w:tcW w:w="1133" w:type="dxa"/>
            <w:shd w:val="clear" w:color="auto" w:fill="FFFFFF" w:themeFill="background1"/>
          </w:tcPr>
          <w:p w14:paraId="7B23E0EC" w14:textId="77777777" w:rsidR="00A22CCD" w:rsidRDefault="00A22CC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2A78C8BA" w14:textId="5ED4C584" w:rsidR="00A22CCD" w:rsidRPr="00FF79AB" w:rsidRDefault="00A22CCD" w:rsidP="00A6056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r w:rsidR="00B12A7D">
              <w:rPr>
                <w:sz w:val="18"/>
                <w:szCs w:val="18"/>
                <w:lang w:val="en-US"/>
              </w:rPr>
              <w:t>57</w:t>
            </w:r>
          </w:p>
        </w:tc>
      </w:tr>
      <w:tr w:rsidR="005D3011" w:rsidRPr="00FF79AB" w14:paraId="6D297D1E"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FFFFFF" w:themeFill="background1"/>
          </w:tcPr>
          <w:p w14:paraId="408A4E70" w14:textId="77777777" w:rsidR="00A22CCD" w:rsidRPr="00FF79AB" w:rsidRDefault="00A22CCD" w:rsidP="00A60564">
            <w:pPr>
              <w:rPr>
                <w:sz w:val="18"/>
                <w:szCs w:val="18"/>
                <w:lang w:val="en-US"/>
              </w:rPr>
            </w:pPr>
            <w:r>
              <w:rPr>
                <w:sz w:val="18"/>
                <w:szCs w:val="18"/>
                <w:lang w:val="en-US"/>
              </w:rPr>
              <w:t>move * difficulty</w:t>
            </w:r>
          </w:p>
        </w:tc>
        <w:tc>
          <w:tcPr>
            <w:tcW w:w="993" w:type="dxa"/>
            <w:shd w:val="clear" w:color="auto" w:fill="FFFFFF" w:themeFill="background1"/>
          </w:tcPr>
          <w:p w14:paraId="14EFF861" w14:textId="77777777" w:rsidR="00A22CCD"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42,2</w:t>
            </w:r>
          </w:p>
        </w:tc>
        <w:tc>
          <w:tcPr>
            <w:tcW w:w="993" w:type="dxa"/>
            <w:shd w:val="clear" w:color="auto" w:fill="FFFFFF" w:themeFill="background1"/>
          </w:tcPr>
          <w:p w14:paraId="551864F9" w14:textId="6CB4D11A" w:rsidR="00A22CCD" w:rsidRPr="00FF79AB"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1.29</w:t>
            </w:r>
          </w:p>
        </w:tc>
        <w:tc>
          <w:tcPr>
            <w:tcW w:w="850" w:type="dxa"/>
            <w:shd w:val="clear" w:color="auto" w:fill="FFFFFF" w:themeFill="background1"/>
          </w:tcPr>
          <w:p w14:paraId="23E68617" w14:textId="1E73BB83" w:rsidR="00A22CCD" w:rsidRPr="00FF79AB"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.28</w:t>
            </w:r>
          </w:p>
        </w:tc>
        <w:tc>
          <w:tcPr>
            <w:tcW w:w="851" w:type="dxa"/>
            <w:shd w:val="clear" w:color="auto" w:fill="FFFFFF" w:themeFill="background1"/>
          </w:tcPr>
          <w:p w14:paraId="5DB2EDD4" w14:textId="761E9A2E" w:rsidR="00A22CCD"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.0</w:t>
            </w:r>
            <w:r w:rsidR="00B12A7D">
              <w:rPr>
                <w:sz w:val="18"/>
                <w:szCs w:val="18"/>
                <w:lang w:val="en-US"/>
              </w:rPr>
              <w:t>3</w:t>
            </w:r>
          </w:p>
        </w:tc>
        <w:tc>
          <w:tcPr>
            <w:tcW w:w="1133" w:type="dxa"/>
            <w:shd w:val="clear" w:color="auto" w:fill="FFFFFF" w:themeFill="background1"/>
          </w:tcPr>
          <w:p w14:paraId="345AD72D" w14:textId="7296D961" w:rsidR="00A22CCD" w:rsidRDefault="00B12A7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851" w:type="dxa"/>
            <w:shd w:val="clear" w:color="auto" w:fill="FFFFFF" w:themeFill="background1"/>
          </w:tcPr>
          <w:p w14:paraId="1BFDA82D" w14:textId="5EF2BDF0" w:rsidR="00A22CCD" w:rsidRPr="00FF79AB" w:rsidRDefault="00A22CCD" w:rsidP="00A60564">
            <w:pPr>
              <w:jc w:val="cente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r w:rsidR="00B12A7D">
              <w:rPr>
                <w:sz w:val="18"/>
                <w:szCs w:val="18"/>
                <w:lang w:val="en-US"/>
              </w:rPr>
              <w:t>01</w:t>
            </w:r>
          </w:p>
        </w:tc>
      </w:tr>
    </w:tbl>
    <w:p w14:paraId="796797A0" w14:textId="77777777" w:rsidR="00B934C7" w:rsidRDefault="00B934C7" w:rsidP="00A51AB0">
      <w:pPr>
        <w:rPr>
          <w:rFonts w:eastAsiaTheme="minorEastAsia" w:cs="Times New Roman"/>
          <w:iCs/>
          <w:lang w:val="en-US"/>
        </w:rPr>
      </w:pPr>
    </w:p>
    <w:p w14:paraId="695C1A4F" w14:textId="356A48F7" w:rsidR="00FF711B" w:rsidRPr="00D806B1" w:rsidRDefault="00B12A7D" w:rsidP="00D806B1">
      <w:pPr>
        <w:rPr>
          <w:sz w:val="18"/>
          <w:szCs w:val="18"/>
          <w:lang w:val="en-US"/>
        </w:rPr>
      </w:pPr>
      <w:r w:rsidRPr="75598FD4">
        <w:rPr>
          <w:rFonts w:eastAsiaTheme="minorEastAsia" w:cs="Times New Roman"/>
          <w:lang w:val="en-US"/>
        </w:rPr>
        <w:t>In visual cue conditions, we only found an effect of task difficulty on response times</w:t>
      </w:r>
      <w:r w:rsidR="00FF711B" w:rsidRPr="00D806B1">
        <w:rPr>
          <w:rFonts w:eastAsiaTheme="minorEastAsia" w:cs="Times New Roman"/>
          <w:lang w:val="en-US"/>
        </w:rPr>
        <w:t xml:space="preserve"> (</w:t>
      </w:r>
      <w:proofErr w:type="gramStart"/>
      <w:r w:rsidR="00FF711B" w:rsidRPr="00D806B1">
        <w:rPr>
          <w:rFonts w:eastAsiaTheme="minorEastAsia" w:cs="Times New Roman"/>
          <w:lang w:val="en-US"/>
        </w:rPr>
        <w:t>F(</w:t>
      </w:r>
      <w:proofErr w:type="gramEnd"/>
      <w:r w:rsidR="00FF711B" w:rsidRPr="00D806B1">
        <w:rPr>
          <w:rFonts w:eastAsiaTheme="minorEastAsia" w:cs="Times New Roman"/>
          <w:lang w:val="en-US"/>
        </w:rPr>
        <w:t xml:space="preserve">42,2) = 29.66, p &lt; .001, </w:t>
      </w:r>
      <m:oMath>
        <m:sSubSup>
          <m:sSubSupPr>
            <m:ctrlPr>
              <w:rPr>
                <w:rFonts w:ascii="Cambria Math" w:hAnsi="Cambria Math"/>
                <w:i/>
                <w:sz w:val="18"/>
                <w:szCs w:val="18"/>
                <w:lang w:val="en-US"/>
              </w:rPr>
            </m:ctrlPr>
          </m:sSubSupPr>
          <m:e>
            <m:r>
              <m:rPr>
                <m:sty m:val="bi"/>
              </m:rPr>
              <w:rPr>
                <w:rFonts w:ascii="Cambria Math" w:hAnsi="Cambria Math"/>
                <w:sz w:val="18"/>
                <w:szCs w:val="18"/>
                <w:lang w:val="en-US"/>
              </w:rPr>
              <m:t>η</m:t>
            </m:r>
          </m:e>
          <m:sub>
            <m:r>
              <m:rPr>
                <m:sty m:val="bi"/>
              </m:rPr>
              <w:rPr>
                <w:rFonts w:ascii="Cambria Math" w:hAnsi="Cambria Math"/>
                <w:sz w:val="18"/>
                <w:szCs w:val="18"/>
                <w:lang w:val="en-US"/>
              </w:rPr>
              <m:t>part</m:t>
            </m:r>
          </m:sub>
          <m:sup>
            <m:r>
              <m:rPr>
                <m:sty m:val="bi"/>
              </m:rPr>
              <w:rPr>
                <w:rFonts w:ascii="Cambria Math" w:hAnsi="Cambria Math"/>
                <w:sz w:val="18"/>
                <w:szCs w:val="18"/>
                <w:lang w:val="en-US"/>
              </w:rPr>
              <m:t>2</m:t>
            </m:r>
          </m:sup>
        </m:sSubSup>
      </m:oMath>
      <w:r w:rsidR="00FF711B" w:rsidRPr="00D806B1">
        <w:rPr>
          <w:rFonts w:eastAsiaTheme="minorEastAsia" w:cs="Times New Roman"/>
          <w:lang w:val="en-US"/>
        </w:rPr>
        <w:t>= .57).</w:t>
      </w:r>
    </w:p>
    <w:p w14:paraId="11A59881" w14:textId="77777777" w:rsidR="000406FD" w:rsidRDefault="00B12A7D" w:rsidP="75598FD4">
      <w:pPr>
        <w:numPr>
          <w:ilvl w:val="0"/>
          <w:numId w:val="16"/>
        </w:numPr>
        <w:rPr>
          <w:rFonts w:eastAsiaTheme="minorEastAsia" w:cs="Times New Roman"/>
          <w:lang w:val="en-US"/>
        </w:rPr>
      </w:pPr>
      <w:r w:rsidRPr="000406FD">
        <w:rPr>
          <w:rFonts w:eastAsiaTheme="minorEastAsia" w:cs="Times New Roman"/>
          <w:lang w:val="en-US"/>
        </w:rPr>
        <w:t>Single-task conditions (</w:t>
      </w:r>
      <w:r w:rsidRPr="000406FD">
        <w:rPr>
          <w:rFonts w:eastAsiaTheme="minorEastAsia" w:cs="Times New Roman"/>
          <w:i/>
          <w:iCs/>
          <w:lang w:val="en-US"/>
        </w:rPr>
        <w:t>M</w:t>
      </w:r>
      <w:r w:rsidRPr="000406FD">
        <w:rPr>
          <w:rFonts w:eastAsiaTheme="minorEastAsia" w:cs="Times New Roman"/>
          <w:lang w:val="en-US"/>
        </w:rPr>
        <w:t xml:space="preserve"> = 511.86, </w:t>
      </w:r>
      <w:r w:rsidRPr="000406FD">
        <w:rPr>
          <w:rFonts w:eastAsiaTheme="minorEastAsia" w:cs="Times New Roman"/>
          <w:i/>
          <w:iCs/>
          <w:lang w:val="en-US"/>
        </w:rPr>
        <w:t>SD</w:t>
      </w:r>
      <w:r w:rsidRPr="000406FD">
        <w:rPr>
          <w:rFonts w:eastAsiaTheme="minorEastAsia" w:cs="Times New Roman"/>
          <w:lang w:val="en-US"/>
        </w:rPr>
        <w:t> = 78.17) had the fastest response times compared to repeat (</w:t>
      </w:r>
      <w:r w:rsidRPr="000406FD">
        <w:rPr>
          <w:rFonts w:eastAsiaTheme="minorEastAsia" w:cs="Times New Roman"/>
          <w:i/>
          <w:iCs/>
          <w:lang w:val="en-US"/>
        </w:rPr>
        <w:t>M</w:t>
      </w:r>
      <w:r w:rsidRPr="000406FD">
        <w:rPr>
          <w:rFonts w:eastAsiaTheme="minorEastAsia" w:cs="Times New Roman"/>
          <w:lang w:val="en-US"/>
        </w:rPr>
        <w:t xml:space="preserve"> = 543.78, </w:t>
      </w:r>
      <w:r w:rsidRPr="000406FD">
        <w:rPr>
          <w:rFonts w:eastAsiaTheme="minorEastAsia" w:cs="Times New Roman"/>
          <w:i/>
          <w:iCs/>
          <w:lang w:val="en-US"/>
        </w:rPr>
        <w:t>SD</w:t>
      </w:r>
      <w:r w:rsidRPr="000406FD">
        <w:rPr>
          <w:rFonts w:eastAsiaTheme="minorEastAsia" w:cs="Times New Roman"/>
          <w:lang w:val="en-US"/>
        </w:rPr>
        <w:t xml:space="preserve"> = 83.20; </w:t>
      </w:r>
      <w:r w:rsidRPr="000406FD">
        <w:rPr>
          <w:rFonts w:eastAsiaTheme="minorEastAsia" w:cs="Times New Roman"/>
          <w:i/>
          <w:iCs/>
          <w:lang w:val="en-US"/>
        </w:rPr>
        <w:t>p &lt;</w:t>
      </w:r>
      <w:r w:rsidRPr="000406FD">
        <w:rPr>
          <w:rFonts w:eastAsiaTheme="minorEastAsia" w:cs="Times New Roman"/>
          <w:lang w:val="en-US"/>
        </w:rPr>
        <w:t xml:space="preserve"> .01) and switch trials (</w:t>
      </w:r>
      <w:r w:rsidRPr="000406FD">
        <w:rPr>
          <w:rFonts w:eastAsiaTheme="minorEastAsia" w:cs="Times New Roman"/>
          <w:i/>
          <w:iCs/>
          <w:lang w:val="en-US"/>
        </w:rPr>
        <w:t>M</w:t>
      </w:r>
      <w:r w:rsidRPr="000406FD">
        <w:rPr>
          <w:rFonts w:eastAsiaTheme="minorEastAsia" w:cs="Times New Roman"/>
          <w:lang w:val="en-US"/>
        </w:rPr>
        <w:t xml:space="preserve"> = 579.61, </w:t>
      </w:r>
      <w:r w:rsidRPr="000406FD">
        <w:rPr>
          <w:rFonts w:eastAsiaTheme="minorEastAsia" w:cs="Times New Roman"/>
          <w:i/>
          <w:iCs/>
          <w:lang w:val="en-US"/>
        </w:rPr>
        <w:t>SD</w:t>
      </w:r>
      <w:r w:rsidRPr="000406FD">
        <w:rPr>
          <w:rFonts w:eastAsiaTheme="minorEastAsia" w:cs="Times New Roman"/>
          <w:lang w:val="en-US"/>
        </w:rPr>
        <w:t xml:space="preserve"> = 91.80; </w:t>
      </w:r>
      <w:r w:rsidRPr="000406FD">
        <w:rPr>
          <w:rFonts w:eastAsiaTheme="minorEastAsia" w:cs="Times New Roman"/>
          <w:i/>
          <w:iCs/>
          <w:lang w:val="en-US"/>
        </w:rPr>
        <w:t xml:space="preserve">p </w:t>
      </w:r>
      <w:r w:rsidRPr="000406FD">
        <w:rPr>
          <w:rFonts w:eastAsiaTheme="minorEastAsia" w:cs="Times New Roman"/>
          <w:lang w:val="en-US"/>
        </w:rPr>
        <w:t>&lt; .001). Also repeat trials indicated significantly shorter response times than switch trials (</w:t>
      </w:r>
      <w:r w:rsidRPr="000406FD">
        <w:rPr>
          <w:rFonts w:eastAsiaTheme="minorEastAsia" w:cs="Times New Roman"/>
          <w:i/>
          <w:iCs/>
          <w:lang w:val="en-US"/>
        </w:rPr>
        <w:t xml:space="preserve">p </w:t>
      </w:r>
      <w:r w:rsidRPr="000406FD">
        <w:rPr>
          <w:rFonts w:eastAsiaTheme="minorEastAsia" w:cs="Times New Roman"/>
          <w:lang w:val="en-US"/>
        </w:rPr>
        <w:t xml:space="preserve">&lt; .001). </w:t>
      </w:r>
    </w:p>
    <w:p w14:paraId="69AB7AED" w14:textId="6017614A" w:rsidR="000E732C" w:rsidRPr="000406FD" w:rsidRDefault="006526BB" w:rsidP="000406FD">
      <w:pPr>
        <w:rPr>
          <w:rFonts w:eastAsiaTheme="minorEastAsia" w:cs="Times New Roman"/>
          <w:lang w:val="en-US"/>
        </w:rPr>
      </w:pPr>
      <w:r w:rsidRPr="000406FD">
        <w:rPr>
          <w:rFonts w:eastAsiaTheme="minorEastAsia" w:cs="Times New Roman"/>
          <w:lang w:val="en-US"/>
        </w:rPr>
        <w:t>For a detailed overview of ANOVA results, see</w:t>
      </w:r>
      <w:r w:rsidR="00B12A7D" w:rsidRPr="000406FD">
        <w:rPr>
          <w:rFonts w:eastAsiaTheme="minorEastAsia" w:cs="Times New Roman"/>
          <w:lang w:val="en-US"/>
        </w:rPr>
        <w:t xml:space="preserve"> Table 4</w:t>
      </w:r>
      <w:r w:rsidRPr="000406FD">
        <w:rPr>
          <w:rFonts w:eastAsiaTheme="minorEastAsia" w:cs="Times New Roman"/>
          <w:lang w:val="en-US"/>
        </w:rPr>
        <w:t>.</w:t>
      </w:r>
      <w:r w:rsidR="000B4DEA" w:rsidRPr="000406FD">
        <w:rPr>
          <w:rFonts w:eastAsiaTheme="minorEastAsia" w:cs="Times New Roman"/>
          <w:lang w:val="en-US"/>
        </w:rPr>
        <w:t xml:space="preserve"> Response times and accuracies are also depicted in </w:t>
      </w:r>
      <w:r w:rsidR="00185A30" w:rsidRPr="000406FD">
        <w:rPr>
          <w:rFonts w:eastAsiaTheme="minorEastAsia" w:cs="Times New Roman"/>
          <w:lang w:val="en-US"/>
        </w:rPr>
        <w:fldChar w:fldCharType="begin"/>
      </w:r>
      <w:r w:rsidR="00185A30" w:rsidRPr="000406FD">
        <w:rPr>
          <w:rFonts w:eastAsiaTheme="minorEastAsia" w:cs="Times New Roman"/>
          <w:lang w:val="en-US"/>
        </w:rPr>
        <w:instrText xml:space="preserve"> REF _Ref136533824 \h </w:instrText>
      </w:r>
      <w:r w:rsidR="00185A30" w:rsidRPr="000406FD">
        <w:rPr>
          <w:rFonts w:eastAsiaTheme="minorEastAsia" w:cs="Times New Roman"/>
          <w:lang w:val="en-US"/>
        </w:rPr>
      </w:r>
      <w:r w:rsidR="00185A30" w:rsidRPr="000406FD">
        <w:rPr>
          <w:rFonts w:eastAsiaTheme="minorEastAsia" w:cs="Times New Roman"/>
          <w:lang w:val="en-US"/>
        </w:rPr>
        <w:fldChar w:fldCharType="separate"/>
      </w:r>
      <w:r w:rsidR="00B12A7D" w:rsidRPr="00611AD6">
        <w:rPr>
          <w:rStyle w:val="Hervorhebung"/>
        </w:rPr>
        <w:t xml:space="preserve">Figure </w:t>
      </w:r>
      <w:r w:rsidR="00B12A7D">
        <w:rPr>
          <w:rStyle w:val="Hervorhebung"/>
          <w:noProof/>
        </w:rPr>
        <w:t>4</w:t>
      </w:r>
      <w:r w:rsidR="00185A30" w:rsidRPr="000406FD">
        <w:rPr>
          <w:rFonts w:eastAsiaTheme="minorEastAsia" w:cs="Times New Roman"/>
          <w:lang w:val="en-US"/>
        </w:rPr>
        <w:fldChar w:fldCharType="end"/>
      </w:r>
      <w:r w:rsidR="00185A30" w:rsidRPr="000406FD">
        <w:rPr>
          <w:rFonts w:eastAsiaTheme="minorEastAsia" w:cs="Times New Roman"/>
          <w:lang w:val="en-US"/>
        </w:rPr>
        <w:t>.</w:t>
      </w:r>
    </w:p>
    <w:p w14:paraId="352253FA" w14:textId="77777777" w:rsidR="00185A30" w:rsidRDefault="00185A30" w:rsidP="00185A30">
      <w:pPr>
        <w:keepNext/>
      </w:pPr>
      <w:r>
        <w:rPr>
          <w:rFonts w:eastAsiaTheme="minorEastAsia" w:cs="Times New Roman"/>
          <w:iCs/>
          <w:noProof/>
          <w:lang w:val="en-US"/>
        </w:rPr>
        <w:lastRenderedPageBreak/>
        <w:drawing>
          <wp:inline distT="0" distB="0" distL="0" distR="0" wp14:anchorId="0A8820C3" wp14:editId="47FDF368">
            <wp:extent cx="5731510" cy="2863225"/>
            <wp:effectExtent l="0" t="0" r="0" b="0"/>
            <wp:docPr id="2004802692" name="Grafik 200480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802692" name="Grafik 200480269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2863225"/>
                    </a:xfrm>
                    <a:prstGeom prst="rect">
                      <a:avLst/>
                    </a:prstGeom>
                  </pic:spPr>
                </pic:pic>
              </a:graphicData>
            </a:graphic>
          </wp:inline>
        </w:drawing>
      </w:r>
    </w:p>
    <w:p w14:paraId="5ECE7821" w14:textId="7C6143E2" w:rsidR="000B4DEA" w:rsidRPr="00542AC9" w:rsidRDefault="4E1D7ACF" w:rsidP="4E1D7ACF">
      <w:pPr>
        <w:pStyle w:val="Beschriftung"/>
        <w:rPr>
          <w:rStyle w:val="Hervorhebung"/>
          <w:i w:val="0"/>
        </w:rPr>
      </w:pPr>
      <w:bookmarkStart w:id="7" w:name="_Ref136533824"/>
      <w:r w:rsidRPr="00542AC9">
        <w:rPr>
          <w:rStyle w:val="Hervorhebung"/>
        </w:rPr>
        <w:t xml:space="preserve">Figure </w:t>
      </w:r>
      <w:r w:rsidR="00185A30" w:rsidRPr="4E1D7ACF">
        <w:rPr>
          <w:rStyle w:val="Hervorhebung"/>
        </w:rPr>
        <w:fldChar w:fldCharType="begin"/>
      </w:r>
      <w:r w:rsidR="00185A30" w:rsidRPr="4E1D7ACF">
        <w:rPr>
          <w:rStyle w:val="Hervorhebung"/>
        </w:rPr>
        <w:instrText xml:space="preserve"> SEQ Figure \* ARABIC </w:instrText>
      </w:r>
      <w:r w:rsidR="00185A30" w:rsidRPr="4E1D7ACF">
        <w:rPr>
          <w:rStyle w:val="Hervorhebung"/>
        </w:rPr>
        <w:fldChar w:fldCharType="separate"/>
      </w:r>
      <w:r w:rsidRPr="00542AC9">
        <w:rPr>
          <w:rStyle w:val="Hervorhebung"/>
        </w:rPr>
        <w:t>4</w:t>
      </w:r>
      <w:r w:rsidR="00185A30" w:rsidRPr="4E1D7ACF">
        <w:rPr>
          <w:rStyle w:val="Hervorhebung"/>
        </w:rPr>
        <w:fldChar w:fldCharType="end"/>
      </w:r>
      <w:bookmarkEnd w:id="7"/>
      <w:r w:rsidRPr="00542AC9">
        <w:rPr>
          <w:rStyle w:val="Hervorhebung"/>
        </w:rPr>
        <w:t xml:space="preserve">. </w:t>
      </w:r>
      <w:r w:rsidRPr="00542AC9">
        <w:rPr>
          <w:rStyle w:val="Hervorhebung"/>
          <w:i w:val="0"/>
        </w:rPr>
        <w:t xml:space="preserve">Target stimulus-related mean response times and accuracies. </w:t>
      </w:r>
    </w:p>
    <w:p w14:paraId="6A9CEE33" w14:textId="1AE2A2C1" w:rsidR="00576D2B" w:rsidRDefault="00BB03B0" w:rsidP="00590480">
      <w:pPr>
        <w:pStyle w:val="berschrift3"/>
        <w:rPr>
          <w:lang w:val="en-US"/>
        </w:rPr>
      </w:pPr>
      <w:r w:rsidRPr="00BB03B0">
        <w:rPr>
          <w:lang w:val="en-US"/>
        </w:rPr>
        <w:t>Response accuracy</w:t>
      </w:r>
    </w:p>
    <w:p w14:paraId="3CF7CA58" w14:textId="77777777" w:rsidR="00995CE4" w:rsidRDefault="75598FD4" w:rsidP="00A51AB0">
      <w:pPr>
        <w:rPr>
          <w:lang w:val="en-US"/>
        </w:rPr>
      </w:pPr>
      <w:r w:rsidRPr="75598FD4">
        <w:rPr>
          <w:lang w:val="en-US"/>
        </w:rPr>
        <w:t xml:space="preserve">Accuracy, on the other hand, was just influenced by the factor of task </w:t>
      </w:r>
      <w:r w:rsidRPr="75598FD4">
        <w:rPr>
          <w:i/>
          <w:iCs/>
          <w:lang w:val="en-US"/>
        </w:rPr>
        <w:t>difficulty</w:t>
      </w:r>
      <w:r w:rsidRPr="75598FD4">
        <w:rPr>
          <w:lang w:val="en-US"/>
        </w:rPr>
        <w:t xml:space="preserve"> in both modality conditions. </w:t>
      </w:r>
    </w:p>
    <w:p w14:paraId="0EF3852C" w14:textId="77777777" w:rsidR="00995CE4" w:rsidRPr="00D806B1" w:rsidRDefault="75598FD4" w:rsidP="00995CE4">
      <w:pPr>
        <w:pStyle w:val="Listenabsatz"/>
        <w:numPr>
          <w:ilvl w:val="0"/>
          <w:numId w:val="19"/>
        </w:numPr>
        <w:rPr>
          <w:lang w:val="en-US"/>
        </w:rPr>
      </w:pPr>
      <w:r w:rsidRPr="00995CE4">
        <w:rPr>
          <w:lang w:val="en-US"/>
        </w:rPr>
        <w:t xml:space="preserve">Subjects had a higher accuracy in single-task conditions </w:t>
      </w:r>
      <w:r w:rsidRPr="00D806B1">
        <w:rPr>
          <w:rFonts w:eastAsiaTheme="minorEastAsia" w:cs="Times New Roman"/>
          <w:lang w:val="en-US"/>
        </w:rPr>
        <w:t>(</w:t>
      </w:r>
      <w:proofErr w:type="spellStart"/>
      <w:r w:rsidRPr="00D806B1">
        <w:rPr>
          <w:rFonts w:eastAsiaTheme="minorEastAsia" w:cs="Times New Roman"/>
          <w:i/>
          <w:iCs/>
          <w:lang w:val="en-US"/>
        </w:rPr>
        <w:t>M</w:t>
      </w:r>
      <w:r w:rsidRPr="00D806B1">
        <w:rPr>
          <w:rFonts w:eastAsiaTheme="minorEastAsia" w:cs="Times New Roman"/>
          <w:vertAlign w:val="subscript"/>
          <w:lang w:val="en-US"/>
        </w:rPr>
        <w:t>auditory</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97.00%, </w:t>
      </w:r>
      <w:proofErr w:type="spellStart"/>
      <w:r w:rsidRPr="00D806B1">
        <w:rPr>
          <w:rFonts w:eastAsiaTheme="minorEastAsia" w:cs="Times New Roman"/>
          <w:i/>
          <w:iCs/>
          <w:lang w:val="en-US"/>
        </w:rPr>
        <w:t>SD</w:t>
      </w:r>
      <w:r w:rsidRPr="00D806B1">
        <w:rPr>
          <w:rFonts w:eastAsiaTheme="minorEastAsia" w:cs="Times New Roman"/>
          <w:vertAlign w:val="subscript"/>
          <w:lang w:val="en-US"/>
        </w:rPr>
        <w:t>auditory</w:t>
      </w:r>
      <w:proofErr w:type="spellEnd"/>
      <w:r w:rsidRPr="00D806B1">
        <w:rPr>
          <w:rFonts w:eastAsiaTheme="minorEastAsia" w:cs="Times New Roman"/>
          <w:lang w:val="en-US"/>
        </w:rPr>
        <w:t xml:space="preserve"> = 7.51%; </w:t>
      </w:r>
      <w:proofErr w:type="spellStart"/>
      <w:r w:rsidRPr="00D806B1">
        <w:rPr>
          <w:rFonts w:eastAsiaTheme="minorEastAsia" w:cs="Times New Roman"/>
          <w:i/>
          <w:iCs/>
          <w:lang w:val="en-US"/>
        </w:rPr>
        <w:t>M</w:t>
      </w:r>
      <w:r w:rsidRPr="00D806B1">
        <w:rPr>
          <w:rFonts w:eastAsiaTheme="minorEastAsia" w:cs="Times New Roman"/>
          <w:vertAlign w:val="subscript"/>
          <w:lang w:val="en-US"/>
        </w:rPr>
        <w:t>visual</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98.00%, </w:t>
      </w:r>
      <w:proofErr w:type="spellStart"/>
      <w:r w:rsidRPr="00D806B1">
        <w:rPr>
          <w:rFonts w:eastAsiaTheme="minorEastAsia" w:cs="Times New Roman"/>
          <w:i/>
          <w:iCs/>
          <w:lang w:val="en-US"/>
        </w:rPr>
        <w:t>SD</w:t>
      </w:r>
      <w:r w:rsidRPr="00D806B1">
        <w:rPr>
          <w:rFonts w:eastAsiaTheme="minorEastAsia" w:cs="Times New Roman"/>
          <w:vertAlign w:val="subscript"/>
          <w:lang w:val="en-US"/>
        </w:rPr>
        <w:t>visual</w:t>
      </w:r>
      <w:proofErr w:type="spellEnd"/>
      <w:r w:rsidRPr="00D806B1">
        <w:rPr>
          <w:rFonts w:eastAsiaTheme="minorEastAsia" w:cs="Times New Roman"/>
          <w:lang w:val="en-US"/>
        </w:rPr>
        <w:t> = 3.04%) compared to repeat trials (</w:t>
      </w:r>
      <w:proofErr w:type="spellStart"/>
      <w:r w:rsidRPr="00D806B1">
        <w:rPr>
          <w:rFonts w:eastAsiaTheme="minorEastAsia" w:cs="Times New Roman"/>
          <w:i/>
          <w:iCs/>
          <w:lang w:val="en-US"/>
        </w:rPr>
        <w:t>M</w:t>
      </w:r>
      <w:r w:rsidRPr="00D806B1">
        <w:rPr>
          <w:rFonts w:eastAsiaTheme="minorEastAsia" w:cs="Times New Roman"/>
          <w:vertAlign w:val="subscript"/>
          <w:lang w:val="en-US"/>
        </w:rPr>
        <w:t>auditory</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94.79%, </w:t>
      </w:r>
      <w:proofErr w:type="spellStart"/>
      <w:r w:rsidRPr="00D806B1">
        <w:rPr>
          <w:rFonts w:eastAsiaTheme="minorEastAsia" w:cs="Times New Roman"/>
          <w:i/>
          <w:iCs/>
          <w:lang w:val="en-US"/>
        </w:rPr>
        <w:t>SD</w:t>
      </w:r>
      <w:r w:rsidRPr="00D806B1">
        <w:rPr>
          <w:rFonts w:eastAsiaTheme="minorEastAsia" w:cs="Times New Roman"/>
          <w:vertAlign w:val="subscript"/>
          <w:lang w:val="en-US"/>
        </w:rPr>
        <w:t>auditory</w:t>
      </w:r>
      <w:proofErr w:type="spellEnd"/>
      <w:r w:rsidRPr="00D806B1">
        <w:rPr>
          <w:rFonts w:eastAsiaTheme="minorEastAsia" w:cs="Times New Roman"/>
          <w:lang w:val="en-US"/>
        </w:rPr>
        <w:t xml:space="preserve"> = 7.18%, </w:t>
      </w:r>
      <w:r w:rsidRPr="00D806B1">
        <w:rPr>
          <w:rFonts w:eastAsiaTheme="minorEastAsia" w:cs="Times New Roman"/>
          <w:i/>
          <w:iCs/>
          <w:lang w:val="en-US"/>
        </w:rPr>
        <w:t>p</w:t>
      </w:r>
      <w:r w:rsidRPr="00D806B1">
        <w:rPr>
          <w:rFonts w:eastAsiaTheme="minorEastAsia" w:cs="Times New Roman"/>
          <w:lang w:val="en-US"/>
        </w:rPr>
        <w:t xml:space="preserve"> &lt; .001; </w:t>
      </w:r>
      <w:proofErr w:type="spellStart"/>
      <w:r w:rsidRPr="00D806B1">
        <w:rPr>
          <w:rFonts w:eastAsiaTheme="minorEastAsia" w:cs="Times New Roman"/>
          <w:i/>
          <w:iCs/>
          <w:lang w:val="en-US"/>
        </w:rPr>
        <w:t>M</w:t>
      </w:r>
      <w:r w:rsidRPr="00D806B1">
        <w:rPr>
          <w:rFonts w:eastAsiaTheme="minorEastAsia" w:cs="Times New Roman"/>
          <w:vertAlign w:val="subscript"/>
          <w:lang w:val="en-US"/>
        </w:rPr>
        <w:t>visual</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93.84%, </w:t>
      </w:r>
      <w:proofErr w:type="spellStart"/>
      <w:r w:rsidRPr="00D806B1">
        <w:rPr>
          <w:rFonts w:eastAsiaTheme="minorEastAsia" w:cs="Times New Roman"/>
          <w:i/>
          <w:iCs/>
          <w:lang w:val="en-US"/>
        </w:rPr>
        <w:t>SD</w:t>
      </w:r>
      <w:r w:rsidRPr="00D806B1">
        <w:rPr>
          <w:rFonts w:eastAsiaTheme="minorEastAsia" w:cs="Times New Roman"/>
          <w:vertAlign w:val="subscript"/>
          <w:lang w:val="en-US"/>
        </w:rPr>
        <w:t>visual</w:t>
      </w:r>
      <w:proofErr w:type="spellEnd"/>
      <w:r w:rsidRPr="00D806B1">
        <w:rPr>
          <w:rFonts w:eastAsiaTheme="minorEastAsia" w:cs="Times New Roman"/>
          <w:lang w:val="en-US"/>
        </w:rPr>
        <w:t xml:space="preserve"> = 8.77%, </w:t>
      </w:r>
      <w:r w:rsidRPr="00D806B1">
        <w:rPr>
          <w:rFonts w:eastAsiaTheme="minorEastAsia" w:cs="Times New Roman"/>
          <w:i/>
          <w:iCs/>
          <w:lang w:val="en-US"/>
        </w:rPr>
        <w:t>p</w:t>
      </w:r>
      <w:r w:rsidRPr="00D806B1">
        <w:rPr>
          <w:rFonts w:eastAsiaTheme="minorEastAsia" w:cs="Times New Roman"/>
          <w:lang w:val="en-US"/>
        </w:rPr>
        <w:t xml:space="preserve"> &lt; .001) and switch trials (</w:t>
      </w:r>
      <w:proofErr w:type="spellStart"/>
      <w:r w:rsidRPr="00D806B1">
        <w:rPr>
          <w:rFonts w:eastAsiaTheme="minorEastAsia" w:cs="Times New Roman"/>
          <w:i/>
          <w:iCs/>
          <w:lang w:val="en-US"/>
        </w:rPr>
        <w:t>M</w:t>
      </w:r>
      <w:r w:rsidRPr="00D806B1">
        <w:rPr>
          <w:rFonts w:eastAsiaTheme="minorEastAsia" w:cs="Times New Roman"/>
          <w:vertAlign w:val="subscript"/>
          <w:lang w:val="en-US"/>
        </w:rPr>
        <w:t>auditory</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87.46%, </w:t>
      </w:r>
      <w:proofErr w:type="spellStart"/>
      <w:r w:rsidRPr="00D806B1">
        <w:rPr>
          <w:rFonts w:eastAsiaTheme="minorEastAsia" w:cs="Times New Roman"/>
          <w:i/>
          <w:iCs/>
          <w:lang w:val="en-US"/>
        </w:rPr>
        <w:t>SD</w:t>
      </w:r>
      <w:r w:rsidRPr="00D806B1">
        <w:rPr>
          <w:rFonts w:eastAsiaTheme="minorEastAsia" w:cs="Times New Roman"/>
          <w:vertAlign w:val="subscript"/>
          <w:lang w:val="en-US"/>
        </w:rPr>
        <w:t>auditory</w:t>
      </w:r>
      <w:proofErr w:type="spellEnd"/>
      <w:r w:rsidRPr="00D806B1">
        <w:rPr>
          <w:rFonts w:eastAsiaTheme="minorEastAsia" w:cs="Times New Roman"/>
          <w:lang w:val="en-US"/>
        </w:rPr>
        <w:t xml:space="preserve"> = 10.87%, </w:t>
      </w:r>
      <w:r w:rsidRPr="00D806B1">
        <w:rPr>
          <w:rFonts w:eastAsiaTheme="minorEastAsia" w:cs="Times New Roman"/>
          <w:i/>
          <w:iCs/>
          <w:lang w:val="en-US"/>
        </w:rPr>
        <w:t>p</w:t>
      </w:r>
      <w:r w:rsidRPr="00D806B1">
        <w:rPr>
          <w:rFonts w:eastAsiaTheme="minorEastAsia" w:cs="Times New Roman"/>
          <w:lang w:val="en-US"/>
        </w:rPr>
        <w:t xml:space="preserve"> &lt; .001; </w:t>
      </w:r>
      <w:proofErr w:type="spellStart"/>
      <w:r w:rsidRPr="00D806B1">
        <w:rPr>
          <w:rFonts w:eastAsiaTheme="minorEastAsia" w:cs="Times New Roman"/>
          <w:i/>
          <w:iCs/>
          <w:lang w:val="en-US"/>
        </w:rPr>
        <w:t>M</w:t>
      </w:r>
      <w:r w:rsidRPr="00D806B1">
        <w:rPr>
          <w:rFonts w:eastAsiaTheme="minorEastAsia" w:cs="Times New Roman"/>
          <w:vertAlign w:val="subscript"/>
          <w:lang w:val="en-US"/>
        </w:rPr>
        <w:t>visual</w:t>
      </w:r>
      <w:proofErr w:type="spellEnd"/>
      <w:r w:rsidRPr="00D806B1">
        <w:rPr>
          <w:rFonts w:eastAsiaTheme="minorEastAsia" w:cs="Times New Roman"/>
          <w:lang w:val="en-US"/>
        </w:rPr>
        <w:t> </w:t>
      </w:r>
      <w:r w:rsidRPr="00D806B1">
        <w:rPr>
          <w:rFonts w:eastAsiaTheme="minorEastAsia" w:cs="Times New Roman"/>
          <w:i/>
          <w:iCs/>
          <w:lang w:val="en-US"/>
        </w:rPr>
        <w:t>=</w:t>
      </w:r>
      <w:r w:rsidRPr="00D806B1">
        <w:rPr>
          <w:rFonts w:eastAsiaTheme="minorEastAsia" w:cs="Times New Roman"/>
          <w:lang w:val="en-US"/>
        </w:rPr>
        <w:t xml:space="preserve"> 89.54%, </w:t>
      </w:r>
      <w:proofErr w:type="spellStart"/>
      <w:r w:rsidRPr="00D806B1">
        <w:rPr>
          <w:rFonts w:eastAsiaTheme="minorEastAsia" w:cs="Times New Roman"/>
          <w:i/>
          <w:iCs/>
          <w:lang w:val="en-US"/>
        </w:rPr>
        <w:t>SD</w:t>
      </w:r>
      <w:r w:rsidRPr="00D806B1">
        <w:rPr>
          <w:rFonts w:eastAsiaTheme="minorEastAsia" w:cs="Times New Roman"/>
          <w:vertAlign w:val="subscript"/>
          <w:lang w:val="en-US"/>
        </w:rPr>
        <w:t>visual</w:t>
      </w:r>
      <w:proofErr w:type="spellEnd"/>
      <w:r w:rsidRPr="00D806B1">
        <w:rPr>
          <w:rFonts w:eastAsiaTheme="minorEastAsia" w:cs="Times New Roman"/>
          <w:lang w:val="en-US"/>
        </w:rPr>
        <w:t xml:space="preserve"> = 10.51%, </w:t>
      </w:r>
      <w:r w:rsidRPr="00D806B1">
        <w:rPr>
          <w:rFonts w:eastAsiaTheme="minorEastAsia" w:cs="Times New Roman"/>
          <w:i/>
          <w:iCs/>
          <w:lang w:val="en-US"/>
        </w:rPr>
        <w:t>p</w:t>
      </w:r>
      <w:r w:rsidRPr="00D806B1">
        <w:rPr>
          <w:rFonts w:eastAsiaTheme="minorEastAsia" w:cs="Times New Roman"/>
          <w:lang w:val="en-US"/>
        </w:rPr>
        <w:t xml:space="preserve"> &lt; .001). </w:t>
      </w:r>
    </w:p>
    <w:p w14:paraId="63835847" w14:textId="35B8D5EC" w:rsidR="000527F8" w:rsidRPr="00995CE4" w:rsidRDefault="75598FD4" w:rsidP="00D806B1">
      <w:pPr>
        <w:pStyle w:val="Listenabsatz"/>
        <w:numPr>
          <w:ilvl w:val="0"/>
          <w:numId w:val="19"/>
        </w:numPr>
        <w:rPr>
          <w:lang w:val="en-US"/>
        </w:rPr>
      </w:pPr>
      <w:r w:rsidRPr="00D806B1">
        <w:rPr>
          <w:rFonts w:eastAsiaTheme="minorEastAsia" w:cs="Times New Roman"/>
          <w:lang w:val="en-US"/>
        </w:rPr>
        <w:t xml:space="preserve">Repeat trials also indicated significantly higher accuracies than switch trials </w:t>
      </w:r>
      <w:proofErr w:type="gramStart"/>
      <w:r w:rsidRPr="00D806B1">
        <w:rPr>
          <w:rFonts w:eastAsiaTheme="minorEastAsia" w:cs="Times New Roman"/>
          <w:lang w:val="en-US"/>
        </w:rPr>
        <w:t xml:space="preserve">( </w:t>
      </w:r>
      <w:r w:rsidRPr="00D806B1">
        <w:rPr>
          <w:rFonts w:eastAsiaTheme="minorEastAsia" w:cs="Times New Roman"/>
          <w:i/>
          <w:iCs/>
          <w:lang w:val="en-US"/>
        </w:rPr>
        <w:t>p</w:t>
      </w:r>
      <w:proofErr w:type="gramEnd"/>
      <w:r w:rsidRPr="00D806B1">
        <w:rPr>
          <w:rFonts w:eastAsiaTheme="minorEastAsia" w:cs="Times New Roman"/>
          <w:lang w:val="en-US"/>
        </w:rPr>
        <w:t xml:space="preserve"> &lt; .001).</w:t>
      </w:r>
    </w:p>
    <w:p w14:paraId="2166251F" w14:textId="420780EB" w:rsidR="00156AEA" w:rsidRDefault="00156AEA" w:rsidP="00590480">
      <w:pPr>
        <w:pStyle w:val="berschrift2"/>
        <w:rPr>
          <w:lang w:val="en-US"/>
        </w:rPr>
      </w:pPr>
      <w:bookmarkStart w:id="8" w:name="_Ref180071287"/>
      <w:r w:rsidRPr="000D05EA">
        <w:rPr>
          <w:lang w:val="en-US"/>
        </w:rPr>
        <w:t>ERPs</w:t>
      </w:r>
      <w:bookmarkEnd w:id="8"/>
    </w:p>
    <w:p w14:paraId="27EA901B" w14:textId="40F6651A" w:rsidR="006D6F0E" w:rsidRDefault="00AE5437" w:rsidP="003C0567">
      <w:pPr>
        <w:rPr>
          <w:rFonts w:eastAsiaTheme="minorEastAsia" w:cs="Times New Roman"/>
          <w:iCs/>
          <w:lang w:val="en-US"/>
        </w:rPr>
      </w:pPr>
      <w:r>
        <w:rPr>
          <w:lang w:val="en-US"/>
        </w:rPr>
        <w:t xml:space="preserve">When looking at ERPs, </w:t>
      </w:r>
      <w:r w:rsidR="00B6095C">
        <w:rPr>
          <w:lang w:val="en-US"/>
        </w:rPr>
        <w:t>results from the factorial mass-univariate analysis will be reported for the</w:t>
      </w:r>
      <w:r w:rsidR="009C0662">
        <w:rPr>
          <w:lang w:val="en-US"/>
        </w:rPr>
        <w:t xml:space="preserve"> </w:t>
      </w:r>
      <w:proofErr w:type="spellStart"/>
      <w:r w:rsidR="009C0662">
        <w:rPr>
          <w:lang w:val="en-US"/>
        </w:rPr>
        <w:t>fronto</w:t>
      </w:r>
      <w:proofErr w:type="spellEnd"/>
      <w:r w:rsidR="009C0662">
        <w:rPr>
          <w:lang w:val="en-US"/>
        </w:rPr>
        <w:t xml:space="preserve">-central CNV, </w:t>
      </w:r>
      <w:r w:rsidR="00733436">
        <w:rPr>
          <w:lang w:val="en-US"/>
        </w:rPr>
        <w:t xml:space="preserve">and the </w:t>
      </w:r>
      <w:proofErr w:type="spellStart"/>
      <w:r w:rsidR="00733436">
        <w:rPr>
          <w:lang w:val="en-US"/>
        </w:rPr>
        <w:t>centro</w:t>
      </w:r>
      <w:proofErr w:type="spellEnd"/>
      <w:r w:rsidR="00733436">
        <w:rPr>
          <w:lang w:val="en-US"/>
        </w:rPr>
        <w:t>-parietal P3.</w:t>
      </w:r>
      <w:r w:rsidR="002662B0">
        <w:rPr>
          <w:lang w:val="en-US"/>
        </w:rPr>
        <w:t xml:space="preserve"> </w:t>
      </w:r>
      <w:r w:rsidR="00337CA9">
        <w:rPr>
          <w:lang w:val="en-US"/>
        </w:rPr>
        <w:t xml:space="preserve">Means and standard deviations reported here </w:t>
      </w:r>
      <w:r w:rsidR="00A3770C">
        <w:rPr>
          <w:lang w:val="en-US"/>
        </w:rPr>
        <w:t>are calculated based on the amplitudes of the identified significant cluster</w:t>
      </w:r>
      <w:r w:rsidR="009D3A6F">
        <w:rPr>
          <w:lang w:val="en-US"/>
        </w:rPr>
        <w:t xml:space="preserve"> electrodes and time points</w:t>
      </w:r>
      <w:r w:rsidR="00A3770C">
        <w:rPr>
          <w:lang w:val="en-US"/>
        </w:rPr>
        <w:t>.</w:t>
      </w:r>
      <w:r w:rsidR="006526BB">
        <w:rPr>
          <w:lang w:val="en-US"/>
        </w:rPr>
        <w:t xml:space="preserve"> </w:t>
      </w:r>
      <w:r w:rsidR="00511C3E">
        <w:rPr>
          <w:lang w:val="en-US"/>
        </w:rPr>
        <w:t xml:space="preserve">The analysis was only performed on </w:t>
      </w:r>
      <w:r w:rsidR="005E6239">
        <w:rPr>
          <w:lang w:val="en-US"/>
        </w:rPr>
        <w:t>visually presented target stimuli</w:t>
      </w:r>
      <w:r w:rsidR="00D9212D">
        <w:rPr>
          <w:lang w:val="en-US"/>
        </w:rPr>
        <w:t xml:space="preserve"> in the reported time windows</w:t>
      </w:r>
      <w:r w:rsidR="005E6239">
        <w:rPr>
          <w:lang w:val="en-US"/>
        </w:rPr>
        <w:t xml:space="preserve">. </w:t>
      </w:r>
      <w:r w:rsidR="1765A37F" w:rsidRPr="489EF7EF">
        <w:rPr>
          <w:rFonts w:eastAsiaTheme="minorEastAsia" w:cs="Times New Roman"/>
          <w:lang w:val="en-US"/>
        </w:rPr>
        <w:t>A</w:t>
      </w:r>
      <w:r w:rsidR="006526BB">
        <w:rPr>
          <w:rFonts w:eastAsiaTheme="minorEastAsia" w:cs="Times New Roman"/>
          <w:iCs/>
          <w:lang w:val="en-US"/>
        </w:rPr>
        <w:t xml:space="preserve"> detailed overview of </w:t>
      </w:r>
      <w:r w:rsidR="370C9565" w:rsidRPr="489EF7EF">
        <w:rPr>
          <w:rFonts w:eastAsiaTheme="minorEastAsia" w:cs="Times New Roman"/>
          <w:lang w:val="en-US"/>
        </w:rPr>
        <w:t xml:space="preserve">the </w:t>
      </w:r>
      <w:r w:rsidR="006526BB">
        <w:rPr>
          <w:rFonts w:eastAsiaTheme="minorEastAsia" w:cs="Times New Roman"/>
          <w:iCs/>
          <w:lang w:val="en-US"/>
        </w:rPr>
        <w:t xml:space="preserve">FMUA ERP results </w:t>
      </w:r>
      <w:r w:rsidR="3C45FB0C" w:rsidRPr="489EF7EF">
        <w:rPr>
          <w:rFonts w:eastAsiaTheme="minorEastAsia" w:cs="Times New Roman"/>
          <w:lang w:val="en-US"/>
        </w:rPr>
        <w:t>can be found in</w:t>
      </w:r>
      <w:r w:rsidR="3C45FB0C" w:rsidRPr="01BCC55E">
        <w:rPr>
          <w:rFonts w:eastAsiaTheme="minorEastAsia" w:cs="Times New Roman"/>
          <w:lang w:val="en-US"/>
        </w:rPr>
        <w:t xml:space="preserve"> </w:t>
      </w:r>
      <w:r w:rsidR="006526BB">
        <w:rPr>
          <w:rFonts w:eastAsiaTheme="minorEastAsia" w:cs="Times New Roman"/>
          <w:iCs/>
          <w:lang w:val="en-US"/>
        </w:rPr>
        <w:fldChar w:fldCharType="begin"/>
      </w:r>
      <w:r w:rsidR="006526BB">
        <w:rPr>
          <w:rFonts w:eastAsiaTheme="minorEastAsia" w:cs="Times New Roman"/>
          <w:iCs/>
          <w:lang w:val="en-US"/>
        </w:rPr>
        <w:instrText xml:space="preserve"> REF _Ref131167058 \h </w:instrText>
      </w:r>
      <w:r w:rsidR="006526BB">
        <w:rPr>
          <w:rFonts w:eastAsiaTheme="minorEastAsia" w:cs="Times New Roman"/>
          <w:iCs/>
          <w:lang w:val="en-US"/>
        </w:rPr>
      </w:r>
      <w:r w:rsidR="006526BB">
        <w:rPr>
          <w:rFonts w:eastAsiaTheme="minorEastAsia" w:cs="Times New Roman"/>
          <w:iCs/>
          <w:lang w:val="en-US"/>
        </w:rPr>
        <w:fldChar w:fldCharType="separate"/>
      </w:r>
      <w:r w:rsidR="00884D35" w:rsidRPr="006526BB">
        <w:rPr>
          <w:lang w:val="en-US"/>
        </w:rPr>
        <w:t xml:space="preserve">Table </w:t>
      </w:r>
      <w:r w:rsidR="00884D35">
        <w:rPr>
          <w:noProof/>
          <w:lang w:val="en-US"/>
        </w:rPr>
        <w:t>5</w:t>
      </w:r>
      <w:r w:rsidR="006526BB">
        <w:rPr>
          <w:rFonts w:eastAsiaTheme="minorEastAsia" w:cs="Times New Roman"/>
          <w:iCs/>
          <w:lang w:val="en-US"/>
        </w:rPr>
        <w:fldChar w:fldCharType="end"/>
      </w:r>
      <w:r w:rsidR="006526BB">
        <w:rPr>
          <w:rFonts w:eastAsiaTheme="minorEastAsia" w:cs="Times New Roman"/>
          <w:iCs/>
          <w:lang w:val="en-US"/>
        </w:rPr>
        <w:t>.</w:t>
      </w:r>
      <w:r w:rsidR="00EA3D5C">
        <w:rPr>
          <w:rFonts w:eastAsiaTheme="minorEastAsia" w:cs="Times New Roman"/>
          <w:iCs/>
          <w:lang w:val="en-US"/>
        </w:rPr>
        <w:t xml:space="preserve"> For a visual representation of </w:t>
      </w:r>
      <w:r w:rsidR="288FCE81" w:rsidRPr="01BCC55E">
        <w:rPr>
          <w:rFonts w:eastAsiaTheme="minorEastAsia" w:cs="Times New Roman"/>
          <w:lang w:val="en-US"/>
        </w:rPr>
        <w:t xml:space="preserve">the </w:t>
      </w:r>
      <w:r w:rsidR="00760849">
        <w:rPr>
          <w:rFonts w:eastAsiaTheme="minorEastAsia" w:cs="Times New Roman"/>
          <w:iCs/>
          <w:lang w:val="en-US"/>
        </w:rPr>
        <w:t>frontal and posterior ERPs, please</w:t>
      </w:r>
      <w:r w:rsidR="00E34F5A">
        <w:rPr>
          <w:rFonts w:eastAsiaTheme="minorEastAsia" w:cs="Times New Roman"/>
          <w:iCs/>
          <w:lang w:val="en-US"/>
        </w:rPr>
        <w:t xml:space="preserve"> see</w:t>
      </w:r>
      <w:r w:rsidR="00760849">
        <w:rPr>
          <w:rFonts w:eastAsiaTheme="minorEastAsia" w:cs="Times New Roman"/>
          <w:iCs/>
          <w:lang w:val="en-US"/>
        </w:rPr>
        <w:t xml:space="preserve"> </w:t>
      </w:r>
      <w:r w:rsidR="00E34F5A">
        <w:rPr>
          <w:rFonts w:eastAsiaTheme="minorEastAsia" w:cs="Times New Roman"/>
          <w:iCs/>
          <w:lang w:val="en-US"/>
        </w:rPr>
        <w:fldChar w:fldCharType="begin"/>
      </w:r>
      <w:r w:rsidR="00E34F5A">
        <w:rPr>
          <w:rFonts w:eastAsiaTheme="minorEastAsia" w:cs="Times New Roman"/>
          <w:iCs/>
          <w:lang w:val="en-US"/>
        </w:rPr>
        <w:instrText xml:space="preserve"> REF _Ref131172421 \h </w:instrText>
      </w:r>
      <w:r w:rsidR="00E34F5A">
        <w:rPr>
          <w:rFonts w:eastAsiaTheme="minorEastAsia" w:cs="Times New Roman"/>
          <w:iCs/>
          <w:lang w:val="en-US"/>
        </w:rPr>
      </w:r>
      <w:r w:rsidR="00E34F5A">
        <w:rPr>
          <w:rFonts w:eastAsiaTheme="minorEastAsia" w:cs="Times New Roman"/>
          <w:iCs/>
          <w:lang w:val="en-US"/>
        </w:rPr>
        <w:fldChar w:fldCharType="separate"/>
      </w:r>
      <w:r w:rsidR="00B12A7D" w:rsidRPr="00F855D0">
        <w:rPr>
          <w:color w:val="000000" w:themeColor="text1"/>
          <w:lang w:val="en-US"/>
        </w:rPr>
        <w:t xml:space="preserve">Figure </w:t>
      </w:r>
      <w:r w:rsidR="00B12A7D">
        <w:rPr>
          <w:noProof/>
          <w:color w:val="000000" w:themeColor="text1"/>
          <w:lang w:val="en-US"/>
        </w:rPr>
        <w:t>5</w:t>
      </w:r>
      <w:r w:rsidR="00E34F5A">
        <w:rPr>
          <w:rFonts w:eastAsiaTheme="minorEastAsia" w:cs="Times New Roman"/>
          <w:iCs/>
          <w:lang w:val="en-US"/>
        </w:rPr>
        <w:fldChar w:fldCharType="end"/>
      </w:r>
      <w:r w:rsidR="00E34F5A">
        <w:rPr>
          <w:rFonts w:eastAsiaTheme="minorEastAsia" w:cs="Times New Roman"/>
          <w:iCs/>
          <w:lang w:val="en-US"/>
        </w:rPr>
        <w:t xml:space="preserve"> for frontal and </w:t>
      </w:r>
      <w:r w:rsidR="00C66A1A">
        <w:rPr>
          <w:rFonts w:eastAsiaTheme="minorEastAsia" w:cs="Times New Roman"/>
          <w:iCs/>
          <w:lang w:val="en-US"/>
        </w:rPr>
        <w:fldChar w:fldCharType="begin"/>
      </w:r>
      <w:r w:rsidR="00C66A1A">
        <w:rPr>
          <w:rFonts w:eastAsiaTheme="minorEastAsia" w:cs="Times New Roman"/>
          <w:iCs/>
          <w:lang w:val="en-US"/>
        </w:rPr>
        <w:instrText xml:space="preserve"> REF _Ref131172416 \h </w:instrText>
      </w:r>
      <w:r w:rsidR="00C66A1A">
        <w:rPr>
          <w:rFonts w:eastAsiaTheme="minorEastAsia" w:cs="Times New Roman"/>
          <w:iCs/>
          <w:lang w:val="en-US"/>
        </w:rPr>
      </w:r>
      <w:r w:rsidR="00C66A1A">
        <w:rPr>
          <w:rFonts w:eastAsiaTheme="minorEastAsia" w:cs="Times New Roman"/>
          <w:iCs/>
          <w:lang w:val="en-US"/>
        </w:rPr>
        <w:fldChar w:fldCharType="separate"/>
      </w:r>
      <w:r w:rsidR="00B12A7D" w:rsidRPr="00F855D0">
        <w:rPr>
          <w:color w:val="000000" w:themeColor="text1"/>
          <w:lang w:val="en-US"/>
        </w:rPr>
        <w:t xml:space="preserve">Figure </w:t>
      </w:r>
      <w:r w:rsidR="00B12A7D">
        <w:rPr>
          <w:noProof/>
          <w:color w:val="000000" w:themeColor="text1"/>
          <w:lang w:val="en-US"/>
        </w:rPr>
        <w:t>6</w:t>
      </w:r>
      <w:r w:rsidR="00C66A1A">
        <w:rPr>
          <w:rFonts w:eastAsiaTheme="minorEastAsia" w:cs="Times New Roman"/>
          <w:iCs/>
          <w:lang w:val="en-US"/>
        </w:rPr>
        <w:fldChar w:fldCharType="end"/>
      </w:r>
      <w:r w:rsidR="00E34F5A">
        <w:rPr>
          <w:rFonts w:eastAsiaTheme="minorEastAsia" w:cs="Times New Roman"/>
          <w:iCs/>
          <w:lang w:val="en-US"/>
        </w:rPr>
        <w:t xml:space="preserve"> for posterior mean activation.</w:t>
      </w:r>
    </w:p>
    <w:p w14:paraId="1DB9569D" w14:textId="5C866A77" w:rsidR="0092451D" w:rsidRDefault="75598FD4" w:rsidP="75598FD4">
      <w:pPr>
        <w:rPr>
          <w:lang w:val="en-US"/>
        </w:rPr>
      </w:pPr>
      <w:proofErr w:type="spellStart"/>
      <w:r w:rsidRPr="75598FD4">
        <w:rPr>
          <w:i/>
          <w:iCs/>
          <w:lang w:val="en-US"/>
        </w:rPr>
        <w:t>Fronto</w:t>
      </w:r>
      <w:proofErr w:type="spellEnd"/>
      <w:r w:rsidRPr="75598FD4">
        <w:rPr>
          <w:i/>
          <w:iCs/>
          <w:lang w:val="en-US"/>
        </w:rPr>
        <w:t>-central CNV</w:t>
      </w:r>
      <w:r w:rsidRPr="75598FD4">
        <w:rPr>
          <w:lang w:val="en-US"/>
        </w:rPr>
        <w:t>. Activation in the CNV time-window differed significantly with movement difficulty in both cue modality conditions (</w:t>
      </w:r>
      <w:proofErr w:type="spellStart"/>
      <w:r w:rsidRPr="75598FD4">
        <w:rPr>
          <w:lang w:val="en-US"/>
        </w:rPr>
        <w:t>p</w:t>
      </w:r>
      <w:r w:rsidRPr="75598FD4">
        <w:rPr>
          <w:vertAlign w:val="subscript"/>
          <w:lang w:val="en-US"/>
        </w:rPr>
        <w:t>move</w:t>
      </w:r>
      <w:proofErr w:type="spellEnd"/>
      <w:r w:rsidRPr="75598FD4">
        <w:rPr>
          <w:vertAlign w:val="subscript"/>
          <w:lang w:val="en-US"/>
        </w:rPr>
        <w:t xml:space="preserve">-auditory </w:t>
      </w:r>
      <w:r w:rsidRPr="75598FD4">
        <w:rPr>
          <w:lang w:val="en-US"/>
        </w:rPr>
        <w:t xml:space="preserve">&lt; .01; </w:t>
      </w:r>
      <w:proofErr w:type="spellStart"/>
      <w:r w:rsidRPr="75598FD4">
        <w:rPr>
          <w:lang w:val="en-US"/>
        </w:rPr>
        <w:t>p</w:t>
      </w:r>
      <w:r w:rsidRPr="75598FD4">
        <w:rPr>
          <w:vertAlign w:val="subscript"/>
          <w:lang w:val="en-US"/>
        </w:rPr>
        <w:t>move</w:t>
      </w:r>
      <w:proofErr w:type="spellEnd"/>
      <w:r w:rsidRPr="75598FD4">
        <w:rPr>
          <w:vertAlign w:val="subscript"/>
          <w:lang w:val="en-US"/>
        </w:rPr>
        <w:t>-visual</w:t>
      </w:r>
      <w:r w:rsidRPr="75598FD4">
        <w:rPr>
          <w:lang w:val="en-US"/>
        </w:rPr>
        <w:t xml:space="preserve"> = .03). </w:t>
      </w:r>
    </w:p>
    <w:p w14:paraId="3579098B" w14:textId="77777777" w:rsidR="0092451D" w:rsidRPr="00D806B1" w:rsidRDefault="75598FD4" w:rsidP="0092451D">
      <w:pPr>
        <w:pStyle w:val="Listenabsatz"/>
        <w:numPr>
          <w:ilvl w:val="0"/>
          <w:numId w:val="20"/>
        </w:numPr>
        <w:rPr>
          <w:rFonts w:eastAsiaTheme="minorEastAsia" w:cs="Times New Roman"/>
          <w:lang w:val="en-US"/>
        </w:rPr>
      </w:pPr>
      <w:r w:rsidRPr="0092451D">
        <w:rPr>
          <w:lang w:val="en-US"/>
        </w:rPr>
        <w:t xml:space="preserve">Within auditory cue conditions, we found a significant decrease from standing (M = -1.42, SD = 1.14) to walking (M = -0.77, SD = 0.98; p &lt; .001) and to perturbed walking (M = -1.13, SD = 1.23; p = .02), as well as from perturbed walking to walking (p &lt; .01) in a </w:t>
      </w:r>
      <w:proofErr w:type="spellStart"/>
      <w:r w:rsidRPr="0092451D">
        <w:rPr>
          <w:lang w:val="en-US"/>
        </w:rPr>
        <w:t>fronto</w:t>
      </w:r>
      <w:proofErr w:type="spellEnd"/>
      <w:r w:rsidRPr="0092451D">
        <w:rPr>
          <w:lang w:val="en-US"/>
        </w:rPr>
        <w:t xml:space="preserve">-central to central electrode patch. </w:t>
      </w:r>
    </w:p>
    <w:p w14:paraId="21810339" w14:textId="77777777" w:rsidR="0092451D" w:rsidRPr="00D806B1" w:rsidRDefault="75598FD4" w:rsidP="0092451D">
      <w:pPr>
        <w:pStyle w:val="Listenabsatz"/>
        <w:numPr>
          <w:ilvl w:val="0"/>
          <w:numId w:val="20"/>
        </w:numPr>
        <w:rPr>
          <w:rFonts w:eastAsiaTheme="minorEastAsia" w:cs="Times New Roman"/>
          <w:lang w:val="en-US"/>
        </w:rPr>
      </w:pPr>
      <w:r w:rsidRPr="0092451D">
        <w:rPr>
          <w:lang w:val="en-US"/>
        </w:rPr>
        <w:t xml:space="preserve">When being cued visually, perturbed walking evoked the highest CNV amplitudes (M = -0.99, SD = 1.07) compared to standing (M = -0.72, SD = 1.25y) and walking (M = -0.42, SD = 1.01), though being only significantly different from walking (p = .001) in a </w:t>
      </w:r>
      <w:proofErr w:type="spellStart"/>
      <w:r w:rsidRPr="0092451D">
        <w:rPr>
          <w:lang w:val="en-US"/>
        </w:rPr>
        <w:t>fronto</w:t>
      </w:r>
      <w:proofErr w:type="spellEnd"/>
      <w:r w:rsidRPr="0092451D">
        <w:rPr>
          <w:lang w:val="en-US"/>
        </w:rPr>
        <w:t xml:space="preserve">-central to central patch. </w:t>
      </w:r>
    </w:p>
    <w:p w14:paraId="60B23481" w14:textId="1A35EAE5" w:rsidR="00D73C78" w:rsidRPr="0092451D" w:rsidRDefault="75598FD4" w:rsidP="00D806B1">
      <w:pPr>
        <w:pStyle w:val="Listenabsatz"/>
        <w:numPr>
          <w:ilvl w:val="0"/>
          <w:numId w:val="20"/>
        </w:numPr>
        <w:rPr>
          <w:rFonts w:eastAsiaTheme="minorEastAsia" w:cs="Times New Roman"/>
          <w:lang w:val="en-US"/>
        </w:rPr>
      </w:pPr>
      <w:r w:rsidRPr="0092451D">
        <w:rPr>
          <w:lang w:val="en-US"/>
        </w:rPr>
        <w:t xml:space="preserve">Task difficulty levels only impacted CNV amplitudes in visual cue conditions (p &lt; .001). Here, switch trials elicited the highest CNV amplitude (M = -1.11, SD = 1.25) </w:t>
      </w:r>
      <w:r w:rsidRPr="0092451D">
        <w:rPr>
          <w:lang w:val="en-US"/>
        </w:rPr>
        <w:lastRenderedPageBreak/>
        <w:t xml:space="preserve">compared to single-task trials (M = -0.53, SD = 1.14; p &lt; .001). Repeat trials also evoked significantly higher CNV amplitudes than single-task trials (p = .01) in a frontal to </w:t>
      </w:r>
      <w:proofErr w:type="spellStart"/>
      <w:r w:rsidRPr="0092451D">
        <w:rPr>
          <w:lang w:val="en-US"/>
        </w:rPr>
        <w:t>fronto</w:t>
      </w:r>
      <w:proofErr w:type="spellEnd"/>
      <w:r w:rsidRPr="0092451D">
        <w:rPr>
          <w:lang w:val="en-US"/>
        </w:rPr>
        <w:t>-central cluster. Switch and repeat trials (M = -0.95, SD = 1.40) did not differ significantly though. There were no significant interaction effects in either modality domain.</w:t>
      </w:r>
    </w:p>
    <w:p w14:paraId="147847BB" w14:textId="01753866" w:rsidR="006D6F0E" w:rsidRDefault="007446B4" w:rsidP="006D6F0E">
      <w:pPr>
        <w:keepNext/>
      </w:pPr>
      <w:r>
        <w:rPr>
          <w:noProof/>
        </w:rPr>
        <w:drawing>
          <wp:inline distT="0" distB="0" distL="0" distR="0" wp14:anchorId="792CD438" wp14:editId="7823A2E5">
            <wp:extent cx="5731509" cy="3357027"/>
            <wp:effectExtent l="0" t="0" r="0" b="0"/>
            <wp:docPr id="1450547207" name="Grafik 145054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47207" name="Grafik 145054720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09" cy="3357027"/>
                    </a:xfrm>
                    <a:prstGeom prst="rect">
                      <a:avLst/>
                    </a:prstGeom>
                  </pic:spPr>
                </pic:pic>
              </a:graphicData>
            </a:graphic>
          </wp:inline>
        </w:drawing>
      </w:r>
    </w:p>
    <w:p w14:paraId="34536EBA" w14:textId="068F7DB5" w:rsidR="007216AD" w:rsidRDefault="006D6F0E" w:rsidP="007216AD">
      <w:pPr>
        <w:pStyle w:val="Beschriftung"/>
        <w:rPr>
          <w:i w:val="0"/>
          <w:iCs w:val="0"/>
          <w:color w:val="000000" w:themeColor="text1"/>
          <w:lang w:val="en-US"/>
        </w:rPr>
      </w:pPr>
      <w:bookmarkStart w:id="9" w:name="_Ref131172421"/>
      <w:r w:rsidRPr="00F855D0">
        <w:rPr>
          <w:color w:val="000000" w:themeColor="text1"/>
          <w:lang w:val="en-US"/>
        </w:rPr>
        <w:t xml:space="preserve">Figure </w:t>
      </w:r>
      <w:r w:rsidRPr="00F855D0">
        <w:rPr>
          <w:color w:val="000000" w:themeColor="text1"/>
        </w:rPr>
        <w:fldChar w:fldCharType="begin"/>
      </w:r>
      <w:r w:rsidRPr="00F855D0">
        <w:rPr>
          <w:color w:val="000000" w:themeColor="text1"/>
          <w:lang w:val="en-US"/>
        </w:rPr>
        <w:instrText xml:space="preserve"> SEQ Figure \* ARABIC </w:instrText>
      </w:r>
      <w:r w:rsidRPr="00F855D0">
        <w:rPr>
          <w:color w:val="000000" w:themeColor="text1"/>
        </w:rPr>
        <w:fldChar w:fldCharType="separate"/>
      </w:r>
      <w:r w:rsidR="00B12A7D">
        <w:rPr>
          <w:noProof/>
          <w:color w:val="000000" w:themeColor="text1"/>
          <w:lang w:val="en-US"/>
        </w:rPr>
        <w:t>5</w:t>
      </w:r>
      <w:r w:rsidRPr="00F855D0">
        <w:rPr>
          <w:color w:val="000000" w:themeColor="text1"/>
        </w:rPr>
        <w:fldChar w:fldCharType="end"/>
      </w:r>
      <w:bookmarkEnd w:id="9"/>
      <w:r w:rsidR="00E34F5A" w:rsidRPr="00F855D0">
        <w:rPr>
          <w:color w:val="000000" w:themeColor="text1"/>
          <w:lang w:val="en-US"/>
        </w:rPr>
        <w:t>.</w:t>
      </w:r>
      <w:r w:rsidR="00651F0C">
        <w:rPr>
          <w:color w:val="000000" w:themeColor="text1"/>
          <w:lang w:val="en-US"/>
        </w:rPr>
        <w:t xml:space="preserve"> </w:t>
      </w:r>
      <w:r w:rsidR="00651F0C">
        <w:rPr>
          <w:i w:val="0"/>
          <w:iCs w:val="0"/>
          <w:color w:val="000000" w:themeColor="text1"/>
          <w:lang w:val="en-US"/>
        </w:rPr>
        <w:t xml:space="preserve">Frontal EEG activity. a) </w:t>
      </w:r>
      <w:r w:rsidRPr="00F855D0">
        <w:rPr>
          <w:i w:val="0"/>
          <w:iCs w:val="0"/>
          <w:color w:val="000000" w:themeColor="text1"/>
          <w:lang w:val="en-US"/>
        </w:rPr>
        <w:t>ERP line plots of mean activation</w:t>
      </w:r>
      <w:r w:rsidR="00F855D0" w:rsidRPr="00F855D0">
        <w:rPr>
          <w:i w:val="0"/>
          <w:iCs w:val="0"/>
          <w:color w:val="000000" w:themeColor="text1"/>
          <w:lang w:val="en-US"/>
        </w:rPr>
        <w:t xml:space="preserve"> at frontal </w:t>
      </w:r>
      <w:r w:rsidR="00C86F41">
        <w:rPr>
          <w:i w:val="0"/>
          <w:iCs w:val="0"/>
          <w:color w:val="000000" w:themeColor="text1"/>
          <w:lang w:val="en-US"/>
        </w:rPr>
        <w:t xml:space="preserve">to central </w:t>
      </w:r>
      <w:r w:rsidR="00F855D0" w:rsidRPr="00F855D0">
        <w:rPr>
          <w:i w:val="0"/>
          <w:iCs w:val="0"/>
          <w:color w:val="000000" w:themeColor="text1"/>
          <w:lang w:val="en-US"/>
        </w:rPr>
        <w:t>electrodes</w:t>
      </w:r>
      <w:r w:rsidR="00E34F5A" w:rsidRPr="00F855D0">
        <w:rPr>
          <w:i w:val="0"/>
          <w:iCs w:val="0"/>
          <w:color w:val="000000" w:themeColor="text1"/>
          <w:lang w:val="en-US"/>
        </w:rPr>
        <w:t xml:space="preserve"> (</w:t>
      </w:r>
      <w:r w:rsidR="00C86F41" w:rsidRPr="00644E94">
        <w:rPr>
          <w:i w:val="0"/>
          <w:iCs w:val="0"/>
          <w:lang w:val="en-US"/>
        </w:rPr>
        <w:t xml:space="preserve">F1, F2, Fz, FC1, FC2, </w:t>
      </w:r>
      <w:proofErr w:type="spellStart"/>
      <w:r w:rsidR="00C86F41" w:rsidRPr="00644E94">
        <w:rPr>
          <w:i w:val="0"/>
          <w:iCs w:val="0"/>
          <w:lang w:val="en-US"/>
        </w:rPr>
        <w:t>Cz</w:t>
      </w:r>
      <w:proofErr w:type="spellEnd"/>
      <w:r w:rsidR="00C86F41" w:rsidRPr="00644E94">
        <w:rPr>
          <w:i w:val="0"/>
          <w:iCs w:val="0"/>
          <w:lang w:val="en-US"/>
        </w:rPr>
        <w:t>, C1, C2</w:t>
      </w:r>
      <w:r w:rsidR="00E34F5A" w:rsidRPr="00F855D0">
        <w:rPr>
          <w:i w:val="0"/>
          <w:iCs w:val="0"/>
          <w:color w:val="000000" w:themeColor="text1"/>
          <w:lang w:val="en-US"/>
        </w:rPr>
        <w:t>)</w:t>
      </w:r>
      <w:r w:rsidRPr="00F855D0">
        <w:rPr>
          <w:i w:val="0"/>
          <w:iCs w:val="0"/>
          <w:color w:val="000000" w:themeColor="text1"/>
          <w:lang w:val="en-US"/>
        </w:rPr>
        <w:t>.</w:t>
      </w:r>
      <w:r w:rsidR="00B34019">
        <w:rPr>
          <w:i w:val="0"/>
          <w:iCs w:val="0"/>
          <w:color w:val="000000" w:themeColor="text1"/>
          <w:lang w:val="en-US"/>
        </w:rPr>
        <w:t xml:space="preserve"> CNV</w:t>
      </w:r>
      <w:r w:rsidR="00834BB3">
        <w:rPr>
          <w:i w:val="0"/>
          <w:iCs w:val="0"/>
          <w:color w:val="000000" w:themeColor="text1"/>
          <w:lang w:val="en-US"/>
        </w:rPr>
        <w:t xml:space="preserve"> (-150 </w:t>
      </w:r>
      <w:proofErr w:type="gramStart"/>
      <w:r w:rsidR="00834BB3">
        <w:rPr>
          <w:i w:val="0"/>
          <w:iCs w:val="0"/>
          <w:color w:val="000000" w:themeColor="text1"/>
          <w:lang w:val="en-US"/>
        </w:rPr>
        <w:t>ms :</w:t>
      </w:r>
      <w:proofErr w:type="gramEnd"/>
      <w:r w:rsidR="00834BB3">
        <w:rPr>
          <w:i w:val="0"/>
          <w:iCs w:val="0"/>
          <w:color w:val="000000" w:themeColor="text1"/>
          <w:lang w:val="en-US"/>
        </w:rPr>
        <w:t xml:space="preserve"> 50 ms)</w:t>
      </w:r>
      <w:r w:rsidR="00B34019">
        <w:rPr>
          <w:i w:val="0"/>
          <w:iCs w:val="0"/>
          <w:color w:val="000000" w:themeColor="text1"/>
          <w:lang w:val="en-US"/>
        </w:rPr>
        <w:t xml:space="preserve"> time windo</w:t>
      </w:r>
      <w:r w:rsidR="00021508">
        <w:rPr>
          <w:i w:val="0"/>
          <w:iCs w:val="0"/>
          <w:color w:val="000000" w:themeColor="text1"/>
          <w:lang w:val="en-US"/>
        </w:rPr>
        <w:t>w</w:t>
      </w:r>
      <w:r w:rsidR="00B34019">
        <w:rPr>
          <w:i w:val="0"/>
          <w:iCs w:val="0"/>
          <w:color w:val="000000" w:themeColor="text1"/>
          <w:lang w:val="en-US"/>
        </w:rPr>
        <w:t xml:space="preserve"> are indicated by the grey </w:t>
      </w:r>
      <w:r w:rsidR="00834BB3">
        <w:rPr>
          <w:i w:val="0"/>
          <w:iCs w:val="0"/>
          <w:color w:val="000000" w:themeColor="text1"/>
          <w:lang w:val="en-US"/>
        </w:rPr>
        <w:t>rectangles.</w:t>
      </w:r>
      <w:r w:rsidR="00567A4E">
        <w:rPr>
          <w:i w:val="0"/>
          <w:iCs w:val="0"/>
          <w:color w:val="000000" w:themeColor="text1"/>
          <w:lang w:val="en-US"/>
        </w:rPr>
        <w:t xml:space="preserve"> The vertical line at 0 ms represents the presentation of the </w:t>
      </w:r>
      <w:r w:rsidR="007216AD">
        <w:rPr>
          <w:i w:val="0"/>
          <w:iCs w:val="0"/>
          <w:color w:val="000000" w:themeColor="text1"/>
          <w:lang w:val="en-US"/>
        </w:rPr>
        <w:t xml:space="preserve">target </w:t>
      </w:r>
      <w:r w:rsidR="00567A4E">
        <w:rPr>
          <w:i w:val="0"/>
          <w:iCs w:val="0"/>
          <w:color w:val="000000" w:themeColor="text1"/>
          <w:lang w:val="en-US"/>
        </w:rPr>
        <w:t>stimulus.</w:t>
      </w:r>
      <w:r w:rsidR="007216AD">
        <w:rPr>
          <w:i w:val="0"/>
          <w:iCs w:val="0"/>
          <w:color w:val="000000" w:themeColor="text1"/>
          <w:lang w:val="en-US"/>
        </w:rPr>
        <w:t xml:space="preserve"> The cue stimulus was presented at -</w:t>
      </w:r>
      <w:r w:rsidR="005334C4">
        <w:rPr>
          <w:i w:val="0"/>
          <w:iCs w:val="0"/>
          <w:color w:val="000000" w:themeColor="text1"/>
          <w:lang w:val="en-US"/>
        </w:rPr>
        <w:t>6</w:t>
      </w:r>
      <w:r w:rsidR="007216AD">
        <w:rPr>
          <w:i w:val="0"/>
          <w:iCs w:val="0"/>
          <w:color w:val="000000" w:themeColor="text1"/>
          <w:lang w:val="en-US"/>
        </w:rPr>
        <w:t>00 ms.</w:t>
      </w:r>
      <w:r w:rsidR="000D3140">
        <w:rPr>
          <w:i w:val="0"/>
          <w:iCs w:val="0"/>
          <w:color w:val="000000" w:themeColor="text1"/>
          <w:lang w:val="en-US"/>
        </w:rPr>
        <w:t xml:space="preserve"> The baseline time window was applied between -800 ms and -600 ms prior to target stimulus presentation</w:t>
      </w:r>
      <w:r w:rsidR="000D3140" w:rsidRPr="009872B6">
        <w:rPr>
          <w:i w:val="0"/>
          <w:iCs w:val="0"/>
          <w:color w:val="000000" w:themeColor="text1"/>
          <w:lang w:val="en-US"/>
        </w:rPr>
        <w:t>.</w:t>
      </w:r>
      <w:r w:rsidR="00160E83" w:rsidRPr="009872B6">
        <w:rPr>
          <w:i w:val="0"/>
          <w:iCs w:val="0"/>
          <w:color w:val="000000" w:themeColor="text1"/>
          <w:lang w:val="en-US"/>
        </w:rPr>
        <w:t xml:space="preserve"> </w:t>
      </w:r>
      <w:r w:rsidR="00DC727A" w:rsidRPr="00DC727A">
        <w:rPr>
          <w:color w:val="000000" w:themeColor="text1"/>
          <w:lang w:val="en-US"/>
        </w:rPr>
        <w:t>Note:</w:t>
      </w:r>
      <w:r w:rsidR="00DC727A">
        <w:rPr>
          <w:i w:val="0"/>
          <w:iCs w:val="0"/>
          <w:color w:val="000000" w:themeColor="text1"/>
          <w:lang w:val="en-US"/>
        </w:rPr>
        <w:t xml:space="preserve"> </w:t>
      </w:r>
      <w:r w:rsidR="00160E83" w:rsidRPr="00DC727A">
        <w:rPr>
          <w:i w:val="0"/>
          <w:iCs w:val="0"/>
          <w:color w:val="000000" w:themeColor="text1"/>
          <w:lang w:val="en-US"/>
        </w:rPr>
        <w:t>Differences</w:t>
      </w:r>
      <w:r w:rsidR="00160E83" w:rsidRPr="00B71116">
        <w:rPr>
          <w:i w:val="0"/>
          <w:iCs w:val="0"/>
          <w:color w:val="000000" w:themeColor="text1"/>
          <w:lang w:val="en-US"/>
        </w:rPr>
        <w:t xml:space="preserve"> in pre-target-stimulus timepoints originate from the presentation of cue-stimuli in different modalities (visual and auditory). As the morphologies for these cue-related ERPs are vastly different, only target-stimulus-related ERPs were analyzed.</w:t>
      </w:r>
      <w:r w:rsidR="009872B6">
        <w:rPr>
          <w:color w:val="000000" w:themeColor="text1"/>
          <w:lang w:val="en-US"/>
        </w:rPr>
        <w:t xml:space="preserve"> </w:t>
      </w:r>
      <w:r w:rsidR="00651F0C">
        <w:rPr>
          <w:i w:val="0"/>
          <w:iCs w:val="0"/>
          <w:color w:val="000000" w:themeColor="text1"/>
          <w:lang w:val="en-US"/>
        </w:rPr>
        <w:t xml:space="preserve"> b)</w:t>
      </w:r>
      <w:r w:rsidR="00254728">
        <w:rPr>
          <w:i w:val="0"/>
          <w:iCs w:val="0"/>
          <w:color w:val="000000" w:themeColor="text1"/>
          <w:lang w:val="en-US"/>
        </w:rPr>
        <w:t xml:space="preserve"> Mean</w:t>
      </w:r>
      <w:r w:rsidR="00C86F41">
        <w:rPr>
          <w:i w:val="0"/>
          <w:iCs w:val="0"/>
          <w:color w:val="000000" w:themeColor="text1"/>
          <w:lang w:val="en-US"/>
        </w:rPr>
        <w:t xml:space="preserve"> CNV</w:t>
      </w:r>
      <w:r w:rsidR="00254728">
        <w:rPr>
          <w:i w:val="0"/>
          <w:iCs w:val="0"/>
          <w:color w:val="000000" w:themeColor="text1"/>
          <w:lang w:val="en-US"/>
        </w:rPr>
        <w:t xml:space="preserve"> </w:t>
      </w:r>
      <w:r w:rsidR="00CF7BF8">
        <w:rPr>
          <w:i w:val="0"/>
          <w:iCs w:val="0"/>
          <w:color w:val="000000" w:themeColor="text1"/>
          <w:lang w:val="en-US"/>
        </w:rPr>
        <w:t xml:space="preserve">ERP </w:t>
      </w:r>
      <w:r w:rsidR="00254728">
        <w:rPr>
          <w:i w:val="0"/>
          <w:iCs w:val="0"/>
          <w:color w:val="000000" w:themeColor="text1"/>
          <w:lang w:val="en-US"/>
        </w:rPr>
        <w:t>amplitude</w:t>
      </w:r>
      <w:r w:rsidR="00C86F41">
        <w:rPr>
          <w:i w:val="0"/>
          <w:iCs w:val="0"/>
          <w:color w:val="000000" w:themeColor="text1"/>
          <w:lang w:val="en-US"/>
        </w:rPr>
        <w:t>s</w:t>
      </w:r>
      <w:r w:rsidR="00254728">
        <w:rPr>
          <w:i w:val="0"/>
          <w:iCs w:val="0"/>
          <w:color w:val="000000" w:themeColor="text1"/>
          <w:lang w:val="en-US"/>
        </w:rPr>
        <w:t xml:space="preserve"> </w:t>
      </w:r>
      <w:r w:rsidR="00B05B52">
        <w:rPr>
          <w:i w:val="0"/>
          <w:iCs w:val="0"/>
          <w:color w:val="000000" w:themeColor="text1"/>
          <w:lang w:val="en-US"/>
        </w:rPr>
        <w:t xml:space="preserve">for </w:t>
      </w:r>
      <w:r w:rsidR="00C86F41">
        <w:rPr>
          <w:i w:val="0"/>
          <w:iCs w:val="0"/>
          <w:color w:val="000000" w:themeColor="text1"/>
          <w:lang w:val="en-US"/>
        </w:rPr>
        <w:t>movement conditions</w:t>
      </w:r>
      <w:r w:rsidR="006014A4">
        <w:rPr>
          <w:i w:val="0"/>
          <w:iCs w:val="0"/>
          <w:color w:val="000000" w:themeColor="text1"/>
          <w:lang w:val="en-US"/>
        </w:rPr>
        <w:t>.</w:t>
      </w:r>
      <w:r w:rsidR="00CF7BF8">
        <w:rPr>
          <w:i w:val="0"/>
          <w:iCs w:val="0"/>
          <w:color w:val="000000" w:themeColor="text1"/>
          <w:lang w:val="en-US"/>
        </w:rPr>
        <w:t xml:space="preserve"> c) Mean </w:t>
      </w:r>
      <w:r w:rsidR="00C86F41">
        <w:rPr>
          <w:i w:val="0"/>
          <w:iCs w:val="0"/>
          <w:color w:val="000000" w:themeColor="text1"/>
          <w:lang w:val="en-US"/>
        </w:rPr>
        <w:t xml:space="preserve">CNV </w:t>
      </w:r>
      <w:r w:rsidR="00CF7BF8">
        <w:rPr>
          <w:i w:val="0"/>
          <w:iCs w:val="0"/>
          <w:color w:val="000000" w:themeColor="text1"/>
          <w:lang w:val="en-US"/>
        </w:rPr>
        <w:t>ERP amplitude</w:t>
      </w:r>
      <w:r w:rsidR="00C86F41">
        <w:rPr>
          <w:i w:val="0"/>
          <w:iCs w:val="0"/>
          <w:color w:val="000000" w:themeColor="text1"/>
          <w:lang w:val="en-US"/>
        </w:rPr>
        <w:t>s</w:t>
      </w:r>
      <w:r w:rsidR="00CF7BF8">
        <w:rPr>
          <w:i w:val="0"/>
          <w:iCs w:val="0"/>
          <w:color w:val="000000" w:themeColor="text1"/>
          <w:lang w:val="en-US"/>
        </w:rPr>
        <w:t xml:space="preserve"> </w:t>
      </w:r>
      <w:r w:rsidR="00C86F41">
        <w:rPr>
          <w:i w:val="0"/>
          <w:iCs w:val="0"/>
          <w:color w:val="000000" w:themeColor="text1"/>
          <w:lang w:val="en-US"/>
        </w:rPr>
        <w:t>for movement and task difficulty conditions</w:t>
      </w:r>
      <w:r w:rsidR="008B18A9">
        <w:rPr>
          <w:i w:val="0"/>
          <w:iCs w:val="0"/>
          <w:color w:val="000000" w:themeColor="text1"/>
          <w:lang w:val="en-US"/>
        </w:rPr>
        <w:t>.</w:t>
      </w:r>
    </w:p>
    <w:p w14:paraId="3E2A5B63" w14:textId="53321525" w:rsidR="00761FD9" w:rsidRDefault="75598FD4" w:rsidP="005F54E0">
      <w:pPr>
        <w:rPr>
          <w:lang w:val="en-US"/>
        </w:rPr>
      </w:pPr>
      <w:r w:rsidRPr="75598FD4">
        <w:rPr>
          <w:i/>
          <w:iCs/>
          <w:lang w:val="en-US"/>
        </w:rPr>
        <w:t>Centro-parieto-occipital P3</w:t>
      </w:r>
      <w:r w:rsidRPr="75598FD4">
        <w:rPr>
          <w:lang w:val="en-US"/>
        </w:rPr>
        <w:t>. Within auditory cue conditions we found significant differences for both main effects (</w:t>
      </w:r>
      <w:proofErr w:type="spellStart"/>
      <w:r w:rsidRPr="75598FD4">
        <w:rPr>
          <w:lang w:val="en-US"/>
        </w:rPr>
        <w:t>p</w:t>
      </w:r>
      <w:r w:rsidRPr="75598FD4">
        <w:rPr>
          <w:vertAlign w:val="subscript"/>
          <w:lang w:val="en-US"/>
        </w:rPr>
        <w:t>difficulty</w:t>
      </w:r>
      <w:proofErr w:type="spellEnd"/>
      <w:r w:rsidRPr="75598FD4">
        <w:rPr>
          <w:lang w:val="en-US"/>
        </w:rPr>
        <w:t xml:space="preserve"> &lt; .001, </w:t>
      </w:r>
      <w:proofErr w:type="spellStart"/>
      <w:r w:rsidRPr="75598FD4">
        <w:rPr>
          <w:lang w:val="en-US"/>
        </w:rPr>
        <w:t>p</w:t>
      </w:r>
      <w:r w:rsidRPr="75598FD4">
        <w:rPr>
          <w:vertAlign w:val="subscript"/>
          <w:lang w:val="en-US"/>
        </w:rPr>
        <w:t>move</w:t>
      </w:r>
      <w:proofErr w:type="spellEnd"/>
      <w:r w:rsidRPr="75598FD4">
        <w:rPr>
          <w:lang w:val="en-US"/>
        </w:rPr>
        <w:t xml:space="preserve"> = .01), all in a broad </w:t>
      </w:r>
      <w:proofErr w:type="spellStart"/>
      <w:r w:rsidRPr="75598FD4">
        <w:rPr>
          <w:lang w:val="en-US"/>
        </w:rPr>
        <w:t>centro</w:t>
      </w:r>
      <w:proofErr w:type="spellEnd"/>
      <w:r w:rsidRPr="75598FD4">
        <w:rPr>
          <w:lang w:val="en-US"/>
        </w:rPr>
        <w:t>-parietal to parieto-occipital electrode patch. In visual cue conditions we found both main effects as well as an interaction effect (</w:t>
      </w:r>
      <w:proofErr w:type="spellStart"/>
      <w:r w:rsidRPr="75598FD4">
        <w:rPr>
          <w:lang w:val="en-US"/>
        </w:rPr>
        <w:t>p</w:t>
      </w:r>
      <w:r w:rsidRPr="75598FD4">
        <w:rPr>
          <w:vertAlign w:val="subscript"/>
          <w:lang w:val="en-US"/>
        </w:rPr>
        <w:t>difficulty</w:t>
      </w:r>
      <w:proofErr w:type="spellEnd"/>
      <w:r w:rsidRPr="75598FD4">
        <w:rPr>
          <w:lang w:val="en-US"/>
        </w:rPr>
        <w:t xml:space="preserve"> &lt; .</w:t>
      </w:r>
      <w:proofErr w:type="gramStart"/>
      <w:r w:rsidRPr="75598FD4">
        <w:rPr>
          <w:lang w:val="en-US"/>
        </w:rPr>
        <w:t>001 ;</w:t>
      </w:r>
      <w:proofErr w:type="gramEnd"/>
      <w:r w:rsidRPr="75598FD4">
        <w:rPr>
          <w:lang w:val="en-US"/>
        </w:rPr>
        <w:t xml:space="preserve"> </w:t>
      </w:r>
      <w:proofErr w:type="spellStart"/>
      <w:r w:rsidRPr="75598FD4">
        <w:rPr>
          <w:lang w:val="en-US"/>
        </w:rPr>
        <w:t>p</w:t>
      </w:r>
      <w:r w:rsidRPr="75598FD4">
        <w:rPr>
          <w:vertAlign w:val="subscript"/>
          <w:lang w:val="en-US"/>
        </w:rPr>
        <w:t>move</w:t>
      </w:r>
      <w:proofErr w:type="spellEnd"/>
      <w:r w:rsidRPr="75598FD4">
        <w:rPr>
          <w:lang w:val="en-US"/>
        </w:rPr>
        <w:t xml:space="preserve"> = .01 ; </w:t>
      </w:r>
      <w:proofErr w:type="spellStart"/>
      <w:r w:rsidRPr="75598FD4">
        <w:rPr>
          <w:lang w:val="en-US"/>
        </w:rPr>
        <w:t>p</w:t>
      </w:r>
      <w:r w:rsidRPr="75598FD4">
        <w:rPr>
          <w:vertAlign w:val="subscript"/>
          <w:lang w:val="en-US"/>
        </w:rPr>
        <w:t>interaction</w:t>
      </w:r>
      <w:proofErr w:type="spellEnd"/>
      <w:r w:rsidRPr="75598FD4">
        <w:rPr>
          <w:lang w:val="en-US"/>
        </w:rPr>
        <w:t xml:space="preserve"> = .04) in a comparable patch of electrodes. </w:t>
      </w:r>
    </w:p>
    <w:p w14:paraId="635E71CC" w14:textId="77777777" w:rsidR="00761FD9" w:rsidRDefault="75598FD4" w:rsidP="00761FD9">
      <w:pPr>
        <w:pStyle w:val="Listenabsatz"/>
        <w:numPr>
          <w:ilvl w:val="0"/>
          <w:numId w:val="21"/>
        </w:numPr>
        <w:rPr>
          <w:lang w:val="en-US"/>
        </w:rPr>
      </w:pPr>
      <w:r w:rsidRPr="00761FD9">
        <w:rPr>
          <w:lang w:val="en-US"/>
        </w:rPr>
        <w:t xml:space="preserve">Within the auditory condition, movement has a detrimental effect on P3 amplitudes. Here, standing elicits a significantly higher P3 amplitude (M = 3.53, SD = 2.13) than walking (M = 3.05, SD = 1.59; p = .03) and perturbed walking (M = 2.84, SD = 1.84, p = .02). </w:t>
      </w:r>
    </w:p>
    <w:p w14:paraId="5D6381F6" w14:textId="4361FD4A" w:rsidR="00761FD9" w:rsidRDefault="75598FD4" w:rsidP="00761FD9">
      <w:pPr>
        <w:pStyle w:val="Listenabsatz"/>
        <w:numPr>
          <w:ilvl w:val="0"/>
          <w:numId w:val="21"/>
        </w:numPr>
        <w:rPr>
          <w:lang w:val="en-US"/>
        </w:rPr>
      </w:pPr>
      <w:r w:rsidRPr="00761FD9">
        <w:rPr>
          <w:lang w:val="en-US"/>
        </w:rPr>
        <w:t>Task difficulty</w:t>
      </w:r>
      <w:r w:rsidR="00A6714C">
        <w:rPr>
          <w:lang w:val="en-US"/>
        </w:rPr>
        <w:t>,</w:t>
      </w:r>
      <w:r w:rsidRPr="00761FD9">
        <w:rPr>
          <w:lang w:val="en-US"/>
        </w:rPr>
        <w:t xml:space="preserve"> on the other hand, elicited higher P3 amplitudes </w:t>
      </w:r>
      <w:r w:rsidR="00A6714C">
        <w:rPr>
          <w:lang w:val="en-US"/>
        </w:rPr>
        <w:t>with</w:t>
      </w:r>
      <w:r w:rsidRPr="00761FD9">
        <w:rPr>
          <w:lang w:val="en-US"/>
        </w:rPr>
        <w:t xml:space="preserve"> more difficult conditions. We found significantly increased P3 amplitudes in repeat (M = 2.83, SD = 1.69) and switch trials (M = 3.19, SD = 1.87) compared to single-task trials (M = 2.54, SD = 1.44; </w:t>
      </w:r>
      <w:proofErr w:type="spellStart"/>
      <w:r w:rsidRPr="00761FD9">
        <w:rPr>
          <w:lang w:val="en-US"/>
        </w:rPr>
        <w:t>p</w:t>
      </w:r>
      <w:r w:rsidRPr="00761FD9">
        <w:rPr>
          <w:vertAlign w:val="subscript"/>
          <w:lang w:val="en-US"/>
        </w:rPr>
        <w:t>single</w:t>
      </w:r>
      <w:proofErr w:type="spellEnd"/>
      <w:r w:rsidRPr="00761FD9">
        <w:rPr>
          <w:vertAlign w:val="subscript"/>
          <w:lang w:val="en-US"/>
        </w:rPr>
        <w:t>-repeat</w:t>
      </w:r>
      <w:r w:rsidRPr="00761FD9">
        <w:rPr>
          <w:lang w:val="en-US"/>
        </w:rPr>
        <w:t xml:space="preserve"> = .01; </w:t>
      </w:r>
      <w:proofErr w:type="spellStart"/>
      <w:r w:rsidRPr="00761FD9">
        <w:rPr>
          <w:lang w:val="en-US"/>
        </w:rPr>
        <w:t>p</w:t>
      </w:r>
      <w:r w:rsidRPr="00761FD9">
        <w:rPr>
          <w:vertAlign w:val="subscript"/>
          <w:lang w:val="en-US"/>
        </w:rPr>
        <w:t>single</w:t>
      </w:r>
      <w:proofErr w:type="spellEnd"/>
      <w:r w:rsidRPr="00761FD9">
        <w:rPr>
          <w:vertAlign w:val="subscript"/>
          <w:lang w:val="en-US"/>
        </w:rPr>
        <w:t>-switch</w:t>
      </w:r>
      <w:r w:rsidRPr="00761FD9">
        <w:rPr>
          <w:lang w:val="en-US"/>
        </w:rPr>
        <w:t xml:space="preserve"> &lt; .</w:t>
      </w:r>
      <w:proofErr w:type="gramStart"/>
      <w:r w:rsidRPr="00761FD9">
        <w:rPr>
          <w:lang w:val="en-US"/>
        </w:rPr>
        <w:t>01 )</w:t>
      </w:r>
      <w:proofErr w:type="gramEnd"/>
      <w:r w:rsidRPr="00761FD9">
        <w:rPr>
          <w:lang w:val="en-US"/>
        </w:rPr>
        <w:t xml:space="preserve">. </w:t>
      </w:r>
    </w:p>
    <w:p w14:paraId="134F229E" w14:textId="3D9202AD" w:rsidR="00EE77C8" w:rsidRPr="00761FD9" w:rsidRDefault="75598FD4" w:rsidP="00D806B1">
      <w:pPr>
        <w:pStyle w:val="Listenabsatz"/>
        <w:numPr>
          <w:ilvl w:val="0"/>
          <w:numId w:val="21"/>
        </w:numPr>
        <w:rPr>
          <w:lang w:val="en-US"/>
        </w:rPr>
      </w:pPr>
      <w:r w:rsidRPr="00761FD9">
        <w:rPr>
          <w:lang w:val="en-US"/>
        </w:rPr>
        <w:t>Regarding the interaction effect in the visual cue conditions, we examined P3 amplitude differences between task difficulty levels within each walking condition. Here, we found significantly decreased amplitudes for repeat and switch trials compared to single-task trials in standing conditions (</w:t>
      </w:r>
      <w:proofErr w:type="spellStart"/>
      <w:r w:rsidRPr="00761FD9">
        <w:rPr>
          <w:lang w:val="en-US"/>
        </w:rPr>
        <w:t>M</w:t>
      </w:r>
      <w:r w:rsidRPr="00761FD9">
        <w:rPr>
          <w:vertAlign w:val="subscript"/>
          <w:lang w:val="en-US"/>
        </w:rPr>
        <w:t>single</w:t>
      </w:r>
      <w:proofErr w:type="spellEnd"/>
      <w:r w:rsidRPr="00761FD9">
        <w:rPr>
          <w:vertAlign w:val="subscript"/>
          <w:lang w:val="en-US"/>
        </w:rPr>
        <w:t xml:space="preserve"> </w:t>
      </w:r>
      <w:r w:rsidRPr="00761FD9">
        <w:rPr>
          <w:lang w:val="en-US"/>
        </w:rPr>
        <w:t xml:space="preserve">= 4.51, </w:t>
      </w:r>
      <w:proofErr w:type="spellStart"/>
      <w:r w:rsidRPr="00761FD9">
        <w:rPr>
          <w:lang w:val="en-US"/>
        </w:rPr>
        <w:t>SD</w:t>
      </w:r>
      <w:r w:rsidRPr="00761FD9">
        <w:rPr>
          <w:vertAlign w:val="subscript"/>
          <w:lang w:val="en-US"/>
        </w:rPr>
        <w:t>single</w:t>
      </w:r>
      <w:proofErr w:type="spellEnd"/>
      <w:r w:rsidRPr="00761FD9">
        <w:rPr>
          <w:lang w:val="en-US"/>
        </w:rPr>
        <w:t xml:space="preserve"> = 2.50; </w:t>
      </w:r>
      <w:proofErr w:type="spellStart"/>
      <w:r w:rsidRPr="00761FD9">
        <w:rPr>
          <w:lang w:val="en-US"/>
        </w:rPr>
        <w:t>M</w:t>
      </w:r>
      <w:r w:rsidRPr="00761FD9">
        <w:rPr>
          <w:vertAlign w:val="subscript"/>
          <w:lang w:val="en-US"/>
        </w:rPr>
        <w:t>repeat</w:t>
      </w:r>
      <w:proofErr w:type="spellEnd"/>
      <w:r w:rsidRPr="00761FD9">
        <w:rPr>
          <w:lang w:val="en-US"/>
        </w:rPr>
        <w:t xml:space="preserve"> = 2.21, </w:t>
      </w:r>
      <w:proofErr w:type="spellStart"/>
      <w:r w:rsidRPr="00761FD9">
        <w:rPr>
          <w:lang w:val="en-US"/>
        </w:rPr>
        <w:t>SD</w:t>
      </w:r>
      <w:r w:rsidRPr="00761FD9">
        <w:rPr>
          <w:vertAlign w:val="subscript"/>
          <w:lang w:val="en-US"/>
        </w:rPr>
        <w:t>repeat</w:t>
      </w:r>
      <w:proofErr w:type="spellEnd"/>
      <w:r w:rsidRPr="00761FD9">
        <w:rPr>
          <w:lang w:val="en-US"/>
        </w:rPr>
        <w:t xml:space="preserve"> = 1.76; </w:t>
      </w:r>
      <w:proofErr w:type="spellStart"/>
      <w:r w:rsidRPr="00761FD9">
        <w:rPr>
          <w:lang w:val="en-US"/>
        </w:rPr>
        <w:t>M</w:t>
      </w:r>
      <w:r w:rsidRPr="00761FD9">
        <w:rPr>
          <w:vertAlign w:val="subscript"/>
          <w:lang w:val="en-US"/>
        </w:rPr>
        <w:t>switch</w:t>
      </w:r>
      <w:proofErr w:type="spellEnd"/>
      <w:r w:rsidRPr="00761FD9">
        <w:rPr>
          <w:lang w:val="en-US"/>
        </w:rPr>
        <w:t xml:space="preserve"> = 2.15, </w:t>
      </w:r>
      <w:proofErr w:type="spellStart"/>
      <w:r w:rsidRPr="00761FD9">
        <w:rPr>
          <w:lang w:val="en-US"/>
        </w:rPr>
        <w:t>SD</w:t>
      </w:r>
      <w:r w:rsidRPr="00761FD9">
        <w:rPr>
          <w:vertAlign w:val="subscript"/>
          <w:lang w:val="en-US"/>
        </w:rPr>
        <w:t>switch</w:t>
      </w:r>
      <w:proofErr w:type="spellEnd"/>
      <w:r w:rsidRPr="00761FD9">
        <w:rPr>
          <w:lang w:val="en-US"/>
        </w:rPr>
        <w:t xml:space="preserve"> = 1.75; </w:t>
      </w:r>
      <w:proofErr w:type="spellStart"/>
      <w:r w:rsidRPr="00761FD9">
        <w:rPr>
          <w:lang w:val="en-US"/>
        </w:rPr>
        <w:t>p</w:t>
      </w:r>
      <w:r w:rsidRPr="00761FD9">
        <w:rPr>
          <w:vertAlign w:val="subscript"/>
          <w:lang w:val="en-US"/>
        </w:rPr>
        <w:t>single</w:t>
      </w:r>
      <w:proofErr w:type="spellEnd"/>
      <w:r w:rsidRPr="00761FD9">
        <w:rPr>
          <w:vertAlign w:val="subscript"/>
          <w:lang w:val="en-US"/>
        </w:rPr>
        <w:t>-repeat</w:t>
      </w:r>
      <w:r w:rsidRPr="00761FD9">
        <w:rPr>
          <w:lang w:val="en-US"/>
        </w:rPr>
        <w:t xml:space="preserve"> &lt; .</w:t>
      </w:r>
      <w:proofErr w:type="gramStart"/>
      <w:r w:rsidRPr="00761FD9">
        <w:rPr>
          <w:lang w:val="en-US"/>
        </w:rPr>
        <w:t>001 ;</w:t>
      </w:r>
      <w:proofErr w:type="gramEnd"/>
      <w:r w:rsidRPr="00761FD9">
        <w:rPr>
          <w:lang w:val="en-US"/>
        </w:rPr>
        <w:t xml:space="preserve"> </w:t>
      </w:r>
      <w:proofErr w:type="spellStart"/>
      <w:r w:rsidRPr="00761FD9">
        <w:rPr>
          <w:lang w:val="en-US"/>
        </w:rPr>
        <w:t>p</w:t>
      </w:r>
      <w:r w:rsidRPr="00761FD9">
        <w:rPr>
          <w:vertAlign w:val="subscript"/>
          <w:lang w:val="en-US"/>
        </w:rPr>
        <w:t>single</w:t>
      </w:r>
      <w:proofErr w:type="spellEnd"/>
      <w:r w:rsidRPr="00761FD9">
        <w:rPr>
          <w:vertAlign w:val="subscript"/>
          <w:lang w:val="en-US"/>
        </w:rPr>
        <w:t>-switch</w:t>
      </w:r>
      <w:r w:rsidRPr="00761FD9">
        <w:rPr>
          <w:lang w:val="en-US"/>
        </w:rPr>
        <w:t xml:space="preserve"> &lt; .001 ). </w:t>
      </w:r>
      <w:r w:rsidR="00A6714C">
        <w:rPr>
          <w:lang w:val="en-US"/>
        </w:rPr>
        <w:t xml:space="preserve"> </w:t>
      </w:r>
      <w:r w:rsidRPr="00761FD9">
        <w:rPr>
          <w:lang w:val="en-US"/>
        </w:rPr>
        <w:lastRenderedPageBreak/>
        <w:t>For walking conditions, we found steadily decreasing P3 amplitudes from single-task to switch trials (</w:t>
      </w:r>
      <w:proofErr w:type="spellStart"/>
      <w:r w:rsidRPr="00761FD9">
        <w:rPr>
          <w:lang w:val="en-US"/>
        </w:rPr>
        <w:t>M</w:t>
      </w:r>
      <w:r w:rsidRPr="00761FD9">
        <w:rPr>
          <w:vertAlign w:val="subscript"/>
          <w:lang w:val="en-US"/>
        </w:rPr>
        <w:t>single</w:t>
      </w:r>
      <w:proofErr w:type="spellEnd"/>
      <w:r w:rsidRPr="00761FD9">
        <w:rPr>
          <w:vertAlign w:val="subscript"/>
          <w:lang w:val="en-US"/>
        </w:rPr>
        <w:t xml:space="preserve"> </w:t>
      </w:r>
      <w:r w:rsidRPr="00761FD9">
        <w:rPr>
          <w:lang w:val="en-US"/>
        </w:rPr>
        <w:t xml:space="preserve">= 3.49, </w:t>
      </w:r>
      <w:proofErr w:type="spellStart"/>
      <w:r w:rsidRPr="00761FD9">
        <w:rPr>
          <w:lang w:val="en-US"/>
        </w:rPr>
        <w:t>SD</w:t>
      </w:r>
      <w:r w:rsidRPr="00761FD9">
        <w:rPr>
          <w:vertAlign w:val="subscript"/>
          <w:lang w:val="en-US"/>
        </w:rPr>
        <w:t>single</w:t>
      </w:r>
      <w:proofErr w:type="spellEnd"/>
      <w:r w:rsidRPr="00761FD9">
        <w:rPr>
          <w:lang w:val="en-US"/>
        </w:rPr>
        <w:t xml:space="preserve"> = 2.07; </w:t>
      </w:r>
      <w:proofErr w:type="spellStart"/>
      <w:r w:rsidRPr="00761FD9">
        <w:rPr>
          <w:lang w:val="en-US"/>
        </w:rPr>
        <w:t>M</w:t>
      </w:r>
      <w:r w:rsidRPr="00761FD9">
        <w:rPr>
          <w:vertAlign w:val="subscript"/>
          <w:lang w:val="en-US"/>
        </w:rPr>
        <w:t>repeat</w:t>
      </w:r>
      <w:proofErr w:type="spellEnd"/>
      <w:r w:rsidRPr="00761FD9">
        <w:rPr>
          <w:lang w:val="en-US"/>
        </w:rPr>
        <w:t xml:space="preserve"> = 2.36, </w:t>
      </w:r>
      <w:proofErr w:type="spellStart"/>
      <w:r w:rsidRPr="00761FD9">
        <w:rPr>
          <w:lang w:val="en-US"/>
        </w:rPr>
        <w:t>SD</w:t>
      </w:r>
      <w:r w:rsidRPr="00761FD9">
        <w:rPr>
          <w:vertAlign w:val="subscript"/>
          <w:lang w:val="en-US"/>
        </w:rPr>
        <w:t>repeat</w:t>
      </w:r>
      <w:proofErr w:type="spellEnd"/>
      <w:r w:rsidRPr="00761FD9">
        <w:rPr>
          <w:lang w:val="en-US"/>
        </w:rPr>
        <w:t xml:space="preserve"> = 1.96; </w:t>
      </w:r>
      <w:proofErr w:type="spellStart"/>
      <w:r w:rsidRPr="00761FD9">
        <w:rPr>
          <w:lang w:val="en-US"/>
        </w:rPr>
        <w:t>M</w:t>
      </w:r>
      <w:r w:rsidRPr="00761FD9">
        <w:rPr>
          <w:vertAlign w:val="subscript"/>
          <w:lang w:val="en-US"/>
        </w:rPr>
        <w:t>switch</w:t>
      </w:r>
      <w:proofErr w:type="spellEnd"/>
      <w:r w:rsidRPr="00761FD9">
        <w:rPr>
          <w:lang w:val="en-US"/>
        </w:rPr>
        <w:t xml:space="preserve"> = 1.72, </w:t>
      </w:r>
      <w:proofErr w:type="spellStart"/>
      <w:r w:rsidRPr="00761FD9">
        <w:rPr>
          <w:lang w:val="en-US"/>
        </w:rPr>
        <w:t>SD</w:t>
      </w:r>
      <w:r w:rsidRPr="00761FD9">
        <w:rPr>
          <w:vertAlign w:val="subscript"/>
          <w:lang w:val="en-US"/>
        </w:rPr>
        <w:t>switch</w:t>
      </w:r>
      <w:proofErr w:type="spellEnd"/>
      <w:r w:rsidRPr="00761FD9">
        <w:rPr>
          <w:lang w:val="en-US"/>
        </w:rPr>
        <w:t xml:space="preserve"> = 1.76; </w:t>
      </w:r>
      <w:proofErr w:type="spellStart"/>
      <w:r w:rsidRPr="00761FD9">
        <w:rPr>
          <w:lang w:val="en-US"/>
        </w:rPr>
        <w:t>p</w:t>
      </w:r>
      <w:r w:rsidRPr="00761FD9">
        <w:rPr>
          <w:vertAlign w:val="subscript"/>
          <w:lang w:val="en-US"/>
        </w:rPr>
        <w:t>single</w:t>
      </w:r>
      <w:proofErr w:type="spellEnd"/>
      <w:r w:rsidRPr="00761FD9">
        <w:rPr>
          <w:vertAlign w:val="subscript"/>
          <w:lang w:val="en-US"/>
        </w:rPr>
        <w:t>-repeat</w:t>
      </w:r>
      <w:r w:rsidRPr="00761FD9">
        <w:rPr>
          <w:lang w:val="en-US"/>
        </w:rPr>
        <w:t xml:space="preserve"> = .</w:t>
      </w:r>
      <w:proofErr w:type="gramStart"/>
      <w:r w:rsidRPr="00761FD9">
        <w:rPr>
          <w:lang w:val="en-US"/>
        </w:rPr>
        <w:t>001 ;</w:t>
      </w:r>
      <w:proofErr w:type="gramEnd"/>
      <w:r w:rsidRPr="00761FD9">
        <w:rPr>
          <w:lang w:val="en-US"/>
        </w:rPr>
        <w:t xml:space="preserve"> </w:t>
      </w:r>
      <w:proofErr w:type="spellStart"/>
      <w:r w:rsidRPr="00761FD9">
        <w:rPr>
          <w:lang w:val="en-US"/>
        </w:rPr>
        <w:t>p</w:t>
      </w:r>
      <w:r w:rsidRPr="00761FD9">
        <w:rPr>
          <w:vertAlign w:val="subscript"/>
          <w:lang w:val="en-US"/>
        </w:rPr>
        <w:t>single</w:t>
      </w:r>
      <w:proofErr w:type="spellEnd"/>
      <w:r w:rsidRPr="00761FD9">
        <w:rPr>
          <w:vertAlign w:val="subscript"/>
          <w:lang w:val="en-US"/>
        </w:rPr>
        <w:t>-switch</w:t>
      </w:r>
      <w:r w:rsidRPr="00761FD9">
        <w:rPr>
          <w:lang w:val="en-US"/>
        </w:rPr>
        <w:t xml:space="preserve"> &lt; .001; </w:t>
      </w:r>
      <w:proofErr w:type="spellStart"/>
      <w:r w:rsidRPr="00761FD9">
        <w:rPr>
          <w:lang w:val="en-US"/>
        </w:rPr>
        <w:t>p</w:t>
      </w:r>
      <w:r w:rsidRPr="00761FD9">
        <w:rPr>
          <w:vertAlign w:val="subscript"/>
          <w:lang w:val="en-US"/>
        </w:rPr>
        <w:t>repeat</w:t>
      </w:r>
      <w:proofErr w:type="spellEnd"/>
      <w:r w:rsidRPr="00761FD9">
        <w:rPr>
          <w:vertAlign w:val="subscript"/>
          <w:lang w:val="en-US"/>
        </w:rPr>
        <w:t>-switch</w:t>
      </w:r>
      <w:r w:rsidRPr="00761FD9">
        <w:rPr>
          <w:lang w:val="en-US"/>
        </w:rPr>
        <w:t xml:space="preserve"> = .01). Interestingly, within perturbed </w:t>
      </w:r>
      <w:r w:rsidR="00F6318A" w:rsidRPr="00A6714C">
        <w:rPr>
          <w:lang w:val="en-US"/>
        </w:rPr>
        <w:t>walking</w:t>
      </w:r>
      <w:r w:rsidR="00A6714C">
        <w:rPr>
          <w:lang w:val="en-US"/>
        </w:rPr>
        <w:t xml:space="preserve"> conditions</w:t>
      </w:r>
      <w:r w:rsidR="00F6318A" w:rsidRPr="00A6714C">
        <w:rPr>
          <w:lang w:val="en-US"/>
        </w:rPr>
        <w:t xml:space="preserve"> </w:t>
      </w:r>
      <w:r w:rsidRPr="00761FD9">
        <w:rPr>
          <w:lang w:val="en-US"/>
        </w:rPr>
        <w:t>we again only found significant differences between single-task trials and repeat as well as switch trials (</w:t>
      </w:r>
      <w:proofErr w:type="spellStart"/>
      <w:r w:rsidRPr="00761FD9">
        <w:rPr>
          <w:lang w:val="en-US"/>
        </w:rPr>
        <w:t>M</w:t>
      </w:r>
      <w:r w:rsidRPr="00761FD9">
        <w:rPr>
          <w:vertAlign w:val="subscript"/>
          <w:lang w:val="en-US"/>
        </w:rPr>
        <w:t>single</w:t>
      </w:r>
      <w:proofErr w:type="spellEnd"/>
      <w:r w:rsidRPr="00761FD9">
        <w:rPr>
          <w:vertAlign w:val="subscript"/>
          <w:lang w:val="en-US"/>
        </w:rPr>
        <w:t xml:space="preserve"> </w:t>
      </w:r>
      <w:r w:rsidRPr="00761FD9">
        <w:rPr>
          <w:lang w:val="en-US"/>
        </w:rPr>
        <w:t xml:space="preserve">= 3.22, </w:t>
      </w:r>
      <w:proofErr w:type="spellStart"/>
      <w:r w:rsidRPr="00761FD9">
        <w:rPr>
          <w:lang w:val="en-US"/>
        </w:rPr>
        <w:t>SD</w:t>
      </w:r>
      <w:r w:rsidRPr="00761FD9">
        <w:rPr>
          <w:vertAlign w:val="subscript"/>
          <w:lang w:val="en-US"/>
        </w:rPr>
        <w:t>single</w:t>
      </w:r>
      <w:proofErr w:type="spellEnd"/>
      <w:r w:rsidRPr="00761FD9">
        <w:rPr>
          <w:lang w:val="en-US"/>
        </w:rPr>
        <w:t xml:space="preserve"> = 2.04; </w:t>
      </w:r>
      <w:proofErr w:type="spellStart"/>
      <w:r w:rsidRPr="00761FD9">
        <w:rPr>
          <w:lang w:val="en-US"/>
        </w:rPr>
        <w:t>M</w:t>
      </w:r>
      <w:r w:rsidRPr="00761FD9">
        <w:rPr>
          <w:vertAlign w:val="subscript"/>
          <w:lang w:val="en-US"/>
        </w:rPr>
        <w:t>repeat</w:t>
      </w:r>
      <w:proofErr w:type="spellEnd"/>
      <w:r w:rsidRPr="00761FD9">
        <w:rPr>
          <w:lang w:val="en-US"/>
        </w:rPr>
        <w:t xml:space="preserve"> = 1.76, </w:t>
      </w:r>
      <w:proofErr w:type="spellStart"/>
      <w:r w:rsidRPr="00761FD9">
        <w:rPr>
          <w:lang w:val="en-US"/>
        </w:rPr>
        <w:t>SD</w:t>
      </w:r>
      <w:r w:rsidRPr="00761FD9">
        <w:rPr>
          <w:vertAlign w:val="subscript"/>
          <w:lang w:val="en-US"/>
        </w:rPr>
        <w:t>repeat</w:t>
      </w:r>
      <w:proofErr w:type="spellEnd"/>
      <w:r w:rsidRPr="00761FD9">
        <w:rPr>
          <w:lang w:val="en-US"/>
        </w:rPr>
        <w:t xml:space="preserve"> = 1.66; </w:t>
      </w:r>
      <w:proofErr w:type="spellStart"/>
      <w:r w:rsidRPr="00761FD9">
        <w:rPr>
          <w:lang w:val="en-US"/>
        </w:rPr>
        <w:t>M</w:t>
      </w:r>
      <w:r w:rsidRPr="00761FD9">
        <w:rPr>
          <w:vertAlign w:val="subscript"/>
          <w:lang w:val="en-US"/>
        </w:rPr>
        <w:t>switch</w:t>
      </w:r>
      <w:proofErr w:type="spellEnd"/>
      <w:r w:rsidRPr="00761FD9">
        <w:rPr>
          <w:lang w:val="en-US"/>
        </w:rPr>
        <w:t xml:space="preserve"> = 1.43, </w:t>
      </w:r>
      <w:proofErr w:type="spellStart"/>
      <w:r w:rsidRPr="00761FD9">
        <w:rPr>
          <w:lang w:val="en-US"/>
        </w:rPr>
        <w:t>SD</w:t>
      </w:r>
      <w:r w:rsidRPr="00761FD9">
        <w:rPr>
          <w:vertAlign w:val="subscript"/>
          <w:lang w:val="en-US"/>
        </w:rPr>
        <w:t>switch</w:t>
      </w:r>
      <w:proofErr w:type="spellEnd"/>
      <w:r w:rsidRPr="00761FD9">
        <w:rPr>
          <w:lang w:val="en-US"/>
        </w:rPr>
        <w:t xml:space="preserve"> = 1.50; </w:t>
      </w:r>
      <w:proofErr w:type="spellStart"/>
      <w:r w:rsidRPr="00761FD9">
        <w:rPr>
          <w:lang w:val="en-US"/>
        </w:rPr>
        <w:t>p</w:t>
      </w:r>
      <w:r w:rsidRPr="00761FD9">
        <w:rPr>
          <w:vertAlign w:val="subscript"/>
          <w:lang w:val="en-US"/>
        </w:rPr>
        <w:t>single</w:t>
      </w:r>
      <w:proofErr w:type="spellEnd"/>
      <w:r w:rsidRPr="00761FD9">
        <w:rPr>
          <w:vertAlign w:val="subscript"/>
          <w:lang w:val="en-US"/>
        </w:rPr>
        <w:t>-repeat</w:t>
      </w:r>
      <w:r w:rsidRPr="00761FD9">
        <w:rPr>
          <w:lang w:val="en-US"/>
        </w:rPr>
        <w:t xml:space="preserve"> &lt; .</w:t>
      </w:r>
      <w:proofErr w:type="gramStart"/>
      <w:r w:rsidRPr="00761FD9">
        <w:rPr>
          <w:lang w:val="en-US"/>
        </w:rPr>
        <w:t>001 ;</w:t>
      </w:r>
      <w:proofErr w:type="gramEnd"/>
      <w:r w:rsidRPr="00761FD9">
        <w:rPr>
          <w:lang w:val="en-US"/>
        </w:rPr>
        <w:t xml:space="preserve"> </w:t>
      </w:r>
      <w:proofErr w:type="spellStart"/>
      <w:r w:rsidRPr="00761FD9">
        <w:rPr>
          <w:lang w:val="en-US"/>
        </w:rPr>
        <w:t>p</w:t>
      </w:r>
      <w:r w:rsidRPr="00761FD9">
        <w:rPr>
          <w:vertAlign w:val="subscript"/>
          <w:lang w:val="en-US"/>
        </w:rPr>
        <w:t>single</w:t>
      </w:r>
      <w:proofErr w:type="spellEnd"/>
      <w:r w:rsidRPr="00761FD9">
        <w:rPr>
          <w:vertAlign w:val="subscript"/>
          <w:lang w:val="en-US"/>
        </w:rPr>
        <w:t>-switch</w:t>
      </w:r>
      <w:r w:rsidRPr="00761FD9">
        <w:rPr>
          <w:lang w:val="en-US"/>
        </w:rPr>
        <w:t xml:space="preserve"> &lt; .001).</w:t>
      </w:r>
    </w:p>
    <w:p w14:paraId="6181A329" w14:textId="050E89C5" w:rsidR="006E6194" w:rsidRDefault="006E6194" w:rsidP="005D3011">
      <w:pPr>
        <w:jc w:val="center"/>
        <w:rPr>
          <w:lang w:val="en-US"/>
        </w:rPr>
      </w:pPr>
      <w:r>
        <w:rPr>
          <w:noProof/>
          <w:lang w:val="en-US"/>
        </w:rPr>
        <w:drawing>
          <wp:inline distT="0" distB="0" distL="0" distR="0" wp14:anchorId="19C7F1FB" wp14:editId="1D8450FC">
            <wp:extent cx="5339897" cy="3128070"/>
            <wp:effectExtent l="0" t="0" r="0" b="0"/>
            <wp:docPr id="1979431608" name="Grafik 197943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31608" name="Grafik 197943160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39897" cy="3128070"/>
                    </a:xfrm>
                    <a:prstGeom prst="rect">
                      <a:avLst/>
                    </a:prstGeom>
                  </pic:spPr>
                </pic:pic>
              </a:graphicData>
            </a:graphic>
          </wp:inline>
        </w:drawing>
      </w:r>
    </w:p>
    <w:p w14:paraId="737819C6" w14:textId="465DB209" w:rsidR="006E6194" w:rsidRPr="006E6194" w:rsidRDefault="006E6194" w:rsidP="006E6194">
      <w:pPr>
        <w:pStyle w:val="Beschriftung"/>
        <w:rPr>
          <w:color w:val="000000" w:themeColor="text1"/>
          <w:lang w:val="en-US"/>
        </w:rPr>
      </w:pPr>
      <w:bookmarkStart w:id="10" w:name="_Ref131172416"/>
      <w:r w:rsidRPr="00F855D0">
        <w:rPr>
          <w:color w:val="000000" w:themeColor="text1"/>
          <w:lang w:val="en-US"/>
        </w:rPr>
        <w:t xml:space="preserve">Figure </w:t>
      </w:r>
      <w:r w:rsidRPr="00F855D0">
        <w:rPr>
          <w:color w:val="000000" w:themeColor="text1"/>
        </w:rPr>
        <w:fldChar w:fldCharType="begin"/>
      </w:r>
      <w:r w:rsidRPr="00F855D0">
        <w:rPr>
          <w:color w:val="000000" w:themeColor="text1"/>
          <w:lang w:val="en-US"/>
        </w:rPr>
        <w:instrText xml:space="preserve"> SEQ Figure \* ARABIC </w:instrText>
      </w:r>
      <w:r w:rsidRPr="00F855D0">
        <w:rPr>
          <w:color w:val="000000" w:themeColor="text1"/>
        </w:rPr>
        <w:fldChar w:fldCharType="separate"/>
      </w:r>
      <w:r w:rsidR="00B12A7D">
        <w:rPr>
          <w:noProof/>
          <w:color w:val="000000" w:themeColor="text1"/>
          <w:lang w:val="en-US"/>
        </w:rPr>
        <w:t>6</w:t>
      </w:r>
      <w:r w:rsidRPr="00F855D0">
        <w:rPr>
          <w:color w:val="000000" w:themeColor="text1"/>
        </w:rPr>
        <w:fldChar w:fldCharType="end"/>
      </w:r>
      <w:bookmarkEnd w:id="10"/>
      <w:r w:rsidRPr="00F855D0">
        <w:rPr>
          <w:color w:val="000000" w:themeColor="text1"/>
          <w:lang w:val="en-US"/>
        </w:rPr>
        <w:t xml:space="preserve">. </w:t>
      </w:r>
      <w:r>
        <w:rPr>
          <w:i w:val="0"/>
          <w:iCs w:val="0"/>
          <w:color w:val="000000" w:themeColor="text1"/>
          <w:lang w:val="en-US"/>
        </w:rPr>
        <w:t xml:space="preserve">Posterior EEG activity. a) </w:t>
      </w:r>
      <w:r w:rsidRPr="00F855D0">
        <w:rPr>
          <w:i w:val="0"/>
          <w:iCs w:val="0"/>
          <w:color w:val="000000" w:themeColor="text1"/>
          <w:lang w:val="en-US"/>
        </w:rPr>
        <w:t xml:space="preserve">ERP line plots of mean activation at </w:t>
      </w:r>
      <w:proofErr w:type="spellStart"/>
      <w:r w:rsidR="00C86F41">
        <w:rPr>
          <w:i w:val="0"/>
          <w:iCs w:val="0"/>
          <w:color w:val="000000" w:themeColor="text1"/>
          <w:lang w:val="en-US"/>
        </w:rPr>
        <w:t>centro</w:t>
      </w:r>
      <w:proofErr w:type="spellEnd"/>
      <w:r w:rsidR="00C86F41">
        <w:rPr>
          <w:i w:val="0"/>
          <w:iCs w:val="0"/>
          <w:color w:val="000000" w:themeColor="text1"/>
          <w:lang w:val="en-US"/>
        </w:rPr>
        <w:t>-parietal to occipital</w:t>
      </w:r>
      <w:r w:rsidR="00C86F41" w:rsidRPr="00F855D0">
        <w:rPr>
          <w:i w:val="0"/>
          <w:iCs w:val="0"/>
          <w:color w:val="000000" w:themeColor="text1"/>
          <w:lang w:val="en-US"/>
        </w:rPr>
        <w:t xml:space="preserve"> </w:t>
      </w:r>
      <w:r w:rsidRPr="00F855D0">
        <w:rPr>
          <w:i w:val="0"/>
          <w:iCs w:val="0"/>
          <w:color w:val="000000" w:themeColor="text1"/>
          <w:lang w:val="en-US"/>
        </w:rPr>
        <w:t>sites (</w:t>
      </w:r>
      <w:proofErr w:type="spellStart"/>
      <w:r w:rsidRPr="00F855D0">
        <w:rPr>
          <w:i w:val="0"/>
          <w:iCs w:val="0"/>
          <w:color w:val="000000" w:themeColor="text1"/>
          <w:lang w:val="en-US"/>
        </w:rPr>
        <w:t>CPz</w:t>
      </w:r>
      <w:proofErr w:type="spellEnd"/>
      <w:r w:rsidRPr="00F855D0">
        <w:rPr>
          <w:i w:val="0"/>
          <w:iCs w:val="0"/>
          <w:color w:val="000000" w:themeColor="text1"/>
          <w:lang w:val="en-US"/>
        </w:rPr>
        <w:t xml:space="preserve">, CP1, CP2, </w:t>
      </w:r>
      <w:proofErr w:type="spellStart"/>
      <w:r w:rsidRPr="00F855D0">
        <w:rPr>
          <w:i w:val="0"/>
          <w:iCs w:val="0"/>
          <w:color w:val="000000" w:themeColor="text1"/>
          <w:lang w:val="en-US"/>
        </w:rPr>
        <w:t>Pz</w:t>
      </w:r>
      <w:proofErr w:type="spellEnd"/>
      <w:r w:rsidRPr="00F855D0">
        <w:rPr>
          <w:i w:val="0"/>
          <w:iCs w:val="0"/>
          <w:color w:val="000000" w:themeColor="text1"/>
          <w:lang w:val="en-US"/>
        </w:rPr>
        <w:t>, P1, P2, P3,</w:t>
      </w:r>
      <w:r w:rsidR="0074130E">
        <w:rPr>
          <w:i w:val="0"/>
          <w:iCs w:val="0"/>
          <w:color w:val="000000" w:themeColor="text1"/>
          <w:lang w:val="en-US"/>
        </w:rPr>
        <w:t xml:space="preserve"> </w:t>
      </w:r>
      <w:r w:rsidRPr="00F855D0">
        <w:rPr>
          <w:i w:val="0"/>
          <w:iCs w:val="0"/>
          <w:color w:val="000000" w:themeColor="text1"/>
          <w:lang w:val="en-US"/>
        </w:rPr>
        <w:t xml:space="preserve">P4, </w:t>
      </w:r>
      <w:proofErr w:type="spellStart"/>
      <w:r w:rsidRPr="00F855D0">
        <w:rPr>
          <w:i w:val="0"/>
          <w:iCs w:val="0"/>
          <w:color w:val="000000" w:themeColor="text1"/>
          <w:lang w:val="en-US"/>
        </w:rPr>
        <w:t>POz</w:t>
      </w:r>
      <w:proofErr w:type="spellEnd"/>
      <w:r w:rsidRPr="00F855D0">
        <w:rPr>
          <w:i w:val="0"/>
          <w:iCs w:val="0"/>
          <w:color w:val="000000" w:themeColor="text1"/>
          <w:lang w:val="en-US"/>
        </w:rPr>
        <w:t>, PO3, PO4, Oz, O1, O2).</w:t>
      </w:r>
      <w:r>
        <w:rPr>
          <w:i w:val="0"/>
          <w:iCs w:val="0"/>
          <w:color w:val="000000" w:themeColor="text1"/>
          <w:lang w:val="en-US"/>
        </w:rPr>
        <w:t xml:space="preserve"> </w:t>
      </w:r>
      <w:r w:rsidR="00C86F41">
        <w:rPr>
          <w:i w:val="0"/>
          <w:iCs w:val="0"/>
          <w:color w:val="000000" w:themeColor="text1"/>
          <w:lang w:val="en-US"/>
        </w:rPr>
        <w:t xml:space="preserve">The </w:t>
      </w:r>
      <w:r>
        <w:rPr>
          <w:i w:val="0"/>
          <w:iCs w:val="0"/>
          <w:color w:val="000000" w:themeColor="text1"/>
          <w:lang w:val="en-US"/>
        </w:rPr>
        <w:t xml:space="preserve">P3 (250 ms: 600 ms) time window </w:t>
      </w:r>
      <w:r w:rsidR="00C86F41">
        <w:rPr>
          <w:i w:val="0"/>
          <w:iCs w:val="0"/>
          <w:color w:val="000000" w:themeColor="text1"/>
          <w:lang w:val="en-US"/>
        </w:rPr>
        <w:t xml:space="preserve">is </w:t>
      </w:r>
      <w:r>
        <w:rPr>
          <w:i w:val="0"/>
          <w:iCs w:val="0"/>
          <w:color w:val="000000" w:themeColor="text1"/>
          <w:lang w:val="en-US"/>
        </w:rPr>
        <w:t>indicated by the grey rectangles</w:t>
      </w:r>
      <w:r w:rsidR="00C86F41">
        <w:rPr>
          <w:i w:val="0"/>
          <w:iCs w:val="0"/>
          <w:color w:val="000000" w:themeColor="text1"/>
          <w:lang w:val="en-US"/>
        </w:rPr>
        <w:t>.</w:t>
      </w:r>
      <w:r>
        <w:rPr>
          <w:i w:val="0"/>
          <w:iCs w:val="0"/>
          <w:color w:val="000000" w:themeColor="text1"/>
          <w:lang w:val="en-US"/>
        </w:rPr>
        <w:t xml:space="preserve"> The vertical line at 0 ms represents the presentation of the target stimulus. The cue</w:t>
      </w:r>
      <w:r w:rsidR="00C86F41">
        <w:rPr>
          <w:i w:val="0"/>
          <w:iCs w:val="0"/>
          <w:color w:val="000000" w:themeColor="text1"/>
          <w:lang w:val="en-US"/>
        </w:rPr>
        <w:t xml:space="preserve"> stimulus</w:t>
      </w:r>
      <w:r>
        <w:rPr>
          <w:i w:val="0"/>
          <w:iCs w:val="0"/>
          <w:color w:val="000000" w:themeColor="text1"/>
          <w:lang w:val="en-US"/>
        </w:rPr>
        <w:t xml:space="preserve"> was presented at -600 ms. The baseline time window was applied between -</w:t>
      </w:r>
      <w:r w:rsidR="00C86F41">
        <w:rPr>
          <w:i w:val="0"/>
          <w:iCs w:val="0"/>
          <w:color w:val="000000" w:themeColor="text1"/>
          <w:lang w:val="en-US"/>
        </w:rPr>
        <w:t xml:space="preserve">200 </w:t>
      </w:r>
      <w:r>
        <w:rPr>
          <w:i w:val="0"/>
          <w:iCs w:val="0"/>
          <w:color w:val="000000" w:themeColor="text1"/>
          <w:lang w:val="en-US"/>
        </w:rPr>
        <w:t xml:space="preserve">ms and </w:t>
      </w:r>
      <w:r w:rsidR="00C86F41">
        <w:rPr>
          <w:i w:val="0"/>
          <w:iCs w:val="0"/>
          <w:color w:val="000000" w:themeColor="text1"/>
          <w:lang w:val="en-US"/>
        </w:rPr>
        <w:t>0</w:t>
      </w:r>
      <w:r>
        <w:rPr>
          <w:i w:val="0"/>
          <w:iCs w:val="0"/>
          <w:color w:val="000000" w:themeColor="text1"/>
          <w:lang w:val="en-US"/>
        </w:rPr>
        <w:t xml:space="preserve"> ms prior to </w:t>
      </w:r>
      <w:r w:rsidR="002877B2">
        <w:rPr>
          <w:i w:val="0"/>
          <w:iCs w:val="0"/>
          <w:color w:val="000000" w:themeColor="text1"/>
          <w:lang w:val="en-US"/>
        </w:rPr>
        <w:t xml:space="preserve">the </w:t>
      </w:r>
      <w:r>
        <w:rPr>
          <w:i w:val="0"/>
          <w:iCs w:val="0"/>
          <w:color w:val="000000" w:themeColor="text1"/>
          <w:lang w:val="en-US"/>
        </w:rPr>
        <w:t xml:space="preserve">target stimulus presentation. </w:t>
      </w:r>
      <w:r w:rsidR="00DC727A" w:rsidRPr="00DC727A">
        <w:rPr>
          <w:color w:val="000000" w:themeColor="text1"/>
          <w:lang w:val="en-US"/>
        </w:rPr>
        <w:t>Note:</w:t>
      </w:r>
      <w:r w:rsidR="00DC727A">
        <w:rPr>
          <w:color w:val="000000" w:themeColor="text1"/>
          <w:lang w:val="en-US"/>
        </w:rPr>
        <w:t xml:space="preserve"> </w:t>
      </w:r>
      <w:r w:rsidRPr="006853FE">
        <w:rPr>
          <w:i w:val="0"/>
          <w:iCs w:val="0"/>
          <w:color w:val="000000" w:themeColor="text1"/>
          <w:lang w:val="en-US"/>
        </w:rPr>
        <w:t xml:space="preserve">Differences in pre-target-stimulus timepoints originate from the presentation of </w:t>
      </w:r>
      <w:r w:rsidR="00F11389">
        <w:rPr>
          <w:i w:val="0"/>
          <w:iCs w:val="0"/>
          <w:color w:val="000000" w:themeColor="text1"/>
          <w:lang w:val="en-US"/>
        </w:rPr>
        <w:t>cue stimuli</w:t>
      </w:r>
      <w:r w:rsidRPr="006853FE">
        <w:rPr>
          <w:i w:val="0"/>
          <w:iCs w:val="0"/>
          <w:color w:val="000000" w:themeColor="text1"/>
          <w:lang w:val="en-US"/>
        </w:rPr>
        <w:t xml:space="preserve"> in different modalities (visual and auditory).</w:t>
      </w:r>
      <w:r w:rsidR="00C86F41">
        <w:rPr>
          <w:i w:val="0"/>
          <w:iCs w:val="0"/>
          <w:color w:val="000000" w:themeColor="text1"/>
          <w:lang w:val="en-US"/>
        </w:rPr>
        <w:t xml:space="preserve"> </w:t>
      </w:r>
      <w:r>
        <w:rPr>
          <w:i w:val="0"/>
          <w:iCs w:val="0"/>
          <w:color w:val="000000" w:themeColor="text1"/>
          <w:lang w:val="en-US"/>
        </w:rPr>
        <w:t xml:space="preserve">b) </w:t>
      </w:r>
      <w:r w:rsidR="00C86F41">
        <w:rPr>
          <w:i w:val="0"/>
          <w:iCs w:val="0"/>
          <w:color w:val="000000" w:themeColor="text1"/>
          <w:lang w:val="en-US"/>
        </w:rPr>
        <w:t xml:space="preserve">Mean P3 </w:t>
      </w:r>
      <w:proofErr w:type="spellStart"/>
      <w:r w:rsidR="00C86F41">
        <w:rPr>
          <w:i w:val="0"/>
          <w:iCs w:val="0"/>
          <w:color w:val="000000" w:themeColor="text1"/>
          <w:lang w:val="en-US"/>
        </w:rPr>
        <w:t>ampilutdes</w:t>
      </w:r>
      <w:proofErr w:type="spellEnd"/>
      <w:r w:rsidR="00C86F41">
        <w:rPr>
          <w:i w:val="0"/>
          <w:iCs w:val="0"/>
          <w:color w:val="000000" w:themeColor="text1"/>
          <w:lang w:val="en-US"/>
        </w:rPr>
        <w:t xml:space="preserve"> for movement and task difficulty conditions</w:t>
      </w:r>
      <w:r>
        <w:rPr>
          <w:i w:val="0"/>
          <w:iCs w:val="0"/>
          <w:color w:val="000000" w:themeColor="text1"/>
          <w:lang w:val="en-US"/>
        </w:rPr>
        <w:t xml:space="preserve">. c) </w:t>
      </w:r>
      <w:r w:rsidR="00C86F41">
        <w:rPr>
          <w:i w:val="0"/>
          <w:iCs w:val="0"/>
          <w:color w:val="000000" w:themeColor="text1"/>
          <w:lang w:val="en-US"/>
        </w:rPr>
        <w:t xml:space="preserve">Mean P3 amplitudes for </w:t>
      </w:r>
      <w:r w:rsidR="00A36301">
        <w:rPr>
          <w:i w:val="0"/>
          <w:iCs w:val="0"/>
          <w:color w:val="000000" w:themeColor="text1"/>
          <w:lang w:val="en-US"/>
        </w:rPr>
        <w:t>the movement and task difficulty interaction</w:t>
      </w:r>
      <w:r>
        <w:rPr>
          <w:i w:val="0"/>
          <w:iCs w:val="0"/>
          <w:color w:val="000000" w:themeColor="text1"/>
          <w:lang w:val="en-US"/>
        </w:rPr>
        <w:t>.</w:t>
      </w:r>
    </w:p>
    <w:p w14:paraId="282AFF76" w14:textId="1B1116F4" w:rsidR="006526BB" w:rsidRPr="00F94C78" w:rsidRDefault="006526BB" w:rsidP="006526BB">
      <w:pPr>
        <w:pStyle w:val="Beschriftung"/>
        <w:rPr>
          <w:lang w:val="en-US"/>
        </w:rPr>
      </w:pPr>
      <w:bookmarkStart w:id="11" w:name="_Ref131167058"/>
      <w:r w:rsidRPr="006526BB">
        <w:rPr>
          <w:lang w:val="en-US"/>
        </w:rPr>
        <w:t xml:space="preserve">Table </w:t>
      </w:r>
      <w:r w:rsidR="002F7331">
        <w:rPr>
          <w:lang w:val="en-US"/>
        </w:rPr>
        <w:fldChar w:fldCharType="begin"/>
      </w:r>
      <w:r w:rsidR="002F7331">
        <w:rPr>
          <w:lang w:val="en-US"/>
        </w:rPr>
        <w:instrText xml:space="preserve"> SEQ Table \* ARABIC </w:instrText>
      </w:r>
      <w:r w:rsidR="002F7331">
        <w:rPr>
          <w:lang w:val="en-US"/>
        </w:rPr>
        <w:fldChar w:fldCharType="separate"/>
      </w:r>
      <w:r w:rsidR="002F7331">
        <w:rPr>
          <w:noProof/>
          <w:lang w:val="en-US"/>
        </w:rPr>
        <w:t>5</w:t>
      </w:r>
      <w:r w:rsidR="002F7331">
        <w:rPr>
          <w:lang w:val="en-US"/>
        </w:rPr>
        <w:fldChar w:fldCharType="end"/>
      </w:r>
      <w:bookmarkEnd w:id="11"/>
      <w:r w:rsidRPr="006526BB">
        <w:rPr>
          <w:lang w:val="en-US"/>
        </w:rPr>
        <w:t>. ERP factorial mass univariate analysis results.</w:t>
      </w:r>
    </w:p>
    <w:tbl>
      <w:tblPr>
        <w:tblStyle w:val="Listentabelle6farbig"/>
        <w:tblW w:w="9208" w:type="dxa"/>
        <w:tblLayout w:type="fixed"/>
        <w:tblLook w:val="04A0" w:firstRow="1" w:lastRow="0" w:firstColumn="1" w:lastColumn="0" w:noHBand="0" w:noVBand="1"/>
      </w:tblPr>
      <w:tblGrid>
        <w:gridCol w:w="2830"/>
        <w:gridCol w:w="1134"/>
        <w:gridCol w:w="4536"/>
        <w:gridCol w:w="708"/>
      </w:tblGrid>
      <w:tr w:rsidR="00BE0D1E" w:rsidRPr="00FF79AB" w14:paraId="1B34AEBC" w14:textId="77777777" w:rsidTr="005D30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6762B301" w14:textId="3C247559" w:rsidR="00BE0D1E" w:rsidRDefault="00BE0D1E" w:rsidP="00BE0D1E">
            <w:pPr>
              <w:rPr>
                <w:b w:val="0"/>
                <w:bCs w:val="0"/>
                <w:sz w:val="18"/>
                <w:szCs w:val="18"/>
                <w:lang w:val="en-US"/>
              </w:rPr>
            </w:pPr>
            <w:proofErr w:type="spellStart"/>
            <w:r>
              <w:rPr>
                <w:sz w:val="18"/>
                <w:szCs w:val="18"/>
                <w:lang w:val="en-US"/>
              </w:rPr>
              <w:t>Fronto</w:t>
            </w:r>
            <w:proofErr w:type="spellEnd"/>
            <w:r>
              <w:rPr>
                <w:sz w:val="18"/>
                <w:szCs w:val="18"/>
                <w:lang w:val="en-US"/>
              </w:rPr>
              <w:t>-central</w:t>
            </w:r>
            <w:r w:rsidR="005A7029">
              <w:rPr>
                <w:sz w:val="18"/>
                <w:szCs w:val="18"/>
                <w:lang w:val="en-US"/>
              </w:rPr>
              <w:t xml:space="preserve"> auditory</w:t>
            </w:r>
            <w:r>
              <w:rPr>
                <w:sz w:val="18"/>
                <w:szCs w:val="18"/>
                <w:lang w:val="en-US"/>
              </w:rPr>
              <w:t xml:space="preserve"> CNV</w:t>
            </w:r>
            <w:r w:rsidR="005A7029">
              <w:rPr>
                <w:sz w:val="18"/>
                <w:szCs w:val="18"/>
                <w:lang w:val="en-US"/>
              </w:rPr>
              <w:t xml:space="preserve"> </w:t>
            </w:r>
          </w:p>
        </w:tc>
        <w:tc>
          <w:tcPr>
            <w:tcW w:w="1134" w:type="dxa"/>
            <w:shd w:val="clear" w:color="auto" w:fill="FFFFFF" w:themeFill="background1"/>
          </w:tcPr>
          <w:p w14:paraId="507A1896" w14:textId="77777777" w:rsidR="00BE0D1E" w:rsidRPr="00FF79AB" w:rsidRDefault="00BE0D1E" w:rsidP="00BE0D1E">
            <w:pPr>
              <w:cnfStyle w:val="100000000000" w:firstRow="1" w:lastRow="0" w:firstColumn="0" w:lastColumn="0" w:oddVBand="0" w:evenVBand="0" w:oddHBand="0" w:evenHBand="0" w:firstRowFirstColumn="0" w:firstRowLastColumn="0" w:lastRowFirstColumn="0" w:lastRowLastColumn="0"/>
              <w:rPr>
                <w:sz w:val="18"/>
                <w:szCs w:val="18"/>
                <w:lang w:val="en-US"/>
              </w:rPr>
            </w:pPr>
          </w:p>
        </w:tc>
        <w:tc>
          <w:tcPr>
            <w:tcW w:w="4536" w:type="dxa"/>
            <w:shd w:val="clear" w:color="auto" w:fill="FFFFFF" w:themeFill="background1"/>
          </w:tcPr>
          <w:p w14:paraId="770E098E" w14:textId="77777777" w:rsidR="00BE0D1E" w:rsidRPr="00FF79AB" w:rsidRDefault="00BE0D1E" w:rsidP="00BE0D1E">
            <w:pPr>
              <w:cnfStyle w:val="100000000000" w:firstRow="1" w:lastRow="0" w:firstColumn="0" w:lastColumn="0" w:oddVBand="0" w:evenVBand="0" w:oddHBand="0" w:evenHBand="0" w:firstRowFirstColumn="0" w:firstRowLastColumn="0" w:lastRowFirstColumn="0" w:lastRowLastColumn="0"/>
              <w:rPr>
                <w:sz w:val="18"/>
                <w:szCs w:val="18"/>
                <w:lang w:val="en-US"/>
              </w:rPr>
            </w:pPr>
          </w:p>
        </w:tc>
        <w:tc>
          <w:tcPr>
            <w:tcW w:w="708" w:type="dxa"/>
            <w:shd w:val="clear" w:color="auto" w:fill="FFFFFF" w:themeFill="background1"/>
          </w:tcPr>
          <w:p w14:paraId="70918F55" w14:textId="77777777" w:rsidR="00BE0D1E" w:rsidRPr="00FF79AB" w:rsidRDefault="00BE0D1E" w:rsidP="00BE0D1E">
            <w:pPr>
              <w:cnfStyle w:val="100000000000" w:firstRow="1" w:lastRow="0" w:firstColumn="0" w:lastColumn="0" w:oddVBand="0" w:evenVBand="0" w:oddHBand="0" w:evenHBand="0" w:firstRowFirstColumn="0" w:firstRowLastColumn="0" w:lastRowFirstColumn="0" w:lastRowLastColumn="0"/>
              <w:rPr>
                <w:sz w:val="18"/>
                <w:szCs w:val="18"/>
                <w:lang w:val="en-US"/>
              </w:rPr>
            </w:pPr>
          </w:p>
        </w:tc>
      </w:tr>
      <w:tr w:rsidR="00BE0D1E" w:rsidRPr="00FF79AB" w14:paraId="62B90E59"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31865B6C" w14:textId="63A06114" w:rsidR="00BE0D1E" w:rsidRDefault="00BE0D1E" w:rsidP="00BE0D1E">
            <w:pPr>
              <w:rPr>
                <w:b w:val="0"/>
                <w:bCs w:val="0"/>
                <w:sz w:val="18"/>
                <w:szCs w:val="18"/>
                <w:lang w:val="en-US"/>
              </w:rPr>
            </w:pPr>
            <w:r>
              <w:rPr>
                <w:sz w:val="18"/>
                <w:szCs w:val="18"/>
                <w:lang w:val="en-US"/>
              </w:rPr>
              <w:t>difficulty</w:t>
            </w:r>
          </w:p>
        </w:tc>
        <w:tc>
          <w:tcPr>
            <w:tcW w:w="1134" w:type="dxa"/>
            <w:shd w:val="clear" w:color="auto" w:fill="FFFFFF" w:themeFill="background1"/>
          </w:tcPr>
          <w:p w14:paraId="0A6E0738" w14:textId="2E733207" w:rsidR="00BE0D1E" w:rsidRPr="00FF79AB" w:rsidRDefault="001E76AA"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4536" w:type="dxa"/>
            <w:shd w:val="clear" w:color="auto" w:fill="FFFFFF" w:themeFill="background1"/>
          </w:tcPr>
          <w:p w14:paraId="3A179FAC" w14:textId="284AF4C7" w:rsidR="00BE0D1E" w:rsidRPr="00FF79AB" w:rsidRDefault="001E76AA"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708" w:type="dxa"/>
            <w:shd w:val="clear" w:color="auto" w:fill="FFFFFF" w:themeFill="background1"/>
          </w:tcPr>
          <w:p w14:paraId="37556965" w14:textId="5E9D38FA" w:rsidR="00BE0D1E" w:rsidRPr="00FF79AB" w:rsidRDefault="00D026D2"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r w:rsidR="001E76AA">
              <w:rPr>
                <w:sz w:val="18"/>
                <w:szCs w:val="18"/>
                <w:lang w:val="en-US"/>
              </w:rPr>
              <w:t>66</w:t>
            </w:r>
          </w:p>
        </w:tc>
      </w:tr>
      <w:tr w:rsidR="00BE0D1E" w:rsidRPr="00FF79AB" w14:paraId="7E445EDD" w14:textId="77777777" w:rsidTr="005D3011">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0AB64E45" w14:textId="7735CA7E" w:rsidR="00BE0D1E" w:rsidRDefault="00BE0D1E" w:rsidP="00BE0D1E">
            <w:pPr>
              <w:rPr>
                <w:b w:val="0"/>
                <w:bCs w:val="0"/>
                <w:sz w:val="18"/>
                <w:szCs w:val="18"/>
                <w:lang w:val="en-US"/>
              </w:rPr>
            </w:pPr>
            <w:r w:rsidRPr="00FF79AB">
              <w:rPr>
                <w:sz w:val="18"/>
                <w:szCs w:val="18"/>
                <w:lang w:val="en-US"/>
              </w:rPr>
              <w:t>move</w:t>
            </w:r>
          </w:p>
        </w:tc>
        <w:tc>
          <w:tcPr>
            <w:tcW w:w="1134" w:type="dxa"/>
            <w:shd w:val="clear" w:color="auto" w:fill="FFFFFF" w:themeFill="background1"/>
          </w:tcPr>
          <w:p w14:paraId="0EE56F88" w14:textId="4A8EC25C" w:rsidR="00BE0D1E" w:rsidRPr="00FF79AB" w:rsidRDefault="00FC30D6"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roofErr w:type="gramStart"/>
            <w:r w:rsidR="005A7029">
              <w:rPr>
                <w:sz w:val="18"/>
                <w:szCs w:val="18"/>
                <w:lang w:val="en-US"/>
              </w:rPr>
              <w:t>150</w:t>
            </w:r>
            <w:r>
              <w:rPr>
                <w:sz w:val="18"/>
                <w:szCs w:val="18"/>
                <w:lang w:val="en-US"/>
              </w:rPr>
              <w:t xml:space="preserve"> </w:t>
            </w:r>
            <w:r w:rsidR="005A7029">
              <w:rPr>
                <w:sz w:val="18"/>
                <w:szCs w:val="18"/>
                <w:lang w:val="en-US"/>
              </w:rPr>
              <w:t>:</w:t>
            </w:r>
            <w:proofErr w:type="gramEnd"/>
            <w:r>
              <w:rPr>
                <w:sz w:val="18"/>
                <w:szCs w:val="18"/>
                <w:lang w:val="en-US"/>
              </w:rPr>
              <w:t xml:space="preserve"> 50</w:t>
            </w:r>
          </w:p>
        </w:tc>
        <w:tc>
          <w:tcPr>
            <w:tcW w:w="4536" w:type="dxa"/>
            <w:shd w:val="clear" w:color="auto" w:fill="FFFFFF" w:themeFill="background1"/>
          </w:tcPr>
          <w:p w14:paraId="12F46C4E" w14:textId="509FC1FC" w:rsidR="00BE0D1E" w:rsidRPr="00FF79AB" w:rsidRDefault="00FC30D6"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F1,</w:t>
            </w:r>
            <w:r w:rsidR="001E76AA">
              <w:rPr>
                <w:sz w:val="18"/>
                <w:szCs w:val="18"/>
                <w:lang w:val="en-US"/>
              </w:rPr>
              <w:t xml:space="preserve"> F2, Fz, </w:t>
            </w:r>
            <w:r>
              <w:rPr>
                <w:sz w:val="18"/>
                <w:szCs w:val="18"/>
                <w:lang w:val="en-US"/>
              </w:rPr>
              <w:t xml:space="preserve">FC1, FC2, </w:t>
            </w:r>
            <w:proofErr w:type="spellStart"/>
            <w:r>
              <w:rPr>
                <w:sz w:val="18"/>
                <w:szCs w:val="18"/>
                <w:lang w:val="en-US"/>
              </w:rPr>
              <w:t>Cz</w:t>
            </w:r>
            <w:proofErr w:type="spellEnd"/>
            <w:r>
              <w:rPr>
                <w:sz w:val="18"/>
                <w:szCs w:val="18"/>
                <w:lang w:val="en-US"/>
              </w:rPr>
              <w:t>, C1</w:t>
            </w:r>
            <w:r w:rsidR="005A7029">
              <w:rPr>
                <w:sz w:val="18"/>
                <w:szCs w:val="18"/>
                <w:lang w:val="en-US"/>
              </w:rPr>
              <w:t>, C2</w:t>
            </w:r>
          </w:p>
        </w:tc>
        <w:tc>
          <w:tcPr>
            <w:tcW w:w="708" w:type="dxa"/>
            <w:shd w:val="clear" w:color="auto" w:fill="FFFFFF" w:themeFill="background1"/>
          </w:tcPr>
          <w:p w14:paraId="45EBB325" w14:textId="1BE1C15B" w:rsidR="00BE0D1E" w:rsidRPr="00FF79AB" w:rsidRDefault="00D73C78"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&lt; </w:t>
            </w:r>
            <w:r w:rsidR="00BE0D1E" w:rsidRPr="00FF79AB">
              <w:rPr>
                <w:sz w:val="18"/>
                <w:szCs w:val="18"/>
                <w:lang w:val="en-US"/>
              </w:rPr>
              <w:t>.</w:t>
            </w:r>
            <w:r>
              <w:rPr>
                <w:sz w:val="18"/>
                <w:szCs w:val="18"/>
                <w:lang w:val="en-US"/>
              </w:rPr>
              <w:t>01</w:t>
            </w:r>
          </w:p>
        </w:tc>
      </w:tr>
      <w:tr w:rsidR="00BE0D1E" w:rsidRPr="00FF79AB" w14:paraId="1C3557CC"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bottom w:val="single" w:sz="4" w:space="0" w:color="auto"/>
            </w:tcBorders>
            <w:shd w:val="clear" w:color="auto" w:fill="FFFFFF" w:themeFill="background1"/>
          </w:tcPr>
          <w:p w14:paraId="01B68743" w14:textId="79CC30E8" w:rsidR="00BE0D1E" w:rsidRDefault="00BE0D1E" w:rsidP="00BE0D1E">
            <w:pPr>
              <w:rPr>
                <w:b w:val="0"/>
                <w:bCs w:val="0"/>
                <w:sz w:val="18"/>
                <w:szCs w:val="18"/>
                <w:lang w:val="en-US"/>
              </w:rPr>
            </w:pPr>
            <w:r>
              <w:rPr>
                <w:sz w:val="18"/>
                <w:szCs w:val="18"/>
                <w:lang w:val="en-US"/>
              </w:rPr>
              <w:t>difficulty</w:t>
            </w:r>
            <w:r w:rsidRPr="00FF79AB">
              <w:rPr>
                <w:sz w:val="18"/>
                <w:szCs w:val="18"/>
                <w:lang w:val="en-US"/>
              </w:rPr>
              <w:t xml:space="preserve"> * move</w:t>
            </w:r>
          </w:p>
        </w:tc>
        <w:tc>
          <w:tcPr>
            <w:tcW w:w="1134" w:type="dxa"/>
            <w:tcBorders>
              <w:bottom w:val="single" w:sz="4" w:space="0" w:color="auto"/>
            </w:tcBorders>
            <w:shd w:val="clear" w:color="auto" w:fill="FFFFFF" w:themeFill="background1"/>
          </w:tcPr>
          <w:p w14:paraId="526FCEA9" w14:textId="297D3B87" w:rsidR="00BE0D1E" w:rsidRPr="00FF79AB" w:rsidRDefault="00BE0D1E"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4536" w:type="dxa"/>
            <w:tcBorders>
              <w:bottom w:val="single" w:sz="4" w:space="0" w:color="auto"/>
            </w:tcBorders>
            <w:shd w:val="clear" w:color="auto" w:fill="FFFFFF" w:themeFill="background1"/>
          </w:tcPr>
          <w:p w14:paraId="26580184" w14:textId="44617EA3" w:rsidR="00BE0D1E" w:rsidRPr="00FF79AB" w:rsidRDefault="00BE0D1E"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708" w:type="dxa"/>
            <w:tcBorders>
              <w:bottom w:val="single" w:sz="4" w:space="0" w:color="auto"/>
            </w:tcBorders>
            <w:shd w:val="clear" w:color="auto" w:fill="FFFFFF" w:themeFill="background1"/>
          </w:tcPr>
          <w:p w14:paraId="193EE073" w14:textId="2AFD9322" w:rsidR="00BE0D1E" w:rsidRPr="00FF79AB" w:rsidRDefault="00BE0D1E" w:rsidP="00BE0D1E">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.5</w:t>
            </w:r>
            <w:r w:rsidR="005A7029">
              <w:rPr>
                <w:sz w:val="18"/>
                <w:szCs w:val="18"/>
                <w:lang w:val="en-US"/>
              </w:rPr>
              <w:t>6</w:t>
            </w:r>
          </w:p>
        </w:tc>
      </w:tr>
      <w:tr w:rsidR="005A7029" w:rsidRPr="00FF79AB" w14:paraId="5127EE29" w14:textId="77777777" w:rsidTr="005D3011">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bottom w:val="single" w:sz="4" w:space="0" w:color="auto"/>
            </w:tcBorders>
            <w:shd w:val="clear" w:color="auto" w:fill="FFFFFF" w:themeFill="background1"/>
          </w:tcPr>
          <w:p w14:paraId="3D5BB017" w14:textId="02F5B176" w:rsidR="005A7029" w:rsidRPr="00FF79AB" w:rsidRDefault="005A7029" w:rsidP="005A7029">
            <w:pPr>
              <w:rPr>
                <w:b w:val="0"/>
                <w:bCs w:val="0"/>
                <w:sz w:val="18"/>
                <w:szCs w:val="18"/>
                <w:lang w:val="en-US"/>
              </w:rPr>
            </w:pPr>
            <w:proofErr w:type="spellStart"/>
            <w:r>
              <w:rPr>
                <w:sz w:val="18"/>
                <w:szCs w:val="18"/>
                <w:lang w:val="en-US"/>
              </w:rPr>
              <w:t>Fronto</w:t>
            </w:r>
            <w:proofErr w:type="spellEnd"/>
            <w:r>
              <w:rPr>
                <w:sz w:val="18"/>
                <w:szCs w:val="18"/>
                <w:lang w:val="en-US"/>
              </w:rPr>
              <w:t xml:space="preserve">-central visual CNV </w:t>
            </w:r>
          </w:p>
        </w:tc>
        <w:tc>
          <w:tcPr>
            <w:tcW w:w="1134" w:type="dxa"/>
            <w:tcBorders>
              <w:top w:val="single" w:sz="4" w:space="0" w:color="auto"/>
              <w:bottom w:val="single" w:sz="4" w:space="0" w:color="auto"/>
            </w:tcBorders>
            <w:shd w:val="clear" w:color="auto" w:fill="FFFFFF" w:themeFill="background1"/>
          </w:tcPr>
          <w:p w14:paraId="017F2E30" w14:textId="77777777"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4536" w:type="dxa"/>
            <w:tcBorders>
              <w:top w:val="single" w:sz="4" w:space="0" w:color="auto"/>
              <w:bottom w:val="single" w:sz="4" w:space="0" w:color="auto"/>
            </w:tcBorders>
            <w:shd w:val="clear" w:color="auto" w:fill="FFFFFF" w:themeFill="background1"/>
          </w:tcPr>
          <w:p w14:paraId="071B9406" w14:textId="77777777"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708" w:type="dxa"/>
            <w:tcBorders>
              <w:top w:val="single" w:sz="4" w:space="0" w:color="auto"/>
              <w:bottom w:val="single" w:sz="4" w:space="0" w:color="auto"/>
            </w:tcBorders>
            <w:shd w:val="clear" w:color="auto" w:fill="FFFFFF" w:themeFill="background1"/>
          </w:tcPr>
          <w:p w14:paraId="480A6094" w14:textId="77777777"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
        </w:tc>
      </w:tr>
      <w:tr w:rsidR="005A7029" w:rsidRPr="00FF79AB" w14:paraId="56017D7F"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tcBorders>
            <w:shd w:val="clear" w:color="auto" w:fill="FFFFFF" w:themeFill="background1"/>
          </w:tcPr>
          <w:p w14:paraId="03E87BB5" w14:textId="26A59F29" w:rsidR="005A7029" w:rsidRPr="00FF79AB" w:rsidRDefault="005A7029" w:rsidP="005A7029">
            <w:pPr>
              <w:rPr>
                <w:sz w:val="18"/>
                <w:szCs w:val="18"/>
                <w:lang w:val="en-US"/>
              </w:rPr>
            </w:pPr>
            <w:r>
              <w:rPr>
                <w:sz w:val="18"/>
                <w:szCs w:val="18"/>
                <w:lang w:val="en-US"/>
              </w:rPr>
              <w:t>difficulty</w:t>
            </w:r>
          </w:p>
        </w:tc>
        <w:tc>
          <w:tcPr>
            <w:tcW w:w="1134" w:type="dxa"/>
            <w:tcBorders>
              <w:top w:val="single" w:sz="4" w:space="0" w:color="auto"/>
            </w:tcBorders>
            <w:shd w:val="clear" w:color="auto" w:fill="FFFFFF" w:themeFill="background1"/>
          </w:tcPr>
          <w:p w14:paraId="08DE75F2" w14:textId="3EC38D9C"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roofErr w:type="gramStart"/>
            <w:r w:rsidR="001E76AA">
              <w:rPr>
                <w:sz w:val="18"/>
                <w:szCs w:val="18"/>
                <w:lang w:val="en-US"/>
              </w:rPr>
              <w:t xml:space="preserve">150 </w:t>
            </w:r>
            <w:r>
              <w:rPr>
                <w:sz w:val="18"/>
                <w:szCs w:val="18"/>
                <w:lang w:val="en-US"/>
              </w:rPr>
              <w:t>:</w:t>
            </w:r>
            <w:proofErr w:type="gramEnd"/>
            <w:r>
              <w:rPr>
                <w:sz w:val="18"/>
                <w:szCs w:val="18"/>
                <w:lang w:val="en-US"/>
              </w:rPr>
              <w:t xml:space="preserve"> 50</w:t>
            </w:r>
          </w:p>
        </w:tc>
        <w:tc>
          <w:tcPr>
            <w:tcW w:w="4536" w:type="dxa"/>
            <w:tcBorders>
              <w:top w:val="single" w:sz="4" w:space="0" w:color="auto"/>
            </w:tcBorders>
            <w:shd w:val="clear" w:color="auto" w:fill="FFFFFF" w:themeFill="background1"/>
          </w:tcPr>
          <w:p w14:paraId="595F7850" w14:textId="31855A64"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 xml:space="preserve">F1, F2, Fz, </w:t>
            </w:r>
            <w:proofErr w:type="spellStart"/>
            <w:r w:rsidR="001E76AA">
              <w:rPr>
                <w:sz w:val="18"/>
                <w:szCs w:val="18"/>
                <w:lang w:val="en-US"/>
              </w:rPr>
              <w:t>Cz</w:t>
            </w:r>
            <w:proofErr w:type="spellEnd"/>
            <w:r>
              <w:rPr>
                <w:sz w:val="18"/>
                <w:szCs w:val="18"/>
                <w:lang w:val="en-US"/>
              </w:rPr>
              <w:t xml:space="preserve">, </w:t>
            </w:r>
            <w:r w:rsidR="001E76AA">
              <w:rPr>
                <w:sz w:val="18"/>
                <w:szCs w:val="18"/>
                <w:lang w:val="en-US"/>
              </w:rPr>
              <w:t>C1, C2</w:t>
            </w:r>
          </w:p>
        </w:tc>
        <w:tc>
          <w:tcPr>
            <w:tcW w:w="708" w:type="dxa"/>
            <w:tcBorders>
              <w:top w:val="single" w:sz="4" w:space="0" w:color="auto"/>
            </w:tcBorders>
            <w:shd w:val="clear" w:color="auto" w:fill="FFFFFF" w:themeFill="background1"/>
          </w:tcPr>
          <w:p w14:paraId="3E978621" w14:textId="777CCF23"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 xml:space="preserve">&lt; </w:t>
            </w:r>
            <w:r w:rsidR="005A7029">
              <w:rPr>
                <w:sz w:val="18"/>
                <w:szCs w:val="18"/>
                <w:lang w:val="en-US"/>
              </w:rPr>
              <w:t>.</w:t>
            </w:r>
            <w:r>
              <w:rPr>
                <w:sz w:val="18"/>
                <w:szCs w:val="18"/>
                <w:lang w:val="en-US"/>
              </w:rPr>
              <w:t>0</w:t>
            </w:r>
            <w:r w:rsidR="005A7029">
              <w:rPr>
                <w:sz w:val="18"/>
                <w:szCs w:val="18"/>
                <w:lang w:val="en-US"/>
              </w:rPr>
              <w:t>01</w:t>
            </w:r>
          </w:p>
        </w:tc>
      </w:tr>
      <w:tr w:rsidR="005A7029" w:rsidRPr="00FF79AB" w14:paraId="0FDC3CB0" w14:textId="77777777" w:rsidTr="005D3011">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1238655B" w14:textId="359283CE" w:rsidR="005A7029" w:rsidRPr="00FF79AB" w:rsidRDefault="005A7029" w:rsidP="005A7029">
            <w:pPr>
              <w:rPr>
                <w:sz w:val="18"/>
                <w:szCs w:val="18"/>
                <w:lang w:val="en-US"/>
              </w:rPr>
            </w:pPr>
            <w:r w:rsidRPr="00FF79AB">
              <w:rPr>
                <w:sz w:val="18"/>
                <w:szCs w:val="18"/>
                <w:lang w:val="en-US"/>
              </w:rPr>
              <w:t>move</w:t>
            </w:r>
          </w:p>
        </w:tc>
        <w:tc>
          <w:tcPr>
            <w:tcW w:w="1134" w:type="dxa"/>
            <w:shd w:val="clear" w:color="auto" w:fill="FFFFFF" w:themeFill="background1"/>
          </w:tcPr>
          <w:p w14:paraId="1894FCF9" w14:textId="63E98BE9"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w:t>
            </w:r>
            <w:proofErr w:type="gramStart"/>
            <w:r>
              <w:rPr>
                <w:sz w:val="18"/>
                <w:szCs w:val="18"/>
                <w:lang w:val="en-US"/>
              </w:rPr>
              <w:t>1</w:t>
            </w:r>
            <w:r w:rsidR="001E76AA">
              <w:rPr>
                <w:sz w:val="18"/>
                <w:szCs w:val="18"/>
                <w:lang w:val="en-US"/>
              </w:rPr>
              <w:t>5</w:t>
            </w:r>
            <w:r>
              <w:rPr>
                <w:sz w:val="18"/>
                <w:szCs w:val="18"/>
                <w:lang w:val="en-US"/>
              </w:rPr>
              <w:t>0 :</w:t>
            </w:r>
            <w:proofErr w:type="gramEnd"/>
            <w:r>
              <w:rPr>
                <w:sz w:val="18"/>
                <w:szCs w:val="18"/>
                <w:lang w:val="en-US"/>
              </w:rPr>
              <w:t xml:space="preserve"> 50</w:t>
            </w:r>
          </w:p>
        </w:tc>
        <w:tc>
          <w:tcPr>
            <w:tcW w:w="4536" w:type="dxa"/>
            <w:shd w:val="clear" w:color="auto" w:fill="FFFFFF" w:themeFill="background1"/>
          </w:tcPr>
          <w:p w14:paraId="26B996AE" w14:textId="6B585CB6"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r w:rsidRPr="005A7029">
              <w:rPr>
                <w:sz w:val="18"/>
                <w:szCs w:val="18"/>
                <w:lang w:val="en-US"/>
              </w:rPr>
              <w:t>F1</w:t>
            </w:r>
            <w:r>
              <w:rPr>
                <w:sz w:val="18"/>
                <w:szCs w:val="18"/>
                <w:lang w:val="en-US"/>
              </w:rPr>
              <w:t>,</w:t>
            </w:r>
            <w:r w:rsidRPr="005A7029">
              <w:rPr>
                <w:sz w:val="18"/>
                <w:szCs w:val="18"/>
                <w:lang w:val="en-US"/>
              </w:rPr>
              <w:t xml:space="preserve"> F2</w:t>
            </w:r>
            <w:r>
              <w:rPr>
                <w:sz w:val="18"/>
                <w:szCs w:val="18"/>
                <w:lang w:val="en-US"/>
              </w:rPr>
              <w:t>,</w:t>
            </w:r>
            <w:r w:rsidRPr="005A7029">
              <w:rPr>
                <w:sz w:val="18"/>
                <w:szCs w:val="18"/>
                <w:lang w:val="en-US"/>
              </w:rPr>
              <w:t xml:space="preserve"> Fz</w:t>
            </w:r>
            <w:r>
              <w:rPr>
                <w:sz w:val="18"/>
                <w:szCs w:val="18"/>
                <w:lang w:val="en-US"/>
              </w:rPr>
              <w:t>,</w:t>
            </w:r>
            <w:r w:rsidRPr="005A7029">
              <w:rPr>
                <w:sz w:val="18"/>
                <w:szCs w:val="18"/>
                <w:lang w:val="en-US"/>
              </w:rPr>
              <w:t xml:space="preserve"> FC1</w:t>
            </w:r>
            <w:r>
              <w:rPr>
                <w:sz w:val="18"/>
                <w:szCs w:val="18"/>
                <w:lang w:val="en-US"/>
              </w:rPr>
              <w:t>,</w:t>
            </w:r>
            <w:r w:rsidRPr="005A7029">
              <w:rPr>
                <w:sz w:val="18"/>
                <w:szCs w:val="18"/>
                <w:lang w:val="en-US"/>
              </w:rPr>
              <w:t xml:space="preserve"> FC2</w:t>
            </w:r>
            <w:r>
              <w:rPr>
                <w:sz w:val="18"/>
                <w:szCs w:val="18"/>
                <w:lang w:val="en-US"/>
              </w:rPr>
              <w:t>,</w:t>
            </w:r>
            <w:r w:rsidRPr="005A7029">
              <w:rPr>
                <w:sz w:val="18"/>
                <w:szCs w:val="18"/>
                <w:lang w:val="en-US"/>
              </w:rPr>
              <w:t xml:space="preserve"> </w:t>
            </w:r>
            <w:proofErr w:type="spellStart"/>
            <w:r w:rsidRPr="005A7029">
              <w:rPr>
                <w:sz w:val="18"/>
                <w:szCs w:val="18"/>
                <w:lang w:val="en-US"/>
              </w:rPr>
              <w:t>Cz</w:t>
            </w:r>
            <w:proofErr w:type="spellEnd"/>
            <w:r>
              <w:rPr>
                <w:sz w:val="18"/>
                <w:szCs w:val="18"/>
                <w:lang w:val="en-US"/>
              </w:rPr>
              <w:t>,</w:t>
            </w:r>
            <w:r w:rsidRPr="005A7029">
              <w:rPr>
                <w:sz w:val="18"/>
                <w:szCs w:val="18"/>
                <w:lang w:val="en-US"/>
              </w:rPr>
              <w:t xml:space="preserve"> C1</w:t>
            </w:r>
            <w:r>
              <w:rPr>
                <w:sz w:val="18"/>
                <w:szCs w:val="18"/>
                <w:lang w:val="en-US"/>
              </w:rPr>
              <w:t>,</w:t>
            </w:r>
            <w:r w:rsidRPr="005A7029">
              <w:rPr>
                <w:sz w:val="18"/>
                <w:szCs w:val="18"/>
                <w:lang w:val="en-US"/>
              </w:rPr>
              <w:t xml:space="preserve"> C2</w:t>
            </w:r>
          </w:p>
        </w:tc>
        <w:tc>
          <w:tcPr>
            <w:tcW w:w="708" w:type="dxa"/>
            <w:shd w:val="clear" w:color="auto" w:fill="FFFFFF" w:themeFill="background1"/>
          </w:tcPr>
          <w:p w14:paraId="38D649DC" w14:textId="11A964D4"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r w:rsidRPr="00FF79AB">
              <w:rPr>
                <w:sz w:val="18"/>
                <w:szCs w:val="18"/>
                <w:lang w:val="en-US"/>
              </w:rPr>
              <w:t>.</w:t>
            </w:r>
            <w:r w:rsidR="001E76AA">
              <w:rPr>
                <w:sz w:val="18"/>
                <w:szCs w:val="18"/>
                <w:lang w:val="en-US"/>
              </w:rPr>
              <w:t>03</w:t>
            </w:r>
          </w:p>
        </w:tc>
      </w:tr>
      <w:tr w:rsidR="005A7029" w:rsidRPr="00FF79AB" w14:paraId="6C96882A"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bottom w:val="single" w:sz="4" w:space="0" w:color="auto"/>
            </w:tcBorders>
            <w:shd w:val="clear" w:color="auto" w:fill="FFFFFF" w:themeFill="background1"/>
          </w:tcPr>
          <w:p w14:paraId="0F10F585" w14:textId="1AA74E55" w:rsidR="005A7029" w:rsidRPr="00FF79AB" w:rsidRDefault="005A7029" w:rsidP="005A7029">
            <w:pPr>
              <w:rPr>
                <w:sz w:val="18"/>
                <w:szCs w:val="18"/>
                <w:lang w:val="en-US"/>
              </w:rPr>
            </w:pPr>
            <w:r>
              <w:rPr>
                <w:sz w:val="18"/>
                <w:szCs w:val="18"/>
                <w:lang w:val="en-US"/>
              </w:rPr>
              <w:t>difficulty</w:t>
            </w:r>
            <w:r w:rsidRPr="00FF79AB">
              <w:rPr>
                <w:sz w:val="18"/>
                <w:szCs w:val="18"/>
                <w:lang w:val="en-US"/>
              </w:rPr>
              <w:t xml:space="preserve"> * move</w:t>
            </w:r>
          </w:p>
        </w:tc>
        <w:tc>
          <w:tcPr>
            <w:tcW w:w="1134" w:type="dxa"/>
            <w:tcBorders>
              <w:bottom w:val="single" w:sz="4" w:space="0" w:color="auto"/>
            </w:tcBorders>
            <w:shd w:val="clear" w:color="auto" w:fill="FFFFFF" w:themeFill="background1"/>
          </w:tcPr>
          <w:p w14:paraId="18A7B108" w14:textId="1F74D891"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4536" w:type="dxa"/>
            <w:tcBorders>
              <w:bottom w:val="single" w:sz="4" w:space="0" w:color="auto"/>
            </w:tcBorders>
            <w:shd w:val="clear" w:color="auto" w:fill="FFFFFF" w:themeFill="background1"/>
          </w:tcPr>
          <w:p w14:paraId="743F3ED8" w14:textId="60A4E34D"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708" w:type="dxa"/>
            <w:tcBorders>
              <w:bottom w:val="single" w:sz="4" w:space="0" w:color="auto"/>
            </w:tcBorders>
            <w:shd w:val="clear" w:color="auto" w:fill="FFFFFF" w:themeFill="background1"/>
          </w:tcPr>
          <w:p w14:paraId="395AD47D" w14:textId="2A8DE42C"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r w:rsidR="001E76AA">
              <w:rPr>
                <w:sz w:val="18"/>
                <w:szCs w:val="18"/>
                <w:lang w:val="en-US"/>
              </w:rPr>
              <w:t>37</w:t>
            </w:r>
          </w:p>
        </w:tc>
      </w:tr>
      <w:tr w:rsidR="00BE0D1E" w:rsidRPr="00FF79AB" w14:paraId="74BFF88E" w14:textId="77777777" w:rsidTr="005D3011">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bottom w:val="single" w:sz="4" w:space="0" w:color="auto"/>
            </w:tcBorders>
            <w:shd w:val="clear" w:color="auto" w:fill="FFFFFF" w:themeFill="background1"/>
          </w:tcPr>
          <w:p w14:paraId="417672EC" w14:textId="746F6ADB" w:rsidR="00BE0D1E" w:rsidRPr="00FF79AB" w:rsidRDefault="00BE0D1E" w:rsidP="00BE0D1E">
            <w:pPr>
              <w:rPr>
                <w:sz w:val="18"/>
                <w:szCs w:val="18"/>
                <w:lang w:val="en-US"/>
              </w:rPr>
            </w:pPr>
            <w:r>
              <w:rPr>
                <w:sz w:val="18"/>
                <w:szCs w:val="18"/>
                <w:lang w:val="en-US"/>
              </w:rPr>
              <w:t>Centro-parietal</w:t>
            </w:r>
            <w:r w:rsidR="005A7029">
              <w:rPr>
                <w:sz w:val="18"/>
                <w:szCs w:val="18"/>
                <w:lang w:val="en-US"/>
              </w:rPr>
              <w:t xml:space="preserve"> auditory</w:t>
            </w:r>
            <w:r>
              <w:rPr>
                <w:sz w:val="18"/>
                <w:szCs w:val="18"/>
                <w:lang w:val="en-US"/>
              </w:rPr>
              <w:t xml:space="preserve"> P3</w:t>
            </w:r>
          </w:p>
        </w:tc>
        <w:tc>
          <w:tcPr>
            <w:tcW w:w="1134" w:type="dxa"/>
            <w:tcBorders>
              <w:top w:val="single" w:sz="4" w:space="0" w:color="auto"/>
              <w:bottom w:val="single" w:sz="4" w:space="0" w:color="auto"/>
            </w:tcBorders>
            <w:shd w:val="clear" w:color="auto" w:fill="FFFFFF" w:themeFill="background1"/>
          </w:tcPr>
          <w:p w14:paraId="7823B248" w14:textId="77777777"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4536" w:type="dxa"/>
            <w:tcBorders>
              <w:top w:val="single" w:sz="4" w:space="0" w:color="auto"/>
              <w:bottom w:val="single" w:sz="4" w:space="0" w:color="auto"/>
            </w:tcBorders>
            <w:shd w:val="clear" w:color="auto" w:fill="FFFFFF" w:themeFill="background1"/>
          </w:tcPr>
          <w:p w14:paraId="0C7B593D" w14:textId="77777777"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708" w:type="dxa"/>
            <w:tcBorders>
              <w:top w:val="single" w:sz="4" w:space="0" w:color="auto"/>
              <w:bottom w:val="single" w:sz="4" w:space="0" w:color="auto"/>
            </w:tcBorders>
            <w:shd w:val="clear" w:color="auto" w:fill="FFFFFF" w:themeFill="background1"/>
          </w:tcPr>
          <w:p w14:paraId="731B2DFB" w14:textId="77777777"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r>
      <w:tr w:rsidR="005A7029" w:rsidRPr="00FF79AB" w14:paraId="259964C7"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tcBorders>
            <w:shd w:val="clear" w:color="auto" w:fill="FFFFFF" w:themeFill="background1"/>
          </w:tcPr>
          <w:p w14:paraId="055ECDBB" w14:textId="56EF7C1E" w:rsidR="005A7029" w:rsidRPr="00FF79AB" w:rsidRDefault="005A7029" w:rsidP="005A7029">
            <w:pPr>
              <w:rPr>
                <w:b w:val="0"/>
                <w:bCs w:val="0"/>
                <w:sz w:val="18"/>
                <w:szCs w:val="18"/>
                <w:lang w:val="en-US"/>
              </w:rPr>
            </w:pPr>
            <w:r>
              <w:rPr>
                <w:sz w:val="18"/>
                <w:szCs w:val="18"/>
                <w:lang w:val="en-US"/>
              </w:rPr>
              <w:t>difficulty</w:t>
            </w:r>
          </w:p>
        </w:tc>
        <w:tc>
          <w:tcPr>
            <w:tcW w:w="1134" w:type="dxa"/>
            <w:tcBorders>
              <w:top w:val="single" w:sz="4" w:space="0" w:color="auto"/>
            </w:tcBorders>
            <w:shd w:val="clear" w:color="auto" w:fill="FFFFFF" w:themeFill="background1"/>
          </w:tcPr>
          <w:p w14:paraId="2107352F" w14:textId="20772695"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proofErr w:type="gramStart"/>
            <w:r>
              <w:rPr>
                <w:sz w:val="18"/>
                <w:szCs w:val="18"/>
                <w:lang w:val="en-US"/>
              </w:rPr>
              <w:t xml:space="preserve">300 </w:t>
            </w:r>
            <w:r w:rsidR="005A7029">
              <w:rPr>
                <w:sz w:val="18"/>
                <w:szCs w:val="18"/>
                <w:lang w:val="en-US"/>
              </w:rPr>
              <w:t>:</w:t>
            </w:r>
            <w:proofErr w:type="gramEnd"/>
            <w:r w:rsidR="005A7029">
              <w:rPr>
                <w:sz w:val="18"/>
                <w:szCs w:val="18"/>
                <w:lang w:val="en-US"/>
              </w:rPr>
              <w:t xml:space="preserve"> 600</w:t>
            </w:r>
          </w:p>
        </w:tc>
        <w:tc>
          <w:tcPr>
            <w:tcW w:w="4536" w:type="dxa"/>
            <w:tcBorders>
              <w:top w:val="single" w:sz="4" w:space="0" w:color="auto"/>
            </w:tcBorders>
            <w:shd w:val="clear" w:color="auto" w:fill="FFFFFF" w:themeFill="background1"/>
          </w:tcPr>
          <w:p w14:paraId="2C901E88" w14:textId="14B82F73"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proofErr w:type="spellStart"/>
            <w:r>
              <w:rPr>
                <w:sz w:val="18"/>
                <w:szCs w:val="18"/>
                <w:lang w:val="en-US"/>
              </w:rPr>
              <w:t>Pz</w:t>
            </w:r>
            <w:proofErr w:type="spellEnd"/>
            <w:r>
              <w:rPr>
                <w:sz w:val="18"/>
                <w:szCs w:val="18"/>
                <w:lang w:val="en-US"/>
              </w:rPr>
              <w:t xml:space="preserve">, P1, P2, P3, P4, </w:t>
            </w:r>
            <w:proofErr w:type="spellStart"/>
            <w:r>
              <w:rPr>
                <w:sz w:val="18"/>
                <w:szCs w:val="18"/>
                <w:lang w:val="en-US"/>
              </w:rPr>
              <w:t>POz</w:t>
            </w:r>
            <w:proofErr w:type="spellEnd"/>
            <w:r>
              <w:rPr>
                <w:sz w:val="18"/>
                <w:szCs w:val="18"/>
                <w:lang w:val="en-US"/>
              </w:rPr>
              <w:t>, PO3, PO4</w:t>
            </w:r>
          </w:p>
        </w:tc>
        <w:tc>
          <w:tcPr>
            <w:tcW w:w="708" w:type="dxa"/>
            <w:tcBorders>
              <w:top w:val="single" w:sz="4" w:space="0" w:color="auto"/>
            </w:tcBorders>
            <w:shd w:val="clear" w:color="auto" w:fill="FFFFFF" w:themeFill="background1"/>
          </w:tcPr>
          <w:p w14:paraId="2FF0026A" w14:textId="06F587D9"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&lt; .001</w:t>
            </w:r>
          </w:p>
        </w:tc>
      </w:tr>
      <w:tr w:rsidR="005A7029" w:rsidRPr="00FF79AB" w14:paraId="2FFC31BA" w14:textId="77777777" w:rsidTr="005D3011">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3C5E9469" w14:textId="14694ACE" w:rsidR="005A7029" w:rsidRPr="00FF79AB" w:rsidRDefault="005A7029" w:rsidP="005A7029">
            <w:pPr>
              <w:rPr>
                <w:sz w:val="18"/>
                <w:szCs w:val="18"/>
                <w:lang w:val="en-US"/>
              </w:rPr>
            </w:pPr>
            <w:r w:rsidRPr="00FF79AB">
              <w:rPr>
                <w:sz w:val="18"/>
                <w:szCs w:val="18"/>
                <w:lang w:val="en-US"/>
              </w:rPr>
              <w:t>move</w:t>
            </w:r>
          </w:p>
        </w:tc>
        <w:tc>
          <w:tcPr>
            <w:tcW w:w="1134" w:type="dxa"/>
            <w:shd w:val="clear" w:color="auto" w:fill="FFFFFF" w:themeFill="background1"/>
          </w:tcPr>
          <w:p w14:paraId="137049CD" w14:textId="26677271"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roofErr w:type="gramStart"/>
            <w:r>
              <w:rPr>
                <w:sz w:val="18"/>
                <w:szCs w:val="18"/>
                <w:lang w:val="en-US"/>
              </w:rPr>
              <w:t>300 :</w:t>
            </w:r>
            <w:proofErr w:type="gramEnd"/>
            <w:r>
              <w:rPr>
                <w:sz w:val="18"/>
                <w:szCs w:val="18"/>
                <w:lang w:val="en-US"/>
              </w:rPr>
              <w:t xml:space="preserve"> 600</w:t>
            </w:r>
          </w:p>
        </w:tc>
        <w:tc>
          <w:tcPr>
            <w:tcW w:w="4536" w:type="dxa"/>
            <w:shd w:val="clear" w:color="auto" w:fill="FFFFFF" w:themeFill="background1"/>
          </w:tcPr>
          <w:p w14:paraId="55CC0627" w14:textId="36E92430"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5A7029">
              <w:rPr>
                <w:sz w:val="18"/>
                <w:szCs w:val="18"/>
                <w:lang w:val="en-US"/>
              </w:rPr>
              <w:t>CPz</w:t>
            </w:r>
            <w:proofErr w:type="spellEnd"/>
            <w:r>
              <w:rPr>
                <w:sz w:val="18"/>
                <w:szCs w:val="18"/>
                <w:lang w:val="en-US"/>
              </w:rPr>
              <w:t>,</w:t>
            </w:r>
            <w:r w:rsidRPr="005A7029">
              <w:rPr>
                <w:sz w:val="18"/>
                <w:szCs w:val="18"/>
                <w:lang w:val="en-US"/>
              </w:rPr>
              <w:t xml:space="preserve"> CP1</w:t>
            </w:r>
            <w:r>
              <w:rPr>
                <w:sz w:val="18"/>
                <w:szCs w:val="18"/>
                <w:lang w:val="en-US"/>
              </w:rPr>
              <w:t>,</w:t>
            </w:r>
            <w:r w:rsidRPr="005A7029">
              <w:rPr>
                <w:sz w:val="18"/>
                <w:szCs w:val="18"/>
                <w:lang w:val="en-US"/>
              </w:rPr>
              <w:t xml:space="preserve"> CP2</w:t>
            </w:r>
            <w:r>
              <w:rPr>
                <w:sz w:val="18"/>
                <w:szCs w:val="18"/>
                <w:lang w:val="en-US"/>
              </w:rPr>
              <w:t>,</w:t>
            </w:r>
            <w:r w:rsidRPr="005A7029">
              <w:rPr>
                <w:sz w:val="18"/>
                <w:szCs w:val="18"/>
                <w:lang w:val="en-US"/>
              </w:rPr>
              <w:t xml:space="preserve"> </w:t>
            </w:r>
            <w:proofErr w:type="spellStart"/>
            <w:r w:rsidRPr="005A7029">
              <w:rPr>
                <w:sz w:val="18"/>
                <w:szCs w:val="18"/>
                <w:lang w:val="en-US"/>
              </w:rPr>
              <w:t>Pz</w:t>
            </w:r>
            <w:proofErr w:type="spellEnd"/>
            <w:r>
              <w:rPr>
                <w:sz w:val="18"/>
                <w:szCs w:val="18"/>
                <w:lang w:val="en-US"/>
              </w:rPr>
              <w:t>,</w:t>
            </w:r>
            <w:r w:rsidRPr="005A7029">
              <w:rPr>
                <w:sz w:val="18"/>
                <w:szCs w:val="18"/>
                <w:lang w:val="en-US"/>
              </w:rPr>
              <w:t xml:space="preserve"> P1</w:t>
            </w:r>
            <w:r>
              <w:rPr>
                <w:sz w:val="18"/>
                <w:szCs w:val="18"/>
                <w:lang w:val="en-US"/>
              </w:rPr>
              <w:t>,</w:t>
            </w:r>
            <w:r w:rsidRPr="005A7029">
              <w:rPr>
                <w:sz w:val="18"/>
                <w:szCs w:val="18"/>
                <w:lang w:val="en-US"/>
              </w:rPr>
              <w:t xml:space="preserve"> P2</w:t>
            </w:r>
            <w:r>
              <w:rPr>
                <w:sz w:val="18"/>
                <w:szCs w:val="18"/>
                <w:lang w:val="en-US"/>
              </w:rPr>
              <w:t>,</w:t>
            </w:r>
            <w:r w:rsidRPr="005A7029">
              <w:rPr>
                <w:sz w:val="18"/>
                <w:szCs w:val="18"/>
                <w:lang w:val="en-US"/>
              </w:rPr>
              <w:t xml:space="preserve"> P3</w:t>
            </w:r>
            <w:r>
              <w:rPr>
                <w:sz w:val="18"/>
                <w:szCs w:val="18"/>
                <w:lang w:val="en-US"/>
              </w:rPr>
              <w:t>,</w:t>
            </w:r>
            <w:r w:rsidRPr="005A7029">
              <w:rPr>
                <w:sz w:val="18"/>
                <w:szCs w:val="18"/>
                <w:lang w:val="en-US"/>
              </w:rPr>
              <w:t xml:space="preserve"> P4</w:t>
            </w:r>
          </w:p>
        </w:tc>
        <w:tc>
          <w:tcPr>
            <w:tcW w:w="708" w:type="dxa"/>
            <w:shd w:val="clear" w:color="auto" w:fill="FFFFFF" w:themeFill="background1"/>
          </w:tcPr>
          <w:p w14:paraId="0F14E75A" w14:textId="14C9C0D6" w:rsidR="005A7029" w:rsidRPr="00FF79AB" w:rsidRDefault="001E76AA"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.01</w:t>
            </w:r>
          </w:p>
        </w:tc>
      </w:tr>
      <w:tr w:rsidR="005A7029" w:rsidRPr="00FF79AB" w14:paraId="6FBF635F"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bottom w:val="single" w:sz="4" w:space="0" w:color="auto"/>
            </w:tcBorders>
            <w:shd w:val="clear" w:color="auto" w:fill="FFFFFF" w:themeFill="background1"/>
          </w:tcPr>
          <w:p w14:paraId="0C3CE77A" w14:textId="30F3BA47" w:rsidR="005A7029" w:rsidRPr="00FF79AB" w:rsidRDefault="005A7029" w:rsidP="005A7029">
            <w:pPr>
              <w:rPr>
                <w:sz w:val="18"/>
                <w:szCs w:val="18"/>
                <w:lang w:val="en-US"/>
              </w:rPr>
            </w:pPr>
            <w:r>
              <w:rPr>
                <w:sz w:val="18"/>
                <w:szCs w:val="18"/>
                <w:lang w:val="en-US"/>
              </w:rPr>
              <w:t>difficulty</w:t>
            </w:r>
            <w:r w:rsidRPr="00FF79AB">
              <w:rPr>
                <w:sz w:val="18"/>
                <w:szCs w:val="18"/>
                <w:lang w:val="en-US"/>
              </w:rPr>
              <w:t xml:space="preserve"> * move</w:t>
            </w:r>
          </w:p>
        </w:tc>
        <w:tc>
          <w:tcPr>
            <w:tcW w:w="1134" w:type="dxa"/>
            <w:tcBorders>
              <w:bottom w:val="single" w:sz="4" w:space="0" w:color="auto"/>
            </w:tcBorders>
            <w:shd w:val="clear" w:color="auto" w:fill="FFFFFF" w:themeFill="background1"/>
          </w:tcPr>
          <w:p w14:paraId="1788F4BC" w14:textId="1AF795A2"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4536" w:type="dxa"/>
            <w:tcBorders>
              <w:bottom w:val="single" w:sz="4" w:space="0" w:color="auto"/>
            </w:tcBorders>
            <w:shd w:val="clear" w:color="auto" w:fill="FFFFFF" w:themeFill="background1"/>
          </w:tcPr>
          <w:p w14:paraId="7C2199B9" w14:textId="1FA48048"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p>
        </w:tc>
        <w:tc>
          <w:tcPr>
            <w:tcW w:w="708" w:type="dxa"/>
            <w:tcBorders>
              <w:bottom w:val="single" w:sz="4" w:space="0" w:color="auto"/>
            </w:tcBorders>
            <w:shd w:val="clear" w:color="auto" w:fill="FFFFFF" w:themeFill="background1"/>
          </w:tcPr>
          <w:p w14:paraId="30134EB6" w14:textId="04D9FFA9"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.66</w:t>
            </w:r>
          </w:p>
        </w:tc>
      </w:tr>
      <w:tr w:rsidR="00BE0D1E" w:rsidRPr="00FF79AB" w14:paraId="1D899058" w14:textId="77777777" w:rsidTr="005D3011">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bottom w:val="single" w:sz="4" w:space="0" w:color="auto"/>
            </w:tcBorders>
            <w:shd w:val="clear" w:color="auto" w:fill="FFFFFF" w:themeFill="background1"/>
          </w:tcPr>
          <w:p w14:paraId="5C2268FD" w14:textId="6AC0A3A2" w:rsidR="00BE0D1E" w:rsidRPr="00FF79AB" w:rsidRDefault="005A7029" w:rsidP="00BE0D1E">
            <w:pPr>
              <w:rPr>
                <w:sz w:val="18"/>
                <w:szCs w:val="18"/>
                <w:lang w:val="en-US"/>
              </w:rPr>
            </w:pPr>
            <w:r>
              <w:rPr>
                <w:sz w:val="18"/>
                <w:szCs w:val="18"/>
                <w:lang w:val="en-US"/>
              </w:rPr>
              <w:t>Centro-parietal visual P3</w:t>
            </w:r>
          </w:p>
        </w:tc>
        <w:tc>
          <w:tcPr>
            <w:tcW w:w="1134" w:type="dxa"/>
            <w:tcBorders>
              <w:top w:val="single" w:sz="4" w:space="0" w:color="auto"/>
              <w:bottom w:val="single" w:sz="4" w:space="0" w:color="auto"/>
            </w:tcBorders>
            <w:shd w:val="clear" w:color="auto" w:fill="FFFFFF" w:themeFill="background1"/>
          </w:tcPr>
          <w:p w14:paraId="2F22A12E" w14:textId="19499FB3"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4536" w:type="dxa"/>
            <w:tcBorders>
              <w:top w:val="single" w:sz="4" w:space="0" w:color="auto"/>
              <w:bottom w:val="single" w:sz="4" w:space="0" w:color="auto"/>
            </w:tcBorders>
            <w:shd w:val="clear" w:color="auto" w:fill="FFFFFF" w:themeFill="background1"/>
          </w:tcPr>
          <w:p w14:paraId="5E8E316F" w14:textId="3880642E"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708" w:type="dxa"/>
            <w:tcBorders>
              <w:top w:val="single" w:sz="4" w:space="0" w:color="auto"/>
              <w:bottom w:val="single" w:sz="4" w:space="0" w:color="auto"/>
            </w:tcBorders>
            <w:shd w:val="clear" w:color="auto" w:fill="FFFFFF" w:themeFill="background1"/>
          </w:tcPr>
          <w:p w14:paraId="100B535B" w14:textId="308FFD7F" w:rsidR="00BE0D1E" w:rsidRPr="00FF79AB" w:rsidRDefault="00BE0D1E" w:rsidP="00BE0D1E">
            <w:pPr>
              <w:cnfStyle w:val="000000000000" w:firstRow="0" w:lastRow="0" w:firstColumn="0" w:lastColumn="0" w:oddVBand="0" w:evenVBand="0" w:oddHBand="0" w:evenHBand="0" w:firstRowFirstColumn="0" w:firstRowLastColumn="0" w:lastRowFirstColumn="0" w:lastRowLastColumn="0"/>
              <w:rPr>
                <w:sz w:val="18"/>
                <w:szCs w:val="18"/>
                <w:lang w:val="en-US"/>
              </w:rPr>
            </w:pPr>
          </w:p>
        </w:tc>
      </w:tr>
      <w:tr w:rsidR="005A7029" w:rsidRPr="00FF79AB" w14:paraId="13D1DD9E"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tcBorders>
            <w:shd w:val="clear" w:color="auto" w:fill="FFFFFF" w:themeFill="background1"/>
          </w:tcPr>
          <w:p w14:paraId="40F58E2D" w14:textId="618DFB4E" w:rsidR="005A7029" w:rsidRPr="00FF79AB" w:rsidRDefault="005A7029" w:rsidP="005A7029">
            <w:pPr>
              <w:rPr>
                <w:sz w:val="18"/>
                <w:szCs w:val="18"/>
                <w:lang w:val="en-US"/>
              </w:rPr>
            </w:pPr>
            <w:r>
              <w:rPr>
                <w:sz w:val="18"/>
                <w:szCs w:val="18"/>
                <w:lang w:val="en-US"/>
              </w:rPr>
              <w:t>difficulty</w:t>
            </w:r>
          </w:p>
        </w:tc>
        <w:tc>
          <w:tcPr>
            <w:tcW w:w="1134" w:type="dxa"/>
            <w:tcBorders>
              <w:top w:val="single" w:sz="4" w:space="0" w:color="auto"/>
            </w:tcBorders>
            <w:shd w:val="clear" w:color="auto" w:fill="FFFFFF" w:themeFill="background1"/>
          </w:tcPr>
          <w:p w14:paraId="275C1AA2" w14:textId="1EEEB761" w:rsidR="005A7029" w:rsidRPr="00FF79AB" w:rsidRDefault="00315A68"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proofErr w:type="gramStart"/>
            <w:r>
              <w:rPr>
                <w:sz w:val="18"/>
                <w:szCs w:val="18"/>
                <w:lang w:val="en-US"/>
              </w:rPr>
              <w:t>300 :</w:t>
            </w:r>
            <w:proofErr w:type="gramEnd"/>
            <w:r>
              <w:rPr>
                <w:sz w:val="18"/>
                <w:szCs w:val="18"/>
                <w:lang w:val="en-US"/>
              </w:rPr>
              <w:t xml:space="preserve"> 600</w:t>
            </w:r>
          </w:p>
        </w:tc>
        <w:tc>
          <w:tcPr>
            <w:tcW w:w="4536" w:type="dxa"/>
            <w:tcBorders>
              <w:top w:val="single" w:sz="4" w:space="0" w:color="auto"/>
            </w:tcBorders>
            <w:shd w:val="clear" w:color="auto" w:fill="FFFFFF" w:themeFill="background1"/>
          </w:tcPr>
          <w:p w14:paraId="13767ADE" w14:textId="3A319E08" w:rsidR="005A7029" w:rsidRPr="00FF79AB" w:rsidRDefault="00315A68"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proofErr w:type="spellStart"/>
            <w:r w:rsidRPr="00315A68">
              <w:rPr>
                <w:sz w:val="18"/>
                <w:szCs w:val="18"/>
                <w:lang w:val="en-US"/>
              </w:rPr>
              <w:t>CPz</w:t>
            </w:r>
            <w:proofErr w:type="spellEnd"/>
            <w:r>
              <w:rPr>
                <w:sz w:val="18"/>
                <w:szCs w:val="18"/>
                <w:lang w:val="en-US"/>
              </w:rPr>
              <w:t>,</w:t>
            </w:r>
            <w:r w:rsidRPr="00315A68">
              <w:rPr>
                <w:sz w:val="18"/>
                <w:szCs w:val="18"/>
                <w:lang w:val="en-US"/>
              </w:rPr>
              <w:t xml:space="preserve"> CP1</w:t>
            </w:r>
            <w:r>
              <w:rPr>
                <w:sz w:val="18"/>
                <w:szCs w:val="18"/>
                <w:lang w:val="en-US"/>
              </w:rPr>
              <w:t>,</w:t>
            </w:r>
            <w:r w:rsidRPr="00315A68">
              <w:rPr>
                <w:sz w:val="18"/>
                <w:szCs w:val="18"/>
                <w:lang w:val="en-US"/>
              </w:rPr>
              <w:t xml:space="preserve"> CP2</w:t>
            </w:r>
            <w:r>
              <w:rPr>
                <w:sz w:val="18"/>
                <w:szCs w:val="18"/>
                <w:lang w:val="en-US"/>
              </w:rPr>
              <w:t>,</w:t>
            </w:r>
            <w:r w:rsidRPr="00315A68">
              <w:rPr>
                <w:sz w:val="18"/>
                <w:szCs w:val="18"/>
                <w:lang w:val="en-US"/>
              </w:rPr>
              <w:t xml:space="preserve"> </w:t>
            </w:r>
            <w:proofErr w:type="spellStart"/>
            <w:r w:rsidRPr="00315A68">
              <w:rPr>
                <w:sz w:val="18"/>
                <w:szCs w:val="18"/>
                <w:lang w:val="en-US"/>
              </w:rPr>
              <w:t>Pz</w:t>
            </w:r>
            <w:proofErr w:type="spellEnd"/>
            <w:r>
              <w:rPr>
                <w:sz w:val="18"/>
                <w:szCs w:val="18"/>
                <w:lang w:val="en-US"/>
              </w:rPr>
              <w:t>,</w:t>
            </w:r>
            <w:r w:rsidRPr="00315A68">
              <w:rPr>
                <w:sz w:val="18"/>
                <w:szCs w:val="18"/>
                <w:lang w:val="en-US"/>
              </w:rPr>
              <w:t xml:space="preserve"> P1</w:t>
            </w:r>
            <w:r>
              <w:rPr>
                <w:sz w:val="18"/>
                <w:szCs w:val="18"/>
                <w:lang w:val="en-US"/>
              </w:rPr>
              <w:t>,</w:t>
            </w:r>
            <w:r w:rsidRPr="00315A68">
              <w:rPr>
                <w:sz w:val="18"/>
                <w:szCs w:val="18"/>
                <w:lang w:val="en-US"/>
              </w:rPr>
              <w:t xml:space="preserve"> P2</w:t>
            </w:r>
            <w:r>
              <w:rPr>
                <w:sz w:val="18"/>
                <w:szCs w:val="18"/>
                <w:lang w:val="en-US"/>
              </w:rPr>
              <w:t>,</w:t>
            </w:r>
            <w:r w:rsidRPr="00315A68">
              <w:rPr>
                <w:sz w:val="18"/>
                <w:szCs w:val="18"/>
                <w:lang w:val="en-US"/>
              </w:rPr>
              <w:t xml:space="preserve"> P3</w:t>
            </w:r>
            <w:r>
              <w:rPr>
                <w:sz w:val="18"/>
                <w:szCs w:val="18"/>
                <w:lang w:val="en-US"/>
              </w:rPr>
              <w:t>,</w:t>
            </w:r>
            <w:r w:rsidRPr="00315A68">
              <w:rPr>
                <w:sz w:val="18"/>
                <w:szCs w:val="18"/>
                <w:lang w:val="en-US"/>
              </w:rPr>
              <w:t xml:space="preserve"> P4</w:t>
            </w:r>
            <w:r>
              <w:rPr>
                <w:sz w:val="18"/>
                <w:szCs w:val="18"/>
                <w:lang w:val="en-US"/>
              </w:rPr>
              <w:t>,</w:t>
            </w:r>
            <w:r w:rsidRPr="00315A68">
              <w:rPr>
                <w:sz w:val="18"/>
                <w:szCs w:val="18"/>
                <w:lang w:val="en-US"/>
              </w:rPr>
              <w:t xml:space="preserve"> </w:t>
            </w:r>
            <w:proofErr w:type="spellStart"/>
            <w:r w:rsidRPr="00315A68">
              <w:rPr>
                <w:sz w:val="18"/>
                <w:szCs w:val="18"/>
                <w:lang w:val="en-US"/>
              </w:rPr>
              <w:t>POz</w:t>
            </w:r>
            <w:proofErr w:type="spellEnd"/>
            <w:r>
              <w:rPr>
                <w:sz w:val="18"/>
                <w:szCs w:val="18"/>
                <w:lang w:val="en-US"/>
              </w:rPr>
              <w:t>,</w:t>
            </w:r>
            <w:r w:rsidRPr="00315A68">
              <w:rPr>
                <w:sz w:val="18"/>
                <w:szCs w:val="18"/>
                <w:lang w:val="en-US"/>
              </w:rPr>
              <w:t xml:space="preserve"> PO3</w:t>
            </w:r>
            <w:r>
              <w:rPr>
                <w:sz w:val="18"/>
                <w:szCs w:val="18"/>
                <w:lang w:val="en-US"/>
              </w:rPr>
              <w:t>,</w:t>
            </w:r>
            <w:r w:rsidRPr="00315A68">
              <w:rPr>
                <w:sz w:val="18"/>
                <w:szCs w:val="18"/>
                <w:lang w:val="en-US"/>
              </w:rPr>
              <w:t xml:space="preserve"> PO4</w:t>
            </w:r>
          </w:p>
        </w:tc>
        <w:tc>
          <w:tcPr>
            <w:tcW w:w="708" w:type="dxa"/>
            <w:tcBorders>
              <w:top w:val="single" w:sz="4" w:space="0" w:color="auto"/>
            </w:tcBorders>
            <w:shd w:val="clear" w:color="auto" w:fill="FFFFFF" w:themeFill="background1"/>
          </w:tcPr>
          <w:p w14:paraId="43544B19" w14:textId="5E717C9C" w:rsidR="005A7029" w:rsidRPr="00FF79AB" w:rsidRDefault="00315A68"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 xml:space="preserve">&lt; </w:t>
            </w:r>
            <w:r w:rsidR="005A7029">
              <w:rPr>
                <w:sz w:val="18"/>
                <w:szCs w:val="18"/>
                <w:lang w:val="en-US"/>
              </w:rPr>
              <w:t>.</w:t>
            </w:r>
            <w:r>
              <w:rPr>
                <w:sz w:val="18"/>
                <w:szCs w:val="18"/>
                <w:lang w:val="en-US"/>
              </w:rPr>
              <w:t>0</w:t>
            </w:r>
            <w:r w:rsidR="005A7029">
              <w:rPr>
                <w:sz w:val="18"/>
                <w:szCs w:val="18"/>
                <w:lang w:val="en-US"/>
              </w:rPr>
              <w:t>01</w:t>
            </w:r>
          </w:p>
        </w:tc>
      </w:tr>
      <w:tr w:rsidR="005A7029" w:rsidRPr="00FF79AB" w14:paraId="49734084" w14:textId="77777777" w:rsidTr="005D3011">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34CF2AFA" w14:textId="42C66695" w:rsidR="005A7029" w:rsidRPr="00FF79AB" w:rsidRDefault="005A7029" w:rsidP="005A7029">
            <w:pPr>
              <w:rPr>
                <w:sz w:val="18"/>
                <w:szCs w:val="18"/>
                <w:lang w:val="en-US"/>
              </w:rPr>
            </w:pPr>
            <w:r w:rsidRPr="00FF79AB">
              <w:rPr>
                <w:sz w:val="18"/>
                <w:szCs w:val="18"/>
                <w:lang w:val="en-US"/>
              </w:rPr>
              <w:lastRenderedPageBreak/>
              <w:t>move</w:t>
            </w:r>
          </w:p>
        </w:tc>
        <w:tc>
          <w:tcPr>
            <w:tcW w:w="1134" w:type="dxa"/>
            <w:shd w:val="clear" w:color="auto" w:fill="FFFFFF" w:themeFill="background1"/>
          </w:tcPr>
          <w:p w14:paraId="0AB0986F" w14:textId="1C88761F" w:rsidR="005A7029" w:rsidRPr="00FF79AB" w:rsidRDefault="00315A68"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roofErr w:type="gramStart"/>
            <w:r>
              <w:rPr>
                <w:sz w:val="18"/>
                <w:szCs w:val="18"/>
                <w:lang w:val="en-US"/>
              </w:rPr>
              <w:t>3</w:t>
            </w:r>
            <w:r w:rsidR="001E76AA">
              <w:rPr>
                <w:sz w:val="18"/>
                <w:szCs w:val="18"/>
                <w:lang w:val="en-US"/>
              </w:rPr>
              <w:t>16</w:t>
            </w:r>
            <w:r>
              <w:rPr>
                <w:sz w:val="18"/>
                <w:szCs w:val="18"/>
                <w:lang w:val="en-US"/>
              </w:rPr>
              <w:t xml:space="preserve"> :</w:t>
            </w:r>
            <w:proofErr w:type="gramEnd"/>
            <w:r>
              <w:rPr>
                <w:sz w:val="18"/>
                <w:szCs w:val="18"/>
                <w:lang w:val="en-US"/>
              </w:rPr>
              <w:t xml:space="preserve"> 594</w:t>
            </w:r>
          </w:p>
        </w:tc>
        <w:tc>
          <w:tcPr>
            <w:tcW w:w="4536" w:type="dxa"/>
            <w:shd w:val="clear" w:color="auto" w:fill="FFFFFF" w:themeFill="background1"/>
          </w:tcPr>
          <w:p w14:paraId="33D4851C" w14:textId="78B8ADF1" w:rsidR="005A7029" w:rsidRPr="00FF79AB" w:rsidRDefault="001E76AA"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315A68">
              <w:rPr>
                <w:sz w:val="18"/>
                <w:szCs w:val="18"/>
                <w:lang w:val="en-US"/>
              </w:rPr>
              <w:t>CPz</w:t>
            </w:r>
            <w:proofErr w:type="spellEnd"/>
            <w:r>
              <w:rPr>
                <w:sz w:val="18"/>
                <w:szCs w:val="18"/>
                <w:lang w:val="en-US"/>
              </w:rPr>
              <w:t>,</w:t>
            </w:r>
            <w:r w:rsidRPr="00315A68">
              <w:rPr>
                <w:sz w:val="18"/>
                <w:szCs w:val="18"/>
                <w:lang w:val="en-US"/>
              </w:rPr>
              <w:t xml:space="preserve"> CP1</w:t>
            </w:r>
            <w:r>
              <w:rPr>
                <w:sz w:val="18"/>
                <w:szCs w:val="18"/>
                <w:lang w:val="en-US"/>
              </w:rPr>
              <w:t>,</w:t>
            </w:r>
            <w:r w:rsidRPr="00315A68">
              <w:rPr>
                <w:sz w:val="18"/>
                <w:szCs w:val="18"/>
                <w:lang w:val="en-US"/>
              </w:rPr>
              <w:t xml:space="preserve"> CP2</w:t>
            </w:r>
            <w:r>
              <w:rPr>
                <w:sz w:val="18"/>
                <w:szCs w:val="18"/>
                <w:lang w:val="en-US"/>
              </w:rPr>
              <w:t>,</w:t>
            </w:r>
            <w:r w:rsidRPr="00315A68">
              <w:rPr>
                <w:sz w:val="18"/>
                <w:szCs w:val="18"/>
                <w:lang w:val="en-US"/>
              </w:rPr>
              <w:t xml:space="preserve"> </w:t>
            </w:r>
            <w:proofErr w:type="spellStart"/>
            <w:r w:rsidRPr="00315A68">
              <w:rPr>
                <w:sz w:val="18"/>
                <w:szCs w:val="18"/>
                <w:lang w:val="en-US"/>
              </w:rPr>
              <w:t>Pz</w:t>
            </w:r>
            <w:proofErr w:type="spellEnd"/>
            <w:r>
              <w:rPr>
                <w:sz w:val="18"/>
                <w:szCs w:val="18"/>
                <w:lang w:val="en-US"/>
              </w:rPr>
              <w:t>,</w:t>
            </w:r>
            <w:r w:rsidRPr="00315A68">
              <w:rPr>
                <w:sz w:val="18"/>
                <w:szCs w:val="18"/>
                <w:lang w:val="en-US"/>
              </w:rPr>
              <w:t xml:space="preserve"> P1</w:t>
            </w:r>
            <w:r>
              <w:rPr>
                <w:sz w:val="18"/>
                <w:szCs w:val="18"/>
                <w:lang w:val="en-US"/>
              </w:rPr>
              <w:t>,</w:t>
            </w:r>
            <w:r w:rsidRPr="00315A68">
              <w:rPr>
                <w:sz w:val="18"/>
                <w:szCs w:val="18"/>
                <w:lang w:val="en-US"/>
              </w:rPr>
              <w:t xml:space="preserve"> P2</w:t>
            </w:r>
            <w:r>
              <w:rPr>
                <w:sz w:val="18"/>
                <w:szCs w:val="18"/>
                <w:lang w:val="en-US"/>
              </w:rPr>
              <w:t>,</w:t>
            </w:r>
            <w:r w:rsidRPr="00315A68">
              <w:rPr>
                <w:sz w:val="18"/>
                <w:szCs w:val="18"/>
                <w:lang w:val="en-US"/>
              </w:rPr>
              <w:t xml:space="preserve"> P3</w:t>
            </w:r>
            <w:r>
              <w:rPr>
                <w:sz w:val="18"/>
                <w:szCs w:val="18"/>
                <w:lang w:val="en-US"/>
              </w:rPr>
              <w:t>,</w:t>
            </w:r>
            <w:r w:rsidRPr="00315A68">
              <w:rPr>
                <w:sz w:val="18"/>
                <w:szCs w:val="18"/>
                <w:lang w:val="en-US"/>
              </w:rPr>
              <w:t xml:space="preserve"> P4</w:t>
            </w:r>
            <w:r>
              <w:rPr>
                <w:sz w:val="18"/>
                <w:szCs w:val="18"/>
                <w:lang w:val="en-US"/>
              </w:rPr>
              <w:t>,</w:t>
            </w:r>
            <w:r w:rsidRPr="00315A68">
              <w:rPr>
                <w:sz w:val="18"/>
                <w:szCs w:val="18"/>
                <w:lang w:val="en-US"/>
              </w:rPr>
              <w:t xml:space="preserve"> </w:t>
            </w:r>
            <w:proofErr w:type="spellStart"/>
            <w:r w:rsidRPr="00315A68">
              <w:rPr>
                <w:sz w:val="18"/>
                <w:szCs w:val="18"/>
                <w:lang w:val="en-US"/>
              </w:rPr>
              <w:t>POz</w:t>
            </w:r>
            <w:proofErr w:type="spellEnd"/>
            <w:r>
              <w:rPr>
                <w:sz w:val="18"/>
                <w:szCs w:val="18"/>
                <w:lang w:val="en-US"/>
              </w:rPr>
              <w:t>,</w:t>
            </w:r>
            <w:r w:rsidRPr="00315A68">
              <w:rPr>
                <w:sz w:val="18"/>
                <w:szCs w:val="18"/>
                <w:lang w:val="en-US"/>
              </w:rPr>
              <w:t xml:space="preserve"> PO3</w:t>
            </w:r>
            <w:r>
              <w:rPr>
                <w:sz w:val="18"/>
                <w:szCs w:val="18"/>
                <w:lang w:val="en-US"/>
              </w:rPr>
              <w:t>,</w:t>
            </w:r>
            <w:r w:rsidRPr="00315A68">
              <w:rPr>
                <w:sz w:val="18"/>
                <w:szCs w:val="18"/>
                <w:lang w:val="en-US"/>
              </w:rPr>
              <w:t xml:space="preserve"> PO4</w:t>
            </w:r>
          </w:p>
        </w:tc>
        <w:tc>
          <w:tcPr>
            <w:tcW w:w="708" w:type="dxa"/>
            <w:shd w:val="clear" w:color="auto" w:fill="FFFFFF" w:themeFill="background1"/>
          </w:tcPr>
          <w:p w14:paraId="7B035225" w14:textId="2C6A9CC7" w:rsidR="005A7029" w:rsidRPr="00FF79AB" w:rsidRDefault="005A7029" w:rsidP="005A7029">
            <w:pPr>
              <w:cnfStyle w:val="000000000000" w:firstRow="0" w:lastRow="0" w:firstColumn="0" w:lastColumn="0" w:oddVBand="0" w:evenVBand="0" w:oddHBand="0" w:evenHBand="0" w:firstRowFirstColumn="0" w:firstRowLastColumn="0" w:lastRowFirstColumn="0" w:lastRowLastColumn="0"/>
              <w:rPr>
                <w:sz w:val="18"/>
                <w:szCs w:val="18"/>
                <w:lang w:val="en-US"/>
              </w:rPr>
            </w:pPr>
            <w:r w:rsidRPr="00FF79AB">
              <w:rPr>
                <w:sz w:val="18"/>
                <w:szCs w:val="18"/>
                <w:lang w:val="en-US"/>
              </w:rPr>
              <w:t>.</w:t>
            </w:r>
            <w:r w:rsidR="001E76AA">
              <w:rPr>
                <w:sz w:val="18"/>
                <w:szCs w:val="18"/>
                <w:lang w:val="en-US"/>
              </w:rPr>
              <w:t>0</w:t>
            </w:r>
            <w:r>
              <w:rPr>
                <w:sz w:val="18"/>
                <w:szCs w:val="18"/>
                <w:lang w:val="en-US"/>
              </w:rPr>
              <w:t>01</w:t>
            </w:r>
          </w:p>
        </w:tc>
      </w:tr>
      <w:tr w:rsidR="005A7029" w:rsidRPr="00FF79AB" w14:paraId="5D0A4B2D" w14:textId="77777777" w:rsidTr="005D30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FFFFFF" w:themeFill="background1"/>
          </w:tcPr>
          <w:p w14:paraId="2F2C487F" w14:textId="173A9D26" w:rsidR="005A7029" w:rsidRPr="00FF79AB" w:rsidRDefault="005A7029" w:rsidP="005A7029">
            <w:pPr>
              <w:rPr>
                <w:sz w:val="18"/>
                <w:szCs w:val="18"/>
                <w:lang w:val="en-US"/>
              </w:rPr>
            </w:pPr>
            <w:r>
              <w:rPr>
                <w:sz w:val="18"/>
                <w:szCs w:val="18"/>
                <w:lang w:val="en-US"/>
              </w:rPr>
              <w:t>difficulty</w:t>
            </w:r>
            <w:r w:rsidRPr="00FF79AB">
              <w:rPr>
                <w:sz w:val="18"/>
                <w:szCs w:val="18"/>
                <w:lang w:val="en-US"/>
              </w:rPr>
              <w:t xml:space="preserve"> * move</w:t>
            </w:r>
          </w:p>
        </w:tc>
        <w:tc>
          <w:tcPr>
            <w:tcW w:w="1134" w:type="dxa"/>
            <w:shd w:val="clear" w:color="auto" w:fill="FFFFFF" w:themeFill="background1"/>
          </w:tcPr>
          <w:p w14:paraId="50E5F179" w14:textId="3EAB7E3E" w:rsidR="005A7029" w:rsidRPr="00FF79AB" w:rsidRDefault="00315A68"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proofErr w:type="gramStart"/>
            <w:r>
              <w:rPr>
                <w:sz w:val="18"/>
                <w:szCs w:val="18"/>
                <w:lang w:val="en-US"/>
              </w:rPr>
              <w:t>300 :</w:t>
            </w:r>
            <w:proofErr w:type="gramEnd"/>
            <w:r>
              <w:rPr>
                <w:sz w:val="18"/>
                <w:szCs w:val="18"/>
                <w:lang w:val="en-US"/>
              </w:rPr>
              <w:t xml:space="preserve"> 600</w:t>
            </w:r>
          </w:p>
        </w:tc>
        <w:tc>
          <w:tcPr>
            <w:tcW w:w="4536" w:type="dxa"/>
            <w:shd w:val="clear" w:color="auto" w:fill="FFFFFF" w:themeFill="background1"/>
          </w:tcPr>
          <w:p w14:paraId="206D97C9" w14:textId="5C9FB5DF" w:rsidR="005A7029" w:rsidRPr="00FF79AB" w:rsidRDefault="001E76AA"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 xml:space="preserve">CP1, CP2, </w:t>
            </w:r>
            <w:proofErr w:type="spellStart"/>
            <w:r>
              <w:rPr>
                <w:sz w:val="18"/>
                <w:szCs w:val="18"/>
                <w:lang w:val="en-US"/>
              </w:rPr>
              <w:t>Pz</w:t>
            </w:r>
            <w:proofErr w:type="spellEnd"/>
            <w:r>
              <w:rPr>
                <w:sz w:val="18"/>
                <w:szCs w:val="18"/>
                <w:lang w:val="en-US"/>
              </w:rPr>
              <w:t>, P1, P2</w:t>
            </w:r>
          </w:p>
        </w:tc>
        <w:tc>
          <w:tcPr>
            <w:tcW w:w="708" w:type="dxa"/>
            <w:shd w:val="clear" w:color="auto" w:fill="FFFFFF" w:themeFill="background1"/>
          </w:tcPr>
          <w:p w14:paraId="2764B1EB" w14:textId="39EBDCD3" w:rsidR="005A7029" w:rsidRPr="00FF79AB" w:rsidRDefault="005A7029" w:rsidP="005A7029">
            <w:pPr>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lang w:val="en-US"/>
              </w:rPr>
              <w:t>.</w:t>
            </w:r>
            <w:r w:rsidR="00315A68">
              <w:rPr>
                <w:sz w:val="18"/>
                <w:szCs w:val="18"/>
                <w:lang w:val="en-US"/>
              </w:rPr>
              <w:t>0</w:t>
            </w:r>
            <w:r w:rsidR="001E76AA">
              <w:rPr>
                <w:sz w:val="18"/>
                <w:szCs w:val="18"/>
                <w:lang w:val="en-US"/>
              </w:rPr>
              <w:t>4</w:t>
            </w:r>
          </w:p>
        </w:tc>
      </w:tr>
    </w:tbl>
    <w:p w14:paraId="53AC1D3A" w14:textId="6611FF9A" w:rsidR="00B43173" w:rsidRDefault="00B43173">
      <w:pPr>
        <w:jc w:val="left"/>
        <w:rPr>
          <w:lang w:val="en-US"/>
        </w:rPr>
      </w:pPr>
      <w:r>
        <w:rPr>
          <w:lang w:val="en-US"/>
        </w:rPr>
        <w:br w:type="page"/>
      </w:r>
    </w:p>
    <w:p w14:paraId="4FE95EFC" w14:textId="573043A0" w:rsidR="00E432FC" w:rsidRDefault="00E432FC" w:rsidP="00E432FC">
      <w:pPr>
        <w:pStyle w:val="berschrift1"/>
        <w:rPr>
          <w:lang w:val="en-US"/>
        </w:rPr>
      </w:pPr>
      <w:r>
        <w:rPr>
          <w:lang w:val="en-US"/>
        </w:rPr>
        <w:lastRenderedPageBreak/>
        <w:t>Discussion</w:t>
      </w:r>
    </w:p>
    <w:p w14:paraId="41B596F3" w14:textId="66BDB178" w:rsidR="00A8186A" w:rsidRDefault="75598FD4" w:rsidP="00E432FC">
      <w:pPr>
        <w:rPr>
          <w:lang w:val="en-US"/>
        </w:rPr>
      </w:pPr>
      <w:r w:rsidRPr="75598FD4">
        <w:rPr>
          <w:lang w:val="en-US"/>
        </w:rPr>
        <w:t>This experiment was conducted to gain insight into the interactions and interferences of cognitive and motor processes, highly relevant to many modern workplaces, such as order pickers in a logistics warehouse. Participants were required to perform a demanding switching task with task-relevant cues presented either via headphones or via an HMD. While performing the cognitive task, they either stood still, walked continuously, or walked with lateral perturbations on a dual-belt treadmill. To be able to obtain a systematic overview of experienced cognitive workload, we used a questionnaire (NASA-TLX), response</w:t>
      </w:r>
      <w:r w:rsidR="000D42A5">
        <w:rPr>
          <w:lang w:val="en-US"/>
        </w:rPr>
        <w:t xml:space="preserve"> and gait</w:t>
      </w:r>
      <w:r w:rsidRPr="75598FD4">
        <w:rPr>
          <w:lang w:val="en-US"/>
        </w:rPr>
        <w:t xml:space="preserve"> behavior, and mobile EEG measures. Overall, our findings highlight important differences between the two cueing modalities within the three different locomotor conditions, elucidating underlying attentional processes using EEG measures. </w:t>
      </w:r>
    </w:p>
    <w:p w14:paraId="7DCBBD8A" w14:textId="5E99FB38" w:rsidR="006439C0" w:rsidRPr="00FB4F32" w:rsidRDefault="00723A20" w:rsidP="00E432FC">
      <w:pPr>
        <w:rPr>
          <w:b/>
          <w:bCs/>
          <w:lang w:val="en-US"/>
        </w:rPr>
      </w:pPr>
      <w:r>
        <w:rPr>
          <w:b/>
          <w:bCs/>
          <w:lang w:val="en-US"/>
        </w:rPr>
        <w:t>Cue modality and t</w:t>
      </w:r>
      <w:r w:rsidR="006439C0" w:rsidRPr="00FB4F32">
        <w:rPr>
          <w:b/>
          <w:bCs/>
          <w:lang w:val="en-US"/>
        </w:rPr>
        <w:t>ask-switching</w:t>
      </w:r>
    </w:p>
    <w:p w14:paraId="0BA88C62" w14:textId="3DB0BD81" w:rsidR="00CC26A3" w:rsidRDefault="75598FD4" w:rsidP="00912094">
      <w:pPr>
        <w:rPr>
          <w:lang w:val="en-US"/>
        </w:rPr>
      </w:pPr>
      <w:r w:rsidRPr="75598FD4">
        <w:rPr>
          <w:lang w:val="en-US"/>
        </w:rPr>
        <w:t xml:space="preserve">As hypothesized, we found significant differences in mixed-task blocks as compared to single-task blocks. Subjects took longer to react, showed impaired accuracies, and found the task to be subjectively more difficult in mixed- compared to single-task blocks, which is in line with previous findings </w:t>
      </w:r>
      <w:r w:rsidR="00912094" w:rsidRPr="75598FD4">
        <w:rPr>
          <w:lang w:val="en-US"/>
        </w:rPr>
        <w:fldChar w:fldCharType="begin"/>
      </w:r>
      <w:r w:rsidR="006C6E43">
        <w:rPr>
          <w:lang w:val="en-US"/>
        </w:rPr>
        <w:instrText xml:space="preserve"> ADDIN ZOTERO_ITEM CSL_CITATION {"citationID":"pGeJb5g5","properties":{"formattedCitation":"(Rubin &amp; Meiran, 2005)","plainCitation":"(Rubin &amp; Meiran, 2005)","noteIndex":0},"citationItems":[{"id":8868,"uris":["http://zotero.org/users/7328983/items/Q9Z5RZHJ"],"itemData":{"id":8868,"type":"article-journal","abstract":"Poorer performance in conditions involving task repetition within blocks of mixed tasks relative to task repetition within blocks of single task is called mixing cost (MC). In 2 experiments exploring 2 hypotheses regarding the origins of MC, participants either switched between cued shape and color tasks, or they performed them as single tasks. Experiment 1 supported the hypothesis that mixed-tasks trials require the resolution of task ambiguity by showing that MC existed only with ambiguous stimuli that afforded both tasks and not with unambiguous stimuli affording only 1 task. Experiment 2 failed to support the hypothesis that holding multiple task sets in working memory (WM) generates MC by showing that systematic manipulation of the number of stimulus-response rules in WM did not affect MC. The results emphasize the role of competition management between task sets during task control. (PsycINFO Database Record (c) 2016 APA, all rights reserved)","container-title":"Journal of Experimental Psychology: Learning, Memory, and Cognition","DOI":"10.1037/0278-7393.31.6.1477","ISSN":"1939-1285","issue":"6","note":"publisher-place: US\npublisher: American Psychological Association","page":"1477-1491","source":"APA PsycNet","title":"On the Origins of the Task Mixing Cost in the Cuing Task-Switching Paradigm","volume":"31","author":[{"family":"Rubin","given":"Orit"},{"family":"Meiran","given":"Nachshon"}],"issued":{"date-parts":[["2005"]]},"citation-key":"rubinOriginsTaskMixing2005"}}],"schema":"https://github.com/citation-style-language/schema/raw/master/csl-citation.json"} </w:instrText>
      </w:r>
      <w:r w:rsidR="00912094" w:rsidRPr="75598FD4">
        <w:rPr>
          <w:lang w:val="en-US"/>
        </w:rPr>
        <w:fldChar w:fldCharType="separate"/>
      </w:r>
      <w:r w:rsidRPr="75598FD4">
        <w:rPr>
          <w:noProof/>
          <w:lang w:val="en-US"/>
        </w:rPr>
        <w:t>(Rubin &amp; Meiran, 2005)</w:t>
      </w:r>
      <w:r w:rsidR="00912094" w:rsidRPr="75598FD4">
        <w:rPr>
          <w:lang w:val="en-US"/>
        </w:rPr>
        <w:fldChar w:fldCharType="end"/>
      </w:r>
      <w:r w:rsidRPr="75598FD4">
        <w:rPr>
          <w:lang w:val="en-US"/>
        </w:rPr>
        <w:t xml:space="preserve">. Interestingly, modality of cue presentation impacted response times, but not the subjective workload. In single-task conditions, subjects were able to respond faster when being presented with auditory information. On the other hand, they were faster in mixed blocks when being presented with visual cue stimuli. Within mixed-task blocks, subjects took longer to respond to switch trials. They also showed decreased accuracies in both modalities – therefore, indicating switch costs known from laboratory studies </w:t>
      </w:r>
      <w:r w:rsidR="00912094" w:rsidRPr="75598FD4">
        <w:rPr>
          <w:lang w:val="en-US"/>
        </w:rPr>
        <w:fldChar w:fldCharType="begin"/>
      </w:r>
      <w:r w:rsidR="006C6E43">
        <w:rPr>
          <w:lang w:val="en-US"/>
        </w:rPr>
        <w:instrText xml:space="preserve"> ADDIN ZOTERO_ITEM CSL_CITATION {"citationID":"u10Saqhb","properties":{"formattedCitation":"(LaPlume et al., 2022)","plainCitation":"(LaPlume et al., 2022)","noteIndex":0},"citationItems":[{"id":8871,"uris":["http://zotero.org/users/7328983/items/PF9AN28R"],"itemData":{"id":8871,"type":"article-journal","abstract":"People are slower when shifting than repeating tasks (switch cost). A considerable portion of the switch cost is due to the possibility of a shift in a mixed block where switches are possible (mixing cost), and to processing a cue that signals a task change (cue switch cost). We use an online sample (n = 12,533) and double cuing paradigm to examine the independent and interactive effects of cue switch costs and mixing costs. All effects were significant, with medium effects for cue changes (ηp2 = 0.06) and task changes (ηp2 = 0.10), a large effect for block context (ηp2 = 0.37), and a small block by cue interaction (ηp2 = 0.04) indicating that the role of the cue depends on the possibility of a switch. These findings offer empirical completeness by measuring the cue change in both blocks of a switching paradigm. The integrative approach quantifies how separable empirical components contribute to the overall switch cost.","container-title":"Journal of Cognitive Psychology","DOI":"10.1080/20445911.2022.2089153","ISSN":"2044-5911","issue":"7","note":"publisher: Routledge\n_eprint: https://doi.org/10.1080/20445911.2022.2089153","page":"879-892","source":"Taylor and Francis+NEJM","title":"Component processes in task switching: cue switch costs are dependent on a mixed block of trials","title-short":"Component processes in task switching","volume":"34","author":[{"family":"LaPlume","given":"Annalise A."},{"family":"Reimers","given":"Stian"},{"family":"Wiseheart","given":"Melody"}],"issued":{"date-parts":[["2022",10,3]]},"citation-key":"laplumeComponentProcessesTask2022"}}],"schema":"https://github.com/citation-style-language/schema/raw/master/csl-citation.json"} </w:instrText>
      </w:r>
      <w:r w:rsidR="00912094" w:rsidRPr="75598FD4">
        <w:rPr>
          <w:lang w:val="en-US"/>
        </w:rPr>
        <w:fldChar w:fldCharType="separate"/>
      </w:r>
      <w:r w:rsidRPr="75598FD4">
        <w:rPr>
          <w:noProof/>
          <w:lang w:val="en-US"/>
        </w:rPr>
        <w:t>(LaPlume et al., 2022)</w:t>
      </w:r>
      <w:r w:rsidR="00912094" w:rsidRPr="75598FD4">
        <w:rPr>
          <w:lang w:val="en-US"/>
        </w:rPr>
        <w:fldChar w:fldCharType="end"/>
      </w:r>
      <w:r w:rsidRPr="75598FD4">
        <w:rPr>
          <w:lang w:val="en-US"/>
        </w:rPr>
        <w:t>.</w:t>
      </w:r>
    </w:p>
    <w:p w14:paraId="67B9E225" w14:textId="7AAB384F" w:rsidR="00305BE3" w:rsidRDefault="75598FD4" w:rsidP="00E432FC">
      <w:pPr>
        <w:rPr>
          <w:lang w:val="en-US"/>
        </w:rPr>
      </w:pPr>
      <w:r w:rsidRPr="75598FD4">
        <w:rPr>
          <w:lang w:val="en-US"/>
        </w:rPr>
        <w:t xml:space="preserve">Differences in the CNV amplitude between switch and repeat trials could only be observed in trials with a visual task-cue. Here we found a significant increase in CNV amplitudes only between single-task trials and repeat/switch trials in a frontal and a central cluster – indicating a change of motor preparation between single- and mixed-task blocks. This increase in preparatory resources towards the mixing task blocks might indicate a pro-active preparation of motor plan switching in the visual cue conditions. This effect is missing in the auditory cue presentation conditions, though. Regarding response-related resource allocation as measured by the P3, we find an increase from single-task to repeat/switch trials in auditory cue conditions. This increase suggests higher cognitive demands of the task with increased cognitive task difficulty. In the visual domain, though, we find a reversed pattern – probably highlighting that increased preparatory processes attenuate the increased effort necessary for correct task responses. This reversed pattern of effects could indicate two different cognitive control strategies as outlined by Braver </w:t>
      </w:r>
      <w:r w:rsidR="00DE19A3" w:rsidRPr="75598FD4">
        <w:rPr>
          <w:lang w:val="en-US"/>
        </w:rPr>
        <w:fldChar w:fldCharType="begin"/>
      </w:r>
      <w:r w:rsidR="006C6E43">
        <w:rPr>
          <w:lang w:val="en-US"/>
        </w:rPr>
        <w:instrText xml:space="preserve"> ADDIN ZOTERO_ITEM CSL_CITATION {"citationID":"R51XzJkz","properties":{"formattedCitation":"(2012)","plainCitation":"(2012)","noteIndex":0},"citationItems":[{"id":9013,"uris":["http://zotero.org/users/7328983/items/NUZXIQ5K"],"itemData":{"id":9013,"type":"article-journal","container-title":"Trends in Cognitive Sciences","DOI":"10.1016/j.tics.2011.12.010","ISSN":"13646613","issue":"2","journalAbbreviation":"Trends in Cognitive Sciences","language":"en","license":"https://www.elsevier.com/tdm/userlicense/1.0/","page":"106-113","source":"DOI.org (Crossref)","title":"The variable nature of cognitive control: a dual mechanisms framework","title-short":"The variable nature of cognitive control","volume":"16","author":[{"family":"Braver","given":"Todd S."}],"issued":{"date-parts":[["2012",2]]},"citation-key":"braverVariableNatureCognitive2012"},"suppress-author":true}],"schema":"https://github.com/citation-style-language/schema/raw/master/csl-citation.json"} </w:instrText>
      </w:r>
      <w:r w:rsidR="00DE19A3" w:rsidRPr="75598FD4">
        <w:rPr>
          <w:lang w:val="en-US"/>
        </w:rPr>
        <w:fldChar w:fldCharType="separate"/>
      </w:r>
      <w:r w:rsidRPr="75598FD4">
        <w:rPr>
          <w:noProof/>
          <w:lang w:val="en-US"/>
        </w:rPr>
        <w:t>(2012)</w:t>
      </w:r>
      <w:r w:rsidR="00DE19A3" w:rsidRPr="75598FD4">
        <w:rPr>
          <w:lang w:val="en-US"/>
        </w:rPr>
        <w:fldChar w:fldCharType="end"/>
      </w:r>
      <w:r w:rsidRPr="75598FD4">
        <w:rPr>
          <w:lang w:val="en-US"/>
        </w:rPr>
        <w:t xml:space="preserve">. The preparatory processes in the visual domain reveal a pro-active approach to respond correctly in mixed-task blocks with increased CNV amplitudes. In the auditory cue conditions, though, we find diminished preparation in mixed compared to single-task blocks. This could be an indicator for a re-active approach for task execution. Here, subjects might have been occupied with other cognitive conversion processes from the auditory cue to the visual target processing as previously found by </w:t>
      </w:r>
      <w:proofErr w:type="spellStart"/>
      <w:r w:rsidRPr="75598FD4">
        <w:rPr>
          <w:lang w:val="en-US"/>
        </w:rPr>
        <w:t>Kreutzfeldt</w:t>
      </w:r>
      <w:proofErr w:type="spellEnd"/>
      <w:r w:rsidRPr="75598FD4">
        <w:rPr>
          <w:lang w:val="en-US"/>
        </w:rPr>
        <w:t xml:space="preserve"> et al. </w:t>
      </w:r>
      <w:r w:rsidR="00DE19A3" w:rsidRPr="75598FD4">
        <w:rPr>
          <w:lang w:val="en-US"/>
        </w:rPr>
        <w:fldChar w:fldCharType="begin"/>
      </w:r>
      <w:r w:rsidR="006C6E43">
        <w:rPr>
          <w:lang w:val="en-US"/>
        </w:rPr>
        <w:instrText xml:space="preserve"> ADDIN ZOTERO_ITEM CSL_CITATION {"citationID":"XnSHFPoP","properties":{"formattedCitation":"(2017)","plainCitation":"(2017)","noteIndex":0},"citationItems":[{"id":39,"uris":["http://zotero.org/users/7328983/items/UF2PJY6K"],"itemData":{"id":39,"type":"article-journal","abstract":"In the current study, we addressed modality-specificity of the flexibility of cognitive control. We compared performance in single-task and mixed-tasks blocks between blocked auditory and visual stimuli assessing alternation costs (single vs. mixed). Mixed blocks comprised task switches only. The tasks consisted of numerical parity, magnitude, and distance judgments about numbers between one and nine without five. A cue indicated the relevant task. The cue–stimulus interval was varied (short vs. long interval) to examine preparation effects. The results indicated higher response times (RTs) and error rates (ERs) in mixed- vs. single-tasks blocks. The alternation costs in ERs were larger for auditory compared to visual stimulus presentation. Moreover, the reduction of RT alternation costs based on increased preparation time was more pronounced for the auditory modality compared to the visual modality. These results suggest a modality-specific influence on processes involved in maintaining and updating task sets in working memory.","container-title":"Journal of Cognitive Psychology","DOI":"10.1080/20445911.2017.1293064","ISSN":"2044-5911, 2044-592X","issue":"5","journalAbbreviation":"Journal of Cognitive Psychology","language":"en","page":"607-617","source":"DOI.org (Crossref)","title":"Modality-specific preparatory influences on the flexibility of cognitive control in task switching","volume":"29","author":[{"family":"Kreutzfeldt","given":"Magali"},{"family":"Stephan","given":"Denise N."},{"family":"Willmes","given":"Klaus"},{"family":"Koch","given":"Iring"}],"issued":{"date-parts":[["2017",7,4]]},"citation-key":"kreutzfeldtModalityspecificPreparatoryInfluences2017"},"suppress-author":true}],"schema":"https://github.com/citation-style-language/schema/raw/master/csl-citation.json"} </w:instrText>
      </w:r>
      <w:r w:rsidR="00DE19A3" w:rsidRPr="75598FD4">
        <w:rPr>
          <w:lang w:val="en-US"/>
        </w:rPr>
        <w:fldChar w:fldCharType="separate"/>
      </w:r>
      <w:r w:rsidRPr="75598FD4">
        <w:rPr>
          <w:noProof/>
          <w:lang w:val="en-US"/>
        </w:rPr>
        <w:t>(2017)</w:t>
      </w:r>
      <w:r w:rsidR="00DE19A3" w:rsidRPr="75598FD4">
        <w:rPr>
          <w:lang w:val="en-US"/>
        </w:rPr>
        <w:fldChar w:fldCharType="end"/>
      </w:r>
      <w:r w:rsidRPr="75598FD4">
        <w:rPr>
          <w:lang w:val="en-US"/>
        </w:rPr>
        <w:t>. These two different preparation approaches are then reflected in the task-difficulty related P3 amplitudes. While amplitudes decrease in the visual domain with increasing difficulty, they increase in the auditory domain. This could hint to the fact that in auditory cue conditions additional resources have to be allocated to the cognitive task to respond correctly. Then again, resources have already been spent in the visual domain in the preparatory period to activate the correct response pattern, facilitating target-related processing.</w:t>
      </w:r>
    </w:p>
    <w:p w14:paraId="492F8039" w14:textId="10753921" w:rsidR="00305BE3" w:rsidRDefault="00723A20" w:rsidP="00E432FC">
      <w:pPr>
        <w:rPr>
          <w:b/>
          <w:bCs/>
          <w:lang w:val="en-US"/>
        </w:rPr>
      </w:pPr>
      <w:r>
        <w:rPr>
          <w:b/>
          <w:bCs/>
          <w:lang w:val="en-US"/>
        </w:rPr>
        <w:t>Cue modality and c</w:t>
      </w:r>
      <w:r w:rsidR="00305BE3" w:rsidRPr="00FB4F32">
        <w:rPr>
          <w:b/>
          <w:bCs/>
          <w:lang w:val="en-US"/>
        </w:rPr>
        <w:t>ognitive-</w:t>
      </w:r>
      <w:r>
        <w:rPr>
          <w:b/>
          <w:bCs/>
          <w:lang w:val="en-US"/>
        </w:rPr>
        <w:t>m</w:t>
      </w:r>
      <w:r w:rsidR="00305BE3" w:rsidRPr="00FB4F32">
        <w:rPr>
          <w:b/>
          <w:bCs/>
          <w:lang w:val="en-US"/>
        </w:rPr>
        <w:t xml:space="preserve">otor </w:t>
      </w:r>
      <w:r>
        <w:rPr>
          <w:b/>
          <w:bCs/>
          <w:lang w:val="en-US"/>
        </w:rPr>
        <w:t>i</w:t>
      </w:r>
      <w:r w:rsidR="00305BE3" w:rsidRPr="00FB4F32">
        <w:rPr>
          <w:b/>
          <w:bCs/>
          <w:lang w:val="en-US"/>
        </w:rPr>
        <w:t>nterference</w:t>
      </w:r>
    </w:p>
    <w:p w14:paraId="51EBF1F1" w14:textId="6B1E6A64" w:rsidR="0095230B" w:rsidRDefault="75598FD4" w:rsidP="00E432FC">
      <w:pPr>
        <w:rPr>
          <w:lang w:val="en-US"/>
        </w:rPr>
      </w:pPr>
      <w:r w:rsidRPr="75598FD4">
        <w:rPr>
          <w:lang w:val="en-US"/>
        </w:rPr>
        <w:lastRenderedPageBreak/>
        <w:t xml:space="preserve">Prior literature postulates that locomotion can impair concurrent cognitive task performance </w:t>
      </w:r>
      <w:r w:rsidR="00E81E99" w:rsidRPr="75598FD4">
        <w:rPr>
          <w:lang w:val="en-US"/>
        </w:rPr>
        <w:fldChar w:fldCharType="begin"/>
      </w:r>
      <w:r w:rsidR="006C6E43">
        <w:rPr>
          <w:lang w:val="en-US"/>
        </w:rPr>
        <w:instrText xml:space="preserve"> ADDIN ZOTERO_ITEM CSL_CITATION {"citationID":"JoTXAhY8","properties":{"formattedCitation":"(Bloem et al., 2001; Lajoie et al., 1993)","plainCitation":"(Bloem et al., 2001; Lajoie et al., 1993)","noteIndex":0},"citationItems":[{"id":824,"uris":["http://zotero.org/users/7328983/items/KN7PLX53"],"itemData":{"id":824,"type":"article-journal","abstract":"Simultaneous challenge of posture and cognition ('dual tasks') may predict falls better than tests of isolated components of postural control. We describe a new balance test (the Multiple Tasks Test, MTT) which (1) is based upon simultaneous assessment of multiple (\\2) postural components; (2) represents everyday situations; and (3) can be applied by clinicians. Relevant risk factors for falls and actual fall circumstances (identified from a prospective survey in Parkinson's disease) were used to design functional tests (or postural 'components') that resembled everyday situations. We distinguished a 'cognitive' component (answering serial questions) from largely 'motor' components (standing up, sitting down, turning around, walking, avoiding obstacles, and touching the floor). Four additional components included carrying an empty or loaded tray, wearing shoes with slippery soles and reduced illumination. These components were combined to yield eight separate tasks of increasing complexity that were executed sequentially. The first and simplest task consisted of standing up, undisturbed walking, turning around and sitting down. For each of the next tasks, a new component was added to the earlier and otherwise identical task. All components within each task had to be performed simultaneously. Errors were defined as Hesitations (slowed performance) or Blocks (complete cessation), which were scored separately for execution of motor and cognitive components. Speed of performance was not stressed, but was measured for all tasks. The MTT was administered to 50 young healthy subjects (mean age 27.6 years) and 13 elderly subjects (mean age 62.0 years). To study learning effects, 20 different young subjects (mean age 21.0 years) received the MTT in order of gradually decreasing complexity. For subjects who received the MTT in order of increasing difficulty, 62% in both age groups performed all eight tasks without any Errors in the motor components. Among those making Errors, the proportion of subjects that made motor Errors increased significantly as the tasks became more complex (F(1,7) = 2.66, P B0.05). This increase differed across the two groups (significant interaction of Group by Task; F(1,7) = 3.07, P= 0.01) because more elderly subjects produced motor Errors during the most complex tasks. Cognitive Errors increased even more than motor Errors with task complexity, and this increase was most pronounced in young subjects (significant interaction of Group by Error Type by Task; F(1,1,7) =3.85, P= 0.001). Only eight young (16%) and four elderly subjects (30.8%) performed the MTT without any motor or cognitive Errors, again suggesting that more young subjects made cognitive Errors. Among subjects who received the MTT in reverse order, motor errors were more common than among subjects who received the MTT in order of increasing complexity (F(1,7) =5.90, PB0.05), particularly during the two most difficult tasks. The elderly performed all tasks slower than the young subjects. We conclude that the MTT is a new balance test based upon a multiple task design that resembles everyday situations. Performance by healthy subjects revealed interesting insights into normal postural strategies. For complex postural tasks, healthy subjects favour execution of motor components over execution of a cognitive component ('posture first' strategy). Young subjects were more inclined than elderly subjects to use this strategy. Motor learning influenced performance among subjects who received the MTT in order of increasing difficulty. Further studies must determine whether the MTT can be used to evaluate balance disorders.","container-title":"Gait &amp; Posture","DOI":"10.1016/S0966-6362(01)00141-2","ISSN":"09666362","issue":"3","page":"191-202","title":"The Multiple Tasks Test","volume":"14","author":[{"family":"Bloem","given":"Bastiaan R"},{"family":"Valkenburg","given":"Vibeke V"},{"family":"Slabbekoorn","given":"Mathilde"},{"family":"Willemsen","given":"Mirjam D"}],"issued":{"date-parts":[["2001",12]]},"citation-key":"bloemMultipleTasksTest2001"}},{"id":8866,"uris":["http://zotero.org/users/7328983/items/AMJ3Q765"],"itemData":{"id":8866,"type":"article-journal","abstract":"Upright standing and walking tasks require the integration of several sources of sensory information. In a normal and highly predictable environment, locomotor synergies involving several muscles may take place at lower spinal levels with neural circuitry tuned by local loops of assistance or self-organizing processes generated in coordinative networks. When ongoing regulation of gait is necessary (obstacles, changes in direction) supraspinal involvement is necessary to perform movements adapted to the environment. Using a classical information processing framework and a dual-task methodology, it is possible to evaluate the attentional demands for performing static and dynamic equilibrium tasks. The present experiment evaluates whether the attentional requirements for a control sitting condition and for standing and walking conditions vary with the intrinsic balance demands of the tasks. The results show that standing and walking conditions required more attention than sitting in a chair. The attentional cost for walking was also significantly greater than for standing. For the walking task, reaction times when subjects were in singlesupport phase (small base of support) were significantly longer than those in double-support phase, suggesting that the attentional demands increased with an increase in the balance requirements of the task. Balance control requires a continuous regulation and integration of sensory inputs; increasing balance demands loads the higher level cognitive system.","container-title":"Experimental Brain Research","DOI":"10.1007/BF00228824","ISSN":"1432-1106","issue":"1","journalAbbreviation":"Exp Brain Res","language":"en","page":"139-144","source":"Springer Link","title":"Attentional demands for static and dynamic equilibrium","volume":"97","author":[{"family":"Lajoie","given":"Y."},{"family":"Teasdale","given":"N."},{"family":"Bard","given":"C."},{"family":"Fleury","given":"M."}],"issued":{"date-parts":[["1993",12,1]]},"citation-key":"lajoieAttentionalDemandsStatic1993"}}],"schema":"https://github.com/citation-style-language/schema/raw/master/csl-citation.json"} </w:instrText>
      </w:r>
      <w:r w:rsidR="00E81E99" w:rsidRPr="75598FD4">
        <w:rPr>
          <w:lang w:val="en-US"/>
        </w:rPr>
        <w:fldChar w:fldCharType="separate"/>
      </w:r>
      <w:r w:rsidRPr="75598FD4">
        <w:rPr>
          <w:noProof/>
          <w:lang w:val="en-US"/>
        </w:rPr>
        <w:t>(Bloem et al., 2001; Lajoie et al., 1993)</w:t>
      </w:r>
      <w:r w:rsidR="00E81E99" w:rsidRPr="75598FD4">
        <w:rPr>
          <w:lang w:val="en-US"/>
        </w:rPr>
        <w:fldChar w:fldCharType="end"/>
      </w:r>
      <w:r w:rsidRPr="75598FD4">
        <w:rPr>
          <w:lang w:val="en-US"/>
        </w:rPr>
        <w:t xml:space="preserve">. In our experiment, we found that subjects rated walking, with balancing requirements, to be subjectively more demanding than standing and regular treadmill walking. This pattern is also reflected in gait parameters as subjects took shorter steps to have shorter single-leg-support walking periods, therefore increasing their gait stability. The same decrease in single-leg-support time applies to mixed-task blocks, therefore highlighting the effect of cognitive-motor interference in this paradigm.  Interestingly, the only effect we could find on response times lied within the auditory cue conditions. Regular treadmill walking increased RTs while perturbed walking decreased them significantly, but only in mixed condition blocks. The cue condition blocks remained unaffected by movement conditions. ERP results offer valuable insights to understand these processes more in-depth. We found movement to influence not only preparatory mechanisms but also target stimulus processing. Within the auditory cue domain, we saw that with increasing walking difficulty, the CNV amplitude decreased – and therefore the resources flowing into correct </w:t>
      </w:r>
      <w:proofErr w:type="spellStart"/>
      <w:r w:rsidRPr="75598FD4">
        <w:rPr>
          <w:lang w:val="en-US"/>
        </w:rPr>
        <w:t>cognitve</w:t>
      </w:r>
      <w:proofErr w:type="spellEnd"/>
      <w:r w:rsidRPr="75598FD4">
        <w:rPr>
          <w:lang w:val="en-US"/>
        </w:rPr>
        <w:t xml:space="preserve"> task-related motor set </w:t>
      </w:r>
      <w:proofErr w:type="spellStart"/>
      <w:proofErr w:type="gramStart"/>
      <w:r w:rsidRPr="75598FD4">
        <w:rPr>
          <w:lang w:val="en-US"/>
        </w:rPr>
        <w:t>preparation.This</w:t>
      </w:r>
      <w:proofErr w:type="spellEnd"/>
      <w:proofErr w:type="gramEnd"/>
      <w:r w:rsidRPr="75598FD4">
        <w:rPr>
          <w:lang w:val="en-US"/>
        </w:rPr>
        <w:t xml:space="preserve"> pattern is reversed in the visual cue conditions. Here, we find the highest CNV amplitudes spent in the perturbed walking condition. This pattern in combination with the concurrent increase of CNV amplitudes within mixed trial conditions highlights the efficiency of task preparation in visually cued trials foregoing a sufficient task performance. On the other hand, preparatory resources seem to be comparatively misallocated in auditory cue conditions. Comparing both cue modalities’ P3 amplitudes, we see different morphologies and effect patterns, most probably resulting from these different preparatory strategies. Movement impairs P3 amplitudes in both cue modality conditions with the strongest impairment in the perturbed walking conditions. The task difficulty manipulations, though, cause a different effect based on the cue modality. While we see resources allocated to the cognitive task being increased with higher task difficulty in the auditory cue modality blocks, this effect shows the reversed trend in the visual cue blocks. This, again, might be due to the different preparation of correct the correct motor response set. Interestingly, the difference in P3 amplitude between standing and both walking conditions is quite vast in the single-task conditions. Within locomotor conditions, means converge with increasing cognitive task difficulty. This trend speaks in favor of cognitive-motor interference as it seems that cognitive resources are spent on both the cognitive and the locomotor task at the same time. This also finds its expression in the lower singe-leg-support times during the task mixing and perturbated walking conditions. Gait stability is prioritized, leaving less resources available for the cognitive task.</w:t>
      </w:r>
    </w:p>
    <w:p w14:paraId="2FA3EF23" w14:textId="29E13C07" w:rsidR="003A52CD" w:rsidRDefault="003A52CD" w:rsidP="00590480">
      <w:pPr>
        <w:pStyle w:val="berschrift2"/>
        <w:rPr>
          <w:lang w:val="en-US"/>
        </w:rPr>
      </w:pPr>
      <w:r>
        <w:rPr>
          <w:lang w:val="en-US"/>
        </w:rPr>
        <w:t>Limitations</w:t>
      </w:r>
    </w:p>
    <w:p w14:paraId="7A8F9EC9" w14:textId="7DBAA3F9" w:rsidR="00413DB6" w:rsidRDefault="056C4F64" w:rsidP="00D21651">
      <w:pPr>
        <w:rPr>
          <w:lang w:val="en-US"/>
        </w:rPr>
      </w:pPr>
      <w:r w:rsidRPr="056C4F64">
        <w:rPr>
          <w:lang w:val="en-US"/>
        </w:rPr>
        <w:t xml:space="preserve">Although the GRAIL laboratory environment provides high levels of control, treadmill walking for the movement manipulations could lack ecological validity. </w:t>
      </w:r>
      <w:r w:rsidR="008A7C56">
        <w:rPr>
          <w:lang w:val="en-US"/>
        </w:rPr>
        <w:t>T</w:t>
      </w:r>
      <w:r w:rsidRPr="056C4F64">
        <w:rPr>
          <w:lang w:val="en-US"/>
        </w:rPr>
        <w:t xml:space="preserve">his study design provided an opportunity to investigate the cognitive underpinnings of cognitive-motor interference in an abstract workplace simulation task, </w:t>
      </w:r>
      <w:r w:rsidR="008A7C56">
        <w:rPr>
          <w:lang w:val="en-US"/>
        </w:rPr>
        <w:t>but</w:t>
      </w:r>
      <w:r w:rsidR="008A7C56" w:rsidRPr="056C4F64">
        <w:rPr>
          <w:lang w:val="en-US"/>
        </w:rPr>
        <w:t xml:space="preserve"> </w:t>
      </w:r>
      <w:r w:rsidR="008A7C56">
        <w:rPr>
          <w:lang w:val="en-US"/>
        </w:rPr>
        <w:t>locomotion demands might differ from real-world walking</w:t>
      </w:r>
      <w:r w:rsidRPr="056C4F64">
        <w:rPr>
          <w:lang w:val="en-US"/>
        </w:rPr>
        <w:t xml:space="preserve"> as the planning of step movements is not required.  Furthermore, the sensory richness of a real-world work environment cannot be replicated, even in a well-equipped virtual reality laboratory. </w:t>
      </w:r>
    </w:p>
    <w:p w14:paraId="1EA4D0EA" w14:textId="6806CF1A" w:rsidR="003A52CD" w:rsidRPr="003A52CD" w:rsidRDefault="056C4F64" w:rsidP="00D21651">
      <w:pPr>
        <w:rPr>
          <w:lang w:val="en-US"/>
        </w:rPr>
      </w:pPr>
      <w:r w:rsidRPr="056C4F64">
        <w:rPr>
          <w:lang w:val="en-US"/>
        </w:rPr>
        <w:t>Therefore, future work should include a more naturalistic representation of real-world environments to investigate the effects of visual feature-richness on</w:t>
      </w:r>
      <w:r w:rsidR="00F36D79">
        <w:rPr>
          <w:lang w:val="en-US"/>
        </w:rPr>
        <w:t xml:space="preserve"> </w:t>
      </w:r>
      <w:r w:rsidRPr="056C4F64">
        <w:rPr>
          <w:lang w:val="en-US"/>
        </w:rPr>
        <w:t xml:space="preserve">challenging cognitive-motor dual tasks. </w:t>
      </w:r>
      <w:r w:rsidR="00602642">
        <w:rPr>
          <w:lang w:val="en-US"/>
        </w:rPr>
        <w:t>Although</w:t>
      </w:r>
      <w:r w:rsidRPr="056C4F64">
        <w:rPr>
          <w:lang w:val="en-US"/>
        </w:rPr>
        <w:t xml:space="preserve"> </w:t>
      </w:r>
      <w:r w:rsidR="00602642">
        <w:rPr>
          <w:lang w:val="en-US"/>
        </w:rPr>
        <w:t>the</w:t>
      </w:r>
      <w:r w:rsidR="00602642" w:rsidRPr="056C4F64">
        <w:rPr>
          <w:lang w:val="en-US"/>
        </w:rPr>
        <w:t xml:space="preserve"> </w:t>
      </w:r>
      <w:r w:rsidRPr="056C4F64">
        <w:rPr>
          <w:lang w:val="en-US"/>
        </w:rPr>
        <w:t xml:space="preserve">study design was chosen to represent a close-to-reality </w:t>
      </w:r>
      <w:r w:rsidR="00645BA7">
        <w:rPr>
          <w:lang w:val="en-US"/>
        </w:rPr>
        <w:t>order-picking</w:t>
      </w:r>
      <w:r w:rsidR="00645BA7" w:rsidRPr="056C4F64">
        <w:rPr>
          <w:lang w:val="en-US"/>
        </w:rPr>
        <w:t xml:space="preserve"> </w:t>
      </w:r>
      <w:r w:rsidRPr="056C4F64">
        <w:rPr>
          <w:lang w:val="en-US"/>
        </w:rPr>
        <w:t xml:space="preserve">task, future studies could integrate ecologically valid task assignments. The presentation of external stimuli is still a major confounder in real-world tasks that hinders naturalistic cognitive ergonomics research. The use of events inherent to the investigated </w:t>
      </w:r>
      <w:r w:rsidRPr="056C4F64">
        <w:rPr>
          <w:lang w:val="en-US"/>
        </w:rPr>
        <w:lastRenderedPageBreak/>
        <w:t>subject itself – such as specific body movements or eye activity patterns – might help to overcome this problem.</w:t>
      </w:r>
    </w:p>
    <w:p w14:paraId="75E104D8" w14:textId="5D80C21E" w:rsidR="00D21651" w:rsidRPr="003A52CD" w:rsidRDefault="00433A2F" w:rsidP="00590480">
      <w:pPr>
        <w:pStyle w:val="berschrift2"/>
        <w:rPr>
          <w:lang w:val="en-US"/>
        </w:rPr>
      </w:pPr>
      <w:r w:rsidRPr="003A52CD">
        <w:rPr>
          <w:lang w:val="en-US"/>
        </w:rPr>
        <w:t>Conclusion</w:t>
      </w:r>
    </w:p>
    <w:p w14:paraId="28DAE110" w14:textId="01047865" w:rsidR="0017273E" w:rsidRDefault="75598FD4" w:rsidP="007E0F53">
      <w:pPr>
        <w:rPr>
          <w:lang w:val="en-US"/>
        </w:rPr>
      </w:pPr>
      <w:r w:rsidRPr="75598FD4">
        <w:rPr>
          <w:lang w:val="en-US"/>
        </w:rPr>
        <w:t xml:space="preserve">When performing a cognitive-motor dual-task with a visual target stimulus, visual cues proved to be better suited than auditory cue presentation. Contrary to the hypothesis that cognitive-motor interference should be increased in visual cue conditions we found it to be beneficial especially in complex cognitive tasks. Though according to Wickens’ multiple resource model </w:t>
      </w:r>
      <w:r w:rsidR="004042C9" w:rsidRPr="75598FD4">
        <w:rPr>
          <w:lang w:val="en-US"/>
        </w:rPr>
        <w:fldChar w:fldCharType="begin"/>
      </w:r>
      <w:r w:rsidR="006C6E43">
        <w:rPr>
          <w:lang w:val="en-US"/>
        </w:rPr>
        <w:instrText xml:space="preserve"> ADDIN ZOTERO_ITEM CSL_CITATION {"citationID":"djSWKtiK","properties":{"formattedCitation":"(2002, 2008)","plainCitation":"(2002, 2008)","noteIndex":0},"citationItems":[{"id":556,"uris":["http://zotero.org/users/7328983/items/AGDTTZL2"],"itemData":{"id":556,"type":"article-journal","abstract":"This paper describes the origins and history of multiple resource theory in accounting for differences in dual task interference. One particular application of the theory, the 4-dimensional multiple resources model, is described in detail, positing that there will be greater interference between two tasks to the extent that they share stages (perceptual/cognitive vs response) sensory modalities (auditory vs visual), codes (visual vs spatial) and channels of visual information (focal vs ambient). A computational rendering of this model is then presented. Examples are given of how the model predicts interference differences in operational envir- onments. Finally, three challenges to the model are outlined regarding task demand coding, task allocation and visual resource competition.","container-title":"Theoretical Issues in Ergonomics Science","DOI":"10.1080/14639220210123806","ISSN":"1463-922X","issue":"2","note":"PMID: 6978386\nISBN: 1463922X","page":"159-177","title":"Multiple resources and performance prediction","volume":"3","author":[{"family":"Wickens","given":"Christopher D."}],"issued":{"date-parts":[["2002"]]},"citation-key":"wickensMultipleResourcesPerformance2002"},"label":"page","suppress-author":true},{"id":654,"uris":["http://zotero.org/users/7328983/items/AP97JKSD"],"itemData":{"id":654,"type":"article-journal","abstract":"Objective: The objective is to lay out the rationale for multiple resource theory and the particular 4-D multiple resource model, as well as to show how the model is use- ful both as a design tool and as a means of predicting multitask workload overload. Background: I describe the discoveries and developments regarding multiple resource theory that have emerged over the past 50 years that contribute to performance and workload prediction. Method: The article presents a history of the multiple resource concept, a computational version of the multiple resource model applied to multitask driving simulation data, and the relation of multiple resources to workload. Results: Research revealed the importance of the four dimensions in accounting for task inter- ference and the association of resources with brain structure. Multiple resource mod- els yielded high correlations between model predictions and data. Lower correlations also identified the existence of additional resources. Conclusion:The model was shown to be partially relevant to the concept of mental workload, with greatest relevance to performance breakdowns related to dual-task overload. Future challenges are identi- fied. Application: The most important application of the multiple resource model is to recommend design changes when conditions of multitask resource overload exist. HISTORY","container-title":"Human Factors: The Journal of the Human Factors and Ergonomics Society","DOI":"10.1518/001872008X288394.","issue":"3","page":"449-455","title":"Multiple resources and mental workload","volume":"50","author":[{"family":"Wickens","given":"Christopher D."}],"issued":{"date-parts":[["2008"]]},"citation-key":"wickensMultipleResourcesMental2008"},"label":"page","suppress-author":true}],"schema":"https://github.com/citation-style-language/schema/raw/master/csl-citation.json"} </w:instrText>
      </w:r>
      <w:r w:rsidR="004042C9" w:rsidRPr="75598FD4">
        <w:rPr>
          <w:lang w:val="en-US"/>
        </w:rPr>
        <w:fldChar w:fldCharType="separate"/>
      </w:r>
      <w:r w:rsidRPr="75598FD4">
        <w:rPr>
          <w:noProof/>
          <w:lang w:val="en-US"/>
        </w:rPr>
        <w:t>(2002, 2008)</w:t>
      </w:r>
      <w:r w:rsidR="004042C9" w:rsidRPr="75598FD4">
        <w:rPr>
          <w:lang w:val="en-US"/>
        </w:rPr>
        <w:fldChar w:fldCharType="end"/>
      </w:r>
      <w:r w:rsidRPr="75598FD4">
        <w:rPr>
          <w:lang w:val="en-US"/>
        </w:rPr>
        <w:t xml:space="preserve"> visual stimulus processing should interfere with locomotion, response times were decreased in trials with visual compared to auditory cues. This could be due to a more efficient motor response preparation as indicated by frontal and central CNV differences – even in very complex locomotor and cognitive task conditions. This detriment in auditory cue conditions might be due to transformational processes from auditory to visual information processing as suggested by Baddeley’s working memory model </w:t>
      </w:r>
      <w:r w:rsidR="004042C9" w:rsidRPr="75598FD4">
        <w:rPr>
          <w:lang w:val="en-US"/>
        </w:rPr>
        <w:fldChar w:fldCharType="begin"/>
      </w:r>
      <w:r w:rsidR="006C6E43">
        <w:rPr>
          <w:lang w:val="en-US"/>
        </w:rPr>
        <w:instrText xml:space="preserve"> ADDIN ZOTERO_ITEM CSL_CITATION {"citationID":"numlt2LT","properties":{"formattedCitation":"(2001)","plainCitation":"(2001)","noteIndex":0},"citationItems":[{"id":23,"uris":["http://zotero.org/users/7328983/items/9X4JLKXP"],"itemData":{"id":23,"type":"article-journal","container-title":"Journal of Experimental Psychology: General","DOI":"10.1037/0096-3445.130.4.641","ISSN":"1939-2222, 0096-3445","issue":"4","journalAbbreviation":"Journal of Experimental Psychology: General","language":"en","page":"641-657","source":"DOI.org (Crossref)","title":"Working memory and the control of action: Evidence from task switching.","title-short":"Working memory and the control of action","volume":"130","author":[{"family":"Baddeley","given":"Alan"},{"family":"Chincotta","given":"Dino"},{"family":"Adlam","given":"Anna"}],"issued":{"date-parts":[["2001"]]},"citation-key":"baddeleyWorkingMemoryControl2001"},"label":"page","suppress-author":true}],"schema":"https://github.com/citation-style-language/schema/raw/master/csl-citation.json"} </w:instrText>
      </w:r>
      <w:r w:rsidR="004042C9" w:rsidRPr="75598FD4">
        <w:rPr>
          <w:lang w:val="en-US"/>
        </w:rPr>
        <w:fldChar w:fldCharType="separate"/>
      </w:r>
      <w:r w:rsidRPr="75598FD4">
        <w:rPr>
          <w:noProof/>
          <w:lang w:val="en-US"/>
        </w:rPr>
        <w:t>(2001)</w:t>
      </w:r>
      <w:r w:rsidR="004042C9" w:rsidRPr="75598FD4">
        <w:rPr>
          <w:lang w:val="en-US"/>
        </w:rPr>
        <w:fldChar w:fldCharType="end"/>
      </w:r>
      <w:r w:rsidRPr="75598FD4">
        <w:rPr>
          <w:lang w:val="en-US"/>
        </w:rPr>
        <w:t xml:space="preserve">. This inefficiency can also be found in P3 amplitudes indicating the increased deployment of resources in auditory cue conditions while locomotion impairs overall cognitive resource availability – an effect seen in many prior studies </w:t>
      </w:r>
      <w:r w:rsidR="004042C9" w:rsidRPr="75598FD4">
        <w:rPr>
          <w:lang w:val="en-US"/>
        </w:rPr>
        <w:fldChar w:fldCharType="begin"/>
      </w:r>
      <w:r w:rsidR="006C6E43">
        <w:rPr>
          <w:lang w:val="en-US"/>
        </w:rPr>
        <w:instrText xml:space="preserve"> ADDIN ZOTERO_ITEM CSL_CITATION {"citationID":"gZNqHkrP","properties":{"formattedCitation":"(Debener et al., 2012; Reiser et al., 2019, 2021, 2022; Shaw et al., 2018)","plainCitation":"(Debener et al., 2012; Reiser et al., 2019, 2021, 2022; Shaw et al., 2018)","noteIndex":0},"citationItems":[{"id":768,"uris":["http://zotero.org/users/7328983/items/VFNA54KL"],"itemData":{"id":768,"type":"article-journal","abstract":"To build a low-cost, small, and wireless electroencephalogram (EEG) system suitable for field recordings, we merged consumer EEG hardware with an EEG electrode cap. Auditory oddball data were obtained while participants walked outdoors on university campus. Single-trial P300 classification with linear discriminant analysis revealed high classification accuracies for both indoor (77%) and outdoor (69%) recording conditions. We conclude that good quality, single-trial EEG data suitable for mobile brain-computer interfaces can be obtained with affordable hardware.","container-title":"Psychophysiology","DOI":"10.1111/j.1469-8986.2012.01471.x","ISSN":"00485772","issue":"11","note":"PMID: 23013047\nISBN: 0048-5772","page":"1617-1621","title":"How about taking a low-cost, small, and wireless EEG for a walk?","volume":"49","author":[{"family":"Debener","given":"Stefan"},{"family":"Minow","given":"Falk"},{"family":"Emkes","given":"Reiner"},{"family":"Gandras","given":"Katharina"},{"family":"Vos","given":"Maarten","non-dropping-particle":"de"}],"issued":{"date-parts":[["2012"]]},"citation-key":"debenerHowTakingLowcost2012"}},{"id":252,"uris":["http://zotero.org/users/7328983/items/N4HWDZR6"],"itemData":{"id":252,"type":"article-journal","abstract":"Oftentimes we find ourselves in situations in which we need to perform concurrent motor and cognitive tasks like simple locomotion while being cognitively involved. In the present study, we investigated in how far cognitive and motor functioning interfere in an outdoor environment. Our participants performed an auditory oddball task while concurrently completing various motor tasks on the outside premises of our institute. Beside behavioural responses and subjective workload ratings, we also analysed electrophysiological data recorded with a 30-channel mobile EEG montage. We observed an increase of subjective workload and decrease of performance with increasing movement complexity. Accordingly, we also found a decrease in the parietal P3 amplitude as well as in frontal midline Theta power with higher motor load. These results indicate that an increased movement complexity imposes a higher workload to the cognitive system, which, in turn, effectively reduces the availability of cognitive resources for the cognitive task. Overall this experiment demonstrates the feasibility of transferring classical paradigms of cognitive research to real-world settings. The findings support the notion of shared resources for motor and cognitive functions by demonstrating distinct modulations of correlates of cognitive processes across different motor tasks.","container-title":"Scientific Reports","DOI":"10.1038/s41598-019-49503-4","ISSN":"2045-2322","issue":"1","note":"publisher: Nature Publishing Group","page":"1-14","title":"Recording mobile EEG in an outdoor environment reveals cognitive-motor interference dependent on movement complexity","volume":"9","author":[{"family":"Reiser","given":"Julian Elias"},{"family":"Wascher","given":"Edmund"},{"family":"Arnau","given":"Stefan"}],"issued":{"date-parts":[["2019"]]},"citation-key":"reiserRecordingMobileEEG2019"}},{"id":69,"uris":["http://zotero.org/users/7328983/items/QBK49PEU"],"itemData":{"id":69,"type":"article-journal","abstract":"Adaptively changing between different tasks while in locomotion is a fundamental prerequisite of modern daily life. The cognitive processes underlying dual tasking have been investigated extensively using EEG. Due to technological restrictions, however, this was not possible for dual task scenarios including locomotion. With new technological opportunities, this became possible and cognitive-motor interference can be studied, even in outside-the-lab environments. In the present study, participants carried out a cognitive-motor interference task as they responded to cued, auditory task-switch stimuli while performing locomotive tasks with increasing complexity (standing, walking, traversing an obstacle course). We observed increased subjective workload ratings as well as decreased behavioral performance for increased movement complexity and cognitive task difficulty. A higher movement load went along with a decrease of parietal P2, N2, and P3 amplitudes and frontal Theta power. A higher cognitive load, on the other hand, was reflected by decreased frontal CNV amplitudes. Additionally, a connectivity analysis using inter- site phase coherence revealed that higher movement as well as cognitive task difficulty had an impairing effect on fronto-parietal connectivity. In conclusion, subjective ratings, behavioral performance, and electrophysiological results indicate that less cognitive resources were available to be deployed towards the execution of the cognitive task when in locomotion compared to standing still. Connectivity results also show a scarcity of attentional resources when switching a task during the highest movement complexity condition. Summarized, all findings indicate a central role of attentional control regarding cognitive-motor dual tasking and an inherent limitation of cognitive resources.","container-title":"European Journal of Neuroscience","DOI":"10.1111/ejn.14959","ISSN":"0953-816X","issue":"August","note":"PMID: 32889772\npublisher: Wiley","page":"8175-8195","title":"Cognitive‐motor interference in the wild: Assessing the effects of movement complexity on task switching using mobile EEG","volume":"54","author":[{"family":"Reiser","given":"Julian Elias"},{"family":"Wascher","given":"Edmund"},{"family":"Rinkenauer","given":"Gerhard"},{"family":"Arnau","given":"Stefan"}],"issued":{"date-parts":[["2021"]]},"citation-key":"reiserCognitiveMotorInterference2021"}},{"id":68,"uris":["http://zotero.org/users/7328983/items/ZJIR28JT"],"itemData":{"id":68,"type":"article-journal","abstract":"Modern living and working environments are more and more interspersed with the concurrent execution of locomotion and sensory processing, most often in the visual domain. Many job profiles involve the presentation of visual information while walking, for example in warehouse logistics work, where a worker has to manage walking to the correct aisle to pick up a package while being presented with visual information over data-glasses concerning the next order. Similar use-cases can be found in manufacturing jobs, for example in car montage assembly lines where next steps are presented via augmented reality headsets while walking at a slow pace. Considering the overall scarcity of cognitive resources available to be deployed to either the cognitive or motor processes, task performance decrements were found when increasing load in either domain. Interestingly, the walking motion also had beneficial effects on peripheral contrast detection and the inhibition of visual stream information. Taking these findings into account, we conducted a study that comprised the detection of single visual targets (Landolt Cs) within a broad range of the visual field (-40˚ to +40˚ visual angle) while either standing, walking, or walking with concurrent perturbations. We used questionnaire (NASA-TLX), behavioral (response times and accuracy), and neurophysiological data (ERPs and ERSPs) to quantify the effects of cognitive-motor interference. The study was conducted in a Gait Real-time Analysis Interactive Laboratory (GRAIL), using a 180˚ projection screen and a swayable and tiltable dual-belt treadmill. Questionnaire and behavioral measures showed common patterns. We found increasing subjective physical workload and behavioral decrements with increasing stimulus eccentricity and motor complexity. Electrophysiological results also indicated decrements in stimulus processing with higher stimulus eccentricity and movement complexity (P3, Theta), but highlighted a beneficial role when walking without perturbations and processing more peripheral stimuli regarding earlier sensory components (N1pc/N2pc, N2). These findings suggest that walking without impediments can enhance the visual processing of peripheral information and therefore help with perceiving non-foveal sensory content. Also, our results could help with reevaluating previous findings in the context of cognitive-motor interference, as increased motor complexity might not always impede cognitive processing and performance.","container-title":"PLOS ONE","DOI":"10.1371/journal.pone.0267896","ISSN":"1932-6203","issue":"5","journalAbbreviation":"PLoS ONE","language":"en","license":"All rights reserved","page":"1-21","source":"DOI.org (Crossref)","title":"Did you even see that? visual sensory processing of single stimuli under different locomotor loads","title-short":"Did you even see that?","volume":"17","author":[{"family":"Reiser","given":"Julian Elias"},{"family":"Arnau","given":"Stefan"},{"family":"Rinkenauer","given":"Gerhard"},{"family":"Wascher","given":"Edmund"}],"editor":[{"family":"Di Russo","given":"Francesco"}],"issued":{"date-parts":[["2022",5,26]]},"citation-key":"reiserDidYouEven2022"}},{"id":823,"uris":["http://zotero.org/users/7328983/items/MQQP827Z"],"itemData":{"id":823,"type":"article-journal","abstract":"Previous work focused on cognitive workload assessment suggests EEG spectral content and component amplitudes of the event-related potential (ERP) waveform may index mental effort and attentional reserve, respectively. Although few studies have assessed attentional reserve and mental effort during upper-extremity performance, none have employed a combined approach to measure cognitive workload during locomotion. Therefore, by systematically considering ERPs, spectral content and importantly their combination, this study aimed to examine whether concurrent changes in spectral content and ERPs could collectively serve as an index of cognitive workload during locomotion. Specifically, ERP and EEG biomarkers were assessed as participants performed a cognitive task under two levels of difficulty (easy or hard) and two conditions (seated or walking). Changes in attentional reserve and mental effort appeared to collectively index cognitive workload under varying demands due to changes in task difficulty or performance conditions. This work can inform cognitive workload assessment in patient populations with gait deficiencies for future applications.","container-title":"Biological Psychology","DOI":"10.1016/j.biopsycho.2018.01.009","ISSN":"03010511","note":"PMID: 29378284","page":"39-51","title":"Measurement of attentional reserve and mental effort for cognitive workload assessment under various task demands during dual-task walking","volume":"134","author":[{"family":"Shaw","given":"Emma P."},{"family":"Rietschel","given":"Jeremy C."},{"family":"Hendershot","given":"Brad D."},{"family":"Pruziner","given":"Alison L."},{"family":"Miller","given":"Matthew W."},{"family":"Hatfield","given":"Bradley D."},{"family":"Gentili","given":"Rodolphe J."}],"issued":{"date-parts":[["2018",4]]},"citation-key":"shawMeasurementAttentionalReserve2018"}}],"schema":"https://github.com/citation-style-language/schema/raw/master/csl-citation.json"} </w:instrText>
      </w:r>
      <w:r w:rsidR="004042C9" w:rsidRPr="75598FD4">
        <w:rPr>
          <w:lang w:val="en-US"/>
        </w:rPr>
        <w:fldChar w:fldCharType="separate"/>
      </w:r>
      <w:r w:rsidRPr="75598FD4">
        <w:rPr>
          <w:noProof/>
          <w:lang w:val="en-US"/>
        </w:rPr>
        <w:t>(Debener et al., 2012; Reiser et al., 2019, 2021, 2022; Shaw et al., 2018)</w:t>
      </w:r>
      <w:r w:rsidR="004042C9" w:rsidRPr="75598FD4">
        <w:rPr>
          <w:lang w:val="en-US"/>
        </w:rPr>
        <w:fldChar w:fldCharType="end"/>
      </w:r>
      <w:r w:rsidRPr="75598FD4">
        <w:rPr>
          <w:lang w:val="en-US"/>
        </w:rPr>
        <w:t xml:space="preserve">. Interestingly, the increased need for postural stability that is indicated by decreased single-leg-support times does not impair response times or accuracy. Therefore, the walking task does not seem to be challenging enough to really cause a cognitive-motor trade-off as seen in outdoor studies for example. Cognitive resources seem to suffice to mitigate this effect as seen in P3 amplitude differences. Overall, the study results showed that cognitive-motor interference as seen in previous investigations might not entirely be due to locomotor effort, but rather the overall walking stability demands that originate in the imperfectness of the ground surface and feature-richness of the environment </w:t>
      </w:r>
      <w:r w:rsidR="004042C9" w:rsidRPr="75598FD4">
        <w:rPr>
          <w:lang w:val="en-US"/>
        </w:rPr>
        <w:fldChar w:fldCharType="begin"/>
      </w:r>
      <w:r w:rsidR="006C6E43">
        <w:rPr>
          <w:lang w:val="en-US"/>
        </w:rPr>
        <w:instrText xml:space="preserve"> ADDIN ZOTERO_ITEM CSL_CITATION {"citationID":"aAciT0OM","properties":{"formattedCitation":"(Matthis et al., 2018; Wascher et al., 2022)","plainCitation":"(Matthis et al., 2018; Wascher et al., 2022)","noteIndex":0},"citationItems":[{"id":1131,"uris":["http://zotero.org/users/7328983/items/6SXRLZA7"],"itemData":{"id":1131,"type":"article-journal","abstract":"Human locomotion through natural environments requires precise coordination between the biomechanics of the bipedal gait cycle and the eye movements that gather the information needed to guide foot placement. However, little is known about how the visual and locomotor systems work together to support movement through the world. We developed a system to simultaneously record gaze and fullbody kinematics during locomotion over different outdoor terrains. We found that not only do walkers tune their gaze behavior to the speciﬁc information needed to traverse paths of varying complexity but that they do so while maintaining a constant temporal look-ahead window across all terrains. This strategy allows walkers to use gaze to tailor their energetically optimal preferred gait cycle to the upcoming path in order to balance between the drive to move efﬁciently and the need to place the feet in stable locations. Eye movements and locomotion are intimately linked in a way that reﬂects the integration of energetic costs, environmental uncertainty, and momentary informational demands of the locomotor task. Thus, the relationship between gaze and gait reveals the structure of the sensorimotor decisions that support successful performance in the face of the varying demands of the natural world.","container-title":"Current Biology","DOI":"10.1016/j.cub.2018.03.008","ISSN":"09609822","issue":"8","journalAbbreviation":"Current Biology","language":"en","note":"00127","page":"1224-1233","source":"DOI.org (Crossref)","title":"Gaze and the Control of Foot Placement When Walking in Natural Terrain","volume":"28","author":[{"family":"Matthis","given":"Jonathan Samir"},{"family":"Yates","given":"Jacob L."},{"family":"Hayhoe","given":"Mary M."}],"issued":{"date-parts":[["2018",4]]},"citation-key":"matthisGazeControlFoot2018"}},{"id":939,"uris":["http://zotero.org/users/7328983/items/JJ9GXI9U"],"itemData":{"id":939,"type":"article-journal","abstract":"Blinking is a natural user-induced response which paces visual information processing. This study investigates whether blinks are viable for segmenting continuous electroencephalography (EEG) activity, for inferring cognitive demands in ecologically valid work environments. We report the blink-related EEG measures of participants who performed auditory tasks either standing, walking on grass, or whilst completing an obstacle course. Blink-related EEG activity discriminated between different levels of cognitive demand during walking. Both behavioral parameters (e.g., blink duration or head motion) and blink-related EEG activity varied with walking conditions. Larger occipital N1 was observed during walking, relative to standing and traversing an obstacle course, which reﬂects differences in bottom-up visual perception. In contrast, the amplitudes of top-down components (N2, P3) signiﬁcantly decreased with increasing walking demands, which reﬂected narrowing attention. This is consistent with blink-related EEG, speciﬁcally in Theta and Alpha power that, respectively, increased and decreased with increasing demands of the walking task. This work presents a novel and robust analytical approach to evaluate the cognitive demands experienced in natural work settings, which precludes the use of artiﬁcial task manipulations for data segmentation.","container-title":"Applied Sciences","DOI":"10.3390/app12136614","ISSN":"2076-3417","issue":"13","journalAbbreviation":"Applied Sciences","language":"en","license":"All rights reserved","page":"6614","source":"DOI.org (Crossref)","title":"Visual Demands of Walking Are Reflected in Eye-Blink-Evoked EEG-Activity","volume":"12","author":[{"family":"Wascher","given":"Edmund"},{"family":"Arnau","given":"Stefan"},{"family":"Gutberlet","given":"Marie"},{"family":"Chuang","given":"Lewis L."},{"family":"Rinkenauer","given":"Gerhard"},{"family":"Reiser","given":"Julian Elias"}],"issued":{"date-parts":[["2022",6,29]]},"citation-key":"wascherVisualDemandsWalking2022"}}],"schema":"https://github.com/citation-style-language/schema/raw/master/csl-citation.json"} </w:instrText>
      </w:r>
      <w:r w:rsidR="004042C9" w:rsidRPr="75598FD4">
        <w:rPr>
          <w:lang w:val="en-US"/>
        </w:rPr>
        <w:fldChar w:fldCharType="separate"/>
      </w:r>
      <w:r w:rsidRPr="75598FD4">
        <w:rPr>
          <w:noProof/>
          <w:lang w:val="en-US"/>
        </w:rPr>
        <w:t>(Matthis et al., 2018; Wascher et al., 2022)</w:t>
      </w:r>
      <w:r w:rsidR="004042C9" w:rsidRPr="75598FD4">
        <w:rPr>
          <w:lang w:val="en-US"/>
        </w:rPr>
        <w:fldChar w:fldCharType="end"/>
      </w:r>
      <w:r w:rsidRPr="75598FD4">
        <w:rPr>
          <w:lang w:val="en-US"/>
        </w:rPr>
        <w:t xml:space="preserve">. Nonetheless, we found significant and fundamental differences in how information from commonly used mobile presentation devices </w:t>
      </w:r>
      <w:proofErr w:type="gramStart"/>
      <w:r w:rsidRPr="75598FD4">
        <w:rPr>
          <w:lang w:val="en-US"/>
        </w:rPr>
        <w:t>are</w:t>
      </w:r>
      <w:proofErr w:type="gramEnd"/>
      <w:r w:rsidRPr="75598FD4">
        <w:rPr>
          <w:lang w:val="en-US"/>
        </w:rPr>
        <w:t xml:space="preserve"> processed and how they impact performance.</w:t>
      </w:r>
    </w:p>
    <w:p w14:paraId="773A74CD" w14:textId="15C7397A" w:rsidR="005D6A49" w:rsidRDefault="056C4F64" w:rsidP="00E432FC">
      <w:pPr>
        <w:rPr>
          <w:lang w:val="en-US"/>
        </w:rPr>
      </w:pPr>
      <w:r w:rsidRPr="056C4F64">
        <w:rPr>
          <w:lang w:val="en-US"/>
        </w:rPr>
        <w:t xml:space="preserve">In terms of real-world implications, the use of HMDs seems to be most appropriate </w:t>
      </w:r>
      <w:r w:rsidR="00CE0EC8" w:rsidRPr="056C4F64">
        <w:rPr>
          <w:lang w:val="en-US"/>
        </w:rPr>
        <w:t xml:space="preserve">for </w:t>
      </w:r>
      <w:r w:rsidR="00CE0EC8">
        <w:rPr>
          <w:lang w:val="en-US"/>
        </w:rPr>
        <w:t>the</w:t>
      </w:r>
      <w:r w:rsidR="00CE0EC8" w:rsidRPr="056C4F64">
        <w:rPr>
          <w:lang w:val="en-US"/>
        </w:rPr>
        <w:t xml:space="preserve"> presentation</w:t>
      </w:r>
      <w:r w:rsidR="00CE0EC8">
        <w:rPr>
          <w:lang w:val="en-US"/>
        </w:rPr>
        <w:t xml:space="preserve"> of auxiliary information in a mobile and challenging task</w:t>
      </w:r>
      <w:r w:rsidRPr="056C4F64">
        <w:rPr>
          <w:lang w:val="en-US"/>
        </w:rPr>
        <w:t>.</w:t>
      </w:r>
      <w:r w:rsidR="00394810">
        <w:rPr>
          <w:lang w:val="en-US"/>
        </w:rPr>
        <w:t xml:space="preserve"> </w:t>
      </w:r>
      <w:r w:rsidR="00CE0EC8">
        <w:rPr>
          <w:lang w:val="en-US"/>
        </w:rPr>
        <w:t>Auditory</w:t>
      </w:r>
      <w:r w:rsidR="00394810">
        <w:rPr>
          <w:lang w:val="en-US"/>
        </w:rPr>
        <w:t xml:space="preserve"> information presentation </w:t>
      </w:r>
      <w:r w:rsidR="00CE0EC8">
        <w:rPr>
          <w:lang w:val="en-US"/>
        </w:rPr>
        <w:t>should be limited to</w:t>
      </w:r>
      <w:r w:rsidRPr="056C4F64">
        <w:rPr>
          <w:lang w:val="en-US"/>
        </w:rPr>
        <w:t xml:space="preserve"> low</w:t>
      </w:r>
      <w:r w:rsidR="00FC1E67">
        <w:rPr>
          <w:lang w:val="en-US"/>
        </w:rPr>
        <w:t xml:space="preserve"> </w:t>
      </w:r>
      <w:r w:rsidRPr="056C4F64">
        <w:rPr>
          <w:lang w:val="en-US"/>
        </w:rPr>
        <w:t>demand</w:t>
      </w:r>
      <w:r w:rsidR="00FC1E67">
        <w:rPr>
          <w:lang w:val="en-US"/>
        </w:rPr>
        <w:t>ing</w:t>
      </w:r>
      <w:r w:rsidR="00D20687">
        <w:rPr>
          <w:lang w:val="en-US"/>
        </w:rPr>
        <w:t xml:space="preserve"> cognitive</w:t>
      </w:r>
      <w:r w:rsidR="00FC1E67">
        <w:rPr>
          <w:lang w:val="en-US"/>
        </w:rPr>
        <w:t xml:space="preserve"> tasks</w:t>
      </w:r>
      <w:r w:rsidRPr="056C4F64">
        <w:rPr>
          <w:lang w:val="en-US"/>
        </w:rPr>
        <w:t>, especially in complex locomotor states.</w:t>
      </w:r>
    </w:p>
    <w:p w14:paraId="2BBB1523" w14:textId="77777777" w:rsidR="007817C8" w:rsidRPr="007817C8" w:rsidRDefault="007817C8" w:rsidP="007817C8">
      <w:pPr>
        <w:pStyle w:val="berschrift1"/>
        <w:numPr>
          <w:ilvl w:val="0"/>
          <w:numId w:val="0"/>
        </w:numPr>
        <w:rPr>
          <w:lang w:val="en-US"/>
        </w:rPr>
      </w:pPr>
      <w:r w:rsidRPr="007817C8">
        <w:rPr>
          <w:lang w:val="en-US"/>
        </w:rPr>
        <w:t>Conflict of Interest Statement</w:t>
      </w:r>
    </w:p>
    <w:p w14:paraId="3AC6E684" w14:textId="77777777" w:rsidR="007817C8" w:rsidRPr="007817C8" w:rsidRDefault="007817C8" w:rsidP="007817C8">
      <w:pPr>
        <w:rPr>
          <w:lang w:val="en-US"/>
        </w:rPr>
      </w:pPr>
      <w:r w:rsidRPr="007817C8">
        <w:rPr>
          <w:lang w:val="en-US"/>
        </w:rPr>
        <w:t>The authors declare that the research was conducted in the absence of any commercial or financial relationships that could be construed as a potential conflict of interest.</w:t>
      </w:r>
    </w:p>
    <w:p w14:paraId="4C09B2B5" w14:textId="15F3D778" w:rsidR="007817C8" w:rsidRPr="007817C8" w:rsidRDefault="007817C8" w:rsidP="007817C8">
      <w:pPr>
        <w:pStyle w:val="berschrift1"/>
        <w:numPr>
          <w:ilvl w:val="0"/>
          <w:numId w:val="0"/>
        </w:numPr>
        <w:rPr>
          <w:lang w:val="en-US"/>
        </w:rPr>
      </w:pPr>
      <w:r w:rsidRPr="007817C8">
        <w:rPr>
          <w:lang w:val="en-US"/>
        </w:rPr>
        <w:t>Funding</w:t>
      </w:r>
    </w:p>
    <w:p w14:paraId="5F070374" w14:textId="77777777" w:rsidR="00904AFA" w:rsidRDefault="00904AFA" w:rsidP="007817C8">
      <w:pPr>
        <w:pStyle w:val="berschrift1"/>
        <w:numPr>
          <w:ilvl w:val="0"/>
          <w:numId w:val="0"/>
        </w:numPr>
        <w:rPr>
          <w:rFonts w:eastAsiaTheme="minorHAnsi" w:cstheme="minorBidi"/>
          <w:b w:val="0"/>
          <w:sz w:val="24"/>
          <w:szCs w:val="24"/>
          <w:lang w:val="en-US"/>
        </w:rPr>
      </w:pPr>
      <w:r w:rsidRPr="00904AFA">
        <w:rPr>
          <w:rFonts w:eastAsiaTheme="minorHAnsi" w:cstheme="minorBidi"/>
          <w:b w:val="0"/>
          <w:sz w:val="24"/>
          <w:szCs w:val="24"/>
          <w:lang w:val="en-US"/>
        </w:rPr>
        <w:t>The authors received no specific funding for this work.</w:t>
      </w:r>
    </w:p>
    <w:p w14:paraId="3F8E0EC9" w14:textId="5548A5A1" w:rsidR="007817C8" w:rsidRPr="007817C8" w:rsidRDefault="007817C8" w:rsidP="007817C8">
      <w:pPr>
        <w:pStyle w:val="berschrift1"/>
        <w:numPr>
          <w:ilvl w:val="0"/>
          <w:numId w:val="0"/>
        </w:numPr>
        <w:rPr>
          <w:lang w:val="en-US"/>
        </w:rPr>
      </w:pPr>
      <w:r w:rsidRPr="007817C8">
        <w:rPr>
          <w:lang w:val="en-US"/>
        </w:rPr>
        <w:t>Acknowledgments</w:t>
      </w:r>
    </w:p>
    <w:p w14:paraId="063BE87A" w14:textId="6AD5AC02" w:rsidR="00C10DF6" w:rsidRPr="00C10DF6" w:rsidRDefault="00C10DF6" w:rsidP="00C10DF6">
      <w:pPr>
        <w:rPr>
          <w:lang w:val="en-US"/>
        </w:rPr>
      </w:pPr>
      <w:r w:rsidRPr="00C10DF6">
        <w:rPr>
          <w:lang w:val="en-US"/>
        </w:rPr>
        <w:t xml:space="preserve">We </w:t>
      </w:r>
      <w:r w:rsidR="003D1E2F">
        <w:rPr>
          <w:lang w:val="en-US"/>
        </w:rPr>
        <w:t xml:space="preserve">thank Tobias Blanke, Hanno </w:t>
      </w:r>
      <w:proofErr w:type="spellStart"/>
      <w:r w:rsidR="003D1E2F">
        <w:rPr>
          <w:lang w:val="en-US"/>
        </w:rPr>
        <w:t>Mussmann</w:t>
      </w:r>
      <w:proofErr w:type="spellEnd"/>
      <w:r w:rsidR="003D1E2F">
        <w:rPr>
          <w:lang w:val="en-US"/>
        </w:rPr>
        <w:t xml:space="preserve">, and Nina </w:t>
      </w:r>
      <w:proofErr w:type="spellStart"/>
      <w:r w:rsidR="003D1E2F">
        <w:rPr>
          <w:lang w:val="en-US"/>
        </w:rPr>
        <w:t>Abich</w:t>
      </w:r>
      <w:proofErr w:type="spellEnd"/>
      <w:r w:rsidR="003D1E2F">
        <w:rPr>
          <w:lang w:val="en-US"/>
        </w:rPr>
        <w:t xml:space="preserve"> for providing the technical setup and </w:t>
      </w:r>
      <w:r w:rsidRPr="00C10DF6">
        <w:rPr>
          <w:lang w:val="en-US"/>
        </w:rPr>
        <w:t xml:space="preserve">programming the experiment. Also, we would like to thank Barbara Foschi, </w:t>
      </w:r>
      <w:r>
        <w:rPr>
          <w:lang w:val="en-US"/>
        </w:rPr>
        <w:t xml:space="preserve">and </w:t>
      </w:r>
      <w:r w:rsidRPr="00C10DF6">
        <w:rPr>
          <w:lang w:val="en-US"/>
        </w:rPr>
        <w:t>Trung Tin Pham for assisting with data collection.</w:t>
      </w:r>
    </w:p>
    <w:p w14:paraId="32E48E6A" w14:textId="3524F37D" w:rsidR="007817C8" w:rsidRPr="007817C8" w:rsidRDefault="007817C8" w:rsidP="00C10DF6">
      <w:pPr>
        <w:pStyle w:val="berschrift1"/>
        <w:numPr>
          <w:ilvl w:val="0"/>
          <w:numId w:val="0"/>
        </w:numPr>
        <w:rPr>
          <w:lang w:val="en-US"/>
        </w:rPr>
      </w:pPr>
      <w:r w:rsidRPr="007817C8">
        <w:rPr>
          <w:lang w:val="en-US"/>
        </w:rPr>
        <w:t>Data Availability Statement</w:t>
      </w:r>
    </w:p>
    <w:p w14:paraId="51BE46FE" w14:textId="7D6982C5" w:rsidR="00CA6E3A" w:rsidRDefault="007817C8" w:rsidP="007817C8">
      <w:pPr>
        <w:rPr>
          <w:lang w:val="en-US"/>
        </w:rPr>
      </w:pPr>
      <w:r>
        <w:rPr>
          <w:lang w:val="en-US"/>
        </w:rPr>
        <w:t xml:space="preserve">The anonymized </w:t>
      </w:r>
      <w:r w:rsidR="005C5ACC">
        <w:rPr>
          <w:lang w:val="en-US"/>
        </w:rPr>
        <w:t xml:space="preserve">EEG </w:t>
      </w:r>
      <w:r>
        <w:rPr>
          <w:lang w:val="en-US"/>
        </w:rPr>
        <w:t>dataset</w:t>
      </w:r>
      <w:r w:rsidR="00FA07C1">
        <w:rPr>
          <w:lang w:val="en-US"/>
        </w:rPr>
        <w:t>s</w:t>
      </w:r>
      <w:r w:rsidR="005C5ACC">
        <w:rPr>
          <w:lang w:val="en-US"/>
        </w:rPr>
        <w:t xml:space="preserve">, quantified gait </w:t>
      </w:r>
      <w:r w:rsidR="008D6AD8">
        <w:rPr>
          <w:lang w:val="en-US"/>
        </w:rPr>
        <w:t>measure matrices, and NASA-TLX scores</w:t>
      </w:r>
      <w:r w:rsidR="00FA07C1">
        <w:rPr>
          <w:lang w:val="en-US"/>
        </w:rPr>
        <w:t xml:space="preserve"> that </w:t>
      </w:r>
      <w:r w:rsidR="005C5ACC">
        <w:rPr>
          <w:lang w:val="en-US"/>
        </w:rPr>
        <w:t>were</w:t>
      </w:r>
      <w:r>
        <w:rPr>
          <w:lang w:val="en-US"/>
        </w:rPr>
        <w:t xml:space="preserve"> </w:t>
      </w:r>
      <w:r w:rsidR="00D156D4">
        <w:rPr>
          <w:lang w:val="en-US"/>
        </w:rPr>
        <w:t xml:space="preserve">used in this manuscript </w:t>
      </w:r>
      <w:r w:rsidR="005C5ACC">
        <w:rPr>
          <w:lang w:val="en-US"/>
        </w:rPr>
        <w:t>are</w:t>
      </w:r>
      <w:r w:rsidR="005A0AE7">
        <w:rPr>
          <w:lang w:val="en-US"/>
        </w:rPr>
        <w:t xml:space="preserve"> publicly available in </w:t>
      </w:r>
      <w:r w:rsidR="008D6AD8">
        <w:rPr>
          <w:lang w:val="en-US"/>
        </w:rPr>
        <w:t>this</w:t>
      </w:r>
      <w:r w:rsidR="005A0AE7">
        <w:rPr>
          <w:lang w:val="en-US"/>
        </w:rPr>
        <w:t xml:space="preserve"> </w:t>
      </w:r>
      <w:proofErr w:type="spellStart"/>
      <w:r w:rsidR="00023028">
        <w:rPr>
          <w:lang w:val="en-US"/>
        </w:rPr>
        <w:t>zenodo</w:t>
      </w:r>
      <w:proofErr w:type="spellEnd"/>
      <w:r w:rsidR="00023028">
        <w:rPr>
          <w:lang w:val="en-US"/>
        </w:rPr>
        <w:t xml:space="preserve"> repository</w:t>
      </w:r>
      <w:r w:rsidR="008D6AD8">
        <w:rPr>
          <w:lang w:val="en-US"/>
        </w:rPr>
        <w:t xml:space="preserve">: </w:t>
      </w:r>
      <w:hyperlink r:id="rId24" w:history="1">
        <w:r w:rsidR="008D6AD8" w:rsidRPr="001247FB">
          <w:rPr>
            <w:rStyle w:val="Hyperlink"/>
            <w:lang w:val="en-US"/>
          </w:rPr>
          <w:t>https://doi.org/10.5281/zenodo.14506178</w:t>
        </w:r>
      </w:hyperlink>
      <w:r w:rsidR="00023028">
        <w:rPr>
          <w:lang w:val="en-US"/>
        </w:rPr>
        <w:t xml:space="preserve">. The </w:t>
      </w:r>
      <w:r w:rsidR="005D7B5C">
        <w:rPr>
          <w:lang w:val="en-US"/>
        </w:rPr>
        <w:t xml:space="preserve">used </w:t>
      </w:r>
      <w:proofErr w:type="spellStart"/>
      <w:r w:rsidR="005D7B5C">
        <w:rPr>
          <w:lang w:val="en-US"/>
        </w:rPr>
        <w:t>matlab</w:t>
      </w:r>
      <w:proofErr w:type="spellEnd"/>
      <w:r w:rsidR="005D7B5C">
        <w:rPr>
          <w:lang w:val="en-US"/>
        </w:rPr>
        <w:t xml:space="preserve"> scripts are available in a </w:t>
      </w:r>
      <w:r w:rsidR="00A47498">
        <w:rPr>
          <w:lang w:val="en-US"/>
        </w:rPr>
        <w:t xml:space="preserve">public </w:t>
      </w:r>
      <w:proofErr w:type="spellStart"/>
      <w:r w:rsidR="00A47498">
        <w:rPr>
          <w:lang w:val="en-US"/>
        </w:rPr>
        <w:t>github</w:t>
      </w:r>
      <w:proofErr w:type="spellEnd"/>
      <w:r w:rsidR="00A47498">
        <w:rPr>
          <w:lang w:val="en-US"/>
        </w:rPr>
        <w:t xml:space="preserve"> repository: </w:t>
      </w:r>
      <w:hyperlink r:id="rId25" w:history="1">
        <w:r w:rsidR="008D6AD8" w:rsidRPr="001247FB">
          <w:rPr>
            <w:rStyle w:val="Hyperlink"/>
            <w:lang w:val="en-US"/>
          </w:rPr>
          <w:t>https://github.com/julianreiser/grail_switch.git</w:t>
        </w:r>
      </w:hyperlink>
      <w:r w:rsidR="008D6AD8">
        <w:rPr>
          <w:lang w:val="en-US"/>
        </w:rPr>
        <w:t>.</w:t>
      </w:r>
    </w:p>
    <w:p w14:paraId="5B5441D5" w14:textId="77777777" w:rsidR="00884D35" w:rsidRPr="00884D35" w:rsidRDefault="00884D35" w:rsidP="00884D35">
      <w:pPr>
        <w:pStyle w:val="berschrift1"/>
        <w:numPr>
          <w:ilvl w:val="0"/>
          <w:numId w:val="0"/>
        </w:numPr>
        <w:ind w:left="431" w:hanging="431"/>
        <w:rPr>
          <w:lang w:val="en-US"/>
        </w:rPr>
      </w:pPr>
      <w:proofErr w:type="spellStart"/>
      <w:r w:rsidRPr="00884D35">
        <w:rPr>
          <w:lang w:val="en-US"/>
        </w:rPr>
        <w:t>CRediT</w:t>
      </w:r>
      <w:proofErr w:type="spellEnd"/>
      <w:r w:rsidRPr="00884D35">
        <w:rPr>
          <w:lang w:val="en-US"/>
        </w:rPr>
        <w:t xml:space="preserve"> (Contributor Role Taxonomy):</w:t>
      </w:r>
    </w:p>
    <w:p w14:paraId="4A6E5EEC" w14:textId="77777777" w:rsidR="00884D35" w:rsidRPr="00D9519F" w:rsidRDefault="00884D35" w:rsidP="00884D35">
      <w:pPr>
        <w:jc w:val="left"/>
        <w:rPr>
          <w:lang w:val="en-US"/>
        </w:rPr>
      </w:pPr>
      <w:r w:rsidRPr="00884D35">
        <w:rPr>
          <w:b/>
          <w:bCs/>
          <w:lang w:val="en-US"/>
        </w:rPr>
        <w:t>Julian Elias Reiser</w:t>
      </w:r>
      <w:r w:rsidRPr="00D9519F">
        <w:rPr>
          <w:lang w:val="en-US"/>
        </w:rPr>
        <w:t>: Conceptualization, Data curation, Formal analysis, Investigation, Methodology,</w:t>
      </w:r>
      <w:r>
        <w:rPr>
          <w:lang w:val="en-US"/>
        </w:rPr>
        <w:t xml:space="preserve"> Project administration, Resources,</w:t>
      </w:r>
      <w:r w:rsidRPr="00D9519F">
        <w:rPr>
          <w:lang w:val="en-US"/>
        </w:rPr>
        <w:t xml:space="preserve"> Visualization, Writing - Original draft preparation.</w:t>
      </w:r>
    </w:p>
    <w:p w14:paraId="073C55B6" w14:textId="77777777" w:rsidR="00884D35" w:rsidRPr="00D9519F" w:rsidRDefault="00884D35" w:rsidP="00884D35">
      <w:pPr>
        <w:jc w:val="left"/>
        <w:rPr>
          <w:lang w:val="en-US"/>
        </w:rPr>
      </w:pPr>
      <w:r w:rsidRPr="00884D35">
        <w:rPr>
          <w:b/>
          <w:bCs/>
          <w:lang w:val="en-US"/>
        </w:rPr>
        <w:t>Gerhard Rinkenauer</w:t>
      </w:r>
      <w:r w:rsidRPr="00D9519F">
        <w:rPr>
          <w:lang w:val="en-US"/>
        </w:rPr>
        <w:t>: Conceptualization,</w:t>
      </w:r>
      <w:r>
        <w:rPr>
          <w:lang w:val="en-US"/>
        </w:rPr>
        <w:t xml:space="preserve"> Resources,</w:t>
      </w:r>
      <w:r w:rsidRPr="00D9519F">
        <w:rPr>
          <w:lang w:val="en-US"/>
        </w:rPr>
        <w:t xml:space="preserve"> Writing - Reviewing and Editing.</w:t>
      </w:r>
    </w:p>
    <w:p w14:paraId="30B0CFA8" w14:textId="77777777" w:rsidR="00884D35" w:rsidRPr="00D9519F" w:rsidRDefault="00884D35" w:rsidP="00884D35">
      <w:pPr>
        <w:jc w:val="left"/>
        <w:rPr>
          <w:lang w:val="en-US"/>
        </w:rPr>
      </w:pPr>
      <w:r w:rsidRPr="00884D35">
        <w:rPr>
          <w:b/>
          <w:bCs/>
          <w:lang w:val="en-US"/>
        </w:rPr>
        <w:t>Stefan Arnau</w:t>
      </w:r>
      <w:r w:rsidRPr="00D9519F">
        <w:rPr>
          <w:lang w:val="en-US"/>
        </w:rPr>
        <w:t>: Resources, Writing - Reviewing and Editing.</w:t>
      </w:r>
    </w:p>
    <w:p w14:paraId="0A1B1DC7" w14:textId="77777777" w:rsidR="00884D35" w:rsidRPr="00D9519F" w:rsidRDefault="00884D35" w:rsidP="00884D35">
      <w:pPr>
        <w:jc w:val="left"/>
        <w:rPr>
          <w:lang w:val="en-US"/>
        </w:rPr>
      </w:pPr>
      <w:r w:rsidRPr="00884D35">
        <w:rPr>
          <w:b/>
          <w:bCs/>
          <w:lang w:val="en-US"/>
        </w:rPr>
        <w:t>Lewis L. Chuang</w:t>
      </w:r>
      <w:r w:rsidRPr="00D9519F">
        <w:rPr>
          <w:lang w:val="en-US"/>
        </w:rPr>
        <w:t>: Conceptualization, Writing - Reviewing and Editing.</w:t>
      </w:r>
    </w:p>
    <w:p w14:paraId="4D52022E" w14:textId="77777777" w:rsidR="00884D35" w:rsidRPr="00D9519F" w:rsidRDefault="00884D35" w:rsidP="00884D35">
      <w:pPr>
        <w:jc w:val="left"/>
        <w:rPr>
          <w:lang w:val="en-US"/>
        </w:rPr>
      </w:pPr>
      <w:r w:rsidRPr="00884D35">
        <w:rPr>
          <w:b/>
          <w:bCs/>
          <w:lang w:val="en-US"/>
        </w:rPr>
        <w:t>Edmund Wascher</w:t>
      </w:r>
      <w:r w:rsidRPr="00D9519F">
        <w:rPr>
          <w:lang w:val="en-US"/>
        </w:rPr>
        <w:t>: Conceptualization, Resources, Writing - Reviewing and Editing.</w:t>
      </w:r>
    </w:p>
    <w:p w14:paraId="5700F8C3" w14:textId="77777777" w:rsidR="00884D35" w:rsidRPr="00CA6E3A" w:rsidRDefault="00884D35" w:rsidP="007817C8">
      <w:pPr>
        <w:rPr>
          <w:lang w:val="en-US"/>
        </w:rPr>
      </w:pPr>
    </w:p>
    <w:p w14:paraId="7E54CD01" w14:textId="77777777" w:rsidR="00E432FC" w:rsidRDefault="00E432FC">
      <w:pPr>
        <w:jc w:val="left"/>
        <w:rPr>
          <w:lang w:val="en-US"/>
        </w:rPr>
      </w:pPr>
      <w:r>
        <w:rPr>
          <w:lang w:val="en-US"/>
        </w:rPr>
        <w:br w:type="page"/>
      </w:r>
    </w:p>
    <w:p w14:paraId="2847097E" w14:textId="42AF26F1" w:rsidR="00156AEA" w:rsidRPr="00B050AE" w:rsidRDefault="00B43173" w:rsidP="00B43173">
      <w:pPr>
        <w:pStyle w:val="berschrift1"/>
        <w:rPr>
          <w:lang w:val="en-US"/>
        </w:rPr>
      </w:pPr>
      <w:r>
        <w:rPr>
          <w:lang w:val="en-US"/>
        </w:rPr>
        <w:lastRenderedPageBreak/>
        <w:t>Literature</w:t>
      </w:r>
    </w:p>
    <w:p w14:paraId="26667ED3" w14:textId="77777777" w:rsidR="006C6E43" w:rsidRPr="00DE5F3A" w:rsidRDefault="003A4431" w:rsidP="006C6E43">
      <w:pPr>
        <w:pStyle w:val="Literaturverzeichnis"/>
        <w:rPr>
          <w:rFonts w:cs="Times New Roman"/>
          <w:lang w:val="en-US"/>
        </w:rPr>
      </w:pPr>
      <w:r>
        <w:rPr>
          <w:lang w:val="en-US"/>
        </w:rPr>
        <w:t xml:space="preserve"> </w:t>
      </w:r>
      <w:r w:rsidR="006C6E43">
        <w:rPr>
          <w:lang w:val="en-US"/>
        </w:rPr>
        <w:fldChar w:fldCharType="begin"/>
      </w:r>
      <w:r w:rsidR="006C6E43">
        <w:rPr>
          <w:lang w:val="en-US"/>
        </w:rPr>
        <w:instrText xml:space="preserve"> ADDIN ZOTERO_BIBL {"uncited":[],"omitted":[],"custom":[]} CSL_BIBLIOGRAPHY </w:instrText>
      </w:r>
      <w:r w:rsidR="006C6E43">
        <w:rPr>
          <w:lang w:val="en-US"/>
        </w:rPr>
        <w:fldChar w:fldCharType="separate"/>
      </w:r>
      <w:r w:rsidR="006C6E43" w:rsidRPr="00DE5F3A">
        <w:rPr>
          <w:rFonts w:cs="Times New Roman"/>
          <w:lang w:val="en-US"/>
        </w:rPr>
        <w:t xml:space="preserve">Baddeley, A., Chincotta, D., &amp; Adlam, A. (2001). Working memory and the control of action: Evidence from task switching. </w:t>
      </w:r>
      <w:r w:rsidR="006C6E43" w:rsidRPr="00DE5F3A">
        <w:rPr>
          <w:rFonts w:cs="Times New Roman"/>
          <w:i/>
          <w:iCs/>
          <w:lang w:val="en-US"/>
        </w:rPr>
        <w:t>Journal of Experimental Psychology: General</w:t>
      </w:r>
      <w:r w:rsidR="006C6E43" w:rsidRPr="00DE5F3A">
        <w:rPr>
          <w:rFonts w:cs="Times New Roman"/>
          <w:lang w:val="en-US"/>
        </w:rPr>
        <w:t xml:space="preserve">, </w:t>
      </w:r>
      <w:r w:rsidR="006C6E43" w:rsidRPr="00DE5F3A">
        <w:rPr>
          <w:rFonts w:cs="Times New Roman"/>
          <w:i/>
          <w:iCs/>
          <w:lang w:val="en-US"/>
        </w:rPr>
        <w:t>130</w:t>
      </w:r>
      <w:r w:rsidR="006C6E43" w:rsidRPr="00DE5F3A">
        <w:rPr>
          <w:rFonts w:cs="Times New Roman"/>
          <w:lang w:val="en-US"/>
        </w:rPr>
        <w:t>(4), 641–657. https://doi.org/10.1037/0096-3445.130.4.641</w:t>
      </w:r>
    </w:p>
    <w:p w14:paraId="451C3068" w14:textId="77777777" w:rsidR="006C6E43" w:rsidRPr="00DE5F3A" w:rsidRDefault="006C6E43" w:rsidP="006C6E43">
      <w:pPr>
        <w:pStyle w:val="Literaturverzeichnis"/>
        <w:rPr>
          <w:rFonts w:cs="Times New Roman"/>
          <w:lang w:val="en-US"/>
        </w:rPr>
      </w:pPr>
      <w:r w:rsidRPr="00DE5F3A">
        <w:rPr>
          <w:rFonts w:cs="Times New Roman"/>
          <w:lang w:val="en-US"/>
        </w:rPr>
        <w:t xml:space="preserve">Bloem, B. R., Valkenburg, V. V., Slabbekoorn, M., &amp; Willemsen, M. D. (2001). The Multiple Tasks Test. </w:t>
      </w:r>
      <w:r w:rsidRPr="00DE5F3A">
        <w:rPr>
          <w:rFonts w:cs="Times New Roman"/>
          <w:i/>
          <w:iCs/>
          <w:lang w:val="en-US"/>
        </w:rPr>
        <w:t>Gait &amp; Posture</w:t>
      </w:r>
      <w:r w:rsidRPr="00DE5F3A">
        <w:rPr>
          <w:rFonts w:cs="Times New Roman"/>
          <w:lang w:val="en-US"/>
        </w:rPr>
        <w:t xml:space="preserve">, </w:t>
      </w:r>
      <w:r w:rsidRPr="00DE5F3A">
        <w:rPr>
          <w:rFonts w:cs="Times New Roman"/>
          <w:i/>
          <w:iCs/>
          <w:lang w:val="en-US"/>
        </w:rPr>
        <w:t>14</w:t>
      </w:r>
      <w:r w:rsidRPr="00DE5F3A">
        <w:rPr>
          <w:rFonts w:cs="Times New Roman"/>
          <w:lang w:val="en-US"/>
        </w:rPr>
        <w:t>(3), 191–202. https://doi.org/10.1016/S0966-6362(01)00141-2</w:t>
      </w:r>
    </w:p>
    <w:p w14:paraId="6579D1C2" w14:textId="77777777" w:rsidR="006C6E43" w:rsidRPr="00DE5F3A" w:rsidRDefault="006C6E43" w:rsidP="006C6E43">
      <w:pPr>
        <w:pStyle w:val="Literaturverzeichnis"/>
        <w:rPr>
          <w:rFonts w:cs="Times New Roman"/>
          <w:lang w:val="en-US"/>
        </w:rPr>
      </w:pPr>
      <w:r w:rsidRPr="00DE5F3A">
        <w:rPr>
          <w:rFonts w:cs="Times New Roman"/>
          <w:lang w:val="en-US"/>
        </w:rPr>
        <w:t xml:space="preserve">Bradford, J. C., Lukos, J. R., Passaro, A., Ries, A., &amp; Ferris, D. P. (2019). Effect of locomotor demands on cognitive processing. </w:t>
      </w:r>
      <w:r w:rsidRPr="00DE5F3A">
        <w:rPr>
          <w:rFonts w:cs="Times New Roman"/>
          <w:i/>
          <w:iCs/>
          <w:lang w:val="en-US"/>
        </w:rPr>
        <w:t>Scientific Reports</w:t>
      </w:r>
      <w:r w:rsidRPr="00DE5F3A">
        <w:rPr>
          <w:rFonts w:cs="Times New Roman"/>
          <w:lang w:val="en-US"/>
        </w:rPr>
        <w:t xml:space="preserve">, </w:t>
      </w:r>
      <w:r w:rsidRPr="00DE5F3A">
        <w:rPr>
          <w:rFonts w:cs="Times New Roman"/>
          <w:i/>
          <w:iCs/>
          <w:lang w:val="en-US"/>
        </w:rPr>
        <w:t>9</w:t>
      </w:r>
      <w:r w:rsidRPr="00DE5F3A">
        <w:rPr>
          <w:rFonts w:cs="Times New Roman"/>
          <w:lang w:val="en-US"/>
        </w:rPr>
        <w:t>(9234), 1–12. https://doi.org/10.1038/s41598-019-45396-5</w:t>
      </w:r>
    </w:p>
    <w:p w14:paraId="0D70E05D" w14:textId="77777777" w:rsidR="006C6E43" w:rsidRPr="00DE5F3A" w:rsidRDefault="006C6E43" w:rsidP="006C6E43">
      <w:pPr>
        <w:pStyle w:val="Literaturverzeichnis"/>
        <w:rPr>
          <w:rFonts w:cs="Times New Roman"/>
          <w:lang w:val="en-US"/>
        </w:rPr>
      </w:pPr>
      <w:r w:rsidRPr="00DE5F3A">
        <w:rPr>
          <w:rFonts w:cs="Times New Roman"/>
          <w:lang w:val="en-US"/>
        </w:rPr>
        <w:t xml:space="preserve">Braver, T. S. (2012). The variable nature of cognitive control: A dual mechanisms framework. </w:t>
      </w:r>
      <w:r w:rsidRPr="00DE5F3A">
        <w:rPr>
          <w:rFonts w:cs="Times New Roman"/>
          <w:i/>
          <w:iCs/>
          <w:lang w:val="en-US"/>
        </w:rPr>
        <w:t>Trends in Cognitive Sciences</w:t>
      </w:r>
      <w:r w:rsidRPr="00DE5F3A">
        <w:rPr>
          <w:rFonts w:cs="Times New Roman"/>
          <w:lang w:val="en-US"/>
        </w:rPr>
        <w:t xml:space="preserve">, </w:t>
      </w:r>
      <w:r w:rsidRPr="00DE5F3A">
        <w:rPr>
          <w:rFonts w:cs="Times New Roman"/>
          <w:i/>
          <w:iCs/>
          <w:lang w:val="en-US"/>
        </w:rPr>
        <w:t>16</w:t>
      </w:r>
      <w:r w:rsidRPr="00DE5F3A">
        <w:rPr>
          <w:rFonts w:cs="Times New Roman"/>
          <w:lang w:val="en-US"/>
        </w:rPr>
        <w:t>(2), 106–113. https://doi.org/10.1016/j.tics.2011.12.010</w:t>
      </w:r>
    </w:p>
    <w:p w14:paraId="3E5BFDF1" w14:textId="77777777" w:rsidR="006C6E43" w:rsidRPr="00DE5F3A" w:rsidRDefault="006C6E43" w:rsidP="006C6E43">
      <w:pPr>
        <w:pStyle w:val="Literaturverzeichnis"/>
        <w:rPr>
          <w:rFonts w:cs="Times New Roman"/>
          <w:lang w:val="en-US"/>
        </w:rPr>
      </w:pPr>
      <w:r w:rsidRPr="00DE5F3A">
        <w:rPr>
          <w:rFonts w:cs="Times New Roman"/>
          <w:lang w:val="en-US"/>
        </w:rPr>
        <w:t xml:space="preserve">Brunia, C. H. M., &amp; van Boxtel, G. J. M. (2001). Wait and see. </w:t>
      </w:r>
      <w:r w:rsidRPr="00DE5F3A">
        <w:rPr>
          <w:rFonts w:cs="Times New Roman"/>
          <w:i/>
          <w:iCs/>
          <w:lang w:val="en-US"/>
        </w:rPr>
        <w:t>International Journal of Psychophysiology</w:t>
      </w:r>
      <w:r w:rsidRPr="00DE5F3A">
        <w:rPr>
          <w:rFonts w:cs="Times New Roman"/>
          <w:lang w:val="en-US"/>
        </w:rPr>
        <w:t xml:space="preserve">, </w:t>
      </w:r>
      <w:r w:rsidRPr="00DE5F3A">
        <w:rPr>
          <w:rFonts w:cs="Times New Roman"/>
          <w:i/>
          <w:iCs/>
          <w:lang w:val="en-US"/>
        </w:rPr>
        <w:t>43</w:t>
      </w:r>
      <w:r w:rsidRPr="00DE5F3A">
        <w:rPr>
          <w:rFonts w:cs="Times New Roman"/>
          <w:lang w:val="en-US"/>
        </w:rPr>
        <w:t>(1), 59–75. https://doi.org/10.1016/S0167-8760(01)00179-9</w:t>
      </w:r>
    </w:p>
    <w:p w14:paraId="6A29DC31" w14:textId="77777777" w:rsidR="006C6E43" w:rsidRPr="00DE5F3A" w:rsidRDefault="006C6E43" w:rsidP="006C6E43">
      <w:pPr>
        <w:pStyle w:val="Literaturverzeichnis"/>
        <w:rPr>
          <w:rFonts w:cs="Times New Roman"/>
          <w:lang w:val="en-US"/>
        </w:rPr>
      </w:pPr>
      <w:r w:rsidRPr="00DE5F3A">
        <w:rPr>
          <w:rFonts w:cs="Times New Roman"/>
          <w:lang w:val="en-US"/>
        </w:rPr>
        <w:t xml:space="preserve">Cramer, A. O. J., van Ravenzwaaij, D., Matzke, D., Steingroever, H., Wetzels, R., Grasman, R. P. P. P., Waldorp, L. J., &amp; Wagenmakers, E. J. (2016). Hidden multiplicity in exploratory multiway ANOVA: Prevalence and remedies. </w:t>
      </w:r>
      <w:r w:rsidRPr="00DE5F3A">
        <w:rPr>
          <w:rFonts w:cs="Times New Roman"/>
          <w:i/>
          <w:iCs/>
          <w:lang w:val="en-US"/>
        </w:rPr>
        <w:t>Psychonomic Bulletin and Review</w:t>
      </w:r>
      <w:r w:rsidRPr="00DE5F3A">
        <w:rPr>
          <w:rFonts w:cs="Times New Roman"/>
          <w:lang w:val="en-US"/>
        </w:rPr>
        <w:t xml:space="preserve">, </w:t>
      </w:r>
      <w:r w:rsidRPr="00DE5F3A">
        <w:rPr>
          <w:rFonts w:cs="Times New Roman"/>
          <w:i/>
          <w:iCs/>
          <w:lang w:val="en-US"/>
        </w:rPr>
        <w:t>23</w:t>
      </w:r>
      <w:r w:rsidRPr="00DE5F3A">
        <w:rPr>
          <w:rFonts w:cs="Times New Roman"/>
          <w:lang w:val="en-US"/>
        </w:rPr>
        <w:t>(2), 640–647. https://doi.org/10.3758/s13423-015-0913-5</w:t>
      </w:r>
    </w:p>
    <w:p w14:paraId="62F1353E" w14:textId="77777777" w:rsidR="006C6E43" w:rsidRPr="00DE5F3A" w:rsidRDefault="006C6E43" w:rsidP="006C6E43">
      <w:pPr>
        <w:pStyle w:val="Literaturverzeichnis"/>
        <w:rPr>
          <w:rFonts w:cs="Times New Roman"/>
          <w:lang w:val="en-US"/>
        </w:rPr>
      </w:pPr>
      <w:r w:rsidRPr="00DE5F3A">
        <w:rPr>
          <w:rFonts w:cs="Times New Roman"/>
          <w:lang w:val="en-US"/>
        </w:rPr>
        <w:t xml:space="preserve">de Cheveigné, A. (2020). ZapLine: A simple and effective method to remove power line artifacts. </w:t>
      </w:r>
      <w:r w:rsidRPr="00DE5F3A">
        <w:rPr>
          <w:rFonts w:cs="Times New Roman"/>
          <w:i/>
          <w:iCs/>
          <w:lang w:val="en-US"/>
        </w:rPr>
        <w:t>NeuroImage</w:t>
      </w:r>
      <w:r w:rsidRPr="00DE5F3A">
        <w:rPr>
          <w:rFonts w:cs="Times New Roman"/>
          <w:lang w:val="en-US"/>
        </w:rPr>
        <w:t xml:space="preserve">, </w:t>
      </w:r>
      <w:r w:rsidRPr="00DE5F3A">
        <w:rPr>
          <w:rFonts w:cs="Times New Roman"/>
          <w:i/>
          <w:iCs/>
          <w:lang w:val="en-US"/>
        </w:rPr>
        <w:t>207</w:t>
      </w:r>
      <w:r w:rsidRPr="00DE5F3A">
        <w:rPr>
          <w:rFonts w:cs="Times New Roman"/>
          <w:lang w:val="en-US"/>
        </w:rPr>
        <w:t>, 116356. https://doi.org/10.1016/j.neuroimage.2019.116356</w:t>
      </w:r>
    </w:p>
    <w:p w14:paraId="5A946583" w14:textId="77777777" w:rsidR="006C6E43" w:rsidRPr="00DE5F3A" w:rsidRDefault="006C6E43" w:rsidP="006C6E43">
      <w:pPr>
        <w:pStyle w:val="Literaturverzeichnis"/>
        <w:rPr>
          <w:rFonts w:cs="Times New Roman"/>
          <w:lang w:val="en-US"/>
        </w:rPr>
      </w:pPr>
      <w:r w:rsidRPr="00DE5F3A">
        <w:rPr>
          <w:rFonts w:cs="Times New Roman"/>
          <w:lang w:val="en-US"/>
        </w:rPr>
        <w:t xml:space="preserve">De Jong, R. (1993). Multiple bottlenecks in overlapping task performance. </w:t>
      </w:r>
      <w:r w:rsidRPr="00DE5F3A">
        <w:rPr>
          <w:rFonts w:cs="Times New Roman"/>
          <w:i/>
          <w:iCs/>
          <w:lang w:val="en-US"/>
        </w:rPr>
        <w:t>Journal of Experimental Psychology: Human Perception and Performance</w:t>
      </w:r>
      <w:r w:rsidRPr="00DE5F3A">
        <w:rPr>
          <w:rFonts w:cs="Times New Roman"/>
          <w:lang w:val="en-US"/>
        </w:rPr>
        <w:t xml:space="preserve">, </w:t>
      </w:r>
      <w:r w:rsidRPr="00DE5F3A">
        <w:rPr>
          <w:rFonts w:cs="Times New Roman"/>
          <w:i/>
          <w:iCs/>
          <w:lang w:val="en-US"/>
        </w:rPr>
        <w:t>19</w:t>
      </w:r>
      <w:r w:rsidRPr="00DE5F3A">
        <w:rPr>
          <w:rFonts w:cs="Times New Roman"/>
          <w:lang w:val="en-US"/>
        </w:rPr>
        <w:t>(5), 965–980. https://doi.org/10.1037/0096-1523.19.5.965</w:t>
      </w:r>
    </w:p>
    <w:p w14:paraId="0A073234" w14:textId="77777777" w:rsidR="006C6E43" w:rsidRPr="00DE5F3A" w:rsidRDefault="006C6E43" w:rsidP="006C6E43">
      <w:pPr>
        <w:pStyle w:val="Literaturverzeichnis"/>
        <w:rPr>
          <w:rFonts w:cs="Times New Roman"/>
          <w:lang w:val="en-US"/>
        </w:rPr>
      </w:pPr>
      <w:r w:rsidRPr="006C6E43">
        <w:rPr>
          <w:rFonts w:cs="Times New Roman"/>
        </w:rPr>
        <w:t xml:space="preserve">De Vos, M., Gandras, K., &amp; Debener, S. (2014). </w:t>
      </w:r>
      <w:r w:rsidRPr="00DE5F3A">
        <w:rPr>
          <w:rFonts w:cs="Times New Roman"/>
          <w:lang w:val="en-US"/>
        </w:rPr>
        <w:t xml:space="preserve">Towards a truly mobile auditory brain-computer interface: Exploring the P300 to take away. </w:t>
      </w:r>
      <w:r w:rsidRPr="00DE5F3A">
        <w:rPr>
          <w:rFonts w:cs="Times New Roman"/>
          <w:i/>
          <w:iCs/>
          <w:lang w:val="en-US"/>
        </w:rPr>
        <w:t>International Journal of Psychophysiology</w:t>
      </w:r>
      <w:r w:rsidRPr="00DE5F3A">
        <w:rPr>
          <w:rFonts w:cs="Times New Roman"/>
          <w:lang w:val="en-US"/>
        </w:rPr>
        <w:t xml:space="preserve">, </w:t>
      </w:r>
      <w:r w:rsidRPr="00DE5F3A">
        <w:rPr>
          <w:rFonts w:cs="Times New Roman"/>
          <w:i/>
          <w:iCs/>
          <w:lang w:val="en-US"/>
        </w:rPr>
        <w:t>91</w:t>
      </w:r>
      <w:r w:rsidRPr="00DE5F3A">
        <w:rPr>
          <w:rFonts w:cs="Times New Roman"/>
          <w:lang w:val="en-US"/>
        </w:rPr>
        <w:t>(1), 46–53. https://doi.org/10.1016/j.ijpsycho.2013.08.010</w:t>
      </w:r>
    </w:p>
    <w:p w14:paraId="511D9FAD" w14:textId="77777777" w:rsidR="006C6E43" w:rsidRPr="00DE5F3A" w:rsidRDefault="006C6E43" w:rsidP="006C6E43">
      <w:pPr>
        <w:pStyle w:val="Literaturverzeichnis"/>
        <w:rPr>
          <w:rFonts w:cs="Times New Roman"/>
          <w:lang w:val="en-US"/>
        </w:rPr>
      </w:pPr>
      <w:r w:rsidRPr="00DE5F3A">
        <w:rPr>
          <w:rFonts w:cs="Times New Roman"/>
          <w:lang w:val="en-US"/>
        </w:rPr>
        <w:t xml:space="preserve">Debener, S., Minow, F., Emkes, R., Gandras, K., &amp; de Vos, M. (2012). How about taking a low-cost, small, and wireless EEG for a walk? </w:t>
      </w:r>
      <w:r w:rsidRPr="00DE5F3A">
        <w:rPr>
          <w:rFonts w:cs="Times New Roman"/>
          <w:i/>
          <w:iCs/>
          <w:lang w:val="en-US"/>
        </w:rPr>
        <w:t>Psychophysiology</w:t>
      </w:r>
      <w:r w:rsidRPr="00DE5F3A">
        <w:rPr>
          <w:rFonts w:cs="Times New Roman"/>
          <w:lang w:val="en-US"/>
        </w:rPr>
        <w:t xml:space="preserve">, </w:t>
      </w:r>
      <w:r w:rsidRPr="00DE5F3A">
        <w:rPr>
          <w:rFonts w:cs="Times New Roman"/>
          <w:i/>
          <w:iCs/>
          <w:lang w:val="en-US"/>
        </w:rPr>
        <w:t>49</w:t>
      </w:r>
      <w:r w:rsidRPr="00DE5F3A">
        <w:rPr>
          <w:rFonts w:cs="Times New Roman"/>
          <w:lang w:val="en-US"/>
        </w:rPr>
        <w:t>(11), 1617–1621. https://doi.org/10.1111/j.1469-8986.2012.01471.x</w:t>
      </w:r>
    </w:p>
    <w:p w14:paraId="78837ED2" w14:textId="77777777" w:rsidR="006C6E43" w:rsidRPr="00DE5F3A" w:rsidRDefault="006C6E43" w:rsidP="006C6E43">
      <w:pPr>
        <w:pStyle w:val="Literaturverzeichnis"/>
        <w:rPr>
          <w:rFonts w:cs="Times New Roman"/>
          <w:lang w:val="en-US"/>
        </w:rPr>
      </w:pPr>
      <w:r w:rsidRPr="00DE5F3A">
        <w:rPr>
          <w:rFonts w:cs="Times New Roman"/>
          <w:lang w:val="en-US"/>
        </w:rPr>
        <w:t xml:space="preserve">Emerson, M. J., &amp; Miyake, A. (2003). The role of inner speech in task switching: A dual-task investigation. </w:t>
      </w:r>
      <w:r w:rsidRPr="00DE5F3A">
        <w:rPr>
          <w:rFonts w:cs="Times New Roman"/>
          <w:i/>
          <w:iCs/>
          <w:lang w:val="en-US"/>
        </w:rPr>
        <w:t>Journal of Memory and Language</w:t>
      </w:r>
      <w:r w:rsidRPr="00DE5F3A">
        <w:rPr>
          <w:rFonts w:cs="Times New Roman"/>
          <w:lang w:val="en-US"/>
        </w:rPr>
        <w:t xml:space="preserve">, </w:t>
      </w:r>
      <w:r w:rsidRPr="00DE5F3A">
        <w:rPr>
          <w:rFonts w:cs="Times New Roman"/>
          <w:i/>
          <w:iCs/>
          <w:lang w:val="en-US"/>
        </w:rPr>
        <w:t>48</w:t>
      </w:r>
      <w:r w:rsidRPr="00DE5F3A">
        <w:rPr>
          <w:rFonts w:cs="Times New Roman"/>
          <w:lang w:val="en-US"/>
        </w:rPr>
        <w:t>(1), 148–168. https://doi.org/10.1016/S0749-596X(02)00511-9</w:t>
      </w:r>
    </w:p>
    <w:p w14:paraId="67A5295C" w14:textId="77777777" w:rsidR="006C6E43" w:rsidRPr="00DE5F3A" w:rsidRDefault="006C6E43" w:rsidP="006C6E43">
      <w:pPr>
        <w:pStyle w:val="Literaturverzeichnis"/>
        <w:rPr>
          <w:rFonts w:cs="Times New Roman"/>
          <w:lang w:val="en-US"/>
        </w:rPr>
      </w:pPr>
      <w:r w:rsidRPr="00DE5F3A">
        <w:rPr>
          <w:rFonts w:cs="Times New Roman"/>
          <w:lang w:val="en-US"/>
        </w:rPr>
        <w:t xml:space="preserve">Fernández-Caramés, T. M. (2024). </w:t>
      </w:r>
      <w:r w:rsidRPr="00DE5F3A">
        <w:rPr>
          <w:rFonts w:cs="Times New Roman"/>
          <w:i/>
          <w:iCs/>
          <w:lang w:val="en-US"/>
        </w:rPr>
        <w:t>Forging the Industrial Metaverse: Where Industry 5.0, Augmented/Mixed Reality, IIoT, Opportunistic Edge Computing and Digital Twins Meet</w:t>
      </w:r>
      <w:r w:rsidRPr="00DE5F3A">
        <w:rPr>
          <w:rFonts w:cs="Times New Roman"/>
          <w:lang w:val="en-US"/>
        </w:rPr>
        <w:t xml:space="preserve">. </w:t>
      </w:r>
      <w:r w:rsidRPr="00DE5F3A">
        <w:rPr>
          <w:rFonts w:cs="Times New Roman"/>
          <w:i/>
          <w:iCs/>
          <w:lang w:val="en-US"/>
        </w:rPr>
        <w:t>3</w:t>
      </w:r>
      <w:r w:rsidRPr="00DE5F3A">
        <w:rPr>
          <w:rFonts w:cs="Times New Roman"/>
          <w:lang w:val="en-US"/>
        </w:rPr>
        <w:t>.</w:t>
      </w:r>
    </w:p>
    <w:p w14:paraId="46309DFD" w14:textId="77777777" w:rsidR="006C6E43" w:rsidRPr="006C6E43" w:rsidRDefault="006C6E43" w:rsidP="006C6E43">
      <w:pPr>
        <w:pStyle w:val="Literaturverzeichnis"/>
        <w:rPr>
          <w:rFonts w:cs="Times New Roman"/>
        </w:rPr>
      </w:pPr>
      <w:r w:rsidRPr="00DE5F3A">
        <w:rPr>
          <w:rFonts w:cs="Times New Roman"/>
          <w:lang w:val="en-US"/>
        </w:rPr>
        <w:t xml:space="preserve">Fields, E. C., &amp; Kuperberg, G. R. (2020). Having your cake and eating it too: Flexibility and power with mass univariate statistics for ERP data. </w:t>
      </w:r>
      <w:r w:rsidRPr="006C6E43">
        <w:rPr>
          <w:rFonts w:cs="Times New Roman"/>
          <w:i/>
          <w:iCs/>
        </w:rPr>
        <w:t>Psychophysiology</w:t>
      </w:r>
      <w:r w:rsidRPr="006C6E43">
        <w:rPr>
          <w:rFonts w:cs="Times New Roman"/>
        </w:rPr>
        <w:t xml:space="preserve">, </w:t>
      </w:r>
      <w:r w:rsidRPr="006C6E43">
        <w:rPr>
          <w:rFonts w:cs="Times New Roman"/>
          <w:i/>
          <w:iCs/>
        </w:rPr>
        <w:t>57</w:t>
      </w:r>
      <w:r w:rsidRPr="006C6E43">
        <w:rPr>
          <w:rFonts w:cs="Times New Roman"/>
        </w:rPr>
        <w:t>(2). https://doi.org/10.1111/psyp.13468</w:t>
      </w:r>
    </w:p>
    <w:p w14:paraId="5229DE82" w14:textId="77777777" w:rsidR="006C6E43" w:rsidRPr="006C6E43" w:rsidRDefault="006C6E43" w:rsidP="006C6E43">
      <w:pPr>
        <w:pStyle w:val="Literaturverzeichnis"/>
        <w:rPr>
          <w:rFonts w:cs="Times New Roman"/>
        </w:rPr>
      </w:pPr>
      <w:r w:rsidRPr="006C6E43">
        <w:rPr>
          <w:rFonts w:cs="Times New Roman"/>
        </w:rPr>
        <w:t xml:space="preserve">Groppe, D. M., Urbach, T. P., &amp; Kutas, M. (2011). </w:t>
      </w:r>
      <w:r w:rsidRPr="00DE5F3A">
        <w:rPr>
          <w:rFonts w:cs="Times New Roman"/>
          <w:lang w:val="en-US"/>
        </w:rPr>
        <w:t xml:space="preserve">Mass univariate analysis of event-related brain potentials/fields I: A critical tutorial review: Mass univariate analysis of ERPs/ERFs I: Review. </w:t>
      </w:r>
      <w:r w:rsidRPr="006C6E43">
        <w:rPr>
          <w:rFonts w:cs="Times New Roman"/>
          <w:i/>
          <w:iCs/>
        </w:rPr>
        <w:t>Psychophysiology</w:t>
      </w:r>
      <w:r w:rsidRPr="006C6E43">
        <w:rPr>
          <w:rFonts w:cs="Times New Roman"/>
        </w:rPr>
        <w:t xml:space="preserve">, </w:t>
      </w:r>
      <w:r w:rsidRPr="006C6E43">
        <w:rPr>
          <w:rFonts w:cs="Times New Roman"/>
          <w:i/>
          <w:iCs/>
        </w:rPr>
        <w:t>48</w:t>
      </w:r>
      <w:r w:rsidRPr="006C6E43">
        <w:rPr>
          <w:rFonts w:cs="Times New Roman"/>
        </w:rPr>
        <w:t>(12), 1711–1725. https://doi.org/10.1111/j.1469-8986.2011.01273.x</w:t>
      </w:r>
    </w:p>
    <w:p w14:paraId="2B49F4C6" w14:textId="77777777" w:rsidR="006C6E43" w:rsidRPr="00DE5F3A" w:rsidRDefault="006C6E43" w:rsidP="006C6E43">
      <w:pPr>
        <w:pStyle w:val="Literaturverzeichnis"/>
        <w:rPr>
          <w:rFonts w:cs="Times New Roman"/>
          <w:lang w:val="en-US"/>
        </w:rPr>
      </w:pPr>
      <w:r w:rsidRPr="006C6E43">
        <w:rPr>
          <w:rFonts w:cs="Times New Roman"/>
        </w:rPr>
        <w:lastRenderedPageBreak/>
        <w:t xml:space="preserve">Grosse, E. H., Glock, C. H., &amp; Neumann, W. P. (2017). </w:t>
      </w:r>
      <w:r w:rsidRPr="00DE5F3A">
        <w:rPr>
          <w:rFonts w:cs="Times New Roman"/>
          <w:lang w:val="en-US"/>
        </w:rPr>
        <w:t xml:space="preserve">Human factors in order picking: A content analysis of the literature. </w:t>
      </w:r>
      <w:r w:rsidRPr="00DE5F3A">
        <w:rPr>
          <w:rFonts w:cs="Times New Roman"/>
          <w:i/>
          <w:iCs/>
          <w:lang w:val="en-US"/>
        </w:rPr>
        <w:t>International Journal of Production Research</w:t>
      </w:r>
      <w:r w:rsidRPr="00DE5F3A">
        <w:rPr>
          <w:rFonts w:cs="Times New Roman"/>
          <w:lang w:val="en-US"/>
        </w:rPr>
        <w:t xml:space="preserve">, </w:t>
      </w:r>
      <w:r w:rsidRPr="00DE5F3A">
        <w:rPr>
          <w:rFonts w:cs="Times New Roman"/>
          <w:i/>
          <w:iCs/>
          <w:lang w:val="en-US"/>
        </w:rPr>
        <w:t>55</w:t>
      </w:r>
      <w:r w:rsidRPr="00DE5F3A">
        <w:rPr>
          <w:rFonts w:cs="Times New Roman"/>
          <w:lang w:val="en-US"/>
        </w:rPr>
        <w:t>(5), 1260–1276. https://doi.org/10.1080/00207543.2016.1186296</w:t>
      </w:r>
    </w:p>
    <w:p w14:paraId="4F4017B6" w14:textId="77777777" w:rsidR="006C6E43" w:rsidRPr="00DE5F3A" w:rsidRDefault="006C6E43" w:rsidP="006C6E43">
      <w:pPr>
        <w:pStyle w:val="Literaturverzeichnis"/>
        <w:rPr>
          <w:rFonts w:cs="Times New Roman"/>
          <w:lang w:val="en-US"/>
        </w:rPr>
      </w:pPr>
      <w:r w:rsidRPr="00DE5F3A">
        <w:rPr>
          <w:rFonts w:cs="Times New Roman"/>
          <w:lang w:val="en-US"/>
        </w:rPr>
        <w:t xml:space="preserve">Guo, A., Wu, X., Shen, Z., Starner, T., Baumann, H., &amp; Gilliland, S. (2015). Order Picking with Head-Up Displays. </w:t>
      </w:r>
      <w:r w:rsidRPr="00DE5F3A">
        <w:rPr>
          <w:rFonts w:cs="Times New Roman"/>
          <w:i/>
          <w:iCs/>
          <w:lang w:val="en-US"/>
        </w:rPr>
        <w:t>Computer</w:t>
      </w:r>
      <w:r w:rsidRPr="00DE5F3A">
        <w:rPr>
          <w:rFonts w:cs="Times New Roman"/>
          <w:lang w:val="en-US"/>
        </w:rPr>
        <w:t xml:space="preserve">, </w:t>
      </w:r>
      <w:r w:rsidRPr="00DE5F3A">
        <w:rPr>
          <w:rFonts w:cs="Times New Roman"/>
          <w:i/>
          <w:iCs/>
          <w:lang w:val="en-US"/>
        </w:rPr>
        <w:t>48</w:t>
      </w:r>
      <w:r w:rsidRPr="00DE5F3A">
        <w:rPr>
          <w:rFonts w:cs="Times New Roman"/>
          <w:lang w:val="en-US"/>
        </w:rPr>
        <w:t>(6), 16–24. https://doi.org/10.1109/MC.2015.166</w:t>
      </w:r>
    </w:p>
    <w:p w14:paraId="68DA7B67" w14:textId="77777777" w:rsidR="006C6E43" w:rsidRPr="00DE5F3A" w:rsidRDefault="006C6E43" w:rsidP="006C6E43">
      <w:pPr>
        <w:pStyle w:val="Literaturverzeichnis"/>
        <w:rPr>
          <w:rFonts w:cs="Times New Roman"/>
          <w:lang w:val="en-US"/>
        </w:rPr>
      </w:pPr>
      <w:r w:rsidRPr="00DE5F3A">
        <w:rPr>
          <w:rFonts w:cs="Times New Roman"/>
          <w:lang w:val="en-US"/>
        </w:rPr>
        <w:t xml:space="preserve">Gupta, A., Kelty-Stephen, D. G., Mangalam, M., McKindles, R. J., &amp; Stirling, L. (2023). Walking speed and dual task input modality impact performance on a self-paced treadmill. </w:t>
      </w:r>
      <w:r w:rsidRPr="00DE5F3A">
        <w:rPr>
          <w:rFonts w:cs="Times New Roman"/>
          <w:i/>
          <w:iCs/>
          <w:lang w:val="en-US"/>
        </w:rPr>
        <w:t>Applied Ergonomics</w:t>
      </w:r>
      <w:r w:rsidRPr="00DE5F3A">
        <w:rPr>
          <w:rFonts w:cs="Times New Roman"/>
          <w:lang w:val="en-US"/>
        </w:rPr>
        <w:t xml:space="preserve">, </w:t>
      </w:r>
      <w:r w:rsidRPr="00DE5F3A">
        <w:rPr>
          <w:rFonts w:cs="Times New Roman"/>
          <w:i/>
          <w:iCs/>
          <w:lang w:val="en-US"/>
        </w:rPr>
        <w:t>109</w:t>
      </w:r>
      <w:r w:rsidRPr="00DE5F3A">
        <w:rPr>
          <w:rFonts w:cs="Times New Roman"/>
          <w:lang w:val="en-US"/>
        </w:rPr>
        <w:t>, 103986. https://doi.org/10.1016/j.apergo.2023.103986</w:t>
      </w:r>
    </w:p>
    <w:p w14:paraId="20BD19E7" w14:textId="77777777" w:rsidR="006C6E43" w:rsidRPr="00DE5F3A" w:rsidRDefault="006C6E43" w:rsidP="006C6E43">
      <w:pPr>
        <w:pStyle w:val="Literaturverzeichnis"/>
        <w:rPr>
          <w:rFonts w:cs="Times New Roman"/>
          <w:lang w:val="en-US"/>
        </w:rPr>
      </w:pPr>
      <w:r w:rsidRPr="00DE5F3A">
        <w:rPr>
          <w:rFonts w:cs="Times New Roman"/>
          <w:lang w:val="en-US"/>
        </w:rPr>
        <w:t xml:space="preserve">Hart, S. G., &amp; Staveland, L. E. (1988). Development of NASA-TLX (Task Load Index): Results of empirical and theoretical Research. In P. A. Hancock &amp; N. Meshkati (Eds.), </w:t>
      </w:r>
      <w:r w:rsidRPr="00DE5F3A">
        <w:rPr>
          <w:rFonts w:cs="Times New Roman"/>
          <w:i/>
          <w:iCs/>
          <w:lang w:val="en-US"/>
        </w:rPr>
        <w:t>Human Mental Workload</w:t>
      </w:r>
      <w:r w:rsidRPr="00DE5F3A">
        <w:rPr>
          <w:rFonts w:cs="Times New Roman"/>
          <w:lang w:val="en-US"/>
        </w:rPr>
        <w:t>. North-Holland Press. https://doi.org/10.1016/S0166-4115(08)62386-9</w:t>
      </w:r>
    </w:p>
    <w:p w14:paraId="11977396" w14:textId="77777777" w:rsidR="006C6E43" w:rsidRPr="00DE5F3A" w:rsidRDefault="006C6E43" w:rsidP="006C6E43">
      <w:pPr>
        <w:pStyle w:val="Literaturverzeichnis"/>
        <w:rPr>
          <w:rFonts w:cs="Times New Roman"/>
          <w:lang w:val="en-US"/>
        </w:rPr>
      </w:pPr>
      <w:r w:rsidRPr="00DE5F3A">
        <w:rPr>
          <w:rFonts w:cs="Times New Roman"/>
          <w:lang w:val="en-US"/>
        </w:rPr>
        <w:t xml:space="preserve">Jost, K., Mayr, U., &amp; Rosler, F. (2008). Is task switching nothing but cue priming? Evidence from ERPs. </w:t>
      </w:r>
      <w:r w:rsidRPr="00DE5F3A">
        <w:rPr>
          <w:rFonts w:cs="Times New Roman"/>
          <w:i/>
          <w:iCs/>
          <w:lang w:val="en-US"/>
        </w:rPr>
        <w:t>Cognitive, Affective, &amp; Behavioral Neuroscience</w:t>
      </w:r>
      <w:r w:rsidRPr="00DE5F3A">
        <w:rPr>
          <w:rFonts w:cs="Times New Roman"/>
          <w:lang w:val="en-US"/>
        </w:rPr>
        <w:t xml:space="preserve">, </w:t>
      </w:r>
      <w:r w:rsidRPr="00DE5F3A">
        <w:rPr>
          <w:rFonts w:cs="Times New Roman"/>
          <w:i/>
          <w:iCs/>
          <w:lang w:val="en-US"/>
        </w:rPr>
        <w:t>8</w:t>
      </w:r>
      <w:r w:rsidRPr="00DE5F3A">
        <w:rPr>
          <w:rFonts w:cs="Times New Roman"/>
          <w:lang w:val="en-US"/>
        </w:rPr>
        <w:t>(1), 74–84. https://doi.org/10.3758/CABN.8.1.74</w:t>
      </w:r>
    </w:p>
    <w:p w14:paraId="7A39EB99" w14:textId="77777777" w:rsidR="006C6E43" w:rsidRPr="00DE5F3A" w:rsidRDefault="006C6E43" w:rsidP="006C6E43">
      <w:pPr>
        <w:pStyle w:val="Literaturverzeichnis"/>
        <w:rPr>
          <w:rFonts w:cs="Times New Roman"/>
          <w:lang w:val="en-US"/>
        </w:rPr>
      </w:pPr>
      <w:r w:rsidRPr="006C6E43">
        <w:rPr>
          <w:rFonts w:cs="Times New Roman"/>
        </w:rPr>
        <w:t xml:space="preserve">Klug, M., Berg, T., &amp; Gramann, K. (2022). </w:t>
      </w:r>
      <w:r w:rsidRPr="00DE5F3A">
        <w:rPr>
          <w:rFonts w:cs="Times New Roman"/>
          <w:i/>
          <w:iCs/>
          <w:lang w:val="en-US"/>
        </w:rPr>
        <w:t>No need for extensive artifact rejection for ICA - A multi-study evaluation on stationary and mobile EEG datasets</w:t>
      </w:r>
      <w:r w:rsidRPr="00DE5F3A">
        <w:rPr>
          <w:rFonts w:cs="Times New Roman"/>
          <w:lang w:val="en-US"/>
        </w:rPr>
        <w:t>. https://doi.org/10.1101/2022.09.13.507772</w:t>
      </w:r>
    </w:p>
    <w:p w14:paraId="1B104FEF" w14:textId="77777777" w:rsidR="006C6E43" w:rsidRPr="00DE5F3A" w:rsidRDefault="006C6E43" w:rsidP="006C6E43">
      <w:pPr>
        <w:pStyle w:val="Literaturverzeichnis"/>
        <w:rPr>
          <w:rFonts w:cs="Times New Roman"/>
          <w:lang w:val="en-US"/>
        </w:rPr>
      </w:pPr>
      <w:r w:rsidRPr="006C6E43">
        <w:rPr>
          <w:rFonts w:cs="Times New Roman"/>
        </w:rPr>
        <w:t xml:space="preserve">Klug, M., Jeung, S., Wunderlich, A., Gehrke, L., Protzak, J., Djebbara, Z., Argubi-Wollesen, A., Wollesen, B., &amp; Gramann, K. (2022). </w:t>
      </w:r>
      <w:r w:rsidRPr="00DE5F3A">
        <w:rPr>
          <w:rFonts w:cs="Times New Roman"/>
          <w:i/>
          <w:iCs/>
          <w:lang w:val="en-US"/>
        </w:rPr>
        <w:t>The BeMoBIL Pipeline for automated analyses of multimodal mobile brain and body imaging data</w:t>
      </w:r>
      <w:r w:rsidRPr="00DE5F3A">
        <w:rPr>
          <w:rFonts w:cs="Times New Roman"/>
          <w:lang w:val="en-US"/>
        </w:rPr>
        <w:t xml:space="preserve"> [Preprint]. Neuroscience. https://doi.org/10.1101/2022.09.29.510051</w:t>
      </w:r>
    </w:p>
    <w:p w14:paraId="5BD74755" w14:textId="77777777" w:rsidR="006C6E43" w:rsidRPr="006C6E43" w:rsidRDefault="006C6E43" w:rsidP="006C6E43">
      <w:pPr>
        <w:pStyle w:val="Literaturverzeichnis"/>
        <w:rPr>
          <w:rFonts w:cs="Times New Roman"/>
        </w:rPr>
      </w:pPr>
      <w:r w:rsidRPr="00DE5F3A">
        <w:rPr>
          <w:rFonts w:cs="Times New Roman"/>
          <w:lang w:val="en-US"/>
        </w:rPr>
        <w:t xml:space="preserve">Kok, A. (2001). On the utility of P3 amplitude as a measure of processing capacity. </w:t>
      </w:r>
      <w:r w:rsidRPr="006C6E43">
        <w:rPr>
          <w:rFonts w:cs="Times New Roman"/>
          <w:i/>
          <w:iCs/>
        </w:rPr>
        <w:t>Psychophysiology</w:t>
      </w:r>
      <w:r w:rsidRPr="006C6E43">
        <w:rPr>
          <w:rFonts w:cs="Times New Roman"/>
        </w:rPr>
        <w:t xml:space="preserve">, </w:t>
      </w:r>
      <w:r w:rsidRPr="006C6E43">
        <w:rPr>
          <w:rFonts w:cs="Times New Roman"/>
          <w:i/>
          <w:iCs/>
        </w:rPr>
        <w:t>38</w:t>
      </w:r>
      <w:r w:rsidRPr="006C6E43">
        <w:rPr>
          <w:rFonts w:cs="Times New Roman"/>
        </w:rPr>
        <w:t>(3), 557–577. https://doi.org/10.1017/S0048577201990559</w:t>
      </w:r>
    </w:p>
    <w:p w14:paraId="6CD87AF7" w14:textId="77777777" w:rsidR="006C6E43" w:rsidRPr="00DE5F3A" w:rsidRDefault="006C6E43" w:rsidP="006C6E43">
      <w:pPr>
        <w:pStyle w:val="Literaturverzeichnis"/>
        <w:rPr>
          <w:rFonts w:cs="Times New Roman"/>
          <w:lang w:val="en-US"/>
        </w:rPr>
      </w:pPr>
      <w:r w:rsidRPr="006C6E43">
        <w:rPr>
          <w:rFonts w:cs="Times New Roman"/>
        </w:rPr>
        <w:t xml:space="preserve">Kreutzfeldt, M., Renker, J., &amp; Rinkenauer, G. (2019a). </w:t>
      </w:r>
      <w:r w:rsidRPr="00DE5F3A">
        <w:rPr>
          <w:rFonts w:cs="Times New Roman"/>
          <w:lang w:val="en-US"/>
        </w:rPr>
        <w:t xml:space="preserve">The attentional perspective on smart devices: Empirical evidence for device-specific cognitive ergonomics. </w:t>
      </w:r>
      <w:r w:rsidRPr="00DE5F3A">
        <w:rPr>
          <w:rFonts w:cs="Times New Roman"/>
          <w:i/>
          <w:iCs/>
          <w:lang w:val="en-US"/>
        </w:rPr>
        <w:t>Advances in Intelligent Systems and Computing</w:t>
      </w:r>
      <w:r w:rsidRPr="00DE5F3A">
        <w:rPr>
          <w:rFonts w:cs="Times New Roman"/>
          <w:lang w:val="en-US"/>
        </w:rPr>
        <w:t xml:space="preserve">, </w:t>
      </w:r>
      <w:r w:rsidRPr="00DE5F3A">
        <w:rPr>
          <w:rFonts w:cs="Times New Roman"/>
          <w:i/>
          <w:iCs/>
          <w:lang w:val="en-US"/>
        </w:rPr>
        <w:t>777</w:t>
      </w:r>
      <w:r w:rsidRPr="00DE5F3A">
        <w:rPr>
          <w:rFonts w:cs="Times New Roman"/>
          <w:lang w:val="en-US"/>
        </w:rPr>
        <w:t>, 3–13. https://doi.org/10.1007/978-3-319-94706-8_1</w:t>
      </w:r>
    </w:p>
    <w:p w14:paraId="47F255EF" w14:textId="77777777" w:rsidR="006C6E43" w:rsidRPr="00DE5F3A" w:rsidRDefault="006C6E43" w:rsidP="006C6E43">
      <w:pPr>
        <w:pStyle w:val="Literaturverzeichnis"/>
        <w:rPr>
          <w:rFonts w:cs="Times New Roman"/>
          <w:lang w:val="en-US"/>
        </w:rPr>
      </w:pPr>
      <w:r w:rsidRPr="00DE5F3A">
        <w:rPr>
          <w:rFonts w:cs="Times New Roman"/>
          <w:lang w:val="en-US"/>
        </w:rPr>
        <w:t xml:space="preserve">Kreutzfeldt, M., Renker, J., &amp; Rinkenauer, G. (2019b). The Influence of Gait on Cognitive Functions: Promising Factor for Adapting Systems to the Worker’s Need in a Picking Context. </w:t>
      </w:r>
      <w:r w:rsidRPr="00DE5F3A">
        <w:rPr>
          <w:rFonts w:cs="Times New Roman"/>
          <w:i/>
          <w:iCs/>
          <w:lang w:val="en-US"/>
        </w:rPr>
        <w:t>Lecture Notes in Computer Science (Including Subseries Lecture Notes in Artificial Intelligence and Lecture Notes in Bioinformatics)</w:t>
      </w:r>
      <w:r w:rsidRPr="00DE5F3A">
        <w:rPr>
          <w:rFonts w:cs="Times New Roman"/>
          <w:lang w:val="en-US"/>
        </w:rPr>
        <w:t xml:space="preserve">, </w:t>
      </w:r>
      <w:r w:rsidRPr="00DE5F3A">
        <w:rPr>
          <w:rFonts w:cs="Times New Roman"/>
          <w:i/>
          <w:iCs/>
          <w:lang w:val="en-US"/>
        </w:rPr>
        <w:t>11597 LNCS</w:t>
      </w:r>
      <w:r w:rsidRPr="00DE5F3A">
        <w:rPr>
          <w:rFonts w:cs="Times New Roman"/>
          <w:lang w:val="en-US"/>
        </w:rPr>
        <w:t>, 420–431. https://doi.org/10.1007/978-3-030-22341-0_33</w:t>
      </w:r>
    </w:p>
    <w:p w14:paraId="36D78392" w14:textId="77777777" w:rsidR="006C6E43" w:rsidRPr="00DE5F3A" w:rsidRDefault="006C6E43" w:rsidP="006C6E43">
      <w:pPr>
        <w:pStyle w:val="Literaturverzeichnis"/>
        <w:rPr>
          <w:rFonts w:cs="Times New Roman"/>
          <w:lang w:val="en-US"/>
        </w:rPr>
      </w:pPr>
      <w:r w:rsidRPr="006C6E43">
        <w:rPr>
          <w:rFonts w:cs="Times New Roman"/>
        </w:rPr>
        <w:t xml:space="preserve">Kreutzfeldt, M., Stephan, D. N., Willmes, K., &amp; Koch, I. (2017). </w:t>
      </w:r>
      <w:r w:rsidRPr="00DE5F3A">
        <w:rPr>
          <w:rFonts w:cs="Times New Roman"/>
          <w:lang w:val="en-US"/>
        </w:rPr>
        <w:t xml:space="preserve">Modality-specific preparatory influences on the flexibility of cognitive control in task switching. </w:t>
      </w:r>
      <w:r w:rsidRPr="00DE5F3A">
        <w:rPr>
          <w:rFonts w:cs="Times New Roman"/>
          <w:i/>
          <w:iCs/>
          <w:lang w:val="en-US"/>
        </w:rPr>
        <w:t>Journal of Cognitive Psychology</w:t>
      </w:r>
      <w:r w:rsidRPr="00DE5F3A">
        <w:rPr>
          <w:rFonts w:cs="Times New Roman"/>
          <w:lang w:val="en-US"/>
        </w:rPr>
        <w:t xml:space="preserve">, </w:t>
      </w:r>
      <w:r w:rsidRPr="00DE5F3A">
        <w:rPr>
          <w:rFonts w:cs="Times New Roman"/>
          <w:i/>
          <w:iCs/>
          <w:lang w:val="en-US"/>
        </w:rPr>
        <w:t>29</w:t>
      </w:r>
      <w:r w:rsidRPr="00DE5F3A">
        <w:rPr>
          <w:rFonts w:cs="Times New Roman"/>
          <w:lang w:val="en-US"/>
        </w:rPr>
        <w:t>(5), 607–617. https://doi.org/10.1080/20445911.2017.1293064</w:t>
      </w:r>
    </w:p>
    <w:p w14:paraId="04DF5867" w14:textId="77777777" w:rsidR="006C6E43" w:rsidRPr="00DE5F3A" w:rsidRDefault="006C6E43" w:rsidP="006C6E43">
      <w:pPr>
        <w:pStyle w:val="Literaturverzeichnis"/>
        <w:rPr>
          <w:rFonts w:cs="Times New Roman"/>
          <w:lang w:val="en-US"/>
        </w:rPr>
      </w:pPr>
      <w:r w:rsidRPr="00DE5F3A">
        <w:rPr>
          <w:rFonts w:cs="Times New Roman"/>
          <w:lang w:val="en-US"/>
        </w:rPr>
        <w:t xml:space="preserve">Ladouce, S., Donaldson, D. I., Dudchenko, P. A., &amp; Ietswaart, M. (2019). Mobile EEG identifies the re-allocation of attention during real-world activity. </w:t>
      </w:r>
      <w:r w:rsidRPr="00DE5F3A">
        <w:rPr>
          <w:rFonts w:cs="Times New Roman"/>
          <w:i/>
          <w:iCs/>
          <w:lang w:val="en-US"/>
        </w:rPr>
        <w:t>Scientific Reports</w:t>
      </w:r>
      <w:r w:rsidRPr="00DE5F3A">
        <w:rPr>
          <w:rFonts w:cs="Times New Roman"/>
          <w:lang w:val="en-US"/>
        </w:rPr>
        <w:t xml:space="preserve">, </w:t>
      </w:r>
      <w:r w:rsidRPr="00DE5F3A">
        <w:rPr>
          <w:rFonts w:cs="Times New Roman"/>
          <w:i/>
          <w:iCs/>
          <w:lang w:val="en-US"/>
        </w:rPr>
        <w:t>9</w:t>
      </w:r>
      <w:r w:rsidRPr="00DE5F3A">
        <w:rPr>
          <w:rFonts w:cs="Times New Roman"/>
          <w:lang w:val="en-US"/>
        </w:rPr>
        <w:t>(1), 1–10. https://doi.org/10.1038/s41598-019-51996-y</w:t>
      </w:r>
    </w:p>
    <w:p w14:paraId="074F0B2A" w14:textId="77777777" w:rsidR="006C6E43" w:rsidRPr="00DE5F3A" w:rsidRDefault="006C6E43" w:rsidP="006C6E43">
      <w:pPr>
        <w:pStyle w:val="Literaturverzeichnis"/>
        <w:rPr>
          <w:rFonts w:cs="Times New Roman"/>
          <w:lang w:val="en-US"/>
        </w:rPr>
      </w:pPr>
      <w:r w:rsidRPr="00DE5F3A">
        <w:rPr>
          <w:rFonts w:cs="Times New Roman"/>
          <w:lang w:val="en-US"/>
        </w:rPr>
        <w:t xml:space="preserve">Lajoie, Y., Teasdale, N., Bard, C., &amp; Fleury, M. (1993). Attentional demands for static and dynamic equilibrium. </w:t>
      </w:r>
      <w:r w:rsidRPr="00DE5F3A">
        <w:rPr>
          <w:rFonts w:cs="Times New Roman"/>
          <w:i/>
          <w:iCs/>
          <w:lang w:val="en-US"/>
        </w:rPr>
        <w:t>Experimental Brain Research</w:t>
      </w:r>
      <w:r w:rsidRPr="00DE5F3A">
        <w:rPr>
          <w:rFonts w:cs="Times New Roman"/>
          <w:lang w:val="en-US"/>
        </w:rPr>
        <w:t xml:space="preserve">, </w:t>
      </w:r>
      <w:r w:rsidRPr="00DE5F3A">
        <w:rPr>
          <w:rFonts w:cs="Times New Roman"/>
          <w:i/>
          <w:iCs/>
          <w:lang w:val="en-US"/>
        </w:rPr>
        <w:t>97</w:t>
      </w:r>
      <w:r w:rsidRPr="00DE5F3A">
        <w:rPr>
          <w:rFonts w:cs="Times New Roman"/>
          <w:lang w:val="en-US"/>
        </w:rPr>
        <w:t>(1), 139–144. https://doi.org/10.1007/BF00228824</w:t>
      </w:r>
    </w:p>
    <w:p w14:paraId="7E6BF005" w14:textId="77777777" w:rsidR="006C6E43" w:rsidRPr="00DE5F3A" w:rsidRDefault="006C6E43" w:rsidP="006C6E43">
      <w:pPr>
        <w:pStyle w:val="Literaturverzeichnis"/>
        <w:rPr>
          <w:rFonts w:cs="Times New Roman"/>
          <w:lang w:val="en-US"/>
        </w:rPr>
      </w:pPr>
      <w:r w:rsidRPr="00DE5F3A">
        <w:rPr>
          <w:rFonts w:cs="Times New Roman"/>
          <w:lang w:val="en-US"/>
        </w:rPr>
        <w:lastRenderedPageBreak/>
        <w:t xml:space="preserve">LaPlume, A. A., Reimers, S., &amp; Wiseheart, M. (2022). Component processes in task switching: Cue switch costs are dependent on a mixed block of trials. </w:t>
      </w:r>
      <w:r w:rsidRPr="00DE5F3A">
        <w:rPr>
          <w:rFonts w:cs="Times New Roman"/>
          <w:i/>
          <w:iCs/>
          <w:lang w:val="en-US"/>
        </w:rPr>
        <w:t>Journal of Cognitive Psychology</w:t>
      </w:r>
      <w:r w:rsidRPr="00DE5F3A">
        <w:rPr>
          <w:rFonts w:cs="Times New Roman"/>
          <w:lang w:val="en-US"/>
        </w:rPr>
        <w:t xml:space="preserve">, </w:t>
      </w:r>
      <w:r w:rsidRPr="00DE5F3A">
        <w:rPr>
          <w:rFonts w:cs="Times New Roman"/>
          <w:i/>
          <w:iCs/>
          <w:lang w:val="en-US"/>
        </w:rPr>
        <w:t>34</w:t>
      </w:r>
      <w:r w:rsidRPr="00DE5F3A">
        <w:rPr>
          <w:rFonts w:cs="Times New Roman"/>
          <w:lang w:val="en-US"/>
        </w:rPr>
        <w:t>(7), 879–892. https://doi.org/10.1080/20445911.2022.2089153</w:t>
      </w:r>
    </w:p>
    <w:p w14:paraId="0DE3DEA4" w14:textId="77777777" w:rsidR="006C6E43" w:rsidRPr="00DE5F3A" w:rsidRDefault="006C6E43" w:rsidP="006C6E43">
      <w:pPr>
        <w:pStyle w:val="Literaturverzeichnis"/>
        <w:rPr>
          <w:rFonts w:cs="Times New Roman"/>
          <w:lang w:val="en-US"/>
        </w:rPr>
      </w:pPr>
      <w:r w:rsidRPr="00DE5F3A">
        <w:rPr>
          <w:rFonts w:cs="Times New Roman"/>
          <w:lang w:val="en-US"/>
        </w:rPr>
        <w:t xml:space="preserve">Leone, C., Feys, P., Moumdjian, L., D’Amico, E., Zappia, M., &amp; Patti, F. (2017). Cognitive-motor dual-task interference: A systematic review of neural correlates. </w:t>
      </w:r>
      <w:r w:rsidRPr="00DE5F3A">
        <w:rPr>
          <w:rFonts w:cs="Times New Roman"/>
          <w:i/>
          <w:iCs/>
          <w:lang w:val="en-US"/>
        </w:rPr>
        <w:t>Neuroscience &amp; Biobehavioral Reviews</w:t>
      </w:r>
      <w:r w:rsidRPr="00DE5F3A">
        <w:rPr>
          <w:rFonts w:cs="Times New Roman"/>
          <w:lang w:val="en-US"/>
        </w:rPr>
        <w:t xml:space="preserve">, </w:t>
      </w:r>
      <w:r w:rsidRPr="00DE5F3A">
        <w:rPr>
          <w:rFonts w:cs="Times New Roman"/>
          <w:i/>
          <w:iCs/>
          <w:lang w:val="en-US"/>
        </w:rPr>
        <w:t>75</w:t>
      </w:r>
      <w:r w:rsidRPr="00DE5F3A">
        <w:rPr>
          <w:rFonts w:cs="Times New Roman"/>
          <w:lang w:val="en-US"/>
        </w:rPr>
        <w:t>, 348–360. https://doi.org/10.1016/j.neubiorev.2017.01.010</w:t>
      </w:r>
    </w:p>
    <w:p w14:paraId="79E0DF90" w14:textId="77777777" w:rsidR="006C6E43" w:rsidRPr="00DE5F3A" w:rsidRDefault="006C6E43" w:rsidP="006C6E43">
      <w:pPr>
        <w:pStyle w:val="Literaturverzeichnis"/>
        <w:rPr>
          <w:rFonts w:cs="Times New Roman"/>
          <w:lang w:val="en-US"/>
        </w:rPr>
      </w:pPr>
      <w:r w:rsidRPr="00DE5F3A">
        <w:rPr>
          <w:rFonts w:cs="Times New Roman"/>
          <w:lang w:val="en-US"/>
        </w:rPr>
        <w:t xml:space="preserve">Lopez-Calderon, J., &amp; Luck, S. J. (2014). ERPLAB: an open-source toolbox for the analysis of event-related potentials. </w:t>
      </w:r>
      <w:r w:rsidRPr="00DE5F3A">
        <w:rPr>
          <w:rFonts w:cs="Times New Roman"/>
          <w:i/>
          <w:iCs/>
          <w:lang w:val="en-US"/>
        </w:rPr>
        <w:t>Frontiers in Human Neuroscience</w:t>
      </w:r>
      <w:r w:rsidRPr="00DE5F3A">
        <w:rPr>
          <w:rFonts w:cs="Times New Roman"/>
          <w:lang w:val="en-US"/>
        </w:rPr>
        <w:t xml:space="preserve">, </w:t>
      </w:r>
      <w:r w:rsidRPr="00DE5F3A">
        <w:rPr>
          <w:rFonts w:cs="Times New Roman"/>
          <w:i/>
          <w:iCs/>
          <w:lang w:val="en-US"/>
        </w:rPr>
        <w:t>8</w:t>
      </w:r>
      <w:r w:rsidRPr="00DE5F3A">
        <w:rPr>
          <w:rFonts w:cs="Times New Roman"/>
          <w:lang w:val="en-US"/>
        </w:rPr>
        <w:t>, 1–14. https://doi.org/10.3389/fnhum.2014.00213</w:t>
      </w:r>
    </w:p>
    <w:p w14:paraId="42ED9B09" w14:textId="77777777" w:rsidR="006C6E43" w:rsidRPr="00DE5F3A" w:rsidRDefault="006C6E43" w:rsidP="006C6E43">
      <w:pPr>
        <w:pStyle w:val="Literaturverzeichnis"/>
        <w:rPr>
          <w:rFonts w:cs="Times New Roman"/>
          <w:lang w:val="en-US"/>
        </w:rPr>
      </w:pPr>
      <w:r w:rsidRPr="00DE5F3A">
        <w:rPr>
          <w:rFonts w:cs="Times New Roman"/>
          <w:lang w:val="en-US"/>
        </w:rPr>
        <w:t xml:space="preserve">Malcolm, B. R., Foxe, J. J., Butler, J. S., Molholm, S., &amp; De Sanctis, P. (2018). Cognitive load reduces the effects of optic flow on gait and electrocortical dynamics during treadmill walking. </w:t>
      </w:r>
      <w:r w:rsidRPr="00DE5F3A">
        <w:rPr>
          <w:rFonts w:cs="Times New Roman"/>
          <w:i/>
          <w:iCs/>
          <w:lang w:val="en-US"/>
        </w:rPr>
        <w:t>Journal of Neurophysiology</w:t>
      </w:r>
      <w:r w:rsidRPr="00DE5F3A">
        <w:rPr>
          <w:rFonts w:cs="Times New Roman"/>
          <w:lang w:val="en-US"/>
        </w:rPr>
        <w:t xml:space="preserve">, </w:t>
      </w:r>
      <w:r w:rsidRPr="00DE5F3A">
        <w:rPr>
          <w:rFonts w:cs="Times New Roman"/>
          <w:i/>
          <w:iCs/>
          <w:lang w:val="en-US"/>
        </w:rPr>
        <w:t>120</w:t>
      </w:r>
      <w:r w:rsidRPr="00DE5F3A">
        <w:rPr>
          <w:rFonts w:cs="Times New Roman"/>
          <w:lang w:val="en-US"/>
        </w:rPr>
        <w:t>(5), 2246–2259. https://doi.org/10.1152/jn.00079.2018</w:t>
      </w:r>
    </w:p>
    <w:p w14:paraId="30618E8C" w14:textId="77777777" w:rsidR="006C6E43" w:rsidRPr="00DE5F3A" w:rsidRDefault="006C6E43" w:rsidP="006C6E43">
      <w:pPr>
        <w:pStyle w:val="Literaturverzeichnis"/>
        <w:rPr>
          <w:rFonts w:cs="Times New Roman"/>
          <w:lang w:val="en-US"/>
        </w:rPr>
      </w:pPr>
      <w:r w:rsidRPr="00DE5F3A">
        <w:rPr>
          <w:rFonts w:cs="Times New Roman"/>
          <w:lang w:val="en-US"/>
        </w:rPr>
        <w:t xml:space="preserve">Mark, B. G., Rauch, E., &amp; Matt, D. T. (2021). Industrial Assistance Systems to Enhance Human–Machine Interaction and Operator’s Capabilities in Assembly. In D. T. Matt, V. Modrák, &amp; H. Zsifkovits (Eds.), </w:t>
      </w:r>
      <w:r w:rsidRPr="00DE5F3A">
        <w:rPr>
          <w:rFonts w:cs="Times New Roman"/>
          <w:i/>
          <w:iCs/>
          <w:lang w:val="en-US"/>
        </w:rPr>
        <w:t>Implementing Industry 4.0 in SMEs: Concepts, Examples and Applications</w:t>
      </w:r>
      <w:r w:rsidRPr="00DE5F3A">
        <w:rPr>
          <w:rFonts w:cs="Times New Roman"/>
          <w:lang w:val="en-US"/>
        </w:rPr>
        <w:t xml:space="preserve"> (pp. 129–161). Springer International Publishing. https://doi.org/10.1007/978-3-030-70516-9_4</w:t>
      </w:r>
    </w:p>
    <w:p w14:paraId="29A66861" w14:textId="77777777" w:rsidR="006C6E43" w:rsidRPr="00DE5F3A" w:rsidRDefault="006C6E43" w:rsidP="006C6E43">
      <w:pPr>
        <w:pStyle w:val="Literaturverzeichnis"/>
        <w:rPr>
          <w:rFonts w:cs="Times New Roman"/>
          <w:lang w:val="en-US"/>
        </w:rPr>
      </w:pPr>
      <w:r w:rsidRPr="00DE5F3A">
        <w:rPr>
          <w:rFonts w:cs="Times New Roman"/>
          <w:lang w:val="en-US"/>
        </w:rPr>
        <w:t xml:space="preserve">Matthis, J. S., Yates, J. L., &amp; Hayhoe, M. M. (2018). Gaze and the Control of Foot Placement When Walking in Natural Terrain. </w:t>
      </w:r>
      <w:r w:rsidRPr="00DE5F3A">
        <w:rPr>
          <w:rFonts w:cs="Times New Roman"/>
          <w:i/>
          <w:iCs/>
          <w:lang w:val="en-US"/>
        </w:rPr>
        <w:t>Current Biology</w:t>
      </w:r>
      <w:r w:rsidRPr="00DE5F3A">
        <w:rPr>
          <w:rFonts w:cs="Times New Roman"/>
          <w:lang w:val="en-US"/>
        </w:rPr>
        <w:t xml:space="preserve">, </w:t>
      </w:r>
      <w:r w:rsidRPr="00DE5F3A">
        <w:rPr>
          <w:rFonts w:cs="Times New Roman"/>
          <w:i/>
          <w:iCs/>
          <w:lang w:val="en-US"/>
        </w:rPr>
        <w:t>28</w:t>
      </w:r>
      <w:r w:rsidRPr="00DE5F3A">
        <w:rPr>
          <w:rFonts w:cs="Times New Roman"/>
          <w:lang w:val="en-US"/>
        </w:rPr>
        <w:t>(8), 1224–1233. https://doi.org/10.1016/j.cub.2018.03.008</w:t>
      </w:r>
    </w:p>
    <w:p w14:paraId="6FFF0AB5" w14:textId="77777777" w:rsidR="006C6E43" w:rsidRPr="00DE5F3A" w:rsidRDefault="006C6E43" w:rsidP="006C6E43">
      <w:pPr>
        <w:pStyle w:val="Literaturverzeichnis"/>
        <w:rPr>
          <w:rFonts w:cs="Times New Roman"/>
          <w:lang w:val="en-US"/>
        </w:rPr>
      </w:pPr>
      <w:r w:rsidRPr="00DE5F3A">
        <w:rPr>
          <w:rFonts w:cs="Times New Roman"/>
          <w:lang w:val="en-US"/>
        </w:rPr>
        <w:t xml:space="preserve">Mayr, U., &amp; Kliegl, R. (2003). Differential effects of cue changes and task changes on task-set selection costs. </w:t>
      </w:r>
      <w:r w:rsidRPr="00DE5F3A">
        <w:rPr>
          <w:rFonts w:cs="Times New Roman"/>
          <w:i/>
          <w:iCs/>
          <w:lang w:val="en-US"/>
        </w:rPr>
        <w:t>Journal of Experimental Psychology: Learning, Memory, and Cognition</w:t>
      </w:r>
      <w:r w:rsidRPr="00DE5F3A">
        <w:rPr>
          <w:rFonts w:cs="Times New Roman"/>
          <w:lang w:val="en-US"/>
        </w:rPr>
        <w:t xml:space="preserve">, </w:t>
      </w:r>
      <w:r w:rsidRPr="00DE5F3A">
        <w:rPr>
          <w:rFonts w:cs="Times New Roman"/>
          <w:i/>
          <w:iCs/>
          <w:lang w:val="en-US"/>
        </w:rPr>
        <w:t>29</w:t>
      </w:r>
      <w:r w:rsidRPr="00DE5F3A">
        <w:rPr>
          <w:rFonts w:cs="Times New Roman"/>
          <w:lang w:val="en-US"/>
        </w:rPr>
        <w:t>(3), 362–372. https://doi.org/10.1037/0278-7393.29.3.362</w:t>
      </w:r>
    </w:p>
    <w:p w14:paraId="264AA7CF" w14:textId="77777777" w:rsidR="006C6E43" w:rsidRPr="00DE5F3A" w:rsidRDefault="006C6E43" w:rsidP="006C6E43">
      <w:pPr>
        <w:pStyle w:val="Literaturverzeichnis"/>
        <w:rPr>
          <w:rFonts w:cs="Times New Roman"/>
          <w:lang w:val="en-US"/>
        </w:rPr>
      </w:pPr>
      <w:r w:rsidRPr="00DE5F3A">
        <w:rPr>
          <w:rFonts w:cs="Times New Roman"/>
          <w:lang w:val="en-US"/>
        </w:rPr>
        <w:t xml:space="preserve">Mordkoff, J. T. (2019). A Simple Method for Removing Bias From a Popular Measure of Standardized Effect Size: Adjusted Partial Eta Squared. </w:t>
      </w:r>
      <w:r w:rsidRPr="00DE5F3A">
        <w:rPr>
          <w:rFonts w:cs="Times New Roman"/>
          <w:i/>
          <w:iCs/>
          <w:lang w:val="en-US"/>
        </w:rPr>
        <w:t>Advances in Methods and Practices in Psychological Science</w:t>
      </w:r>
      <w:r w:rsidRPr="00DE5F3A">
        <w:rPr>
          <w:rFonts w:cs="Times New Roman"/>
          <w:lang w:val="en-US"/>
        </w:rPr>
        <w:t xml:space="preserve">, </w:t>
      </w:r>
      <w:r w:rsidRPr="00DE5F3A">
        <w:rPr>
          <w:rFonts w:cs="Times New Roman"/>
          <w:i/>
          <w:iCs/>
          <w:lang w:val="en-US"/>
        </w:rPr>
        <w:t>2</w:t>
      </w:r>
      <w:r w:rsidRPr="00DE5F3A">
        <w:rPr>
          <w:rFonts w:cs="Times New Roman"/>
          <w:lang w:val="en-US"/>
        </w:rPr>
        <w:t>(3), 228–232. https://doi.org/10.1177/2515245919855053</w:t>
      </w:r>
    </w:p>
    <w:p w14:paraId="191472D0" w14:textId="77777777" w:rsidR="006C6E43" w:rsidRPr="006C6E43" w:rsidRDefault="006C6E43" w:rsidP="006C6E43">
      <w:pPr>
        <w:pStyle w:val="Literaturverzeichnis"/>
        <w:rPr>
          <w:rFonts w:cs="Times New Roman"/>
        </w:rPr>
      </w:pPr>
      <w:r w:rsidRPr="00DE5F3A">
        <w:rPr>
          <w:rFonts w:cs="Times New Roman"/>
          <w:lang w:val="en-US"/>
        </w:rPr>
        <w:t xml:space="preserve">Nicholson, R., Karayanidis, F., Poboka, D., Heathcote, A., &amp; Michie, P. T. (2005). Electrophysiological correlates of anticipatory task-switching processes. </w:t>
      </w:r>
      <w:r w:rsidRPr="006C6E43">
        <w:rPr>
          <w:rFonts w:cs="Times New Roman"/>
          <w:i/>
          <w:iCs/>
        </w:rPr>
        <w:t>Psychophysiology</w:t>
      </w:r>
      <w:r w:rsidRPr="006C6E43">
        <w:rPr>
          <w:rFonts w:cs="Times New Roman"/>
        </w:rPr>
        <w:t xml:space="preserve">, </w:t>
      </w:r>
      <w:r w:rsidRPr="006C6E43">
        <w:rPr>
          <w:rFonts w:cs="Times New Roman"/>
          <w:i/>
          <w:iCs/>
        </w:rPr>
        <w:t>42</w:t>
      </w:r>
      <w:r w:rsidRPr="006C6E43">
        <w:rPr>
          <w:rFonts w:cs="Times New Roman"/>
        </w:rPr>
        <w:t>, 540–554. https://doi.org/10.1111/j.1469-8986.2005.00350.x</w:t>
      </w:r>
    </w:p>
    <w:p w14:paraId="40855B65" w14:textId="77777777" w:rsidR="006C6E43" w:rsidRPr="006C6E43" w:rsidRDefault="006C6E43" w:rsidP="006C6E43">
      <w:pPr>
        <w:pStyle w:val="Literaturverzeichnis"/>
        <w:rPr>
          <w:rFonts w:cs="Times New Roman"/>
        </w:rPr>
      </w:pPr>
      <w:r w:rsidRPr="006C6E43">
        <w:rPr>
          <w:rFonts w:cs="Times New Roman"/>
        </w:rPr>
        <w:t xml:space="preserve">Pion-Tonachini, L., Kreutz-Delgado, K., &amp; Makeig, S. (2019). </w:t>
      </w:r>
      <w:r w:rsidRPr="00DE5F3A">
        <w:rPr>
          <w:rFonts w:cs="Times New Roman"/>
          <w:lang w:val="en-US"/>
        </w:rPr>
        <w:t xml:space="preserve">ICLabel: An automated electroencephalographic independent component classifier, dataset, and website. </w:t>
      </w:r>
      <w:r w:rsidRPr="006C6E43">
        <w:rPr>
          <w:rFonts w:cs="Times New Roman"/>
          <w:i/>
          <w:iCs/>
        </w:rPr>
        <w:t>NeuroImage</w:t>
      </w:r>
      <w:r w:rsidRPr="006C6E43">
        <w:rPr>
          <w:rFonts w:cs="Times New Roman"/>
        </w:rPr>
        <w:t xml:space="preserve">, </w:t>
      </w:r>
      <w:r w:rsidRPr="006C6E43">
        <w:rPr>
          <w:rFonts w:cs="Times New Roman"/>
          <w:i/>
          <w:iCs/>
        </w:rPr>
        <w:t>198</w:t>
      </w:r>
      <w:r w:rsidRPr="006C6E43">
        <w:rPr>
          <w:rFonts w:cs="Times New Roman"/>
        </w:rPr>
        <w:t>, 181–197. https://doi.org/10.1016/j.neuroimage.2019.05.026</w:t>
      </w:r>
    </w:p>
    <w:p w14:paraId="5710169E" w14:textId="77777777" w:rsidR="006C6E43" w:rsidRPr="006C6E43" w:rsidRDefault="006C6E43" w:rsidP="006C6E43">
      <w:pPr>
        <w:pStyle w:val="Literaturverzeichnis"/>
        <w:rPr>
          <w:rFonts w:cs="Times New Roman"/>
        </w:rPr>
      </w:pPr>
      <w:r w:rsidRPr="006C6E43">
        <w:rPr>
          <w:rFonts w:cs="Times New Roman"/>
        </w:rPr>
        <w:t xml:space="preserve">Protzak, J., Wiczorek, R., &amp; Gramann, K. (2021). </w:t>
      </w:r>
      <w:r w:rsidRPr="00DE5F3A">
        <w:rPr>
          <w:rFonts w:cs="Times New Roman"/>
          <w:lang w:val="en-US"/>
        </w:rPr>
        <w:t xml:space="preserve">Peripheral visual perception during natural overground dual-task walking in older and younger adults. </w:t>
      </w:r>
      <w:r w:rsidRPr="006C6E43">
        <w:rPr>
          <w:rFonts w:cs="Times New Roman"/>
          <w:i/>
          <w:iCs/>
        </w:rPr>
        <w:t>Neurobiology of Aging</w:t>
      </w:r>
      <w:r w:rsidRPr="006C6E43">
        <w:rPr>
          <w:rFonts w:cs="Times New Roman"/>
        </w:rPr>
        <w:t xml:space="preserve">, </w:t>
      </w:r>
      <w:r w:rsidRPr="006C6E43">
        <w:rPr>
          <w:rFonts w:cs="Times New Roman"/>
          <w:i/>
          <w:iCs/>
        </w:rPr>
        <w:t>98</w:t>
      </w:r>
      <w:r w:rsidRPr="006C6E43">
        <w:rPr>
          <w:rFonts w:cs="Times New Roman"/>
        </w:rPr>
        <w:t>, 146–159. https://doi.org/10.1016/j.neurobiolaging.2020.10.009</w:t>
      </w:r>
    </w:p>
    <w:p w14:paraId="1F409EF1" w14:textId="77777777" w:rsidR="006C6E43" w:rsidRPr="00DE5F3A" w:rsidRDefault="006C6E43" w:rsidP="006C6E43">
      <w:pPr>
        <w:pStyle w:val="Literaturverzeichnis"/>
        <w:rPr>
          <w:rFonts w:cs="Times New Roman"/>
          <w:lang w:val="en-US"/>
        </w:rPr>
      </w:pPr>
      <w:r w:rsidRPr="006C6E43">
        <w:rPr>
          <w:rFonts w:cs="Times New Roman"/>
        </w:rPr>
        <w:t xml:space="preserve">Reiser, J. E., Arnau, S., Rinkenauer, G., &amp; Wascher, E. (2022). </w:t>
      </w:r>
      <w:r w:rsidRPr="00DE5F3A">
        <w:rPr>
          <w:rFonts w:cs="Times New Roman"/>
          <w:lang w:val="en-US"/>
        </w:rPr>
        <w:t xml:space="preserve">Did you even see that? Visual sensory processing of single stimuli under different locomotor loads. </w:t>
      </w:r>
      <w:r w:rsidRPr="00DE5F3A">
        <w:rPr>
          <w:rFonts w:cs="Times New Roman"/>
          <w:i/>
          <w:iCs/>
          <w:lang w:val="en-US"/>
        </w:rPr>
        <w:t>PLOS ONE</w:t>
      </w:r>
      <w:r w:rsidRPr="00DE5F3A">
        <w:rPr>
          <w:rFonts w:cs="Times New Roman"/>
          <w:lang w:val="en-US"/>
        </w:rPr>
        <w:t xml:space="preserve">, </w:t>
      </w:r>
      <w:r w:rsidRPr="00DE5F3A">
        <w:rPr>
          <w:rFonts w:cs="Times New Roman"/>
          <w:i/>
          <w:iCs/>
          <w:lang w:val="en-US"/>
        </w:rPr>
        <w:t>17</w:t>
      </w:r>
      <w:r w:rsidRPr="00DE5F3A">
        <w:rPr>
          <w:rFonts w:cs="Times New Roman"/>
          <w:lang w:val="en-US"/>
        </w:rPr>
        <w:t>(5), 1–21. https://doi.org/10.1371/journal.pone.0267896</w:t>
      </w:r>
    </w:p>
    <w:p w14:paraId="0D1E3A7A" w14:textId="77777777" w:rsidR="006C6E43" w:rsidRPr="00DE5F3A" w:rsidRDefault="006C6E43" w:rsidP="006C6E43">
      <w:pPr>
        <w:pStyle w:val="Literaturverzeichnis"/>
        <w:rPr>
          <w:rFonts w:cs="Times New Roman"/>
          <w:lang w:val="en-US"/>
        </w:rPr>
      </w:pPr>
      <w:r w:rsidRPr="00DE5F3A">
        <w:rPr>
          <w:rFonts w:cs="Times New Roman"/>
          <w:lang w:val="en-US"/>
        </w:rPr>
        <w:t xml:space="preserve">Reiser, J. E., Wascher, E., &amp; Arnau, S. (2019). Recording mobile EEG in an outdoor environment reveals cognitive-motor interference dependent on movement complexity. </w:t>
      </w:r>
      <w:r w:rsidRPr="00DE5F3A">
        <w:rPr>
          <w:rFonts w:cs="Times New Roman"/>
          <w:i/>
          <w:iCs/>
          <w:lang w:val="en-US"/>
        </w:rPr>
        <w:t>Scientific Reports</w:t>
      </w:r>
      <w:r w:rsidRPr="00DE5F3A">
        <w:rPr>
          <w:rFonts w:cs="Times New Roman"/>
          <w:lang w:val="en-US"/>
        </w:rPr>
        <w:t xml:space="preserve">, </w:t>
      </w:r>
      <w:r w:rsidRPr="00DE5F3A">
        <w:rPr>
          <w:rFonts w:cs="Times New Roman"/>
          <w:i/>
          <w:iCs/>
          <w:lang w:val="en-US"/>
        </w:rPr>
        <w:t>9</w:t>
      </w:r>
      <w:r w:rsidRPr="00DE5F3A">
        <w:rPr>
          <w:rFonts w:cs="Times New Roman"/>
          <w:lang w:val="en-US"/>
        </w:rPr>
        <w:t>(1), 1–14. https://doi.org/10.1038/s41598-019-49503-4</w:t>
      </w:r>
    </w:p>
    <w:p w14:paraId="5BB61344" w14:textId="77777777" w:rsidR="006C6E43" w:rsidRPr="00DE5F3A" w:rsidRDefault="006C6E43" w:rsidP="006C6E43">
      <w:pPr>
        <w:pStyle w:val="Literaturverzeichnis"/>
        <w:rPr>
          <w:rFonts w:cs="Times New Roman"/>
          <w:lang w:val="en-US"/>
        </w:rPr>
      </w:pPr>
      <w:r w:rsidRPr="00DE5F3A">
        <w:rPr>
          <w:rFonts w:cs="Times New Roman"/>
          <w:lang w:val="en-US"/>
        </w:rPr>
        <w:lastRenderedPageBreak/>
        <w:t xml:space="preserve">Reiser, J. E., Wascher, E., Rinkenauer, G., &amp; Arnau, S. (2021). Cognitive‐motor interference in the wild: Assessing the effects of movement complexity on task switching using mobile EEG. </w:t>
      </w:r>
      <w:r w:rsidRPr="00DE5F3A">
        <w:rPr>
          <w:rFonts w:cs="Times New Roman"/>
          <w:i/>
          <w:iCs/>
          <w:lang w:val="en-US"/>
        </w:rPr>
        <w:t>European Journal of Neuroscience</w:t>
      </w:r>
      <w:r w:rsidRPr="00DE5F3A">
        <w:rPr>
          <w:rFonts w:cs="Times New Roman"/>
          <w:lang w:val="en-US"/>
        </w:rPr>
        <w:t xml:space="preserve">, </w:t>
      </w:r>
      <w:r w:rsidRPr="00DE5F3A">
        <w:rPr>
          <w:rFonts w:cs="Times New Roman"/>
          <w:i/>
          <w:iCs/>
          <w:lang w:val="en-US"/>
        </w:rPr>
        <w:t>54</w:t>
      </w:r>
      <w:r w:rsidRPr="00DE5F3A">
        <w:rPr>
          <w:rFonts w:cs="Times New Roman"/>
          <w:lang w:val="en-US"/>
        </w:rPr>
        <w:t>(August), 8175–8195. https://doi.org/10.1111/ejn.14959</w:t>
      </w:r>
    </w:p>
    <w:p w14:paraId="730DF356" w14:textId="77777777" w:rsidR="006C6E43" w:rsidRPr="00DE5F3A" w:rsidRDefault="006C6E43" w:rsidP="006C6E43">
      <w:pPr>
        <w:pStyle w:val="Literaturverzeichnis"/>
        <w:rPr>
          <w:rFonts w:cs="Times New Roman"/>
          <w:lang w:val="en-US"/>
        </w:rPr>
      </w:pPr>
      <w:r w:rsidRPr="00DE5F3A">
        <w:rPr>
          <w:rFonts w:cs="Times New Roman"/>
          <w:lang w:val="en-US"/>
        </w:rPr>
        <w:t xml:space="preserve">Rubin, O., &amp; Meiran, N. (2005). On the Origins of the Task Mixing Cost in the Cuing Task-Switching Paradigm. </w:t>
      </w:r>
      <w:r w:rsidRPr="00DE5F3A">
        <w:rPr>
          <w:rFonts w:cs="Times New Roman"/>
          <w:i/>
          <w:iCs/>
          <w:lang w:val="en-US"/>
        </w:rPr>
        <w:t>Journal of Experimental Psychology: Learning, Memory, and Cognition</w:t>
      </w:r>
      <w:r w:rsidRPr="00DE5F3A">
        <w:rPr>
          <w:rFonts w:cs="Times New Roman"/>
          <w:lang w:val="en-US"/>
        </w:rPr>
        <w:t xml:space="preserve">, </w:t>
      </w:r>
      <w:r w:rsidRPr="00DE5F3A">
        <w:rPr>
          <w:rFonts w:cs="Times New Roman"/>
          <w:i/>
          <w:iCs/>
          <w:lang w:val="en-US"/>
        </w:rPr>
        <w:t>31</w:t>
      </w:r>
      <w:r w:rsidRPr="00DE5F3A">
        <w:rPr>
          <w:rFonts w:cs="Times New Roman"/>
          <w:lang w:val="en-US"/>
        </w:rPr>
        <w:t>(6), 1477–1491. https://doi.org/10.1037/0278-7393.31.6.1477</w:t>
      </w:r>
    </w:p>
    <w:p w14:paraId="793D3010" w14:textId="77777777" w:rsidR="006C6E43" w:rsidRPr="00DE5F3A" w:rsidRDefault="006C6E43" w:rsidP="006C6E43">
      <w:pPr>
        <w:pStyle w:val="Literaturverzeichnis"/>
        <w:rPr>
          <w:rFonts w:cs="Times New Roman"/>
          <w:lang w:val="en-US"/>
        </w:rPr>
      </w:pPr>
      <w:r w:rsidRPr="00DE5F3A">
        <w:rPr>
          <w:rFonts w:cs="Times New Roman"/>
          <w:lang w:val="en-US"/>
        </w:rPr>
        <w:t xml:space="preserve">Sampson, J. B. (1993). Cognitive Performance of Individuals Using a Head—Mounted Display While Walking. </w:t>
      </w:r>
      <w:r w:rsidRPr="00DE5F3A">
        <w:rPr>
          <w:rFonts w:cs="Times New Roman"/>
          <w:i/>
          <w:iCs/>
          <w:lang w:val="en-US"/>
        </w:rPr>
        <w:t>Proceedings of the Human Factors and Ergonomics Society Annual Meeting</w:t>
      </w:r>
      <w:r w:rsidRPr="00DE5F3A">
        <w:rPr>
          <w:rFonts w:cs="Times New Roman"/>
          <w:lang w:val="en-US"/>
        </w:rPr>
        <w:t xml:space="preserve">, </w:t>
      </w:r>
      <w:r w:rsidRPr="00DE5F3A">
        <w:rPr>
          <w:rFonts w:cs="Times New Roman"/>
          <w:i/>
          <w:iCs/>
          <w:lang w:val="en-US"/>
        </w:rPr>
        <w:t>37</w:t>
      </w:r>
      <w:r w:rsidRPr="00DE5F3A">
        <w:rPr>
          <w:rFonts w:cs="Times New Roman"/>
          <w:lang w:val="en-US"/>
        </w:rPr>
        <w:t>(4), 338–342. https://doi.org/10.1177/154193129303700418</w:t>
      </w:r>
    </w:p>
    <w:p w14:paraId="3B69BF63" w14:textId="77777777" w:rsidR="006C6E43" w:rsidRPr="00DE5F3A" w:rsidRDefault="006C6E43" w:rsidP="006C6E43">
      <w:pPr>
        <w:pStyle w:val="Literaturverzeichnis"/>
        <w:rPr>
          <w:rFonts w:cs="Times New Roman"/>
          <w:lang w:val="en-US"/>
        </w:rPr>
      </w:pPr>
      <w:r w:rsidRPr="00DE5F3A">
        <w:rPr>
          <w:rFonts w:cs="Times New Roman"/>
          <w:lang w:val="en-US"/>
        </w:rPr>
        <w:t xml:space="preserve">Shaw, E. P., Rietschel, J. C., Hendershot, B. D., Pruziner, A. L., Miller, M. W., Hatfield, B. D., &amp; Gentili, R. J. (2018). Measurement of attentional reserve and mental effort for cognitive workload assessment under various task demands during dual-task walking. </w:t>
      </w:r>
      <w:r w:rsidRPr="00DE5F3A">
        <w:rPr>
          <w:rFonts w:cs="Times New Roman"/>
          <w:i/>
          <w:iCs/>
          <w:lang w:val="en-US"/>
        </w:rPr>
        <w:t>Biological Psychology</w:t>
      </w:r>
      <w:r w:rsidRPr="00DE5F3A">
        <w:rPr>
          <w:rFonts w:cs="Times New Roman"/>
          <w:lang w:val="en-US"/>
        </w:rPr>
        <w:t xml:space="preserve">, </w:t>
      </w:r>
      <w:r w:rsidRPr="00DE5F3A">
        <w:rPr>
          <w:rFonts w:cs="Times New Roman"/>
          <w:i/>
          <w:iCs/>
          <w:lang w:val="en-US"/>
        </w:rPr>
        <w:t>134</w:t>
      </w:r>
      <w:r w:rsidRPr="00DE5F3A">
        <w:rPr>
          <w:rFonts w:cs="Times New Roman"/>
          <w:lang w:val="en-US"/>
        </w:rPr>
        <w:t>, 39–51. https://doi.org/10.1016/j.biopsycho.2018.01.009</w:t>
      </w:r>
    </w:p>
    <w:p w14:paraId="62E01041" w14:textId="77777777" w:rsidR="006C6E43" w:rsidRPr="00DE5F3A" w:rsidRDefault="006C6E43" w:rsidP="006C6E43">
      <w:pPr>
        <w:pStyle w:val="Literaturverzeichnis"/>
        <w:rPr>
          <w:rFonts w:cs="Times New Roman"/>
          <w:lang w:val="en-US"/>
        </w:rPr>
      </w:pPr>
      <w:r w:rsidRPr="00DE5F3A">
        <w:rPr>
          <w:rFonts w:cs="Times New Roman"/>
          <w:lang w:val="en-US"/>
        </w:rPr>
        <w:t xml:space="preserve">Swainson, R., Cunnington, R., Jackson, G. M., Rorden, C., Peters, A. M., Morris, P. G., &amp; Jackson, S. R. (2003). Cognitive control mechanisms revealed by ERP and fMRI: Evidence from repeated task-switching. </w:t>
      </w:r>
      <w:r w:rsidRPr="00DE5F3A">
        <w:rPr>
          <w:rFonts w:cs="Times New Roman"/>
          <w:i/>
          <w:iCs/>
          <w:lang w:val="en-US"/>
        </w:rPr>
        <w:t>Journal of Cognitive Neuroscience</w:t>
      </w:r>
      <w:r w:rsidRPr="00DE5F3A">
        <w:rPr>
          <w:rFonts w:cs="Times New Roman"/>
          <w:lang w:val="en-US"/>
        </w:rPr>
        <w:t xml:space="preserve">, </w:t>
      </w:r>
      <w:r w:rsidRPr="00DE5F3A">
        <w:rPr>
          <w:rFonts w:cs="Times New Roman"/>
          <w:i/>
          <w:iCs/>
          <w:lang w:val="en-US"/>
        </w:rPr>
        <w:t>15</w:t>
      </w:r>
      <w:r w:rsidRPr="00DE5F3A">
        <w:rPr>
          <w:rFonts w:cs="Times New Roman"/>
          <w:lang w:val="en-US"/>
        </w:rPr>
        <w:t>(6), 785–799. https://doi.org/10.1162/089892903322370717</w:t>
      </w:r>
    </w:p>
    <w:p w14:paraId="48DC7EE8" w14:textId="77777777" w:rsidR="006C6E43" w:rsidRPr="006C6E43" w:rsidRDefault="006C6E43" w:rsidP="006C6E43">
      <w:pPr>
        <w:pStyle w:val="Literaturverzeichnis"/>
        <w:rPr>
          <w:rFonts w:cs="Times New Roman"/>
        </w:rPr>
      </w:pPr>
      <w:r w:rsidRPr="00DE5F3A">
        <w:rPr>
          <w:rFonts w:cs="Times New Roman"/>
          <w:lang w:val="en-US"/>
        </w:rPr>
        <w:t xml:space="preserve">Walter, W. G., Cooper, R., Aldridge, V. J., McCallum, W. C., &amp; Winter, A. L. (1964). Contingent negative variation: An electric sign of sensori-motor association and expectancy in the human brain. </w:t>
      </w:r>
      <w:r w:rsidRPr="006C6E43">
        <w:rPr>
          <w:rFonts w:cs="Times New Roman"/>
          <w:i/>
          <w:iCs/>
        </w:rPr>
        <w:t>Nature</w:t>
      </w:r>
      <w:r w:rsidRPr="006C6E43">
        <w:rPr>
          <w:rFonts w:cs="Times New Roman"/>
        </w:rPr>
        <w:t xml:space="preserve">, </w:t>
      </w:r>
      <w:r w:rsidRPr="006C6E43">
        <w:rPr>
          <w:rFonts w:cs="Times New Roman"/>
          <w:i/>
          <w:iCs/>
        </w:rPr>
        <w:t>203</w:t>
      </w:r>
      <w:r w:rsidRPr="006C6E43">
        <w:rPr>
          <w:rFonts w:cs="Times New Roman"/>
        </w:rPr>
        <w:t>(4943), 380–384. https://doi.org/10.1038/203380a0</w:t>
      </w:r>
    </w:p>
    <w:p w14:paraId="4DFD5655" w14:textId="77777777" w:rsidR="006C6E43" w:rsidRPr="00DE5F3A" w:rsidRDefault="006C6E43" w:rsidP="006C6E43">
      <w:pPr>
        <w:pStyle w:val="Literaturverzeichnis"/>
        <w:rPr>
          <w:rFonts w:cs="Times New Roman"/>
          <w:lang w:val="en-US"/>
        </w:rPr>
      </w:pPr>
      <w:r w:rsidRPr="006C6E43">
        <w:rPr>
          <w:rFonts w:cs="Times New Roman"/>
        </w:rPr>
        <w:t xml:space="preserve">Wascher, E., Arnau, S., Gutberlet, M., Chuang, L. L., Rinkenauer, G., &amp; Reiser, J. E. (2022). </w:t>
      </w:r>
      <w:r w:rsidRPr="00DE5F3A">
        <w:rPr>
          <w:rFonts w:cs="Times New Roman"/>
          <w:lang w:val="en-US"/>
        </w:rPr>
        <w:t xml:space="preserve">Visual Demands of Walking Are Reflected in Eye-Blink-Evoked EEG-Activity. </w:t>
      </w:r>
      <w:r w:rsidRPr="00DE5F3A">
        <w:rPr>
          <w:rFonts w:cs="Times New Roman"/>
          <w:i/>
          <w:iCs/>
          <w:lang w:val="en-US"/>
        </w:rPr>
        <w:t>Applied Sciences</w:t>
      </w:r>
      <w:r w:rsidRPr="00DE5F3A">
        <w:rPr>
          <w:rFonts w:cs="Times New Roman"/>
          <w:lang w:val="en-US"/>
        </w:rPr>
        <w:t xml:space="preserve">, </w:t>
      </w:r>
      <w:r w:rsidRPr="00DE5F3A">
        <w:rPr>
          <w:rFonts w:cs="Times New Roman"/>
          <w:i/>
          <w:iCs/>
          <w:lang w:val="en-US"/>
        </w:rPr>
        <w:t>12</w:t>
      </w:r>
      <w:r w:rsidRPr="00DE5F3A">
        <w:rPr>
          <w:rFonts w:cs="Times New Roman"/>
          <w:lang w:val="en-US"/>
        </w:rPr>
        <w:t>(13), 6614. https://doi.org/10.3390/app12136614</w:t>
      </w:r>
    </w:p>
    <w:p w14:paraId="0AE5E2BC" w14:textId="77777777" w:rsidR="006C6E43" w:rsidRPr="00DE5F3A" w:rsidRDefault="006C6E43" w:rsidP="006C6E43">
      <w:pPr>
        <w:pStyle w:val="Literaturverzeichnis"/>
        <w:rPr>
          <w:rFonts w:cs="Times New Roman"/>
          <w:lang w:val="en-US"/>
        </w:rPr>
      </w:pPr>
      <w:r w:rsidRPr="00DE5F3A">
        <w:rPr>
          <w:rFonts w:cs="Times New Roman"/>
          <w:lang w:val="en-US"/>
        </w:rPr>
        <w:t xml:space="preserve">Wickens, C. D. (2002). Multiple resources and performance prediction. </w:t>
      </w:r>
      <w:r w:rsidRPr="00DE5F3A">
        <w:rPr>
          <w:rFonts w:cs="Times New Roman"/>
          <w:i/>
          <w:iCs/>
          <w:lang w:val="en-US"/>
        </w:rPr>
        <w:t>Theoretical Issues in Ergonomics Science</w:t>
      </w:r>
      <w:r w:rsidRPr="00DE5F3A">
        <w:rPr>
          <w:rFonts w:cs="Times New Roman"/>
          <w:lang w:val="en-US"/>
        </w:rPr>
        <w:t xml:space="preserve">, </w:t>
      </w:r>
      <w:r w:rsidRPr="00DE5F3A">
        <w:rPr>
          <w:rFonts w:cs="Times New Roman"/>
          <w:i/>
          <w:iCs/>
          <w:lang w:val="en-US"/>
        </w:rPr>
        <w:t>3</w:t>
      </w:r>
      <w:r w:rsidRPr="00DE5F3A">
        <w:rPr>
          <w:rFonts w:cs="Times New Roman"/>
          <w:lang w:val="en-US"/>
        </w:rPr>
        <w:t>(2), 159–177. https://doi.org/10.1080/14639220210123806</w:t>
      </w:r>
    </w:p>
    <w:p w14:paraId="3037F055" w14:textId="77777777" w:rsidR="006C6E43" w:rsidRPr="00DE5F3A" w:rsidRDefault="006C6E43" w:rsidP="006C6E43">
      <w:pPr>
        <w:pStyle w:val="Literaturverzeichnis"/>
        <w:rPr>
          <w:rFonts w:cs="Times New Roman"/>
          <w:lang w:val="en-US"/>
        </w:rPr>
      </w:pPr>
      <w:r w:rsidRPr="00DE5F3A">
        <w:rPr>
          <w:rFonts w:cs="Times New Roman"/>
          <w:lang w:val="en-US"/>
        </w:rPr>
        <w:t xml:space="preserve">Wickens, C. D. (2008). Multiple resources and mental workload. </w:t>
      </w:r>
      <w:r w:rsidRPr="00DE5F3A">
        <w:rPr>
          <w:rFonts w:cs="Times New Roman"/>
          <w:i/>
          <w:iCs/>
          <w:lang w:val="en-US"/>
        </w:rPr>
        <w:t>Human Factors: The Journal of the Human Factors and Ergonomics Society</w:t>
      </w:r>
      <w:r w:rsidRPr="00DE5F3A">
        <w:rPr>
          <w:rFonts w:cs="Times New Roman"/>
          <w:lang w:val="en-US"/>
        </w:rPr>
        <w:t xml:space="preserve">, </w:t>
      </w:r>
      <w:r w:rsidRPr="00DE5F3A">
        <w:rPr>
          <w:rFonts w:cs="Times New Roman"/>
          <w:i/>
          <w:iCs/>
          <w:lang w:val="en-US"/>
        </w:rPr>
        <w:t>50</w:t>
      </w:r>
      <w:r w:rsidRPr="00DE5F3A">
        <w:rPr>
          <w:rFonts w:cs="Times New Roman"/>
          <w:lang w:val="en-US"/>
        </w:rPr>
        <w:t>(3), 449–455. https://doi.org/10.1518/001872008X288394.</w:t>
      </w:r>
    </w:p>
    <w:p w14:paraId="6D0BC2E5" w14:textId="77777777" w:rsidR="006C6E43" w:rsidRPr="00DE5F3A" w:rsidRDefault="006C6E43" w:rsidP="006C6E43">
      <w:pPr>
        <w:pStyle w:val="Literaturverzeichnis"/>
        <w:rPr>
          <w:rFonts w:cs="Times New Roman"/>
          <w:lang w:val="en-US"/>
        </w:rPr>
      </w:pPr>
      <w:r w:rsidRPr="00DE5F3A">
        <w:rPr>
          <w:rFonts w:cs="Times New Roman"/>
          <w:lang w:val="en-US"/>
        </w:rPr>
        <w:t xml:space="preserve">Woollacott, M., &amp; Shumway-Cook, A. (2002). Attention and the control of posture and gait: A review of an emerging area of research. </w:t>
      </w:r>
      <w:r w:rsidRPr="00DE5F3A">
        <w:rPr>
          <w:rFonts w:cs="Times New Roman"/>
          <w:i/>
          <w:iCs/>
          <w:lang w:val="en-US"/>
        </w:rPr>
        <w:t>Gait and Posture</w:t>
      </w:r>
      <w:r w:rsidRPr="00DE5F3A">
        <w:rPr>
          <w:rFonts w:cs="Times New Roman"/>
          <w:lang w:val="en-US"/>
        </w:rPr>
        <w:t xml:space="preserve">, </w:t>
      </w:r>
      <w:r w:rsidRPr="00DE5F3A">
        <w:rPr>
          <w:rFonts w:cs="Times New Roman"/>
          <w:i/>
          <w:iCs/>
          <w:lang w:val="en-US"/>
        </w:rPr>
        <w:t>16</w:t>
      </w:r>
      <w:r w:rsidRPr="00DE5F3A">
        <w:rPr>
          <w:rFonts w:cs="Times New Roman"/>
          <w:lang w:val="en-US"/>
        </w:rPr>
        <w:t>(1), 1–14. https://doi.org/10.1016/S0966-6362(01)00156-4</w:t>
      </w:r>
    </w:p>
    <w:p w14:paraId="7740B91C" w14:textId="77777777" w:rsidR="006C6E43" w:rsidRPr="00DE5F3A" w:rsidRDefault="006C6E43" w:rsidP="006C6E43">
      <w:pPr>
        <w:pStyle w:val="Literaturverzeichnis"/>
        <w:rPr>
          <w:rFonts w:cs="Times New Roman"/>
          <w:lang w:val="en-US"/>
        </w:rPr>
      </w:pPr>
      <w:r w:rsidRPr="00DE5F3A">
        <w:rPr>
          <w:rFonts w:cs="Times New Roman"/>
          <w:lang w:val="en-US"/>
        </w:rPr>
        <w:t xml:space="preserve">Wu, X., Haynes, M., Guo, A., &amp; Starner, T. (2016). A comparison of order picking methods augmented with weight checking error detection. </w:t>
      </w:r>
      <w:r w:rsidRPr="00DE5F3A">
        <w:rPr>
          <w:rFonts w:cs="Times New Roman"/>
          <w:i/>
          <w:iCs/>
          <w:lang w:val="en-US"/>
        </w:rPr>
        <w:t>Proceedings of the 2016 ACM International Symposium on Wearable Computers</w:t>
      </w:r>
      <w:r w:rsidRPr="00DE5F3A">
        <w:rPr>
          <w:rFonts w:cs="Times New Roman"/>
          <w:lang w:val="en-US"/>
        </w:rPr>
        <w:t>, 144–147. https://doi.org/10.1145/2971763.2971773</w:t>
      </w:r>
    </w:p>
    <w:p w14:paraId="090A52FF" w14:textId="77777777" w:rsidR="006C6E43" w:rsidRPr="006C6E43" w:rsidRDefault="006C6E43" w:rsidP="006C6E43">
      <w:pPr>
        <w:pStyle w:val="Literaturverzeichnis"/>
        <w:rPr>
          <w:rFonts w:cs="Times New Roman"/>
        </w:rPr>
      </w:pPr>
      <w:r w:rsidRPr="006C6E43">
        <w:rPr>
          <w:rFonts w:cs="Times New Roman"/>
        </w:rPr>
        <w:t xml:space="preserve">Yogev-Seligmann, G., Hausdorff, J. M., &amp; Giladi, N. (2008). </w:t>
      </w:r>
      <w:r w:rsidRPr="00DE5F3A">
        <w:rPr>
          <w:rFonts w:cs="Times New Roman"/>
          <w:lang w:val="en-US"/>
        </w:rPr>
        <w:t xml:space="preserve">The role of executive function and attention in gait. </w:t>
      </w:r>
      <w:r w:rsidRPr="006C6E43">
        <w:rPr>
          <w:rFonts w:cs="Times New Roman"/>
          <w:i/>
          <w:iCs/>
        </w:rPr>
        <w:t>Movement Disorders</w:t>
      </w:r>
      <w:r w:rsidRPr="006C6E43">
        <w:rPr>
          <w:rFonts w:cs="Times New Roman"/>
        </w:rPr>
        <w:t xml:space="preserve">, </w:t>
      </w:r>
      <w:r w:rsidRPr="006C6E43">
        <w:rPr>
          <w:rFonts w:cs="Times New Roman"/>
          <w:i/>
          <w:iCs/>
        </w:rPr>
        <w:t>23</w:t>
      </w:r>
      <w:r w:rsidRPr="006C6E43">
        <w:rPr>
          <w:rFonts w:cs="Times New Roman"/>
        </w:rPr>
        <w:t>(3), 329–342. https://doi.org/10.1002/mds.21720</w:t>
      </w:r>
    </w:p>
    <w:p w14:paraId="5F6B6F34" w14:textId="0EFE1F10" w:rsidR="001B3C96" w:rsidRPr="00E275BF" w:rsidRDefault="006C6E43" w:rsidP="00DE5F3A">
      <w:pPr>
        <w:rPr>
          <w:lang w:val="en-US"/>
        </w:rPr>
      </w:pPr>
      <w:r>
        <w:rPr>
          <w:lang w:val="en-US"/>
        </w:rPr>
        <w:fldChar w:fldCharType="end"/>
      </w:r>
    </w:p>
    <w:sectPr w:rsidR="001B3C96" w:rsidRPr="00E275BF" w:rsidSect="008E0DB4">
      <w:headerReference w:type="default" r:id="rId26"/>
      <w:footerReference w:type="even" r:id="rId27"/>
      <w:footerReference w:type="default" r:id="rId2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16B64" w14:textId="77777777" w:rsidR="009C0768" w:rsidRDefault="009C0768" w:rsidP="00C92D07">
      <w:r>
        <w:separator/>
      </w:r>
    </w:p>
  </w:endnote>
  <w:endnote w:type="continuationSeparator" w:id="0">
    <w:p w14:paraId="4F8385E7" w14:textId="77777777" w:rsidR="009C0768" w:rsidRDefault="009C0768" w:rsidP="00C92D07">
      <w:r>
        <w:continuationSeparator/>
      </w:r>
    </w:p>
  </w:endnote>
  <w:endnote w:type="continuationNotice" w:id="1">
    <w:p w14:paraId="480DFD17" w14:textId="77777777" w:rsidR="009C0768" w:rsidRDefault="009C07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ppleSystemUIFont">
    <w:altName w:val="Cambria"/>
    <w:panose1 w:val="020B0604020202020204"/>
    <w:charset w:val="00"/>
    <w:family w:val="roman"/>
    <w:pitch w:val="default"/>
  </w:font>
  <w:font w:name="Cambria">
    <w:panose1 w:val="02040503050406030204"/>
    <w:charset w:val="00"/>
    <w:family w:val="roman"/>
    <w:pitch w:val="variable"/>
    <w:sig w:usb0="E00002FF" w:usb1="400004FF" w:usb2="00000000" w:usb3="00000000" w:csb0="0000019F" w:csb1="00000000"/>
  </w:font>
  <w:font w:name="greek">
    <w:altName w:val="Cambria"/>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11189300"/>
      <w:docPartObj>
        <w:docPartGallery w:val="Page Numbers (Bottom of Page)"/>
        <w:docPartUnique/>
      </w:docPartObj>
    </w:sdtPr>
    <w:sdtEndPr>
      <w:rPr>
        <w:rStyle w:val="Seitenzahl"/>
      </w:rPr>
    </w:sdtEndPr>
    <w:sdtContent>
      <w:p w14:paraId="68B99AE4" w14:textId="10076363" w:rsidR="004E3820" w:rsidRDefault="004E3820" w:rsidP="00147B51">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13</w:t>
        </w:r>
        <w:r>
          <w:rPr>
            <w:rStyle w:val="Seitenzahl"/>
          </w:rPr>
          <w:fldChar w:fldCharType="end"/>
        </w:r>
      </w:p>
    </w:sdtContent>
  </w:sdt>
  <w:p w14:paraId="77FAB9DF" w14:textId="77777777" w:rsidR="004E3820" w:rsidRDefault="004E3820" w:rsidP="004E3820">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45015058"/>
      <w:docPartObj>
        <w:docPartGallery w:val="Page Numbers (Bottom of Page)"/>
        <w:docPartUnique/>
      </w:docPartObj>
    </w:sdtPr>
    <w:sdtEndPr>
      <w:rPr>
        <w:rStyle w:val="Seitenzahl"/>
      </w:rPr>
    </w:sdtEndPr>
    <w:sdtContent>
      <w:p w14:paraId="6AE31D90" w14:textId="5DFA52C6" w:rsidR="004E3820" w:rsidRDefault="004E3820" w:rsidP="00147B51">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40</w:t>
        </w:r>
        <w:r>
          <w:rPr>
            <w:rStyle w:val="Seitenzahl"/>
          </w:rPr>
          <w:fldChar w:fldCharType="end"/>
        </w:r>
      </w:p>
    </w:sdtContent>
  </w:sdt>
  <w:p w14:paraId="6A80F9F1" w14:textId="77777777" w:rsidR="009056BF" w:rsidRDefault="009056BF" w:rsidP="004E3820">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BC530" w14:textId="77777777" w:rsidR="009C0768" w:rsidRDefault="009C0768" w:rsidP="00C92D07">
      <w:r>
        <w:separator/>
      </w:r>
    </w:p>
  </w:footnote>
  <w:footnote w:type="continuationSeparator" w:id="0">
    <w:p w14:paraId="4A2248E5" w14:textId="77777777" w:rsidR="009C0768" w:rsidRDefault="009C0768" w:rsidP="00C92D07">
      <w:r>
        <w:continuationSeparator/>
      </w:r>
    </w:p>
  </w:footnote>
  <w:footnote w:type="continuationNotice" w:id="1">
    <w:p w14:paraId="35385E84" w14:textId="77777777" w:rsidR="009C0768" w:rsidRDefault="009C07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88F69" w14:textId="77777777" w:rsidR="009056BF" w:rsidRDefault="009056B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40819"/>
    <w:multiLevelType w:val="multilevel"/>
    <w:tmpl w:val="2EE691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5E03F7"/>
    <w:multiLevelType w:val="hybridMultilevel"/>
    <w:tmpl w:val="81DEBF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657FE4"/>
    <w:multiLevelType w:val="hybridMultilevel"/>
    <w:tmpl w:val="3FF865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932A4B"/>
    <w:multiLevelType w:val="multilevel"/>
    <w:tmpl w:val="87AAE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3C6815"/>
    <w:multiLevelType w:val="hybridMultilevel"/>
    <w:tmpl w:val="9154D0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DBC6668"/>
    <w:multiLevelType w:val="hybridMultilevel"/>
    <w:tmpl w:val="164850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01909A3"/>
    <w:multiLevelType w:val="multilevel"/>
    <w:tmpl w:val="D5A6D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0341B6A"/>
    <w:multiLevelType w:val="hybridMultilevel"/>
    <w:tmpl w:val="58729C0C"/>
    <w:lvl w:ilvl="0" w:tplc="E95ADA00">
      <w:numFmt w:val="bullet"/>
      <w:lvlText w:val="•"/>
      <w:lvlJc w:val="left"/>
      <w:pPr>
        <w:ind w:left="360" w:hanging="360"/>
      </w:pPr>
      <w:rPr>
        <w:rFonts w:ascii="Times New Roman" w:eastAsiaTheme="minorHAnsi" w:hAnsi="Times New Roman" w:cs="Times New Roman" w:hint="default"/>
      </w:rPr>
    </w:lvl>
    <w:lvl w:ilvl="1" w:tplc="04070003" w:tentative="1">
      <w:start w:val="1"/>
      <w:numFmt w:val="bullet"/>
      <w:lvlText w:val="o"/>
      <w:lvlJc w:val="left"/>
      <w:pPr>
        <w:ind w:left="720" w:hanging="360"/>
      </w:pPr>
      <w:rPr>
        <w:rFonts w:ascii="Courier New" w:hAnsi="Courier New" w:cs="Courier New" w:hint="default"/>
      </w:rPr>
    </w:lvl>
    <w:lvl w:ilvl="2" w:tplc="04070005" w:tentative="1">
      <w:start w:val="1"/>
      <w:numFmt w:val="bullet"/>
      <w:lvlText w:val=""/>
      <w:lvlJc w:val="left"/>
      <w:pPr>
        <w:ind w:left="1440" w:hanging="360"/>
      </w:pPr>
      <w:rPr>
        <w:rFonts w:ascii="Wingdings" w:hAnsi="Wingdings" w:hint="default"/>
      </w:rPr>
    </w:lvl>
    <w:lvl w:ilvl="3" w:tplc="04070001" w:tentative="1">
      <w:start w:val="1"/>
      <w:numFmt w:val="bullet"/>
      <w:lvlText w:val=""/>
      <w:lvlJc w:val="left"/>
      <w:pPr>
        <w:ind w:left="2160" w:hanging="360"/>
      </w:pPr>
      <w:rPr>
        <w:rFonts w:ascii="Symbol" w:hAnsi="Symbol" w:hint="default"/>
      </w:rPr>
    </w:lvl>
    <w:lvl w:ilvl="4" w:tplc="04070003" w:tentative="1">
      <w:start w:val="1"/>
      <w:numFmt w:val="bullet"/>
      <w:lvlText w:val="o"/>
      <w:lvlJc w:val="left"/>
      <w:pPr>
        <w:ind w:left="2880" w:hanging="360"/>
      </w:pPr>
      <w:rPr>
        <w:rFonts w:ascii="Courier New" w:hAnsi="Courier New" w:cs="Courier New" w:hint="default"/>
      </w:rPr>
    </w:lvl>
    <w:lvl w:ilvl="5" w:tplc="04070005" w:tentative="1">
      <w:start w:val="1"/>
      <w:numFmt w:val="bullet"/>
      <w:lvlText w:val=""/>
      <w:lvlJc w:val="left"/>
      <w:pPr>
        <w:ind w:left="3600" w:hanging="360"/>
      </w:pPr>
      <w:rPr>
        <w:rFonts w:ascii="Wingdings" w:hAnsi="Wingdings" w:hint="default"/>
      </w:rPr>
    </w:lvl>
    <w:lvl w:ilvl="6" w:tplc="04070001" w:tentative="1">
      <w:start w:val="1"/>
      <w:numFmt w:val="bullet"/>
      <w:lvlText w:val=""/>
      <w:lvlJc w:val="left"/>
      <w:pPr>
        <w:ind w:left="4320" w:hanging="360"/>
      </w:pPr>
      <w:rPr>
        <w:rFonts w:ascii="Symbol" w:hAnsi="Symbol" w:hint="default"/>
      </w:rPr>
    </w:lvl>
    <w:lvl w:ilvl="7" w:tplc="04070003" w:tentative="1">
      <w:start w:val="1"/>
      <w:numFmt w:val="bullet"/>
      <w:lvlText w:val="o"/>
      <w:lvlJc w:val="left"/>
      <w:pPr>
        <w:ind w:left="5040" w:hanging="360"/>
      </w:pPr>
      <w:rPr>
        <w:rFonts w:ascii="Courier New" w:hAnsi="Courier New" w:cs="Courier New" w:hint="default"/>
      </w:rPr>
    </w:lvl>
    <w:lvl w:ilvl="8" w:tplc="04070005" w:tentative="1">
      <w:start w:val="1"/>
      <w:numFmt w:val="bullet"/>
      <w:lvlText w:val=""/>
      <w:lvlJc w:val="left"/>
      <w:pPr>
        <w:ind w:left="5760" w:hanging="360"/>
      </w:pPr>
      <w:rPr>
        <w:rFonts w:ascii="Wingdings" w:hAnsi="Wingdings" w:hint="default"/>
      </w:rPr>
    </w:lvl>
  </w:abstractNum>
  <w:abstractNum w:abstractNumId="8" w15:restartNumberingAfterBreak="0">
    <w:nsid w:val="22BE1497"/>
    <w:multiLevelType w:val="hybridMultilevel"/>
    <w:tmpl w:val="47E45268"/>
    <w:lvl w:ilvl="0" w:tplc="E95ADA00">
      <w:numFmt w:val="bullet"/>
      <w:lvlText w:val="•"/>
      <w:lvlJc w:val="left"/>
      <w:pPr>
        <w:ind w:left="1440" w:hanging="720"/>
      </w:pPr>
      <w:rPr>
        <w:rFonts w:ascii="Times New Roman" w:eastAsiaTheme="minorHAnsi" w:hAnsi="Times New Roman"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34F71825"/>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7F21CB"/>
    <w:multiLevelType w:val="multilevel"/>
    <w:tmpl w:val="4DF658D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A2855D8"/>
    <w:multiLevelType w:val="hybridMultilevel"/>
    <w:tmpl w:val="ED56BC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C6126B5"/>
    <w:multiLevelType w:val="hybridMultilevel"/>
    <w:tmpl w:val="C17AFE54"/>
    <w:lvl w:ilvl="0" w:tplc="E95ADA00">
      <w:numFmt w:val="bullet"/>
      <w:lvlText w:val="•"/>
      <w:lvlJc w:val="left"/>
      <w:pPr>
        <w:ind w:left="1440" w:hanging="720"/>
      </w:pPr>
      <w:rPr>
        <w:rFonts w:ascii="Times New Roman" w:eastAsiaTheme="minorHAnsi" w:hAnsi="Times New Roman"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405C3CF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8B010D"/>
    <w:multiLevelType w:val="hybridMultilevel"/>
    <w:tmpl w:val="13D2C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C328CE"/>
    <w:multiLevelType w:val="hybridMultilevel"/>
    <w:tmpl w:val="503C930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7247D39"/>
    <w:multiLevelType w:val="hybridMultilevel"/>
    <w:tmpl w:val="70C6E4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A3E6059"/>
    <w:multiLevelType w:val="hybridMultilevel"/>
    <w:tmpl w:val="17C43104"/>
    <w:lvl w:ilvl="0" w:tplc="E95ADA00">
      <w:numFmt w:val="bullet"/>
      <w:lvlText w:val="•"/>
      <w:lvlJc w:val="left"/>
      <w:pPr>
        <w:ind w:left="1440" w:hanging="72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11317F5"/>
    <w:multiLevelType w:val="multilevel"/>
    <w:tmpl w:val="7638E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38E4183"/>
    <w:multiLevelType w:val="hybridMultilevel"/>
    <w:tmpl w:val="01D008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4C24D64"/>
    <w:multiLevelType w:val="hybridMultilevel"/>
    <w:tmpl w:val="6E1A52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80A4CCD"/>
    <w:multiLevelType w:val="hybridMultilevel"/>
    <w:tmpl w:val="9C448406"/>
    <w:lvl w:ilvl="0" w:tplc="E95ADA00">
      <w:numFmt w:val="bullet"/>
      <w:lvlText w:val="•"/>
      <w:lvlJc w:val="left"/>
      <w:pPr>
        <w:ind w:left="360" w:hanging="360"/>
      </w:pPr>
      <w:rPr>
        <w:rFonts w:ascii="Times New Roman" w:eastAsiaTheme="minorHAnsi"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5AD67DD7"/>
    <w:multiLevelType w:val="hybridMultilevel"/>
    <w:tmpl w:val="D398F898"/>
    <w:lvl w:ilvl="0" w:tplc="E95ADA00">
      <w:numFmt w:val="bullet"/>
      <w:lvlText w:val="•"/>
      <w:lvlJc w:val="left"/>
      <w:pPr>
        <w:ind w:left="360" w:hanging="360"/>
      </w:pPr>
      <w:rPr>
        <w:rFonts w:ascii="Times New Roman" w:eastAsiaTheme="minorHAnsi"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5CF91668"/>
    <w:multiLevelType w:val="hybridMultilevel"/>
    <w:tmpl w:val="B0400C40"/>
    <w:lvl w:ilvl="0" w:tplc="E95ADA00">
      <w:numFmt w:val="bullet"/>
      <w:lvlText w:val="•"/>
      <w:lvlJc w:val="left"/>
      <w:pPr>
        <w:ind w:left="2166" w:hanging="720"/>
      </w:pPr>
      <w:rPr>
        <w:rFonts w:ascii="Times New Roman" w:eastAsiaTheme="minorHAnsi" w:hAnsi="Times New Roman" w:cs="Times New Roman" w:hint="default"/>
      </w:rPr>
    </w:lvl>
    <w:lvl w:ilvl="1" w:tplc="04070003" w:tentative="1">
      <w:start w:val="1"/>
      <w:numFmt w:val="bullet"/>
      <w:lvlText w:val="o"/>
      <w:lvlJc w:val="left"/>
      <w:pPr>
        <w:ind w:left="2166" w:hanging="360"/>
      </w:pPr>
      <w:rPr>
        <w:rFonts w:ascii="Courier New" w:hAnsi="Courier New" w:cs="Courier New" w:hint="default"/>
      </w:rPr>
    </w:lvl>
    <w:lvl w:ilvl="2" w:tplc="04070005" w:tentative="1">
      <w:start w:val="1"/>
      <w:numFmt w:val="bullet"/>
      <w:lvlText w:val=""/>
      <w:lvlJc w:val="left"/>
      <w:pPr>
        <w:ind w:left="2886" w:hanging="360"/>
      </w:pPr>
      <w:rPr>
        <w:rFonts w:ascii="Wingdings" w:hAnsi="Wingdings" w:hint="default"/>
      </w:rPr>
    </w:lvl>
    <w:lvl w:ilvl="3" w:tplc="04070001" w:tentative="1">
      <w:start w:val="1"/>
      <w:numFmt w:val="bullet"/>
      <w:lvlText w:val=""/>
      <w:lvlJc w:val="left"/>
      <w:pPr>
        <w:ind w:left="3606" w:hanging="360"/>
      </w:pPr>
      <w:rPr>
        <w:rFonts w:ascii="Symbol" w:hAnsi="Symbol" w:hint="default"/>
      </w:rPr>
    </w:lvl>
    <w:lvl w:ilvl="4" w:tplc="04070003" w:tentative="1">
      <w:start w:val="1"/>
      <w:numFmt w:val="bullet"/>
      <w:lvlText w:val="o"/>
      <w:lvlJc w:val="left"/>
      <w:pPr>
        <w:ind w:left="4326" w:hanging="360"/>
      </w:pPr>
      <w:rPr>
        <w:rFonts w:ascii="Courier New" w:hAnsi="Courier New" w:cs="Courier New" w:hint="default"/>
      </w:rPr>
    </w:lvl>
    <w:lvl w:ilvl="5" w:tplc="04070005" w:tentative="1">
      <w:start w:val="1"/>
      <w:numFmt w:val="bullet"/>
      <w:lvlText w:val=""/>
      <w:lvlJc w:val="left"/>
      <w:pPr>
        <w:ind w:left="5046" w:hanging="360"/>
      </w:pPr>
      <w:rPr>
        <w:rFonts w:ascii="Wingdings" w:hAnsi="Wingdings" w:hint="default"/>
      </w:rPr>
    </w:lvl>
    <w:lvl w:ilvl="6" w:tplc="04070001" w:tentative="1">
      <w:start w:val="1"/>
      <w:numFmt w:val="bullet"/>
      <w:lvlText w:val=""/>
      <w:lvlJc w:val="left"/>
      <w:pPr>
        <w:ind w:left="5766" w:hanging="360"/>
      </w:pPr>
      <w:rPr>
        <w:rFonts w:ascii="Symbol" w:hAnsi="Symbol" w:hint="default"/>
      </w:rPr>
    </w:lvl>
    <w:lvl w:ilvl="7" w:tplc="04070003" w:tentative="1">
      <w:start w:val="1"/>
      <w:numFmt w:val="bullet"/>
      <w:lvlText w:val="o"/>
      <w:lvlJc w:val="left"/>
      <w:pPr>
        <w:ind w:left="6486" w:hanging="360"/>
      </w:pPr>
      <w:rPr>
        <w:rFonts w:ascii="Courier New" w:hAnsi="Courier New" w:cs="Courier New" w:hint="default"/>
      </w:rPr>
    </w:lvl>
    <w:lvl w:ilvl="8" w:tplc="04070005" w:tentative="1">
      <w:start w:val="1"/>
      <w:numFmt w:val="bullet"/>
      <w:lvlText w:val=""/>
      <w:lvlJc w:val="left"/>
      <w:pPr>
        <w:ind w:left="7206" w:hanging="360"/>
      </w:pPr>
      <w:rPr>
        <w:rFonts w:ascii="Wingdings" w:hAnsi="Wingdings" w:hint="default"/>
      </w:rPr>
    </w:lvl>
  </w:abstractNum>
  <w:abstractNum w:abstractNumId="24" w15:restartNumberingAfterBreak="0">
    <w:nsid w:val="5FBA326C"/>
    <w:multiLevelType w:val="hybridMultilevel"/>
    <w:tmpl w:val="2A1CF5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C26279"/>
    <w:multiLevelType w:val="hybridMultilevel"/>
    <w:tmpl w:val="F802E8BE"/>
    <w:lvl w:ilvl="0" w:tplc="9086D5E2">
      <w:start w:val="1"/>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6064F83"/>
    <w:multiLevelType w:val="multilevel"/>
    <w:tmpl w:val="0FEE6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6B91A72"/>
    <w:multiLevelType w:val="multilevel"/>
    <w:tmpl w:val="F6B0508C"/>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8" w15:restartNumberingAfterBreak="0">
    <w:nsid w:val="6CEE31B2"/>
    <w:multiLevelType w:val="hybridMultilevel"/>
    <w:tmpl w:val="9162E8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CCC5ED0"/>
    <w:multiLevelType w:val="multilevel"/>
    <w:tmpl w:val="163C6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85480622">
    <w:abstractNumId w:val="0"/>
  </w:num>
  <w:num w:numId="2" w16cid:durableId="1143229550">
    <w:abstractNumId w:val="10"/>
  </w:num>
  <w:num w:numId="3" w16cid:durableId="1630672437">
    <w:abstractNumId w:val="4"/>
  </w:num>
  <w:num w:numId="4" w16cid:durableId="1009527771">
    <w:abstractNumId w:val="9"/>
  </w:num>
  <w:num w:numId="5" w16cid:durableId="33816818">
    <w:abstractNumId w:val="27"/>
  </w:num>
  <w:num w:numId="6" w16cid:durableId="967274963">
    <w:abstractNumId w:val="28"/>
  </w:num>
  <w:num w:numId="7" w16cid:durableId="935228">
    <w:abstractNumId w:val="14"/>
  </w:num>
  <w:num w:numId="8" w16cid:durableId="1237320729">
    <w:abstractNumId w:val="24"/>
  </w:num>
  <w:num w:numId="9" w16cid:durableId="1355156194">
    <w:abstractNumId w:val="13"/>
  </w:num>
  <w:num w:numId="10" w16cid:durableId="582105713">
    <w:abstractNumId w:val="15"/>
  </w:num>
  <w:num w:numId="11" w16cid:durableId="162548785">
    <w:abstractNumId w:val="25"/>
  </w:num>
  <w:num w:numId="12" w16cid:durableId="1191644481">
    <w:abstractNumId w:val="18"/>
  </w:num>
  <w:num w:numId="13" w16cid:durableId="934822619">
    <w:abstractNumId w:val="6"/>
  </w:num>
  <w:num w:numId="14" w16cid:durableId="1299528703">
    <w:abstractNumId w:val="3"/>
  </w:num>
  <w:num w:numId="15" w16cid:durableId="1791050977">
    <w:abstractNumId w:val="29"/>
  </w:num>
  <w:num w:numId="16" w16cid:durableId="796996330">
    <w:abstractNumId w:val="26"/>
  </w:num>
  <w:num w:numId="17" w16cid:durableId="1412586106">
    <w:abstractNumId w:val="20"/>
  </w:num>
  <w:num w:numId="18" w16cid:durableId="675304815">
    <w:abstractNumId w:val="19"/>
  </w:num>
  <w:num w:numId="19" w16cid:durableId="1199856272">
    <w:abstractNumId w:val="2"/>
  </w:num>
  <w:num w:numId="20" w16cid:durableId="14231957">
    <w:abstractNumId w:val="1"/>
  </w:num>
  <w:num w:numId="21" w16cid:durableId="1304430096">
    <w:abstractNumId w:val="11"/>
  </w:num>
  <w:num w:numId="22" w16cid:durableId="184250503">
    <w:abstractNumId w:val="16"/>
  </w:num>
  <w:num w:numId="23" w16cid:durableId="2015912956">
    <w:abstractNumId w:val="12"/>
  </w:num>
  <w:num w:numId="24" w16cid:durableId="38239636">
    <w:abstractNumId w:val="23"/>
  </w:num>
  <w:num w:numId="25" w16cid:durableId="926692412">
    <w:abstractNumId w:val="8"/>
  </w:num>
  <w:num w:numId="26" w16cid:durableId="1503933898">
    <w:abstractNumId w:val="17"/>
  </w:num>
  <w:num w:numId="27" w16cid:durableId="1594631911">
    <w:abstractNumId w:val="5"/>
  </w:num>
  <w:num w:numId="28" w16cid:durableId="1789396752">
    <w:abstractNumId w:val="7"/>
  </w:num>
  <w:num w:numId="29" w16cid:durableId="618033365">
    <w:abstractNumId w:val="22"/>
  </w:num>
  <w:num w:numId="30" w16cid:durableId="144369535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4"/>
  <w:hideSpellingErrors/>
  <w:hideGrammaticalErrors/>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xtf5f5xdttr5nevdxivsftzr95sfw9re9tw&quot;&gt;CoreLibrary&lt;record-ids&gt;&lt;item&gt;913&lt;/item&gt;&lt;/record-ids&gt;&lt;/item&gt;&lt;/Libraries&gt;"/>
  </w:docVars>
  <w:rsids>
    <w:rsidRoot w:val="00A51AB0"/>
    <w:rsid w:val="0000016E"/>
    <w:rsid w:val="00000C92"/>
    <w:rsid w:val="0000254F"/>
    <w:rsid w:val="00002FCA"/>
    <w:rsid w:val="000040EF"/>
    <w:rsid w:val="0000484D"/>
    <w:rsid w:val="00005366"/>
    <w:rsid w:val="000053AE"/>
    <w:rsid w:val="00005923"/>
    <w:rsid w:val="0000597A"/>
    <w:rsid w:val="000062B9"/>
    <w:rsid w:val="0000731F"/>
    <w:rsid w:val="000106FF"/>
    <w:rsid w:val="0001126D"/>
    <w:rsid w:val="000113F5"/>
    <w:rsid w:val="000119AA"/>
    <w:rsid w:val="000127F4"/>
    <w:rsid w:val="00013CAF"/>
    <w:rsid w:val="00014B3F"/>
    <w:rsid w:val="00014CDF"/>
    <w:rsid w:val="00014DE7"/>
    <w:rsid w:val="00015690"/>
    <w:rsid w:val="000159F8"/>
    <w:rsid w:val="0001653C"/>
    <w:rsid w:val="00016594"/>
    <w:rsid w:val="00016C4A"/>
    <w:rsid w:val="00017E7A"/>
    <w:rsid w:val="00017FB7"/>
    <w:rsid w:val="0002045C"/>
    <w:rsid w:val="000204AD"/>
    <w:rsid w:val="000204F1"/>
    <w:rsid w:val="00021508"/>
    <w:rsid w:val="0002246A"/>
    <w:rsid w:val="000225AC"/>
    <w:rsid w:val="00022987"/>
    <w:rsid w:val="00022AFB"/>
    <w:rsid w:val="00022CD5"/>
    <w:rsid w:val="00023028"/>
    <w:rsid w:val="00023402"/>
    <w:rsid w:val="000234FF"/>
    <w:rsid w:val="000248B6"/>
    <w:rsid w:val="000248CA"/>
    <w:rsid w:val="00024EE6"/>
    <w:rsid w:val="000260FE"/>
    <w:rsid w:val="00026B2D"/>
    <w:rsid w:val="00027F6B"/>
    <w:rsid w:val="0003093C"/>
    <w:rsid w:val="00032108"/>
    <w:rsid w:val="00033097"/>
    <w:rsid w:val="0003371F"/>
    <w:rsid w:val="0003491C"/>
    <w:rsid w:val="0003566B"/>
    <w:rsid w:val="000368E2"/>
    <w:rsid w:val="00036B4E"/>
    <w:rsid w:val="00037136"/>
    <w:rsid w:val="000373F8"/>
    <w:rsid w:val="00037AD7"/>
    <w:rsid w:val="000405DD"/>
    <w:rsid w:val="000406FD"/>
    <w:rsid w:val="000407A8"/>
    <w:rsid w:val="00040DB5"/>
    <w:rsid w:val="00041392"/>
    <w:rsid w:val="00041CDD"/>
    <w:rsid w:val="0004205B"/>
    <w:rsid w:val="0004224A"/>
    <w:rsid w:val="00042D21"/>
    <w:rsid w:val="0004362E"/>
    <w:rsid w:val="00045AA5"/>
    <w:rsid w:val="00045C97"/>
    <w:rsid w:val="00046247"/>
    <w:rsid w:val="00046650"/>
    <w:rsid w:val="00046F6A"/>
    <w:rsid w:val="000502D7"/>
    <w:rsid w:val="00051630"/>
    <w:rsid w:val="000527F8"/>
    <w:rsid w:val="00052F5C"/>
    <w:rsid w:val="0005341B"/>
    <w:rsid w:val="00053470"/>
    <w:rsid w:val="00053585"/>
    <w:rsid w:val="00053859"/>
    <w:rsid w:val="00054576"/>
    <w:rsid w:val="00054A04"/>
    <w:rsid w:val="00055C87"/>
    <w:rsid w:val="000563D4"/>
    <w:rsid w:val="00056769"/>
    <w:rsid w:val="00056858"/>
    <w:rsid w:val="00056B9C"/>
    <w:rsid w:val="00056FEB"/>
    <w:rsid w:val="00057D30"/>
    <w:rsid w:val="000605D8"/>
    <w:rsid w:val="0006063A"/>
    <w:rsid w:val="00060789"/>
    <w:rsid w:val="000608BF"/>
    <w:rsid w:val="00061F09"/>
    <w:rsid w:val="00062BA1"/>
    <w:rsid w:val="00064068"/>
    <w:rsid w:val="00064D47"/>
    <w:rsid w:val="00065742"/>
    <w:rsid w:val="00065F8D"/>
    <w:rsid w:val="00066209"/>
    <w:rsid w:val="000665E7"/>
    <w:rsid w:val="00066B00"/>
    <w:rsid w:val="00066D26"/>
    <w:rsid w:val="000674B5"/>
    <w:rsid w:val="0006797F"/>
    <w:rsid w:val="00070944"/>
    <w:rsid w:val="000711C5"/>
    <w:rsid w:val="00071509"/>
    <w:rsid w:val="00072964"/>
    <w:rsid w:val="00072C80"/>
    <w:rsid w:val="00073D9E"/>
    <w:rsid w:val="00073DF1"/>
    <w:rsid w:val="0007453F"/>
    <w:rsid w:val="000749A5"/>
    <w:rsid w:val="00075B6F"/>
    <w:rsid w:val="0007639A"/>
    <w:rsid w:val="00076438"/>
    <w:rsid w:val="00076AAE"/>
    <w:rsid w:val="00076FF6"/>
    <w:rsid w:val="00077C4A"/>
    <w:rsid w:val="00082942"/>
    <w:rsid w:val="000835D7"/>
    <w:rsid w:val="000846F9"/>
    <w:rsid w:val="000857EC"/>
    <w:rsid w:val="0008645F"/>
    <w:rsid w:val="00090587"/>
    <w:rsid w:val="000909A5"/>
    <w:rsid w:val="00091275"/>
    <w:rsid w:val="000917D3"/>
    <w:rsid w:val="00091AB0"/>
    <w:rsid w:val="00092242"/>
    <w:rsid w:val="00092A9B"/>
    <w:rsid w:val="00094247"/>
    <w:rsid w:val="000950E3"/>
    <w:rsid w:val="00095884"/>
    <w:rsid w:val="00095D2C"/>
    <w:rsid w:val="00095DDF"/>
    <w:rsid w:val="000962AA"/>
    <w:rsid w:val="000964ED"/>
    <w:rsid w:val="00096921"/>
    <w:rsid w:val="00096F15"/>
    <w:rsid w:val="00097169"/>
    <w:rsid w:val="000A061A"/>
    <w:rsid w:val="000A0B14"/>
    <w:rsid w:val="000A11A1"/>
    <w:rsid w:val="000A1310"/>
    <w:rsid w:val="000A18BC"/>
    <w:rsid w:val="000A196A"/>
    <w:rsid w:val="000A2011"/>
    <w:rsid w:val="000A3981"/>
    <w:rsid w:val="000A4146"/>
    <w:rsid w:val="000A4915"/>
    <w:rsid w:val="000A4BB6"/>
    <w:rsid w:val="000A5E3C"/>
    <w:rsid w:val="000A6889"/>
    <w:rsid w:val="000A73A4"/>
    <w:rsid w:val="000A73B4"/>
    <w:rsid w:val="000B0B39"/>
    <w:rsid w:val="000B0B95"/>
    <w:rsid w:val="000B1D06"/>
    <w:rsid w:val="000B2AF2"/>
    <w:rsid w:val="000B37EE"/>
    <w:rsid w:val="000B4431"/>
    <w:rsid w:val="000B449F"/>
    <w:rsid w:val="000B481C"/>
    <w:rsid w:val="000B4DEA"/>
    <w:rsid w:val="000B5169"/>
    <w:rsid w:val="000B60AD"/>
    <w:rsid w:val="000B6171"/>
    <w:rsid w:val="000B6342"/>
    <w:rsid w:val="000B6546"/>
    <w:rsid w:val="000B6E89"/>
    <w:rsid w:val="000B75E0"/>
    <w:rsid w:val="000B78B4"/>
    <w:rsid w:val="000C1802"/>
    <w:rsid w:val="000C18E6"/>
    <w:rsid w:val="000C1FFA"/>
    <w:rsid w:val="000C20D1"/>
    <w:rsid w:val="000C23A4"/>
    <w:rsid w:val="000C2AFC"/>
    <w:rsid w:val="000C36ED"/>
    <w:rsid w:val="000C38FF"/>
    <w:rsid w:val="000C3C05"/>
    <w:rsid w:val="000C40A6"/>
    <w:rsid w:val="000C4218"/>
    <w:rsid w:val="000C4635"/>
    <w:rsid w:val="000C4803"/>
    <w:rsid w:val="000C4813"/>
    <w:rsid w:val="000C61AC"/>
    <w:rsid w:val="000C6783"/>
    <w:rsid w:val="000C6E51"/>
    <w:rsid w:val="000D05EA"/>
    <w:rsid w:val="000D0EFE"/>
    <w:rsid w:val="000D2661"/>
    <w:rsid w:val="000D28BB"/>
    <w:rsid w:val="000D3140"/>
    <w:rsid w:val="000D42A5"/>
    <w:rsid w:val="000D4C6B"/>
    <w:rsid w:val="000D693C"/>
    <w:rsid w:val="000D69D1"/>
    <w:rsid w:val="000D6CD0"/>
    <w:rsid w:val="000D6E5E"/>
    <w:rsid w:val="000E0E5C"/>
    <w:rsid w:val="000E1610"/>
    <w:rsid w:val="000E17E5"/>
    <w:rsid w:val="000E227E"/>
    <w:rsid w:val="000E2A75"/>
    <w:rsid w:val="000E2D65"/>
    <w:rsid w:val="000E2D8A"/>
    <w:rsid w:val="000E732C"/>
    <w:rsid w:val="000F0586"/>
    <w:rsid w:val="000F0A35"/>
    <w:rsid w:val="000F1AE3"/>
    <w:rsid w:val="000F2B5D"/>
    <w:rsid w:val="000F2D3D"/>
    <w:rsid w:val="000F403A"/>
    <w:rsid w:val="000F6821"/>
    <w:rsid w:val="000F7040"/>
    <w:rsid w:val="000F724E"/>
    <w:rsid w:val="000F7E8E"/>
    <w:rsid w:val="000F7EB1"/>
    <w:rsid w:val="00100C78"/>
    <w:rsid w:val="0010156B"/>
    <w:rsid w:val="00101692"/>
    <w:rsid w:val="001019C7"/>
    <w:rsid w:val="001027F9"/>
    <w:rsid w:val="00103280"/>
    <w:rsid w:val="00103543"/>
    <w:rsid w:val="00103CD5"/>
    <w:rsid w:val="0010476B"/>
    <w:rsid w:val="00106914"/>
    <w:rsid w:val="00106956"/>
    <w:rsid w:val="00110480"/>
    <w:rsid w:val="00110608"/>
    <w:rsid w:val="00110764"/>
    <w:rsid w:val="00111899"/>
    <w:rsid w:val="001121D9"/>
    <w:rsid w:val="0011223F"/>
    <w:rsid w:val="00112955"/>
    <w:rsid w:val="0011300F"/>
    <w:rsid w:val="0011301F"/>
    <w:rsid w:val="0011469F"/>
    <w:rsid w:val="00114709"/>
    <w:rsid w:val="00114765"/>
    <w:rsid w:val="001158D9"/>
    <w:rsid w:val="00115C1A"/>
    <w:rsid w:val="00115E00"/>
    <w:rsid w:val="00116922"/>
    <w:rsid w:val="00117460"/>
    <w:rsid w:val="0012095D"/>
    <w:rsid w:val="00121505"/>
    <w:rsid w:val="001227BE"/>
    <w:rsid w:val="00122DE3"/>
    <w:rsid w:val="0012456C"/>
    <w:rsid w:val="00124F65"/>
    <w:rsid w:val="00125423"/>
    <w:rsid w:val="001257D9"/>
    <w:rsid w:val="00125995"/>
    <w:rsid w:val="001266B8"/>
    <w:rsid w:val="001266F9"/>
    <w:rsid w:val="00127D7F"/>
    <w:rsid w:val="001308AC"/>
    <w:rsid w:val="00130CB5"/>
    <w:rsid w:val="00130D8F"/>
    <w:rsid w:val="0013133F"/>
    <w:rsid w:val="00131504"/>
    <w:rsid w:val="0013151B"/>
    <w:rsid w:val="00132C34"/>
    <w:rsid w:val="001330D6"/>
    <w:rsid w:val="00133448"/>
    <w:rsid w:val="00134063"/>
    <w:rsid w:val="00134785"/>
    <w:rsid w:val="00134A45"/>
    <w:rsid w:val="00134C7D"/>
    <w:rsid w:val="00134C92"/>
    <w:rsid w:val="00135180"/>
    <w:rsid w:val="00135B5C"/>
    <w:rsid w:val="00136177"/>
    <w:rsid w:val="00136678"/>
    <w:rsid w:val="001368E6"/>
    <w:rsid w:val="00136E5E"/>
    <w:rsid w:val="0013757E"/>
    <w:rsid w:val="001377A3"/>
    <w:rsid w:val="00141413"/>
    <w:rsid w:val="0014274D"/>
    <w:rsid w:val="00144202"/>
    <w:rsid w:val="00144704"/>
    <w:rsid w:val="00145405"/>
    <w:rsid w:val="00145AD4"/>
    <w:rsid w:val="00145DCF"/>
    <w:rsid w:val="00146C97"/>
    <w:rsid w:val="00147B51"/>
    <w:rsid w:val="00147C9D"/>
    <w:rsid w:val="00150709"/>
    <w:rsid w:val="00152FD8"/>
    <w:rsid w:val="0015309F"/>
    <w:rsid w:val="00153BCD"/>
    <w:rsid w:val="00153E03"/>
    <w:rsid w:val="00154171"/>
    <w:rsid w:val="00154566"/>
    <w:rsid w:val="00154AD9"/>
    <w:rsid w:val="00155AB3"/>
    <w:rsid w:val="00155D56"/>
    <w:rsid w:val="00155E41"/>
    <w:rsid w:val="00156230"/>
    <w:rsid w:val="00156246"/>
    <w:rsid w:val="0015697E"/>
    <w:rsid w:val="00156AEA"/>
    <w:rsid w:val="00156F9D"/>
    <w:rsid w:val="0015713B"/>
    <w:rsid w:val="0015772C"/>
    <w:rsid w:val="00160E83"/>
    <w:rsid w:val="00161D5D"/>
    <w:rsid w:val="00162103"/>
    <w:rsid w:val="00163336"/>
    <w:rsid w:val="001634D4"/>
    <w:rsid w:val="0016378A"/>
    <w:rsid w:val="001637DD"/>
    <w:rsid w:val="00164055"/>
    <w:rsid w:val="0016505D"/>
    <w:rsid w:val="001660C1"/>
    <w:rsid w:val="001661BC"/>
    <w:rsid w:val="0016659B"/>
    <w:rsid w:val="0016753F"/>
    <w:rsid w:val="00170052"/>
    <w:rsid w:val="0017207F"/>
    <w:rsid w:val="001722F5"/>
    <w:rsid w:val="0017273E"/>
    <w:rsid w:val="00172868"/>
    <w:rsid w:val="00173ADA"/>
    <w:rsid w:val="00174536"/>
    <w:rsid w:val="00174A13"/>
    <w:rsid w:val="00175218"/>
    <w:rsid w:val="0017559A"/>
    <w:rsid w:val="00175A15"/>
    <w:rsid w:val="00180AE1"/>
    <w:rsid w:val="00180BD0"/>
    <w:rsid w:val="0018143F"/>
    <w:rsid w:val="001827BA"/>
    <w:rsid w:val="00184329"/>
    <w:rsid w:val="00185A30"/>
    <w:rsid w:val="00186DF2"/>
    <w:rsid w:val="00187084"/>
    <w:rsid w:val="0018713D"/>
    <w:rsid w:val="00187E90"/>
    <w:rsid w:val="00190A1C"/>
    <w:rsid w:val="00190CEF"/>
    <w:rsid w:val="0019180A"/>
    <w:rsid w:val="00191B4F"/>
    <w:rsid w:val="00191C5E"/>
    <w:rsid w:val="00192153"/>
    <w:rsid w:val="00192514"/>
    <w:rsid w:val="00193A74"/>
    <w:rsid w:val="00193BB8"/>
    <w:rsid w:val="0019482B"/>
    <w:rsid w:val="00194EA3"/>
    <w:rsid w:val="00195438"/>
    <w:rsid w:val="00196AC2"/>
    <w:rsid w:val="00196E7D"/>
    <w:rsid w:val="001979DC"/>
    <w:rsid w:val="00197C8B"/>
    <w:rsid w:val="00197DED"/>
    <w:rsid w:val="00197EC8"/>
    <w:rsid w:val="001A234D"/>
    <w:rsid w:val="001A317C"/>
    <w:rsid w:val="001A3DB3"/>
    <w:rsid w:val="001A4631"/>
    <w:rsid w:val="001A7A98"/>
    <w:rsid w:val="001B0574"/>
    <w:rsid w:val="001B0AB4"/>
    <w:rsid w:val="001B135F"/>
    <w:rsid w:val="001B164A"/>
    <w:rsid w:val="001B2A84"/>
    <w:rsid w:val="001B2D4A"/>
    <w:rsid w:val="001B3C96"/>
    <w:rsid w:val="001B3E17"/>
    <w:rsid w:val="001B4787"/>
    <w:rsid w:val="001B4EFD"/>
    <w:rsid w:val="001B5823"/>
    <w:rsid w:val="001B58D7"/>
    <w:rsid w:val="001B5A1B"/>
    <w:rsid w:val="001B62A3"/>
    <w:rsid w:val="001B63F6"/>
    <w:rsid w:val="001B6EB1"/>
    <w:rsid w:val="001B7654"/>
    <w:rsid w:val="001C0544"/>
    <w:rsid w:val="001C083F"/>
    <w:rsid w:val="001C0E2F"/>
    <w:rsid w:val="001C12AF"/>
    <w:rsid w:val="001C14BF"/>
    <w:rsid w:val="001C1C49"/>
    <w:rsid w:val="001C1FDA"/>
    <w:rsid w:val="001C2279"/>
    <w:rsid w:val="001C2335"/>
    <w:rsid w:val="001C34AA"/>
    <w:rsid w:val="001C393B"/>
    <w:rsid w:val="001C4272"/>
    <w:rsid w:val="001C44FD"/>
    <w:rsid w:val="001C5B3A"/>
    <w:rsid w:val="001C5D38"/>
    <w:rsid w:val="001C679D"/>
    <w:rsid w:val="001C6EEF"/>
    <w:rsid w:val="001C769F"/>
    <w:rsid w:val="001C79CE"/>
    <w:rsid w:val="001D0C69"/>
    <w:rsid w:val="001D2A3A"/>
    <w:rsid w:val="001D3AC7"/>
    <w:rsid w:val="001D432A"/>
    <w:rsid w:val="001D6427"/>
    <w:rsid w:val="001D656C"/>
    <w:rsid w:val="001D6B48"/>
    <w:rsid w:val="001D75EC"/>
    <w:rsid w:val="001E00DC"/>
    <w:rsid w:val="001E2331"/>
    <w:rsid w:val="001E23FC"/>
    <w:rsid w:val="001E2987"/>
    <w:rsid w:val="001E2B59"/>
    <w:rsid w:val="001E3734"/>
    <w:rsid w:val="001E4DAF"/>
    <w:rsid w:val="001E4EF3"/>
    <w:rsid w:val="001E4F13"/>
    <w:rsid w:val="001E6ABA"/>
    <w:rsid w:val="001E6E33"/>
    <w:rsid w:val="001E76AA"/>
    <w:rsid w:val="001F00FF"/>
    <w:rsid w:val="001F1077"/>
    <w:rsid w:val="001F121A"/>
    <w:rsid w:val="001F1E77"/>
    <w:rsid w:val="001F3256"/>
    <w:rsid w:val="001F3D6C"/>
    <w:rsid w:val="001F43B5"/>
    <w:rsid w:val="001F4401"/>
    <w:rsid w:val="001F52B1"/>
    <w:rsid w:val="001F6654"/>
    <w:rsid w:val="001F7BEC"/>
    <w:rsid w:val="0020031A"/>
    <w:rsid w:val="002017D0"/>
    <w:rsid w:val="00201F12"/>
    <w:rsid w:val="00202902"/>
    <w:rsid w:val="00202EB3"/>
    <w:rsid w:val="00203149"/>
    <w:rsid w:val="0020331C"/>
    <w:rsid w:val="0020410A"/>
    <w:rsid w:val="00204C74"/>
    <w:rsid w:val="00205283"/>
    <w:rsid w:val="00206725"/>
    <w:rsid w:val="00206FDC"/>
    <w:rsid w:val="0020727A"/>
    <w:rsid w:val="00207C8A"/>
    <w:rsid w:val="0021018B"/>
    <w:rsid w:val="002107E7"/>
    <w:rsid w:val="002109A8"/>
    <w:rsid w:val="002110E6"/>
    <w:rsid w:val="00211B32"/>
    <w:rsid w:val="0021220D"/>
    <w:rsid w:val="0021334E"/>
    <w:rsid w:val="002163F2"/>
    <w:rsid w:val="002178BD"/>
    <w:rsid w:val="00220514"/>
    <w:rsid w:val="00221112"/>
    <w:rsid w:val="00221ACF"/>
    <w:rsid w:val="00221DD0"/>
    <w:rsid w:val="00222251"/>
    <w:rsid w:val="0022230E"/>
    <w:rsid w:val="0022247F"/>
    <w:rsid w:val="00222628"/>
    <w:rsid w:val="00223742"/>
    <w:rsid w:val="00224387"/>
    <w:rsid w:val="0022452D"/>
    <w:rsid w:val="00224E62"/>
    <w:rsid w:val="00224E77"/>
    <w:rsid w:val="00224F31"/>
    <w:rsid w:val="00225533"/>
    <w:rsid w:val="002263E4"/>
    <w:rsid w:val="00227231"/>
    <w:rsid w:val="002274DD"/>
    <w:rsid w:val="00227BEB"/>
    <w:rsid w:val="00227F6F"/>
    <w:rsid w:val="00230412"/>
    <w:rsid w:val="00230F67"/>
    <w:rsid w:val="0023159B"/>
    <w:rsid w:val="00231B42"/>
    <w:rsid w:val="0023200C"/>
    <w:rsid w:val="002324F6"/>
    <w:rsid w:val="00232C70"/>
    <w:rsid w:val="00232E62"/>
    <w:rsid w:val="0023357C"/>
    <w:rsid w:val="00233E3A"/>
    <w:rsid w:val="00234772"/>
    <w:rsid w:val="00235126"/>
    <w:rsid w:val="0023586C"/>
    <w:rsid w:val="00236996"/>
    <w:rsid w:val="00236D45"/>
    <w:rsid w:val="00240168"/>
    <w:rsid w:val="0024028C"/>
    <w:rsid w:val="002415BA"/>
    <w:rsid w:val="00241B9A"/>
    <w:rsid w:val="00242EAD"/>
    <w:rsid w:val="00243360"/>
    <w:rsid w:val="00243811"/>
    <w:rsid w:val="002441FB"/>
    <w:rsid w:val="0024520C"/>
    <w:rsid w:val="002462D5"/>
    <w:rsid w:val="00246864"/>
    <w:rsid w:val="00247893"/>
    <w:rsid w:val="00247E76"/>
    <w:rsid w:val="002505B5"/>
    <w:rsid w:val="002508E4"/>
    <w:rsid w:val="00250B69"/>
    <w:rsid w:val="002519B9"/>
    <w:rsid w:val="002521B1"/>
    <w:rsid w:val="00252664"/>
    <w:rsid w:val="00252671"/>
    <w:rsid w:val="0025324D"/>
    <w:rsid w:val="00253263"/>
    <w:rsid w:val="00253BBB"/>
    <w:rsid w:val="00254728"/>
    <w:rsid w:val="00254DFE"/>
    <w:rsid w:val="00254EF5"/>
    <w:rsid w:val="00254F74"/>
    <w:rsid w:val="0025508F"/>
    <w:rsid w:val="0025532D"/>
    <w:rsid w:val="00255489"/>
    <w:rsid w:val="00255740"/>
    <w:rsid w:val="00255DA7"/>
    <w:rsid w:val="00256C4A"/>
    <w:rsid w:val="00256CCC"/>
    <w:rsid w:val="00260166"/>
    <w:rsid w:val="00260241"/>
    <w:rsid w:val="002603A7"/>
    <w:rsid w:val="002615CD"/>
    <w:rsid w:val="00261A9A"/>
    <w:rsid w:val="00262A47"/>
    <w:rsid w:val="00263123"/>
    <w:rsid w:val="00263C95"/>
    <w:rsid w:val="00265A30"/>
    <w:rsid w:val="00265A75"/>
    <w:rsid w:val="002662B0"/>
    <w:rsid w:val="002667D4"/>
    <w:rsid w:val="00266BBF"/>
    <w:rsid w:val="00267301"/>
    <w:rsid w:val="0027000F"/>
    <w:rsid w:val="00273481"/>
    <w:rsid w:val="002738A2"/>
    <w:rsid w:val="00273B56"/>
    <w:rsid w:val="00273BCF"/>
    <w:rsid w:val="00274C26"/>
    <w:rsid w:val="00274C28"/>
    <w:rsid w:val="002768DC"/>
    <w:rsid w:val="00276B34"/>
    <w:rsid w:val="00277709"/>
    <w:rsid w:val="00277AA6"/>
    <w:rsid w:val="00277AED"/>
    <w:rsid w:val="002801E7"/>
    <w:rsid w:val="00280320"/>
    <w:rsid w:val="0028258C"/>
    <w:rsid w:val="00282BBE"/>
    <w:rsid w:val="0028312F"/>
    <w:rsid w:val="00283CD5"/>
    <w:rsid w:val="002849AB"/>
    <w:rsid w:val="00285718"/>
    <w:rsid w:val="00285944"/>
    <w:rsid w:val="002860AC"/>
    <w:rsid w:val="00286AC5"/>
    <w:rsid w:val="00286F14"/>
    <w:rsid w:val="00286F71"/>
    <w:rsid w:val="0028767C"/>
    <w:rsid w:val="002877B2"/>
    <w:rsid w:val="0028787F"/>
    <w:rsid w:val="00290E2E"/>
    <w:rsid w:val="00291809"/>
    <w:rsid w:val="002923D5"/>
    <w:rsid w:val="002933F0"/>
    <w:rsid w:val="002937F8"/>
    <w:rsid w:val="002944BA"/>
    <w:rsid w:val="002952B2"/>
    <w:rsid w:val="00295405"/>
    <w:rsid w:val="0029572C"/>
    <w:rsid w:val="002957A7"/>
    <w:rsid w:val="00295A0B"/>
    <w:rsid w:val="00296A0E"/>
    <w:rsid w:val="00296B16"/>
    <w:rsid w:val="00296B82"/>
    <w:rsid w:val="00297A5B"/>
    <w:rsid w:val="002A0367"/>
    <w:rsid w:val="002A03A9"/>
    <w:rsid w:val="002A0448"/>
    <w:rsid w:val="002A0D6B"/>
    <w:rsid w:val="002A3833"/>
    <w:rsid w:val="002A38FA"/>
    <w:rsid w:val="002A4457"/>
    <w:rsid w:val="002A4818"/>
    <w:rsid w:val="002A5827"/>
    <w:rsid w:val="002A5A89"/>
    <w:rsid w:val="002A655F"/>
    <w:rsid w:val="002A6EDD"/>
    <w:rsid w:val="002A7762"/>
    <w:rsid w:val="002B0FB3"/>
    <w:rsid w:val="002B125D"/>
    <w:rsid w:val="002B21F8"/>
    <w:rsid w:val="002B2551"/>
    <w:rsid w:val="002B4B01"/>
    <w:rsid w:val="002B4FBC"/>
    <w:rsid w:val="002B5230"/>
    <w:rsid w:val="002B61A1"/>
    <w:rsid w:val="002B6595"/>
    <w:rsid w:val="002B67A4"/>
    <w:rsid w:val="002B6D49"/>
    <w:rsid w:val="002B747A"/>
    <w:rsid w:val="002B7B09"/>
    <w:rsid w:val="002C0026"/>
    <w:rsid w:val="002C14C6"/>
    <w:rsid w:val="002C16DE"/>
    <w:rsid w:val="002C3D38"/>
    <w:rsid w:val="002C484E"/>
    <w:rsid w:val="002C5B01"/>
    <w:rsid w:val="002C5B16"/>
    <w:rsid w:val="002C6F1B"/>
    <w:rsid w:val="002C78BE"/>
    <w:rsid w:val="002D00AE"/>
    <w:rsid w:val="002D0975"/>
    <w:rsid w:val="002D1032"/>
    <w:rsid w:val="002D13E5"/>
    <w:rsid w:val="002D1DD6"/>
    <w:rsid w:val="002D1E53"/>
    <w:rsid w:val="002D21AF"/>
    <w:rsid w:val="002D226F"/>
    <w:rsid w:val="002D30AA"/>
    <w:rsid w:val="002D3680"/>
    <w:rsid w:val="002D3C2A"/>
    <w:rsid w:val="002D3C70"/>
    <w:rsid w:val="002D419B"/>
    <w:rsid w:val="002D5B5A"/>
    <w:rsid w:val="002D7ACD"/>
    <w:rsid w:val="002D7BCC"/>
    <w:rsid w:val="002D7ECA"/>
    <w:rsid w:val="002E019C"/>
    <w:rsid w:val="002E083A"/>
    <w:rsid w:val="002E0A12"/>
    <w:rsid w:val="002E0D30"/>
    <w:rsid w:val="002E1180"/>
    <w:rsid w:val="002E15EA"/>
    <w:rsid w:val="002E1ACB"/>
    <w:rsid w:val="002E2D63"/>
    <w:rsid w:val="002E4157"/>
    <w:rsid w:val="002E49B6"/>
    <w:rsid w:val="002E4EBF"/>
    <w:rsid w:val="002E5893"/>
    <w:rsid w:val="002E6A8F"/>
    <w:rsid w:val="002E78B5"/>
    <w:rsid w:val="002F0507"/>
    <w:rsid w:val="002F051F"/>
    <w:rsid w:val="002F07A3"/>
    <w:rsid w:val="002F1285"/>
    <w:rsid w:val="002F12E3"/>
    <w:rsid w:val="002F170F"/>
    <w:rsid w:val="002F24B3"/>
    <w:rsid w:val="002F3505"/>
    <w:rsid w:val="002F3784"/>
    <w:rsid w:val="002F37F6"/>
    <w:rsid w:val="002F3E72"/>
    <w:rsid w:val="002F5A44"/>
    <w:rsid w:val="002F649F"/>
    <w:rsid w:val="002F67E0"/>
    <w:rsid w:val="002F6EB9"/>
    <w:rsid w:val="002F7331"/>
    <w:rsid w:val="00300B60"/>
    <w:rsid w:val="00301569"/>
    <w:rsid w:val="00301C47"/>
    <w:rsid w:val="003022EA"/>
    <w:rsid w:val="00302858"/>
    <w:rsid w:val="00302A65"/>
    <w:rsid w:val="003034FA"/>
    <w:rsid w:val="00303984"/>
    <w:rsid w:val="00304122"/>
    <w:rsid w:val="00304777"/>
    <w:rsid w:val="00305090"/>
    <w:rsid w:val="0030542E"/>
    <w:rsid w:val="00305864"/>
    <w:rsid w:val="00305AC7"/>
    <w:rsid w:val="00305BE3"/>
    <w:rsid w:val="00306745"/>
    <w:rsid w:val="003076D5"/>
    <w:rsid w:val="00310E48"/>
    <w:rsid w:val="003115D6"/>
    <w:rsid w:val="00311918"/>
    <w:rsid w:val="00311D79"/>
    <w:rsid w:val="00312E2E"/>
    <w:rsid w:val="0031337A"/>
    <w:rsid w:val="00313519"/>
    <w:rsid w:val="00313557"/>
    <w:rsid w:val="00313950"/>
    <w:rsid w:val="00313FF5"/>
    <w:rsid w:val="0031436D"/>
    <w:rsid w:val="00314EB8"/>
    <w:rsid w:val="00315A68"/>
    <w:rsid w:val="00315CC7"/>
    <w:rsid w:val="003160BD"/>
    <w:rsid w:val="00316DAC"/>
    <w:rsid w:val="00317725"/>
    <w:rsid w:val="00317C31"/>
    <w:rsid w:val="00317D67"/>
    <w:rsid w:val="003203C1"/>
    <w:rsid w:val="00320895"/>
    <w:rsid w:val="003214A0"/>
    <w:rsid w:val="00322427"/>
    <w:rsid w:val="00322E77"/>
    <w:rsid w:val="003241CC"/>
    <w:rsid w:val="003257A1"/>
    <w:rsid w:val="00325D22"/>
    <w:rsid w:val="0032617D"/>
    <w:rsid w:val="00326970"/>
    <w:rsid w:val="00330177"/>
    <w:rsid w:val="003311A6"/>
    <w:rsid w:val="0033164E"/>
    <w:rsid w:val="0033248B"/>
    <w:rsid w:val="00332CC5"/>
    <w:rsid w:val="003334D1"/>
    <w:rsid w:val="003340D1"/>
    <w:rsid w:val="0033424E"/>
    <w:rsid w:val="00334906"/>
    <w:rsid w:val="00334956"/>
    <w:rsid w:val="003354E4"/>
    <w:rsid w:val="00336349"/>
    <w:rsid w:val="00337587"/>
    <w:rsid w:val="00337970"/>
    <w:rsid w:val="0033798A"/>
    <w:rsid w:val="00337CA9"/>
    <w:rsid w:val="00337EA4"/>
    <w:rsid w:val="0034058E"/>
    <w:rsid w:val="00340F5C"/>
    <w:rsid w:val="00340FDF"/>
    <w:rsid w:val="00341664"/>
    <w:rsid w:val="00341F61"/>
    <w:rsid w:val="0034332F"/>
    <w:rsid w:val="00343EE5"/>
    <w:rsid w:val="0034438C"/>
    <w:rsid w:val="003444C7"/>
    <w:rsid w:val="0034564C"/>
    <w:rsid w:val="00345E13"/>
    <w:rsid w:val="00346D27"/>
    <w:rsid w:val="00347174"/>
    <w:rsid w:val="003474A6"/>
    <w:rsid w:val="0034788D"/>
    <w:rsid w:val="00350881"/>
    <w:rsid w:val="0035177E"/>
    <w:rsid w:val="00351E9D"/>
    <w:rsid w:val="00355492"/>
    <w:rsid w:val="00355517"/>
    <w:rsid w:val="00355CC6"/>
    <w:rsid w:val="003565AC"/>
    <w:rsid w:val="00356675"/>
    <w:rsid w:val="00356B15"/>
    <w:rsid w:val="00357C78"/>
    <w:rsid w:val="00357DF6"/>
    <w:rsid w:val="003600BD"/>
    <w:rsid w:val="00360334"/>
    <w:rsid w:val="00361754"/>
    <w:rsid w:val="00361AA2"/>
    <w:rsid w:val="00363DA6"/>
    <w:rsid w:val="00364F1E"/>
    <w:rsid w:val="00365615"/>
    <w:rsid w:val="003658DA"/>
    <w:rsid w:val="00366F49"/>
    <w:rsid w:val="00366FF8"/>
    <w:rsid w:val="00367F4B"/>
    <w:rsid w:val="003706F2"/>
    <w:rsid w:val="00370AB4"/>
    <w:rsid w:val="003713ED"/>
    <w:rsid w:val="00371DEA"/>
    <w:rsid w:val="00372D93"/>
    <w:rsid w:val="003738E4"/>
    <w:rsid w:val="00373C40"/>
    <w:rsid w:val="00374180"/>
    <w:rsid w:val="003748B6"/>
    <w:rsid w:val="00374C35"/>
    <w:rsid w:val="00374CC0"/>
    <w:rsid w:val="0037505B"/>
    <w:rsid w:val="00376154"/>
    <w:rsid w:val="003766A4"/>
    <w:rsid w:val="00376794"/>
    <w:rsid w:val="003769F3"/>
    <w:rsid w:val="0037709C"/>
    <w:rsid w:val="00377425"/>
    <w:rsid w:val="0037775D"/>
    <w:rsid w:val="00381BAC"/>
    <w:rsid w:val="00382AC4"/>
    <w:rsid w:val="00383C32"/>
    <w:rsid w:val="00383DCB"/>
    <w:rsid w:val="00383F03"/>
    <w:rsid w:val="003848CF"/>
    <w:rsid w:val="00384DD3"/>
    <w:rsid w:val="00385150"/>
    <w:rsid w:val="00385BB0"/>
    <w:rsid w:val="00385E58"/>
    <w:rsid w:val="00386B50"/>
    <w:rsid w:val="00387742"/>
    <w:rsid w:val="00390466"/>
    <w:rsid w:val="00390DC6"/>
    <w:rsid w:val="00390EEC"/>
    <w:rsid w:val="00391682"/>
    <w:rsid w:val="00391F4B"/>
    <w:rsid w:val="00393834"/>
    <w:rsid w:val="0039437A"/>
    <w:rsid w:val="00394810"/>
    <w:rsid w:val="00394980"/>
    <w:rsid w:val="00395872"/>
    <w:rsid w:val="0039596D"/>
    <w:rsid w:val="00395DF4"/>
    <w:rsid w:val="00396286"/>
    <w:rsid w:val="00397A01"/>
    <w:rsid w:val="0039A1B7"/>
    <w:rsid w:val="003A0C12"/>
    <w:rsid w:val="003A0D4F"/>
    <w:rsid w:val="003A104D"/>
    <w:rsid w:val="003A198A"/>
    <w:rsid w:val="003A19AD"/>
    <w:rsid w:val="003A255A"/>
    <w:rsid w:val="003A2A89"/>
    <w:rsid w:val="003A2FC3"/>
    <w:rsid w:val="003A4431"/>
    <w:rsid w:val="003A4AFA"/>
    <w:rsid w:val="003A4D55"/>
    <w:rsid w:val="003A52CD"/>
    <w:rsid w:val="003A5562"/>
    <w:rsid w:val="003A5D82"/>
    <w:rsid w:val="003A70E3"/>
    <w:rsid w:val="003B2523"/>
    <w:rsid w:val="003B2B20"/>
    <w:rsid w:val="003B398E"/>
    <w:rsid w:val="003B3ED7"/>
    <w:rsid w:val="003B45B0"/>
    <w:rsid w:val="003B4E05"/>
    <w:rsid w:val="003B6654"/>
    <w:rsid w:val="003B7AF8"/>
    <w:rsid w:val="003C0567"/>
    <w:rsid w:val="003C1646"/>
    <w:rsid w:val="003C2093"/>
    <w:rsid w:val="003C24F9"/>
    <w:rsid w:val="003C2666"/>
    <w:rsid w:val="003C2DC2"/>
    <w:rsid w:val="003C3788"/>
    <w:rsid w:val="003C3943"/>
    <w:rsid w:val="003C3C0B"/>
    <w:rsid w:val="003C3C1E"/>
    <w:rsid w:val="003C45A0"/>
    <w:rsid w:val="003C4960"/>
    <w:rsid w:val="003C4A9C"/>
    <w:rsid w:val="003C4F0D"/>
    <w:rsid w:val="003C679B"/>
    <w:rsid w:val="003C6BAB"/>
    <w:rsid w:val="003C6C66"/>
    <w:rsid w:val="003C78D5"/>
    <w:rsid w:val="003D0AF9"/>
    <w:rsid w:val="003D0D02"/>
    <w:rsid w:val="003D1E2F"/>
    <w:rsid w:val="003D2B6A"/>
    <w:rsid w:val="003D2EC3"/>
    <w:rsid w:val="003D33EC"/>
    <w:rsid w:val="003D3871"/>
    <w:rsid w:val="003D4270"/>
    <w:rsid w:val="003D44BD"/>
    <w:rsid w:val="003D44CD"/>
    <w:rsid w:val="003D4C59"/>
    <w:rsid w:val="003D53D9"/>
    <w:rsid w:val="003D610A"/>
    <w:rsid w:val="003D6B7B"/>
    <w:rsid w:val="003D6CE1"/>
    <w:rsid w:val="003D72A2"/>
    <w:rsid w:val="003D72EA"/>
    <w:rsid w:val="003E0A6A"/>
    <w:rsid w:val="003E0DA0"/>
    <w:rsid w:val="003E12B3"/>
    <w:rsid w:val="003E1C1C"/>
    <w:rsid w:val="003E1CA3"/>
    <w:rsid w:val="003E3D8F"/>
    <w:rsid w:val="003E3FE8"/>
    <w:rsid w:val="003E4264"/>
    <w:rsid w:val="003E4B86"/>
    <w:rsid w:val="003E4D63"/>
    <w:rsid w:val="003E54EB"/>
    <w:rsid w:val="003E566D"/>
    <w:rsid w:val="003E5E47"/>
    <w:rsid w:val="003E7C23"/>
    <w:rsid w:val="003E7CAC"/>
    <w:rsid w:val="003F187A"/>
    <w:rsid w:val="003F1B73"/>
    <w:rsid w:val="003F1BC2"/>
    <w:rsid w:val="003F2906"/>
    <w:rsid w:val="003F3F47"/>
    <w:rsid w:val="003F3FB9"/>
    <w:rsid w:val="003F49BA"/>
    <w:rsid w:val="003F5275"/>
    <w:rsid w:val="003F5715"/>
    <w:rsid w:val="003F5C1D"/>
    <w:rsid w:val="003F6255"/>
    <w:rsid w:val="003F6DEF"/>
    <w:rsid w:val="003F7329"/>
    <w:rsid w:val="003F788C"/>
    <w:rsid w:val="003F7C43"/>
    <w:rsid w:val="003F7DE2"/>
    <w:rsid w:val="004008B5"/>
    <w:rsid w:val="004014CE"/>
    <w:rsid w:val="004016B8"/>
    <w:rsid w:val="00401C69"/>
    <w:rsid w:val="00401F28"/>
    <w:rsid w:val="00402FA7"/>
    <w:rsid w:val="0040370B"/>
    <w:rsid w:val="00403A4C"/>
    <w:rsid w:val="00404091"/>
    <w:rsid w:val="004042C9"/>
    <w:rsid w:val="00404C7A"/>
    <w:rsid w:val="00406537"/>
    <w:rsid w:val="004069F6"/>
    <w:rsid w:val="00406E6F"/>
    <w:rsid w:val="00406F3B"/>
    <w:rsid w:val="00406FD2"/>
    <w:rsid w:val="00407090"/>
    <w:rsid w:val="00407422"/>
    <w:rsid w:val="004078D1"/>
    <w:rsid w:val="004107A7"/>
    <w:rsid w:val="00410A06"/>
    <w:rsid w:val="00410BF8"/>
    <w:rsid w:val="00411F1C"/>
    <w:rsid w:val="00412A15"/>
    <w:rsid w:val="00412F8E"/>
    <w:rsid w:val="00413BE3"/>
    <w:rsid w:val="00413DB6"/>
    <w:rsid w:val="0041458B"/>
    <w:rsid w:val="00414608"/>
    <w:rsid w:val="00415470"/>
    <w:rsid w:val="00415BCB"/>
    <w:rsid w:val="004212B0"/>
    <w:rsid w:val="00421B95"/>
    <w:rsid w:val="00422519"/>
    <w:rsid w:val="00422B24"/>
    <w:rsid w:val="00423417"/>
    <w:rsid w:val="004239CA"/>
    <w:rsid w:val="00424493"/>
    <w:rsid w:val="00425021"/>
    <w:rsid w:val="00425FF2"/>
    <w:rsid w:val="0042609B"/>
    <w:rsid w:val="00426503"/>
    <w:rsid w:val="0042685D"/>
    <w:rsid w:val="00427403"/>
    <w:rsid w:val="00427BBA"/>
    <w:rsid w:val="004309BC"/>
    <w:rsid w:val="004312B2"/>
    <w:rsid w:val="004316E9"/>
    <w:rsid w:val="00431A27"/>
    <w:rsid w:val="00431A32"/>
    <w:rsid w:val="004320EA"/>
    <w:rsid w:val="00432FDF"/>
    <w:rsid w:val="00433A2F"/>
    <w:rsid w:val="00433FD0"/>
    <w:rsid w:val="00434B12"/>
    <w:rsid w:val="00434B25"/>
    <w:rsid w:val="00435F70"/>
    <w:rsid w:val="004360D8"/>
    <w:rsid w:val="004369B0"/>
    <w:rsid w:val="00436AFC"/>
    <w:rsid w:val="004405C8"/>
    <w:rsid w:val="004418D8"/>
    <w:rsid w:val="00442F76"/>
    <w:rsid w:val="00443350"/>
    <w:rsid w:val="0044378E"/>
    <w:rsid w:val="004439A9"/>
    <w:rsid w:val="00443EAA"/>
    <w:rsid w:val="0044484D"/>
    <w:rsid w:val="004451CC"/>
    <w:rsid w:val="00445626"/>
    <w:rsid w:val="00445F02"/>
    <w:rsid w:val="0044635A"/>
    <w:rsid w:val="00446CD2"/>
    <w:rsid w:val="00446E2D"/>
    <w:rsid w:val="00446F12"/>
    <w:rsid w:val="0044711C"/>
    <w:rsid w:val="0044758D"/>
    <w:rsid w:val="004475E1"/>
    <w:rsid w:val="00447D31"/>
    <w:rsid w:val="004506C3"/>
    <w:rsid w:val="00450D73"/>
    <w:rsid w:val="004518DB"/>
    <w:rsid w:val="00452103"/>
    <w:rsid w:val="0045217C"/>
    <w:rsid w:val="00452C78"/>
    <w:rsid w:val="00452E8B"/>
    <w:rsid w:val="0045414F"/>
    <w:rsid w:val="00454279"/>
    <w:rsid w:val="004553D1"/>
    <w:rsid w:val="004559BB"/>
    <w:rsid w:val="004563FB"/>
    <w:rsid w:val="004576A0"/>
    <w:rsid w:val="00457952"/>
    <w:rsid w:val="004600DB"/>
    <w:rsid w:val="00460CE5"/>
    <w:rsid w:val="00460E87"/>
    <w:rsid w:val="00461153"/>
    <w:rsid w:val="004618C6"/>
    <w:rsid w:val="004623FF"/>
    <w:rsid w:val="00462832"/>
    <w:rsid w:val="0046328F"/>
    <w:rsid w:val="004632F2"/>
    <w:rsid w:val="004636F2"/>
    <w:rsid w:val="004638EB"/>
    <w:rsid w:val="004641FF"/>
    <w:rsid w:val="00464A57"/>
    <w:rsid w:val="00465B6A"/>
    <w:rsid w:val="004674D4"/>
    <w:rsid w:val="004677E3"/>
    <w:rsid w:val="00470914"/>
    <w:rsid w:val="00470C3B"/>
    <w:rsid w:val="00471AE6"/>
    <w:rsid w:val="0047260A"/>
    <w:rsid w:val="00474193"/>
    <w:rsid w:val="004741ED"/>
    <w:rsid w:val="00474844"/>
    <w:rsid w:val="0047531B"/>
    <w:rsid w:val="0047557F"/>
    <w:rsid w:val="00475875"/>
    <w:rsid w:val="00475C22"/>
    <w:rsid w:val="00475FBE"/>
    <w:rsid w:val="004767F2"/>
    <w:rsid w:val="0048049E"/>
    <w:rsid w:val="0048083F"/>
    <w:rsid w:val="004810FF"/>
    <w:rsid w:val="00481AFB"/>
    <w:rsid w:val="00482EBF"/>
    <w:rsid w:val="00483ADB"/>
    <w:rsid w:val="0048423F"/>
    <w:rsid w:val="004846A5"/>
    <w:rsid w:val="00484722"/>
    <w:rsid w:val="0048473E"/>
    <w:rsid w:val="00484AF6"/>
    <w:rsid w:val="0048566A"/>
    <w:rsid w:val="0048600B"/>
    <w:rsid w:val="0048635C"/>
    <w:rsid w:val="0048689B"/>
    <w:rsid w:val="00486DA0"/>
    <w:rsid w:val="00486DCD"/>
    <w:rsid w:val="00487796"/>
    <w:rsid w:val="00487F0F"/>
    <w:rsid w:val="004905C3"/>
    <w:rsid w:val="004907BB"/>
    <w:rsid w:val="00491B6A"/>
    <w:rsid w:val="00492C44"/>
    <w:rsid w:val="00493292"/>
    <w:rsid w:val="004939E7"/>
    <w:rsid w:val="004944F5"/>
    <w:rsid w:val="00494CF4"/>
    <w:rsid w:val="00496A9E"/>
    <w:rsid w:val="00496D52"/>
    <w:rsid w:val="0049743C"/>
    <w:rsid w:val="004A075E"/>
    <w:rsid w:val="004A0CA6"/>
    <w:rsid w:val="004A1008"/>
    <w:rsid w:val="004A11C1"/>
    <w:rsid w:val="004A1D50"/>
    <w:rsid w:val="004A282A"/>
    <w:rsid w:val="004A2F54"/>
    <w:rsid w:val="004A3212"/>
    <w:rsid w:val="004A321A"/>
    <w:rsid w:val="004A3E39"/>
    <w:rsid w:val="004A48E4"/>
    <w:rsid w:val="004A5187"/>
    <w:rsid w:val="004A5224"/>
    <w:rsid w:val="004A5EA6"/>
    <w:rsid w:val="004A5F26"/>
    <w:rsid w:val="004A6786"/>
    <w:rsid w:val="004A6FDA"/>
    <w:rsid w:val="004A79BD"/>
    <w:rsid w:val="004A79C1"/>
    <w:rsid w:val="004AB7F0"/>
    <w:rsid w:val="004B0828"/>
    <w:rsid w:val="004B0CAE"/>
    <w:rsid w:val="004B0D46"/>
    <w:rsid w:val="004B1422"/>
    <w:rsid w:val="004B1673"/>
    <w:rsid w:val="004B1BB4"/>
    <w:rsid w:val="004B2E14"/>
    <w:rsid w:val="004B3167"/>
    <w:rsid w:val="004B3E00"/>
    <w:rsid w:val="004B494B"/>
    <w:rsid w:val="004B56A5"/>
    <w:rsid w:val="004B6241"/>
    <w:rsid w:val="004B62DA"/>
    <w:rsid w:val="004B6D41"/>
    <w:rsid w:val="004B763A"/>
    <w:rsid w:val="004BD615"/>
    <w:rsid w:val="004C0976"/>
    <w:rsid w:val="004C1AD9"/>
    <w:rsid w:val="004C2594"/>
    <w:rsid w:val="004C36F3"/>
    <w:rsid w:val="004C3989"/>
    <w:rsid w:val="004C53D9"/>
    <w:rsid w:val="004C597F"/>
    <w:rsid w:val="004C6194"/>
    <w:rsid w:val="004C7C93"/>
    <w:rsid w:val="004C7F6E"/>
    <w:rsid w:val="004D05B8"/>
    <w:rsid w:val="004D100D"/>
    <w:rsid w:val="004D1162"/>
    <w:rsid w:val="004D1426"/>
    <w:rsid w:val="004D1524"/>
    <w:rsid w:val="004D17FA"/>
    <w:rsid w:val="004D1C75"/>
    <w:rsid w:val="004D27D0"/>
    <w:rsid w:val="004D37CD"/>
    <w:rsid w:val="004D4598"/>
    <w:rsid w:val="004D4F9E"/>
    <w:rsid w:val="004D659F"/>
    <w:rsid w:val="004D69DA"/>
    <w:rsid w:val="004D73E2"/>
    <w:rsid w:val="004D7498"/>
    <w:rsid w:val="004D7C16"/>
    <w:rsid w:val="004E2860"/>
    <w:rsid w:val="004E3820"/>
    <w:rsid w:val="004E3A83"/>
    <w:rsid w:val="004E4607"/>
    <w:rsid w:val="004E5333"/>
    <w:rsid w:val="004E578C"/>
    <w:rsid w:val="004E596A"/>
    <w:rsid w:val="004E6200"/>
    <w:rsid w:val="004E66FD"/>
    <w:rsid w:val="004E6B4B"/>
    <w:rsid w:val="004E6BEE"/>
    <w:rsid w:val="004F03BE"/>
    <w:rsid w:val="004F0AE5"/>
    <w:rsid w:val="004F1A88"/>
    <w:rsid w:val="004F1E1E"/>
    <w:rsid w:val="004F26FA"/>
    <w:rsid w:val="004F446F"/>
    <w:rsid w:val="004F45E7"/>
    <w:rsid w:val="004F5A4F"/>
    <w:rsid w:val="004F5B4A"/>
    <w:rsid w:val="004F6344"/>
    <w:rsid w:val="004F63DA"/>
    <w:rsid w:val="004F6F08"/>
    <w:rsid w:val="004F71FF"/>
    <w:rsid w:val="004F7380"/>
    <w:rsid w:val="004F7460"/>
    <w:rsid w:val="004F7E5A"/>
    <w:rsid w:val="005001D1"/>
    <w:rsid w:val="00500554"/>
    <w:rsid w:val="00500624"/>
    <w:rsid w:val="005006CA"/>
    <w:rsid w:val="00501230"/>
    <w:rsid w:val="00501BC4"/>
    <w:rsid w:val="00501D38"/>
    <w:rsid w:val="0050223D"/>
    <w:rsid w:val="00502542"/>
    <w:rsid w:val="0050254F"/>
    <w:rsid w:val="005035F1"/>
    <w:rsid w:val="005037FC"/>
    <w:rsid w:val="005039A8"/>
    <w:rsid w:val="00504CF6"/>
    <w:rsid w:val="00504E71"/>
    <w:rsid w:val="00506362"/>
    <w:rsid w:val="005063A3"/>
    <w:rsid w:val="0050660B"/>
    <w:rsid w:val="00507C8C"/>
    <w:rsid w:val="00507D6B"/>
    <w:rsid w:val="00507E2D"/>
    <w:rsid w:val="005106A3"/>
    <w:rsid w:val="00511C3E"/>
    <w:rsid w:val="00512007"/>
    <w:rsid w:val="00512629"/>
    <w:rsid w:val="00512D42"/>
    <w:rsid w:val="005135A0"/>
    <w:rsid w:val="00514159"/>
    <w:rsid w:val="00514E84"/>
    <w:rsid w:val="0051549C"/>
    <w:rsid w:val="005155A6"/>
    <w:rsid w:val="00515645"/>
    <w:rsid w:val="0051695F"/>
    <w:rsid w:val="00516D53"/>
    <w:rsid w:val="00517505"/>
    <w:rsid w:val="0051780B"/>
    <w:rsid w:val="0052047F"/>
    <w:rsid w:val="00520793"/>
    <w:rsid w:val="00520836"/>
    <w:rsid w:val="0052143F"/>
    <w:rsid w:val="00521E32"/>
    <w:rsid w:val="00522637"/>
    <w:rsid w:val="005231AC"/>
    <w:rsid w:val="0052382B"/>
    <w:rsid w:val="0052419C"/>
    <w:rsid w:val="00524817"/>
    <w:rsid w:val="005249C6"/>
    <w:rsid w:val="00524B30"/>
    <w:rsid w:val="00524D8C"/>
    <w:rsid w:val="00524F2F"/>
    <w:rsid w:val="005252BD"/>
    <w:rsid w:val="00525AB4"/>
    <w:rsid w:val="00526425"/>
    <w:rsid w:val="005272A8"/>
    <w:rsid w:val="0052765B"/>
    <w:rsid w:val="00530626"/>
    <w:rsid w:val="00530CE1"/>
    <w:rsid w:val="00531CFA"/>
    <w:rsid w:val="00532492"/>
    <w:rsid w:val="005332AD"/>
    <w:rsid w:val="005334C4"/>
    <w:rsid w:val="00533E0C"/>
    <w:rsid w:val="005344A1"/>
    <w:rsid w:val="00534EAB"/>
    <w:rsid w:val="00534F4D"/>
    <w:rsid w:val="00535D0E"/>
    <w:rsid w:val="005365A0"/>
    <w:rsid w:val="00537742"/>
    <w:rsid w:val="00537880"/>
    <w:rsid w:val="005379D2"/>
    <w:rsid w:val="00537CC5"/>
    <w:rsid w:val="005401EF"/>
    <w:rsid w:val="00541397"/>
    <w:rsid w:val="005418DF"/>
    <w:rsid w:val="00542AC9"/>
    <w:rsid w:val="00544C6F"/>
    <w:rsid w:val="0054554D"/>
    <w:rsid w:val="00545593"/>
    <w:rsid w:val="00545E6B"/>
    <w:rsid w:val="00546293"/>
    <w:rsid w:val="0054655D"/>
    <w:rsid w:val="00546DE6"/>
    <w:rsid w:val="00546E2B"/>
    <w:rsid w:val="005474C1"/>
    <w:rsid w:val="005474E7"/>
    <w:rsid w:val="00547B37"/>
    <w:rsid w:val="00547D59"/>
    <w:rsid w:val="005509FF"/>
    <w:rsid w:val="00550A55"/>
    <w:rsid w:val="005516CF"/>
    <w:rsid w:val="005532B9"/>
    <w:rsid w:val="0055468C"/>
    <w:rsid w:val="00554C24"/>
    <w:rsid w:val="0055565F"/>
    <w:rsid w:val="005556CF"/>
    <w:rsid w:val="00556B32"/>
    <w:rsid w:val="00556D30"/>
    <w:rsid w:val="005574D2"/>
    <w:rsid w:val="00557D1A"/>
    <w:rsid w:val="00560A11"/>
    <w:rsid w:val="00561412"/>
    <w:rsid w:val="00562073"/>
    <w:rsid w:val="00562529"/>
    <w:rsid w:val="00563765"/>
    <w:rsid w:val="00563AF3"/>
    <w:rsid w:val="00563DEA"/>
    <w:rsid w:val="00564424"/>
    <w:rsid w:val="00564A74"/>
    <w:rsid w:val="00564D5A"/>
    <w:rsid w:val="00565478"/>
    <w:rsid w:val="0056554A"/>
    <w:rsid w:val="0056562A"/>
    <w:rsid w:val="00565FA4"/>
    <w:rsid w:val="00567396"/>
    <w:rsid w:val="005675B8"/>
    <w:rsid w:val="005675CC"/>
    <w:rsid w:val="0056762C"/>
    <w:rsid w:val="00567A4E"/>
    <w:rsid w:val="005703BB"/>
    <w:rsid w:val="00570585"/>
    <w:rsid w:val="00571647"/>
    <w:rsid w:val="00575152"/>
    <w:rsid w:val="00576D2B"/>
    <w:rsid w:val="00577760"/>
    <w:rsid w:val="00577F99"/>
    <w:rsid w:val="00580AB7"/>
    <w:rsid w:val="00582D08"/>
    <w:rsid w:val="005838C3"/>
    <w:rsid w:val="00583A63"/>
    <w:rsid w:val="00584437"/>
    <w:rsid w:val="00584CDE"/>
    <w:rsid w:val="00585042"/>
    <w:rsid w:val="005858F4"/>
    <w:rsid w:val="0058726D"/>
    <w:rsid w:val="005879FB"/>
    <w:rsid w:val="00587F14"/>
    <w:rsid w:val="00590480"/>
    <w:rsid w:val="00591078"/>
    <w:rsid w:val="00592A44"/>
    <w:rsid w:val="005943AF"/>
    <w:rsid w:val="00595032"/>
    <w:rsid w:val="0059539E"/>
    <w:rsid w:val="0059546F"/>
    <w:rsid w:val="00595CAE"/>
    <w:rsid w:val="00595E35"/>
    <w:rsid w:val="00596319"/>
    <w:rsid w:val="00596892"/>
    <w:rsid w:val="00597807"/>
    <w:rsid w:val="005A03C7"/>
    <w:rsid w:val="005A04BC"/>
    <w:rsid w:val="005A0AE7"/>
    <w:rsid w:val="005A1591"/>
    <w:rsid w:val="005A1B14"/>
    <w:rsid w:val="005A2A45"/>
    <w:rsid w:val="005A2CEF"/>
    <w:rsid w:val="005A2E66"/>
    <w:rsid w:val="005A4D3F"/>
    <w:rsid w:val="005A5B4E"/>
    <w:rsid w:val="005A6C28"/>
    <w:rsid w:val="005A6CC7"/>
    <w:rsid w:val="005A7029"/>
    <w:rsid w:val="005A7EC9"/>
    <w:rsid w:val="005B0F0E"/>
    <w:rsid w:val="005B1A4E"/>
    <w:rsid w:val="005B1E31"/>
    <w:rsid w:val="005B2DA1"/>
    <w:rsid w:val="005B2FC6"/>
    <w:rsid w:val="005B3493"/>
    <w:rsid w:val="005B3A79"/>
    <w:rsid w:val="005B4998"/>
    <w:rsid w:val="005B4AB9"/>
    <w:rsid w:val="005B5126"/>
    <w:rsid w:val="005B5141"/>
    <w:rsid w:val="005B5711"/>
    <w:rsid w:val="005B5981"/>
    <w:rsid w:val="005B5BBE"/>
    <w:rsid w:val="005B605E"/>
    <w:rsid w:val="005B6523"/>
    <w:rsid w:val="005B7F13"/>
    <w:rsid w:val="005B7F36"/>
    <w:rsid w:val="005C00C2"/>
    <w:rsid w:val="005C040E"/>
    <w:rsid w:val="005C1115"/>
    <w:rsid w:val="005C1659"/>
    <w:rsid w:val="005C17D6"/>
    <w:rsid w:val="005C2887"/>
    <w:rsid w:val="005C2B4F"/>
    <w:rsid w:val="005C2C4D"/>
    <w:rsid w:val="005C3D9B"/>
    <w:rsid w:val="005C5193"/>
    <w:rsid w:val="005C5A02"/>
    <w:rsid w:val="005C5ACC"/>
    <w:rsid w:val="005C5CF8"/>
    <w:rsid w:val="005C65B5"/>
    <w:rsid w:val="005C7852"/>
    <w:rsid w:val="005C7B97"/>
    <w:rsid w:val="005C7D69"/>
    <w:rsid w:val="005D0042"/>
    <w:rsid w:val="005D05D4"/>
    <w:rsid w:val="005D172F"/>
    <w:rsid w:val="005D22D5"/>
    <w:rsid w:val="005D2640"/>
    <w:rsid w:val="005D267C"/>
    <w:rsid w:val="005D3011"/>
    <w:rsid w:val="005D315A"/>
    <w:rsid w:val="005D345D"/>
    <w:rsid w:val="005D3AF1"/>
    <w:rsid w:val="005D3AF7"/>
    <w:rsid w:val="005D44AB"/>
    <w:rsid w:val="005D4868"/>
    <w:rsid w:val="005D64BD"/>
    <w:rsid w:val="005D68A1"/>
    <w:rsid w:val="005D6A49"/>
    <w:rsid w:val="005D6C79"/>
    <w:rsid w:val="005D6EEA"/>
    <w:rsid w:val="005D7B5C"/>
    <w:rsid w:val="005E010B"/>
    <w:rsid w:val="005E0647"/>
    <w:rsid w:val="005E0902"/>
    <w:rsid w:val="005E0976"/>
    <w:rsid w:val="005E0AD8"/>
    <w:rsid w:val="005E2074"/>
    <w:rsid w:val="005E357E"/>
    <w:rsid w:val="005E3DF0"/>
    <w:rsid w:val="005E458E"/>
    <w:rsid w:val="005E488B"/>
    <w:rsid w:val="005E492D"/>
    <w:rsid w:val="005E6239"/>
    <w:rsid w:val="005E7E8B"/>
    <w:rsid w:val="005F04A8"/>
    <w:rsid w:val="005F16C3"/>
    <w:rsid w:val="005F1832"/>
    <w:rsid w:val="005F1F1D"/>
    <w:rsid w:val="005F313B"/>
    <w:rsid w:val="005F35AC"/>
    <w:rsid w:val="005F4CC9"/>
    <w:rsid w:val="005F54E0"/>
    <w:rsid w:val="005F56E7"/>
    <w:rsid w:val="005F66E9"/>
    <w:rsid w:val="005F76F3"/>
    <w:rsid w:val="005F798A"/>
    <w:rsid w:val="005F7D81"/>
    <w:rsid w:val="0060006A"/>
    <w:rsid w:val="00600620"/>
    <w:rsid w:val="0060137E"/>
    <w:rsid w:val="006014A4"/>
    <w:rsid w:val="006018B0"/>
    <w:rsid w:val="00601EBC"/>
    <w:rsid w:val="00602642"/>
    <w:rsid w:val="00602947"/>
    <w:rsid w:val="0060296F"/>
    <w:rsid w:val="00602C4C"/>
    <w:rsid w:val="0060390B"/>
    <w:rsid w:val="00604692"/>
    <w:rsid w:val="00605265"/>
    <w:rsid w:val="00606BD8"/>
    <w:rsid w:val="00607A88"/>
    <w:rsid w:val="00611AD6"/>
    <w:rsid w:val="0061240D"/>
    <w:rsid w:val="006125CD"/>
    <w:rsid w:val="0061299E"/>
    <w:rsid w:val="00612D98"/>
    <w:rsid w:val="006133D2"/>
    <w:rsid w:val="00614399"/>
    <w:rsid w:val="00614DDF"/>
    <w:rsid w:val="006152F0"/>
    <w:rsid w:val="00615C65"/>
    <w:rsid w:val="00615FC5"/>
    <w:rsid w:val="00616309"/>
    <w:rsid w:val="0061679A"/>
    <w:rsid w:val="00616957"/>
    <w:rsid w:val="00616D06"/>
    <w:rsid w:val="00616DD0"/>
    <w:rsid w:val="00616EA6"/>
    <w:rsid w:val="00616F76"/>
    <w:rsid w:val="006179E3"/>
    <w:rsid w:val="00617AE5"/>
    <w:rsid w:val="00617CA1"/>
    <w:rsid w:val="00621510"/>
    <w:rsid w:val="00621B9E"/>
    <w:rsid w:val="00622A72"/>
    <w:rsid w:val="00622F7B"/>
    <w:rsid w:val="006248A5"/>
    <w:rsid w:val="00624D11"/>
    <w:rsid w:val="00624FA6"/>
    <w:rsid w:val="006252E7"/>
    <w:rsid w:val="00626824"/>
    <w:rsid w:val="00626D7B"/>
    <w:rsid w:val="00627974"/>
    <w:rsid w:val="006304FC"/>
    <w:rsid w:val="00630B94"/>
    <w:rsid w:val="00631D13"/>
    <w:rsid w:val="0063247C"/>
    <w:rsid w:val="00633ACD"/>
    <w:rsid w:val="00633DB2"/>
    <w:rsid w:val="00634209"/>
    <w:rsid w:val="0063453E"/>
    <w:rsid w:val="00634686"/>
    <w:rsid w:val="00634A6E"/>
    <w:rsid w:val="006351BA"/>
    <w:rsid w:val="00635387"/>
    <w:rsid w:val="00635971"/>
    <w:rsid w:val="00635CBD"/>
    <w:rsid w:val="00635D2B"/>
    <w:rsid w:val="00636200"/>
    <w:rsid w:val="006366C4"/>
    <w:rsid w:val="006366E4"/>
    <w:rsid w:val="00636E42"/>
    <w:rsid w:val="006376E6"/>
    <w:rsid w:val="006378C2"/>
    <w:rsid w:val="0064173B"/>
    <w:rsid w:val="00641793"/>
    <w:rsid w:val="00641EEB"/>
    <w:rsid w:val="00642E7A"/>
    <w:rsid w:val="00643607"/>
    <w:rsid w:val="006439C0"/>
    <w:rsid w:val="006448FC"/>
    <w:rsid w:val="00644B6A"/>
    <w:rsid w:val="00644E94"/>
    <w:rsid w:val="00645314"/>
    <w:rsid w:val="0064558E"/>
    <w:rsid w:val="0064572B"/>
    <w:rsid w:val="00645BA7"/>
    <w:rsid w:val="0064602A"/>
    <w:rsid w:val="006461B1"/>
    <w:rsid w:val="006467D8"/>
    <w:rsid w:val="006469E2"/>
    <w:rsid w:val="006469F6"/>
    <w:rsid w:val="00646A75"/>
    <w:rsid w:val="00646C92"/>
    <w:rsid w:val="00646DB0"/>
    <w:rsid w:val="006475DB"/>
    <w:rsid w:val="00647BDD"/>
    <w:rsid w:val="00650D03"/>
    <w:rsid w:val="00650EC7"/>
    <w:rsid w:val="00651193"/>
    <w:rsid w:val="0065149B"/>
    <w:rsid w:val="00651505"/>
    <w:rsid w:val="00651F0C"/>
    <w:rsid w:val="006523F1"/>
    <w:rsid w:val="006526BB"/>
    <w:rsid w:val="006536E5"/>
    <w:rsid w:val="00653889"/>
    <w:rsid w:val="00653C08"/>
    <w:rsid w:val="00653D48"/>
    <w:rsid w:val="00653E45"/>
    <w:rsid w:val="00654484"/>
    <w:rsid w:val="00654BDD"/>
    <w:rsid w:val="006550A2"/>
    <w:rsid w:val="00655FA3"/>
    <w:rsid w:val="00656B19"/>
    <w:rsid w:val="00657865"/>
    <w:rsid w:val="00657A1B"/>
    <w:rsid w:val="00657F50"/>
    <w:rsid w:val="006600C8"/>
    <w:rsid w:val="00660D42"/>
    <w:rsid w:val="00661749"/>
    <w:rsid w:val="00661855"/>
    <w:rsid w:val="00661C4E"/>
    <w:rsid w:val="00663207"/>
    <w:rsid w:val="00663220"/>
    <w:rsid w:val="00663495"/>
    <w:rsid w:val="006639F9"/>
    <w:rsid w:val="0066443C"/>
    <w:rsid w:val="00664BE8"/>
    <w:rsid w:val="00665278"/>
    <w:rsid w:val="00666018"/>
    <w:rsid w:val="006670CC"/>
    <w:rsid w:val="00667A73"/>
    <w:rsid w:val="00667E21"/>
    <w:rsid w:val="0066DC70"/>
    <w:rsid w:val="0067076D"/>
    <w:rsid w:val="00670C95"/>
    <w:rsid w:val="00671141"/>
    <w:rsid w:val="00671BD5"/>
    <w:rsid w:val="006723A9"/>
    <w:rsid w:val="006729DD"/>
    <w:rsid w:val="00673116"/>
    <w:rsid w:val="0067378C"/>
    <w:rsid w:val="00673E48"/>
    <w:rsid w:val="0067403F"/>
    <w:rsid w:val="006741A8"/>
    <w:rsid w:val="00674A89"/>
    <w:rsid w:val="006753D1"/>
    <w:rsid w:val="00675F91"/>
    <w:rsid w:val="0067733A"/>
    <w:rsid w:val="00677710"/>
    <w:rsid w:val="0068104F"/>
    <w:rsid w:val="00681318"/>
    <w:rsid w:val="0068171C"/>
    <w:rsid w:val="00681FC1"/>
    <w:rsid w:val="006824F9"/>
    <w:rsid w:val="006827DA"/>
    <w:rsid w:val="00682C1A"/>
    <w:rsid w:val="00682E58"/>
    <w:rsid w:val="00684999"/>
    <w:rsid w:val="00684CA3"/>
    <w:rsid w:val="00685CC3"/>
    <w:rsid w:val="006860B0"/>
    <w:rsid w:val="0068610D"/>
    <w:rsid w:val="00687102"/>
    <w:rsid w:val="00687556"/>
    <w:rsid w:val="00687C1F"/>
    <w:rsid w:val="00690B67"/>
    <w:rsid w:val="00690E9F"/>
    <w:rsid w:val="00691077"/>
    <w:rsid w:val="00691545"/>
    <w:rsid w:val="00691917"/>
    <w:rsid w:val="006919C8"/>
    <w:rsid w:val="00691ACD"/>
    <w:rsid w:val="00692DE6"/>
    <w:rsid w:val="00694EFF"/>
    <w:rsid w:val="0069627E"/>
    <w:rsid w:val="006966F1"/>
    <w:rsid w:val="006969B9"/>
    <w:rsid w:val="00696E75"/>
    <w:rsid w:val="006A010A"/>
    <w:rsid w:val="006A05F2"/>
    <w:rsid w:val="006A0AB1"/>
    <w:rsid w:val="006A1030"/>
    <w:rsid w:val="006A1471"/>
    <w:rsid w:val="006A2543"/>
    <w:rsid w:val="006A2548"/>
    <w:rsid w:val="006A2EB7"/>
    <w:rsid w:val="006A2FAC"/>
    <w:rsid w:val="006A3636"/>
    <w:rsid w:val="006A387E"/>
    <w:rsid w:val="006A58D5"/>
    <w:rsid w:val="006A6A8E"/>
    <w:rsid w:val="006A6B9C"/>
    <w:rsid w:val="006A7D84"/>
    <w:rsid w:val="006B05BD"/>
    <w:rsid w:val="006B06CE"/>
    <w:rsid w:val="006B079E"/>
    <w:rsid w:val="006B0A47"/>
    <w:rsid w:val="006B0F2E"/>
    <w:rsid w:val="006B131B"/>
    <w:rsid w:val="006B142C"/>
    <w:rsid w:val="006B1E3E"/>
    <w:rsid w:val="006B251C"/>
    <w:rsid w:val="006B290A"/>
    <w:rsid w:val="006B2B86"/>
    <w:rsid w:val="006B2C1D"/>
    <w:rsid w:val="006B2C4B"/>
    <w:rsid w:val="006B2D1D"/>
    <w:rsid w:val="006B2D50"/>
    <w:rsid w:val="006B2ED0"/>
    <w:rsid w:val="006B395F"/>
    <w:rsid w:val="006B3963"/>
    <w:rsid w:val="006B4C1C"/>
    <w:rsid w:val="006B5E9D"/>
    <w:rsid w:val="006B6021"/>
    <w:rsid w:val="006B6A0D"/>
    <w:rsid w:val="006B7DEC"/>
    <w:rsid w:val="006C04B1"/>
    <w:rsid w:val="006C084E"/>
    <w:rsid w:val="006C108F"/>
    <w:rsid w:val="006C1C96"/>
    <w:rsid w:val="006C1F5F"/>
    <w:rsid w:val="006C32AB"/>
    <w:rsid w:val="006C3D3D"/>
    <w:rsid w:val="006C4CE1"/>
    <w:rsid w:val="006C5E04"/>
    <w:rsid w:val="006C66E5"/>
    <w:rsid w:val="006C6D8F"/>
    <w:rsid w:val="006C6E43"/>
    <w:rsid w:val="006C75A5"/>
    <w:rsid w:val="006C7607"/>
    <w:rsid w:val="006D01F3"/>
    <w:rsid w:val="006D043E"/>
    <w:rsid w:val="006D1034"/>
    <w:rsid w:val="006D1867"/>
    <w:rsid w:val="006D1B8F"/>
    <w:rsid w:val="006D38B3"/>
    <w:rsid w:val="006D6139"/>
    <w:rsid w:val="006D6280"/>
    <w:rsid w:val="006D668A"/>
    <w:rsid w:val="006D6F0E"/>
    <w:rsid w:val="006D7385"/>
    <w:rsid w:val="006D7963"/>
    <w:rsid w:val="006D7ECF"/>
    <w:rsid w:val="006E015A"/>
    <w:rsid w:val="006E020E"/>
    <w:rsid w:val="006E0732"/>
    <w:rsid w:val="006E0C24"/>
    <w:rsid w:val="006E1066"/>
    <w:rsid w:val="006E17EC"/>
    <w:rsid w:val="006E3114"/>
    <w:rsid w:val="006E35F4"/>
    <w:rsid w:val="006E3EAE"/>
    <w:rsid w:val="006E4770"/>
    <w:rsid w:val="006E4857"/>
    <w:rsid w:val="006E4962"/>
    <w:rsid w:val="006E6194"/>
    <w:rsid w:val="006E6CDF"/>
    <w:rsid w:val="006E7242"/>
    <w:rsid w:val="006E7871"/>
    <w:rsid w:val="006F0FF0"/>
    <w:rsid w:val="006F1254"/>
    <w:rsid w:val="006F1315"/>
    <w:rsid w:val="006F2033"/>
    <w:rsid w:val="006F2055"/>
    <w:rsid w:val="006F2230"/>
    <w:rsid w:val="006F24CB"/>
    <w:rsid w:val="006F5AF1"/>
    <w:rsid w:val="006F6CFC"/>
    <w:rsid w:val="006F729E"/>
    <w:rsid w:val="007007EA"/>
    <w:rsid w:val="007010F9"/>
    <w:rsid w:val="00701BF5"/>
    <w:rsid w:val="00701FE2"/>
    <w:rsid w:val="007021C5"/>
    <w:rsid w:val="00702C08"/>
    <w:rsid w:val="00703344"/>
    <w:rsid w:val="00703573"/>
    <w:rsid w:val="00703C77"/>
    <w:rsid w:val="00704504"/>
    <w:rsid w:val="007046A1"/>
    <w:rsid w:val="0070471B"/>
    <w:rsid w:val="00705210"/>
    <w:rsid w:val="00705CF2"/>
    <w:rsid w:val="00706EDA"/>
    <w:rsid w:val="00707183"/>
    <w:rsid w:val="0070733D"/>
    <w:rsid w:val="00710433"/>
    <w:rsid w:val="00710FAA"/>
    <w:rsid w:val="007112D5"/>
    <w:rsid w:val="00711D84"/>
    <w:rsid w:val="00712439"/>
    <w:rsid w:val="00712B6B"/>
    <w:rsid w:val="00713262"/>
    <w:rsid w:val="0071357C"/>
    <w:rsid w:val="007135EC"/>
    <w:rsid w:val="007140AF"/>
    <w:rsid w:val="00714DA4"/>
    <w:rsid w:val="00714FA3"/>
    <w:rsid w:val="0071530F"/>
    <w:rsid w:val="0071568C"/>
    <w:rsid w:val="007158FA"/>
    <w:rsid w:val="00715C34"/>
    <w:rsid w:val="00715C9E"/>
    <w:rsid w:val="0071725C"/>
    <w:rsid w:val="0071743A"/>
    <w:rsid w:val="00720396"/>
    <w:rsid w:val="00720DD0"/>
    <w:rsid w:val="007216AD"/>
    <w:rsid w:val="00721A85"/>
    <w:rsid w:val="00721F54"/>
    <w:rsid w:val="00721F94"/>
    <w:rsid w:val="00722761"/>
    <w:rsid w:val="00722DF9"/>
    <w:rsid w:val="00722F26"/>
    <w:rsid w:val="007238E5"/>
    <w:rsid w:val="00723A20"/>
    <w:rsid w:val="00723EDD"/>
    <w:rsid w:val="00724451"/>
    <w:rsid w:val="00725173"/>
    <w:rsid w:val="00725659"/>
    <w:rsid w:val="007259C1"/>
    <w:rsid w:val="00725F2B"/>
    <w:rsid w:val="00725FDB"/>
    <w:rsid w:val="00726116"/>
    <w:rsid w:val="0072787A"/>
    <w:rsid w:val="00727D77"/>
    <w:rsid w:val="00730325"/>
    <w:rsid w:val="00730394"/>
    <w:rsid w:val="00730BEF"/>
    <w:rsid w:val="007311B8"/>
    <w:rsid w:val="00731B60"/>
    <w:rsid w:val="00731B97"/>
    <w:rsid w:val="00733436"/>
    <w:rsid w:val="00734C9C"/>
    <w:rsid w:val="00735275"/>
    <w:rsid w:val="00735624"/>
    <w:rsid w:val="00735B9C"/>
    <w:rsid w:val="00736346"/>
    <w:rsid w:val="00736E1E"/>
    <w:rsid w:val="00740FBC"/>
    <w:rsid w:val="0074130E"/>
    <w:rsid w:val="0074150F"/>
    <w:rsid w:val="007420F3"/>
    <w:rsid w:val="007421EC"/>
    <w:rsid w:val="0074266A"/>
    <w:rsid w:val="00742B38"/>
    <w:rsid w:val="007439E7"/>
    <w:rsid w:val="00743A57"/>
    <w:rsid w:val="00743ACE"/>
    <w:rsid w:val="007446B4"/>
    <w:rsid w:val="0074484B"/>
    <w:rsid w:val="00745714"/>
    <w:rsid w:val="00745B33"/>
    <w:rsid w:val="00747011"/>
    <w:rsid w:val="0075008C"/>
    <w:rsid w:val="00750AD5"/>
    <w:rsid w:val="00750D53"/>
    <w:rsid w:val="00750FA7"/>
    <w:rsid w:val="00751494"/>
    <w:rsid w:val="00751BA5"/>
    <w:rsid w:val="00751BAC"/>
    <w:rsid w:val="00752511"/>
    <w:rsid w:val="007526D5"/>
    <w:rsid w:val="0075314A"/>
    <w:rsid w:val="007538EC"/>
    <w:rsid w:val="00753D61"/>
    <w:rsid w:val="00754969"/>
    <w:rsid w:val="00755889"/>
    <w:rsid w:val="007561CE"/>
    <w:rsid w:val="00756FF9"/>
    <w:rsid w:val="00760849"/>
    <w:rsid w:val="00761812"/>
    <w:rsid w:val="0076184F"/>
    <w:rsid w:val="00761D90"/>
    <w:rsid w:val="00761FD9"/>
    <w:rsid w:val="00763592"/>
    <w:rsid w:val="007638E9"/>
    <w:rsid w:val="0076405D"/>
    <w:rsid w:val="00764063"/>
    <w:rsid w:val="007643FC"/>
    <w:rsid w:val="0076497B"/>
    <w:rsid w:val="00765E24"/>
    <w:rsid w:val="00765F6F"/>
    <w:rsid w:val="00765FF2"/>
    <w:rsid w:val="00766498"/>
    <w:rsid w:val="00766924"/>
    <w:rsid w:val="00770C34"/>
    <w:rsid w:val="00770C3F"/>
    <w:rsid w:val="007716AF"/>
    <w:rsid w:val="0077187D"/>
    <w:rsid w:val="00772942"/>
    <w:rsid w:val="0077299D"/>
    <w:rsid w:val="00773F1B"/>
    <w:rsid w:val="00774317"/>
    <w:rsid w:val="0077552C"/>
    <w:rsid w:val="0077583D"/>
    <w:rsid w:val="00775937"/>
    <w:rsid w:val="00775C3B"/>
    <w:rsid w:val="00776211"/>
    <w:rsid w:val="007768B7"/>
    <w:rsid w:val="00777134"/>
    <w:rsid w:val="00781672"/>
    <w:rsid w:val="007817C8"/>
    <w:rsid w:val="007819F3"/>
    <w:rsid w:val="007821A3"/>
    <w:rsid w:val="00782284"/>
    <w:rsid w:val="00782763"/>
    <w:rsid w:val="0078281D"/>
    <w:rsid w:val="00782AC2"/>
    <w:rsid w:val="00783108"/>
    <w:rsid w:val="00783389"/>
    <w:rsid w:val="007833B7"/>
    <w:rsid w:val="00783D47"/>
    <w:rsid w:val="007841EA"/>
    <w:rsid w:val="00785E2D"/>
    <w:rsid w:val="007878A9"/>
    <w:rsid w:val="00787ED6"/>
    <w:rsid w:val="00790055"/>
    <w:rsid w:val="00790B0E"/>
    <w:rsid w:val="00790D8E"/>
    <w:rsid w:val="00791302"/>
    <w:rsid w:val="0079223C"/>
    <w:rsid w:val="007922A0"/>
    <w:rsid w:val="0079334A"/>
    <w:rsid w:val="00793D12"/>
    <w:rsid w:val="00793F69"/>
    <w:rsid w:val="007965AA"/>
    <w:rsid w:val="00796AF5"/>
    <w:rsid w:val="00796F04"/>
    <w:rsid w:val="0079735C"/>
    <w:rsid w:val="00797961"/>
    <w:rsid w:val="007A0003"/>
    <w:rsid w:val="007A0533"/>
    <w:rsid w:val="007A17C9"/>
    <w:rsid w:val="007A2691"/>
    <w:rsid w:val="007A2E2D"/>
    <w:rsid w:val="007A47E7"/>
    <w:rsid w:val="007A4FCA"/>
    <w:rsid w:val="007A529B"/>
    <w:rsid w:val="007A5509"/>
    <w:rsid w:val="007A5DE8"/>
    <w:rsid w:val="007A5F4D"/>
    <w:rsid w:val="007A603C"/>
    <w:rsid w:val="007A661D"/>
    <w:rsid w:val="007A6889"/>
    <w:rsid w:val="007A73D6"/>
    <w:rsid w:val="007B093F"/>
    <w:rsid w:val="007B0A4E"/>
    <w:rsid w:val="007B0C42"/>
    <w:rsid w:val="007B22B9"/>
    <w:rsid w:val="007B3373"/>
    <w:rsid w:val="007B36A1"/>
    <w:rsid w:val="007B38CF"/>
    <w:rsid w:val="007B3A00"/>
    <w:rsid w:val="007B549B"/>
    <w:rsid w:val="007B6176"/>
    <w:rsid w:val="007B6DF4"/>
    <w:rsid w:val="007B7607"/>
    <w:rsid w:val="007B78E7"/>
    <w:rsid w:val="007C009F"/>
    <w:rsid w:val="007C03F3"/>
    <w:rsid w:val="007C091D"/>
    <w:rsid w:val="007C0A4E"/>
    <w:rsid w:val="007C1A02"/>
    <w:rsid w:val="007C34B5"/>
    <w:rsid w:val="007C361C"/>
    <w:rsid w:val="007C3C2B"/>
    <w:rsid w:val="007C4863"/>
    <w:rsid w:val="007C4A93"/>
    <w:rsid w:val="007C5B2B"/>
    <w:rsid w:val="007C6D31"/>
    <w:rsid w:val="007C6ED1"/>
    <w:rsid w:val="007C7025"/>
    <w:rsid w:val="007C7510"/>
    <w:rsid w:val="007C78EF"/>
    <w:rsid w:val="007C7D71"/>
    <w:rsid w:val="007D0837"/>
    <w:rsid w:val="007D0B2A"/>
    <w:rsid w:val="007D0C9E"/>
    <w:rsid w:val="007D25B6"/>
    <w:rsid w:val="007D2D89"/>
    <w:rsid w:val="007D3E10"/>
    <w:rsid w:val="007D4718"/>
    <w:rsid w:val="007D6028"/>
    <w:rsid w:val="007D63CF"/>
    <w:rsid w:val="007D6E30"/>
    <w:rsid w:val="007D780C"/>
    <w:rsid w:val="007E039E"/>
    <w:rsid w:val="007E0555"/>
    <w:rsid w:val="007E0775"/>
    <w:rsid w:val="007E0E9F"/>
    <w:rsid w:val="007E0F53"/>
    <w:rsid w:val="007E124A"/>
    <w:rsid w:val="007E18BD"/>
    <w:rsid w:val="007E226F"/>
    <w:rsid w:val="007E250A"/>
    <w:rsid w:val="007E2542"/>
    <w:rsid w:val="007E25E7"/>
    <w:rsid w:val="007E315E"/>
    <w:rsid w:val="007E3203"/>
    <w:rsid w:val="007E3376"/>
    <w:rsid w:val="007E34F0"/>
    <w:rsid w:val="007E3C08"/>
    <w:rsid w:val="007E3C17"/>
    <w:rsid w:val="007E45E8"/>
    <w:rsid w:val="007E526B"/>
    <w:rsid w:val="007E5F5F"/>
    <w:rsid w:val="007F0672"/>
    <w:rsid w:val="007F11E7"/>
    <w:rsid w:val="007F1A2C"/>
    <w:rsid w:val="007F1BBF"/>
    <w:rsid w:val="007F213E"/>
    <w:rsid w:val="007F2B96"/>
    <w:rsid w:val="007F31DC"/>
    <w:rsid w:val="007F3859"/>
    <w:rsid w:val="007F3A17"/>
    <w:rsid w:val="007F4573"/>
    <w:rsid w:val="007F4696"/>
    <w:rsid w:val="007F4892"/>
    <w:rsid w:val="007F510C"/>
    <w:rsid w:val="007F522F"/>
    <w:rsid w:val="007F5F0F"/>
    <w:rsid w:val="007F6A00"/>
    <w:rsid w:val="007F7C6A"/>
    <w:rsid w:val="00800A39"/>
    <w:rsid w:val="00800FB2"/>
    <w:rsid w:val="00801184"/>
    <w:rsid w:val="00801C69"/>
    <w:rsid w:val="00801DF9"/>
    <w:rsid w:val="008022AF"/>
    <w:rsid w:val="00802688"/>
    <w:rsid w:val="00802B59"/>
    <w:rsid w:val="008034E2"/>
    <w:rsid w:val="00803FB2"/>
    <w:rsid w:val="00804D78"/>
    <w:rsid w:val="00805BB8"/>
    <w:rsid w:val="00806371"/>
    <w:rsid w:val="008063E7"/>
    <w:rsid w:val="008064B6"/>
    <w:rsid w:val="00806D53"/>
    <w:rsid w:val="00806E43"/>
    <w:rsid w:val="0080775B"/>
    <w:rsid w:val="00807AC7"/>
    <w:rsid w:val="008111F0"/>
    <w:rsid w:val="00811714"/>
    <w:rsid w:val="00811CE3"/>
    <w:rsid w:val="00811F1F"/>
    <w:rsid w:val="00812487"/>
    <w:rsid w:val="00813A0E"/>
    <w:rsid w:val="00813E10"/>
    <w:rsid w:val="00813EDE"/>
    <w:rsid w:val="0081563C"/>
    <w:rsid w:val="00815BCD"/>
    <w:rsid w:val="00815C9E"/>
    <w:rsid w:val="008160AE"/>
    <w:rsid w:val="008160F0"/>
    <w:rsid w:val="00817774"/>
    <w:rsid w:val="00817958"/>
    <w:rsid w:val="00817BF0"/>
    <w:rsid w:val="00817F06"/>
    <w:rsid w:val="0082068E"/>
    <w:rsid w:val="00820703"/>
    <w:rsid w:val="00820E60"/>
    <w:rsid w:val="00821E37"/>
    <w:rsid w:val="008253D9"/>
    <w:rsid w:val="0082581F"/>
    <w:rsid w:val="00825EA9"/>
    <w:rsid w:val="0082612F"/>
    <w:rsid w:val="00826233"/>
    <w:rsid w:val="0082671D"/>
    <w:rsid w:val="0082672C"/>
    <w:rsid w:val="00826E57"/>
    <w:rsid w:val="008278C2"/>
    <w:rsid w:val="00827C0A"/>
    <w:rsid w:val="00830294"/>
    <w:rsid w:val="008305A4"/>
    <w:rsid w:val="00830776"/>
    <w:rsid w:val="00831BE3"/>
    <w:rsid w:val="00833786"/>
    <w:rsid w:val="00834BB3"/>
    <w:rsid w:val="00834C5D"/>
    <w:rsid w:val="00835EA0"/>
    <w:rsid w:val="00836965"/>
    <w:rsid w:val="00836E16"/>
    <w:rsid w:val="00837093"/>
    <w:rsid w:val="00837FBE"/>
    <w:rsid w:val="008402FA"/>
    <w:rsid w:val="0084045A"/>
    <w:rsid w:val="0084052B"/>
    <w:rsid w:val="00841E13"/>
    <w:rsid w:val="0084282E"/>
    <w:rsid w:val="00842D1E"/>
    <w:rsid w:val="008435C1"/>
    <w:rsid w:val="00843669"/>
    <w:rsid w:val="00844614"/>
    <w:rsid w:val="008461C0"/>
    <w:rsid w:val="008474B1"/>
    <w:rsid w:val="0084770A"/>
    <w:rsid w:val="008505F2"/>
    <w:rsid w:val="00850B58"/>
    <w:rsid w:val="0085138C"/>
    <w:rsid w:val="00853F64"/>
    <w:rsid w:val="00854B78"/>
    <w:rsid w:val="00854DBC"/>
    <w:rsid w:val="00855B29"/>
    <w:rsid w:val="00856620"/>
    <w:rsid w:val="008572EC"/>
    <w:rsid w:val="00857598"/>
    <w:rsid w:val="00857848"/>
    <w:rsid w:val="00857B52"/>
    <w:rsid w:val="00860EEE"/>
    <w:rsid w:val="008612DD"/>
    <w:rsid w:val="00862D05"/>
    <w:rsid w:val="00862EE2"/>
    <w:rsid w:val="00862F4A"/>
    <w:rsid w:val="00863730"/>
    <w:rsid w:val="0086381A"/>
    <w:rsid w:val="00863B99"/>
    <w:rsid w:val="008647BD"/>
    <w:rsid w:val="00865624"/>
    <w:rsid w:val="0086569D"/>
    <w:rsid w:val="008658ED"/>
    <w:rsid w:val="00865BBA"/>
    <w:rsid w:val="00866802"/>
    <w:rsid w:val="00866CB3"/>
    <w:rsid w:val="00866CBD"/>
    <w:rsid w:val="00870065"/>
    <w:rsid w:val="00870707"/>
    <w:rsid w:val="0087072F"/>
    <w:rsid w:val="008713A2"/>
    <w:rsid w:val="008716A9"/>
    <w:rsid w:val="0087201D"/>
    <w:rsid w:val="008726BE"/>
    <w:rsid w:val="00872BD2"/>
    <w:rsid w:val="00872D62"/>
    <w:rsid w:val="008734B0"/>
    <w:rsid w:val="00873AFE"/>
    <w:rsid w:val="008742DE"/>
    <w:rsid w:val="008745A6"/>
    <w:rsid w:val="00874AEE"/>
    <w:rsid w:val="008753C8"/>
    <w:rsid w:val="00876AAF"/>
    <w:rsid w:val="00876C5D"/>
    <w:rsid w:val="00876C9F"/>
    <w:rsid w:val="00876CD7"/>
    <w:rsid w:val="00876ECE"/>
    <w:rsid w:val="00876F26"/>
    <w:rsid w:val="00877A2B"/>
    <w:rsid w:val="00877F2D"/>
    <w:rsid w:val="00880A34"/>
    <w:rsid w:val="008811C8"/>
    <w:rsid w:val="00881880"/>
    <w:rsid w:val="00881CE8"/>
    <w:rsid w:val="0088214D"/>
    <w:rsid w:val="008838EB"/>
    <w:rsid w:val="00883FF8"/>
    <w:rsid w:val="0088456F"/>
    <w:rsid w:val="0088491E"/>
    <w:rsid w:val="00884D35"/>
    <w:rsid w:val="00885C3B"/>
    <w:rsid w:val="00885DBD"/>
    <w:rsid w:val="00885F16"/>
    <w:rsid w:val="00886866"/>
    <w:rsid w:val="00886D6D"/>
    <w:rsid w:val="00886F27"/>
    <w:rsid w:val="00887D09"/>
    <w:rsid w:val="00887DF9"/>
    <w:rsid w:val="0089017F"/>
    <w:rsid w:val="00890E6E"/>
    <w:rsid w:val="008917FD"/>
    <w:rsid w:val="00891DB5"/>
    <w:rsid w:val="00891DD0"/>
    <w:rsid w:val="00892087"/>
    <w:rsid w:val="008926F9"/>
    <w:rsid w:val="008929DC"/>
    <w:rsid w:val="0089365A"/>
    <w:rsid w:val="008946A7"/>
    <w:rsid w:val="00895E0F"/>
    <w:rsid w:val="00896811"/>
    <w:rsid w:val="0089696C"/>
    <w:rsid w:val="00897388"/>
    <w:rsid w:val="00897CB2"/>
    <w:rsid w:val="00897F9C"/>
    <w:rsid w:val="008A03AA"/>
    <w:rsid w:val="008A0408"/>
    <w:rsid w:val="008A0F1A"/>
    <w:rsid w:val="008A2840"/>
    <w:rsid w:val="008A2AC5"/>
    <w:rsid w:val="008A2C6F"/>
    <w:rsid w:val="008A3330"/>
    <w:rsid w:val="008A3DA2"/>
    <w:rsid w:val="008A4169"/>
    <w:rsid w:val="008A4C2C"/>
    <w:rsid w:val="008A4CAF"/>
    <w:rsid w:val="008A5196"/>
    <w:rsid w:val="008A6161"/>
    <w:rsid w:val="008A6434"/>
    <w:rsid w:val="008A669F"/>
    <w:rsid w:val="008A756A"/>
    <w:rsid w:val="008A763C"/>
    <w:rsid w:val="008A7A11"/>
    <w:rsid w:val="008A7C56"/>
    <w:rsid w:val="008A7FBE"/>
    <w:rsid w:val="008B18A9"/>
    <w:rsid w:val="008B1B84"/>
    <w:rsid w:val="008B1B8C"/>
    <w:rsid w:val="008B2C53"/>
    <w:rsid w:val="008B2C94"/>
    <w:rsid w:val="008B3D96"/>
    <w:rsid w:val="008B4D3B"/>
    <w:rsid w:val="008B57E7"/>
    <w:rsid w:val="008B6144"/>
    <w:rsid w:val="008B61E8"/>
    <w:rsid w:val="008B63EC"/>
    <w:rsid w:val="008B6B0E"/>
    <w:rsid w:val="008C0060"/>
    <w:rsid w:val="008C082D"/>
    <w:rsid w:val="008C09D6"/>
    <w:rsid w:val="008C09E9"/>
    <w:rsid w:val="008C0B1F"/>
    <w:rsid w:val="008C0E6A"/>
    <w:rsid w:val="008C162D"/>
    <w:rsid w:val="008C1F1C"/>
    <w:rsid w:val="008C3269"/>
    <w:rsid w:val="008C3D27"/>
    <w:rsid w:val="008C3E87"/>
    <w:rsid w:val="008C42FE"/>
    <w:rsid w:val="008C46D8"/>
    <w:rsid w:val="008C497D"/>
    <w:rsid w:val="008C5878"/>
    <w:rsid w:val="008C5F76"/>
    <w:rsid w:val="008C6A8E"/>
    <w:rsid w:val="008C6C37"/>
    <w:rsid w:val="008C6CB6"/>
    <w:rsid w:val="008C7F7C"/>
    <w:rsid w:val="008D0DBF"/>
    <w:rsid w:val="008D1FF6"/>
    <w:rsid w:val="008D2E6E"/>
    <w:rsid w:val="008D39DD"/>
    <w:rsid w:val="008D3AFD"/>
    <w:rsid w:val="008D46BA"/>
    <w:rsid w:val="008D4DBC"/>
    <w:rsid w:val="008D532F"/>
    <w:rsid w:val="008D55C7"/>
    <w:rsid w:val="008D56F6"/>
    <w:rsid w:val="008D5C22"/>
    <w:rsid w:val="008D6290"/>
    <w:rsid w:val="008D6839"/>
    <w:rsid w:val="008D6AD8"/>
    <w:rsid w:val="008D6F82"/>
    <w:rsid w:val="008D7476"/>
    <w:rsid w:val="008E0DB4"/>
    <w:rsid w:val="008E140D"/>
    <w:rsid w:val="008E235A"/>
    <w:rsid w:val="008E28D9"/>
    <w:rsid w:val="008E2924"/>
    <w:rsid w:val="008E2F9D"/>
    <w:rsid w:val="008E32A9"/>
    <w:rsid w:val="008E32F1"/>
    <w:rsid w:val="008E4518"/>
    <w:rsid w:val="008E5322"/>
    <w:rsid w:val="008E5820"/>
    <w:rsid w:val="008E586F"/>
    <w:rsid w:val="008E5CBF"/>
    <w:rsid w:val="008E6F9B"/>
    <w:rsid w:val="008E715D"/>
    <w:rsid w:val="008E797F"/>
    <w:rsid w:val="008E7F90"/>
    <w:rsid w:val="008E7F95"/>
    <w:rsid w:val="008F001B"/>
    <w:rsid w:val="008F088C"/>
    <w:rsid w:val="008F092F"/>
    <w:rsid w:val="008F1045"/>
    <w:rsid w:val="008F1667"/>
    <w:rsid w:val="008F16B6"/>
    <w:rsid w:val="008F27F8"/>
    <w:rsid w:val="008F3AD1"/>
    <w:rsid w:val="008F462F"/>
    <w:rsid w:val="008F46C5"/>
    <w:rsid w:val="008F488B"/>
    <w:rsid w:val="008F4929"/>
    <w:rsid w:val="008F56BC"/>
    <w:rsid w:val="008F5D70"/>
    <w:rsid w:val="008F6013"/>
    <w:rsid w:val="008F6F02"/>
    <w:rsid w:val="008F791A"/>
    <w:rsid w:val="009010A1"/>
    <w:rsid w:val="009016DB"/>
    <w:rsid w:val="009021F6"/>
    <w:rsid w:val="009024C6"/>
    <w:rsid w:val="00902FF5"/>
    <w:rsid w:val="00903098"/>
    <w:rsid w:val="009033C9"/>
    <w:rsid w:val="00903C58"/>
    <w:rsid w:val="00903D41"/>
    <w:rsid w:val="00903F9F"/>
    <w:rsid w:val="00904701"/>
    <w:rsid w:val="0090495D"/>
    <w:rsid w:val="00904AFA"/>
    <w:rsid w:val="009056BF"/>
    <w:rsid w:val="00906112"/>
    <w:rsid w:val="009065AB"/>
    <w:rsid w:val="009067AF"/>
    <w:rsid w:val="00906A6B"/>
    <w:rsid w:val="009070E8"/>
    <w:rsid w:val="00910357"/>
    <w:rsid w:val="00910BEF"/>
    <w:rsid w:val="009113ED"/>
    <w:rsid w:val="009115AC"/>
    <w:rsid w:val="00912094"/>
    <w:rsid w:val="00912225"/>
    <w:rsid w:val="00912643"/>
    <w:rsid w:val="0091282B"/>
    <w:rsid w:val="009129E7"/>
    <w:rsid w:val="009132FE"/>
    <w:rsid w:val="009134A9"/>
    <w:rsid w:val="009135E9"/>
    <w:rsid w:val="00913F0E"/>
    <w:rsid w:val="0091470D"/>
    <w:rsid w:val="00914CEA"/>
    <w:rsid w:val="0091528D"/>
    <w:rsid w:val="00915434"/>
    <w:rsid w:val="00916430"/>
    <w:rsid w:val="00916442"/>
    <w:rsid w:val="00916465"/>
    <w:rsid w:val="00917A30"/>
    <w:rsid w:val="00920061"/>
    <w:rsid w:val="009207AA"/>
    <w:rsid w:val="009220A8"/>
    <w:rsid w:val="00922828"/>
    <w:rsid w:val="00922DEB"/>
    <w:rsid w:val="009233F4"/>
    <w:rsid w:val="009237A7"/>
    <w:rsid w:val="0092397B"/>
    <w:rsid w:val="00923B91"/>
    <w:rsid w:val="00923D61"/>
    <w:rsid w:val="0092445B"/>
    <w:rsid w:val="0092451D"/>
    <w:rsid w:val="00924A84"/>
    <w:rsid w:val="00925514"/>
    <w:rsid w:val="00925734"/>
    <w:rsid w:val="00926BC7"/>
    <w:rsid w:val="00931EFE"/>
    <w:rsid w:val="00931F7F"/>
    <w:rsid w:val="00932CB5"/>
    <w:rsid w:val="00932E66"/>
    <w:rsid w:val="009333BF"/>
    <w:rsid w:val="0093438F"/>
    <w:rsid w:val="00935DB1"/>
    <w:rsid w:val="00936198"/>
    <w:rsid w:val="009368EB"/>
    <w:rsid w:val="0094059C"/>
    <w:rsid w:val="0094180E"/>
    <w:rsid w:val="00942306"/>
    <w:rsid w:val="009424B5"/>
    <w:rsid w:val="00942949"/>
    <w:rsid w:val="00942E36"/>
    <w:rsid w:val="0094329C"/>
    <w:rsid w:val="00943711"/>
    <w:rsid w:val="009437BB"/>
    <w:rsid w:val="00943C6C"/>
    <w:rsid w:val="00943E4D"/>
    <w:rsid w:val="0094498A"/>
    <w:rsid w:val="00945FF8"/>
    <w:rsid w:val="0094665B"/>
    <w:rsid w:val="00946CBE"/>
    <w:rsid w:val="00950AC5"/>
    <w:rsid w:val="009513D0"/>
    <w:rsid w:val="0095230B"/>
    <w:rsid w:val="00952343"/>
    <w:rsid w:val="009530F6"/>
    <w:rsid w:val="009532A3"/>
    <w:rsid w:val="00953BCA"/>
    <w:rsid w:val="009542FD"/>
    <w:rsid w:val="0095433C"/>
    <w:rsid w:val="00954DEA"/>
    <w:rsid w:val="009554A8"/>
    <w:rsid w:val="00955CD6"/>
    <w:rsid w:val="00955E56"/>
    <w:rsid w:val="00955E88"/>
    <w:rsid w:val="009560DB"/>
    <w:rsid w:val="00956693"/>
    <w:rsid w:val="00956E52"/>
    <w:rsid w:val="00962344"/>
    <w:rsid w:val="00962446"/>
    <w:rsid w:val="00962BE6"/>
    <w:rsid w:val="00962F8D"/>
    <w:rsid w:val="00963ACE"/>
    <w:rsid w:val="0096404E"/>
    <w:rsid w:val="00964910"/>
    <w:rsid w:val="00964F69"/>
    <w:rsid w:val="00965158"/>
    <w:rsid w:val="00965788"/>
    <w:rsid w:val="00965E96"/>
    <w:rsid w:val="0097058C"/>
    <w:rsid w:val="00970652"/>
    <w:rsid w:val="00970D15"/>
    <w:rsid w:val="00971D80"/>
    <w:rsid w:val="00971DA7"/>
    <w:rsid w:val="00971DD4"/>
    <w:rsid w:val="00973AB1"/>
    <w:rsid w:val="00975BED"/>
    <w:rsid w:val="009768BD"/>
    <w:rsid w:val="00977A67"/>
    <w:rsid w:val="0098003E"/>
    <w:rsid w:val="0098046A"/>
    <w:rsid w:val="00981087"/>
    <w:rsid w:val="00981D2D"/>
    <w:rsid w:val="009825C0"/>
    <w:rsid w:val="009827D8"/>
    <w:rsid w:val="0098284F"/>
    <w:rsid w:val="009851C4"/>
    <w:rsid w:val="00985395"/>
    <w:rsid w:val="0098558A"/>
    <w:rsid w:val="009855FE"/>
    <w:rsid w:val="00985643"/>
    <w:rsid w:val="009857DA"/>
    <w:rsid w:val="00985EF6"/>
    <w:rsid w:val="009866C7"/>
    <w:rsid w:val="00986A95"/>
    <w:rsid w:val="00986D78"/>
    <w:rsid w:val="009872B6"/>
    <w:rsid w:val="00987437"/>
    <w:rsid w:val="00987EB4"/>
    <w:rsid w:val="00990D2A"/>
    <w:rsid w:val="00990DE6"/>
    <w:rsid w:val="0099104F"/>
    <w:rsid w:val="009912D7"/>
    <w:rsid w:val="00991405"/>
    <w:rsid w:val="00991916"/>
    <w:rsid w:val="009923B3"/>
    <w:rsid w:val="009925ED"/>
    <w:rsid w:val="0099269A"/>
    <w:rsid w:val="00992D0D"/>
    <w:rsid w:val="009930C8"/>
    <w:rsid w:val="00993B14"/>
    <w:rsid w:val="009941C0"/>
    <w:rsid w:val="009947D2"/>
    <w:rsid w:val="00995CE4"/>
    <w:rsid w:val="009965E0"/>
    <w:rsid w:val="00997232"/>
    <w:rsid w:val="009A15D7"/>
    <w:rsid w:val="009A1E82"/>
    <w:rsid w:val="009A2A52"/>
    <w:rsid w:val="009A2C82"/>
    <w:rsid w:val="009A5CCE"/>
    <w:rsid w:val="009A62BF"/>
    <w:rsid w:val="009A651C"/>
    <w:rsid w:val="009A653C"/>
    <w:rsid w:val="009B0B03"/>
    <w:rsid w:val="009B1412"/>
    <w:rsid w:val="009B1FEB"/>
    <w:rsid w:val="009B2DAD"/>
    <w:rsid w:val="009B37E0"/>
    <w:rsid w:val="009B3E02"/>
    <w:rsid w:val="009B3F7A"/>
    <w:rsid w:val="009B486C"/>
    <w:rsid w:val="009B5216"/>
    <w:rsid w:val="009B6A4F"/>
    <w:rsid w:val="009B7091"/>
    <w:rsid w:val="009B72B5"/>
    <w:rsid w:val="009B77D1"/>
    <w:rsid w:val="009C0662"/>
    <w:rsid w:val="009C0768"/>
    <w:rsid w:val="009C0880"/>
    <w:rsid w:val="009C0ED8"/>
    <w:rsid w:val="009C316E"/>
    <w:rsid w:val="009C3520"/>
    <w:rsid w:val="009C4583"/>
    <w:rsid w:val="009C4B43"/>
    <w:rsid w:val="009C4D08"/>
    <w:rsid w:val="009C55BC"/>
    <w:rsid w:val="009C5B82"/>
    <w:rsid w:val="009C73BF"/>
    <w:rsid w:val="009C7480"/>
    <w:rsid w:val="009C7AC4"/>
    <w:rsid w:val="009D04F6"/>
    <w:rsid w:val="009D2417"/>
    <w:rsid w:val="009D3980"/>
    <w:rsid w:val="009D3A6F"/>
    <w:rsid w:val="009D3B9C"/>
    <w:rsid w:val="009D3C45"/>
    <w:rsid w:val="009D5A7B"/>
    <w:rsid w:val="009D6B04"/>
    <w:rsid w:val="009D6C6B"/>
    <w:rsid w:val="009D7E2F"/>
    <w:rsid w:val="009E0456"/>
    <w:rsid w:val="009E0CAF"/>
    <w:rsid w:val="009E0EC6"/>
    <w:rsid w:val="009E0FCC"/>
    <w:rsid w:val="009E1280"/>
    <w:rsid w:val="009E1476"/>
    <w:rsid w:val="009E193F"/>
    <w:rsid w:val="009E1F10"/>
    <w:rsid w:val="009E2247"/>
    <w:rsid w:val="009E2B53"/>
    <w:rsid w:val="009E2CA1"/>
    <w:rsid w:val="009E2F22"/>
    <w:rsid w:val="009E34E7"/>
    <w:rsid w:val="009E3A56"/>
    <w:rsid w:val="009E3DC5"/>
    <w:rsid w:val="009E46F6"/>
    <w:rsid w:val="009E48C6"/>
    <w:rsid w:val="009E529D"/>
    <w:rsid w:val="009E552B"/>
    <w:rsid w:val="009E5675"/>
    <w:rsid w:val="009E5847"/>
    <w:rsid w:val="009E6807"/>
    <w:rsid w:val="009E711E"/>
    <w:rsid w:val="009E768B"/>
    <w:rsid w:val="009E7DDB"/>
    <w:rsid w:val="009F002E"/>
    <w:rsid w:val="009F0129"/>
    <w:rsid w:val="009F014D"/>
    <w:rsid w:val="009F0A99"/>
    <w:rsid w:val="009F1213"/>
    <w:rsid w:val="009F301D"/>
    <w:rsid w:val="009F334C"/>
    <w:rsid w:val="009F3512"/>
    <w:rsid w:val="009F5B11"/>
    <w:rsid w:val="009F62BC"/>
    <w:rsid w:val="009F62F5"/>
    <w:rsid w:val="009F7200"/>
    <w:rsid w:val="009F79B0"/>
    <w:rsid w:val="00A000B5"/>
    <w:rsid w:val="00A001E4"/>
    <w:rsid w:val="00A00367"/>
    <w:rsid w:val="00A00A3C"/>
    <w:rsid w:val="00A00A4D"/>
    <w:rsid w:val="00A00A72"/>
    <w:rsid w:val="00A016BF"/>
    <w:rsid w:val="00A02E7E"/>
    <w:rsid w:val="00A03DD0"/>
    <w:rsid w:val="00A0526D"/>
    <w:rsid w:val="00A053B7"/>
    <w:rsid w:val="00A062FB"/>
    <w:rsid w:val="00A075E1"/>
    <w:rsid w:val="00A07B5E"/>
    <w:rsid w:val="00A07C54"/>
    <w:rsid w:val="00A10445"/>
    <w:rsid w:val="00A10A34"/>
    <w:rsid w:val="00A10C81"/>
    <w:rsid w:val="00A1138F"/>
    <w:rsid w:val="00A11732"/>
    <w:rsid w:val="00A120EE"/>
    <w:rsid w:val="00A1218B"/>
    <w:rsid w:val="00A1240E"/>
    <w:rsid w:val="00A127E5"/>
    <w:rsid w:val="00A1289F"/>
    <w:rsid w:val="00A12D8C"/>
    <w:rsid w:val="00A13365"/>
    <w:rsid w:val="00A136AD"/>
    <w:rsid w:val="00A136D5"/>
    <w:rsid w:val="00A138FB"/>
    <w:rsid w:val="00A14461"/>
    <w:rsid w:val="00A144C7"/>
    <w:rsid w:val="00A148FB"/>
    <w:rsid w:val="00A14931"/>
    <w:rsid w:val="00A15AE5"/>
    <w:rsid w:val="00A16DFA"/>
    <w:rsid w:val="00A16E7A"/>
    <w:rsid w:val="00A206C5"/>
    <w:rsid w:val="00A20E19"/>
    <w:rsid w:val="00A216A7"/>
    <w:rsid w:val="00A21D7A"/>
    <w:rsid w:val="00A21F3C"/>
    <w:rsid w:val="00A22027"/>
    <w:rsid w:val="00A220DA"/>
    <w:rsid w:val="00A227A3"/>
    <w:rsid w:val="00A227C5"/>
    <w:rsid w:val="00A22886"/>
    <w:rsid w:val="00A22CCD"/>
    <w:rsid w:val="00A23E4F"/>
    <w:rsid w:val="00A243CD"/>
    <w:rsid w:val="00A2446A"/>
    <w:rsid w:val="00A24FC8"/>
    <w:rsid w:val="00A2581C"/>
    <w:rsid w:val="00A25F3B"/>
    <w:rsid w:val="00A3073E"/>
    <w:rsid w:val="00A31124"/>
    <w:rsid w:val="00A314A7"/>
    <w:rsid w:val="00A32DFD"/>
    <w:rsid w:val="00A33202"/>
    <w:rsid w:val="00A34488"/>
    <w:rsid w:val="00A3484E"/>
    <w:rsid w:val="00A35676"/>
    <w:rsid w:val="00A35D30"/>
    <w:rsid w:val="00A35E40"/>
    <w:rsid w:val="00A36301"/>
    <w:rsid w:val="00A36D81"/>
    <w:rsid w:val="00A3729F"/>
    <w:rsid w:val="00A3770C"/>
    <w:rsid w:val="00A37ED9"/>
    <w:rsid w:val="00A40618"/>
    <w:rsid w:val="00A417F1"/>
    <w:rsid w:val="00A42196"/>
    <w:rsid w:val="00A42767"/>
    <w:rsid w:val="00A42E1C"/>
    <w:rsid w:val="00A437F1"/>
    <w:rsid w:val="00A44ED2"/>
    <w:rsid w:val="00A450CF"/>
    <w:rsid w:val="00A45B17"/>
    <w:rsid w:val="00A45ED6"/>
    <w:rsid w:val="00A4604F"/>
    <w:rsid w:val="00A4620D"/>
    <w:rsid w:val="00A46DAB"/>
    <w:rsid w:val="00A4747F"/>
    <w:rsid w:val="00A47498"/>
    <w:rsid w:val="00A5061F"/>
    <w:rsid w:val="00A51AB0"/>
    <w:rsid w:val="00A52652"/>
    <w:rsid w:val="00A5299E"/>
    <w:rsid w:val="00A55F67"/>
    <w:rsid w:val="00A572CC"/>
    <w:rsid w:val="00A604E5"/>
    <w:rsid w:val="00A60564"/>
    <w:rsid w:val="00A61099"/>
    <w:rsid w:val="00A610ED"/>
    <w:rsid w:val="00A612D2"/>
    <w:rsid w:val="00A6135B"/>
    <w:rsid w:val="00A61F11"/>
    <w:rsid w:val="00A62033"/>
    <w:rsid w:val="00A631C6"/>
    <w:rsid w:val="00A636AC"/>
    <w:rsid w:val="00A6375B"/>
    <w:rsid w:val="00A6378A"/>
    <w:rsid w:val="00A63D6C"/>
    <w:rsid w:val="00A64222"/>
    <w:rsid w:val="00A64C96"/>
    <w:rsid w:val="00A65D46"/>
    <w:rsid w:val="00A65DD8"/>
    <w:rsid w:val="00A66226"/>
    <w:rsid w:val="00A667EF"/>
    <w:rsid w:val="00A66948"/>
    <w:rsid w:val="00A6714C"/>
    <w:rsid w:val="00A7005D"/>
    <w:rsid w:val="00A71125"/>
    <w:rsid w:val="00A7146D"/>
    <w:rsid w:val="00A715FE"/>
    <w:rsid w:val="00A71E2B"/>
    <w:rsid w:val="00A72134"/>
    <w:rsid w:val="00A724F4"/>
    <w:rsid w:val="00A73595"/>
    <w:rsid w:val="00A7425A"/>
    <w:rsid w:val="00A744B7"/>
    <w:rsid w:val="00A74B41"/>
    <w:rsid w:val="00A76525"/>
    <w:rsid w:val="00A76FA9"/>
    <w:rsid w:val="00A776EF"/>
    <w:rsid w:val="00A77A03"/>
    <w:rsid w:val="00A803B0"/>
    <w:rsid w:val="00A80DA1"/>
    <w:rsid w:val="00A80F7B"/>
    <w:rsid w:val="00A8186A"/>
    <w:rsid w:val="00A81C5B"/>
    <w:rsid w:val="00A82526"/>
    <w:rsid w:val="00A82A01"/>
    <w:rsid w:val="00A82C07"/>
    <w:rsid w:val="00A82DC6"/>
    <w:rsid w:val="00A82DE1"/>
    <w:rsid w:val="00A840F7"/>
    <w:rsid w:val="00A84638"/>
    <w:rsid w:val="00A84AF5"/>
    <w:rsid w:val="00A855D4"/>
    <w:rsid w:val="00A859B8"/>
    <w:rsid w:val="00A8612C"/>
    <w:rsid w:val="00A8696A"/>
    <w:rsid w:val="00A87ABC"/>
    <w:rsid w:val="00A901F9"/>
    <w:rsid w:val="00A903F6"/>
    <w:rsid w:val="00A91C92"/>
    <w:rsid w:val="00A928C6"/>
    <w:rsid w:val="00A930A7"/>
    <w:rsid w:val="00A94575"/>
    <w:rsid w:val="00A95FC3"/>
    <w:rsid w:val="00A96394"/>
    <w:rsid w:val="00A96B6E"/>
    <w:rsid w:val="00A96C99"/>
    <w:rsid w:val="00AA0806"/>
    <w:rsid w:val="00AA17C3"/>
    <w:rsid w:val="00AA1C36"/>
    <w:rsid w:val="00AA25CA"/>
    <w:rsid w:val="00AA25F4"/>
    <w:rsid w:val="00AA2C50"/>
    <w:rsid w:val="00AA2FD1"/>
    <w:rsid w:val="00AA6263"/>
    <w:rsid w:val="00AA6819"/>
    <w:rsid w:val="00AA781F"/>
    <w:rsid w:val="00AB0237"/>
    <w:rsid w:val="00AB0D5E"/>
    <w:rsid w:val="00AB0DD4"/>
    <w:rsid w:val="00AB10A7"/>
    <w:rsid w:val="00AB17B3"/>
    <w:rsid w:val="00AB1DAC"/>
    <w:rsid w:val="00AB2236"/>
    <w:rsid w:val="00AB2D59"/>
    <w:rsid w:val="00AB308A"/>
    <w:rsid w:val="00AB34B7"/>
    <w:rsid w:val="00AB35AC"/>
    <w:rsid w:val="00AB3B9C"/>
    <w:rsid w:val="00AB4089"/>
    <w:rsid w:val="00AB52D0"/>
    <w:rsid w:val="00AB6450"/>
    <w:rsid w:val="00AB6491"/>
    <w:rsid w:val="00AB7432"/>
    <w:rsid w:val="00AB7672"/>
    <w:rsid w:val="00AB7888"/>
    <w:rsid w:val="00AC0D81"/>
    <w:rsid w:val="00AC0DE7"/>
    <w:rsid w:val="00AC1092"/>
    <w:rsid w:val="00AC1334"/>
    <w:rsid w:val="00AC1A28"/>
    <w:rsid w:val="00AC1AA1"/>
    <w:rsid w:val="00AC2125"/>
    <w:rsid w:val="00AC238A"/>
    <w:rsid w:val="00AC2719"/>
    <w:rsid w:val="00AC49C5"/>
    <w:rsid w:val="00AC4D0F"/>
    <w:rsid w:val="00AC5639"/>
    <w:rsid w:val="00AC68A0"/>
    <w:rsid w:val="00AC7C82"/>
    <w:rsid w:val="00AD02CE"/>
    <w:rsid w:val="00AD04FB"/>
    <w:rsid w:val="00AD0952"/>
    <w:rsid w:val="00AD09C2"/>
    <w:rsid w:val="00AD0DFA"/>
    <w:rsid w:val="00AD0E8C"/>
    <w:rsid w:val="00AD1D06"/>
    <w:rsid w:val="00AD2143"/>
    <w:rsid w:val="00AD279D"/>
    <w:rsid w:val="00AD2B19"/>
    <w:rsid w:val="00AD2B46"/>
    <w:rsid w:val="00AD2FBC"/>
    <w:rsid w:val="00AD3E8F"/>
    <w:rsid w:val="00AD42A0"/>
    <w:rsid w:val="00AD42B0"/>
    <w:rsid w:val="00AD4398"/>
    <w:rsid w:val="00AD4497"/>
    <w:rsid w:val="00AD4DE8"/>
    <w:rsid w:val="00AD5717"/>
    <w:rsid w:val="00AD6665"/>
    <w:rsid w:val="00AD7603"/>
    <w:rsid w:val="00AD7C49"/>
    <w:rsid w:val="00AD7C68"/>
    <w:rsid w:val="00AE02C9"/>
    <w:rsid w:val="00AE075B"/>
    <w:rsid w:val="00AE0B35"/>
    <w:rsid w:val="00AE1883"/>
    <w:rsid w:val="00AE29F8"/>
    <w:rsid w:val="00AE30A2"/>
    <w:rsid w:val="00AE3A30"/>
    <w:rsid w:val="00AE3D7A"/>
    <w:rsid w:val="00AE5437"/>
    <w:rsid w:val="00AE66E0"/>
    <w:rsid w:val="00AE7248"/>
    <w:rsid w:val="00AE74E4"/>
    <w:rsid w:val="00AE7868"/>
    <w:rsid w:val="00AE7CE7"/>
    <w:rsid w:val="00AE7DB6"/>
    <w:rsid w:val="00AF0365"/>
    <w:rsid w:val="00AF0E06"/>
    <w:rsid w:val="00AF16E3"/>
    <w:rsid w:val="00AF51AE"/>
    <w:rsid w:val="00AF5C2D"/>
    <w:rsid w:val="00AF614F"/>
    <w:rsid w:val="00AF6411"/>
    <w:rsid w:val="00AF66A6"/>
    <w:rsid w:val="00AF6F9D"/>
    <w:rsid w:val="00AF756B"/>
    <w:rsid w:val="00B0027B"/>
    <w:rsid w:val="00B00795"/>
    <w:rsid w:val="00B00F6E"/>
    <w:rsid w:val="00B01DAB"/>
    <w:rsid w:val="00B028B2"/>
    <w:rsid w:val="00B02B2A"/>
    <w:rsid w:val="00B03E3D"/>
    <w:rsid w:val="00B04635"/>
    <w:rsid w:val="00B050AD"/>
    <w:rsid w:val="00B050AE"/>
    <w:rsid w:val="00B05390"/>
    <w:rsid w:val="00B0555E"/>
    <w:rsid w:val="00B05837"/>
    <w:rsid w:val="00B05B52"/>
    <w:rsid w:val="00B06542"/>
    <w:rsid w:val="00B0684B"/>
    <w:rsid w:val="00B06A81"/>
    <w:rsid w:val="00B06ED8"/>
    <w:rsid w:val="00B06F3A"/>
    <w:rsid w:val="00B07B3E"/>
    <w:rsid w:val="00B102D2"/>
    <w:rsid w:val="00B10608"/>
    <w:rsid w:val="00B11352"/>
    <w:rsid w:val="00B122DA"/>
    <w:rsid w:val="00B12A7D"/>
    <w:rsid w:val="00B13FDC"/>
    <w:rsid w:val="00B150D4"/>
    <w:rsid w:val="00B15339"/>
    <w:rsid w:val="00B155F6"/>
    <w:rsid w:val="00B16993"/>
    <w:rsid w:val="00B17814"/>
    <w:rsid w:val="00B20320"/>
    <w:rsid w:val="00B2042D"/>
    <w:rsid w:val="00B21127"/>
    <w:rsid w:val="00B21240"/>
    <w:rsid w:val="00B21708"/>
    <w:rsid w:val="00B21771"/>
    <w:rsid w:val="00B2296F"/>
    <w:rsid w:val="00B2398E"/>
    <w:rsid w:val="00B23FFE"/>
    <w:rsid w:val="00B24DCF"/>
    <w:rsid w:val="00B25E9F"/>
    <w:rsid w:val="00B264BA"/>
    <w:rsid w:val="00B27100"/>
    <w:rsid w:val="00B27388"/>
    <w:rsid w:val="00B2768B"/>
    <w:rsid w:val="00B27BF3"/>
    <w:rsid w:val="00B27FAE"/>
    <w:rsid w:val="00B32833"/>
    <w:rsid w:val="00B32C79"/>
    <w:rsid w:val="00B3300A"/>
    <w:rsid w:val="00B33244"/>
    <w:rsid w:val="00B34019"/>
    <w:rsid w:val="00B34A34"/>
    <w:rsid w:val="00B35402"/>
    <w:rsid w:val="00B354F5"/>
    <w:rsid w:val="00B36414"/>
    <w:rsid w:val="00B36A40"/>
    <w:rsid w:val="00B36F7B"/>
    <w:rsid w:val="00B3765D"/>
    <w:rsid w:val="00B3776C"/>
    <w:rsid w:val="00B37878"/>
    <w:rsid w:val="00B37B45"/>
    <w:rsid w:val="00B37CFA"/>
    <w:rsid w:val="00B401BE"/>
    <w:rsid w:val="00B40445"/>
    <w:rsid w:val="00B40C04"/>
    <w:rsid w:val="00B40D3C"/>
    <w:rsid w:val="00B40E15"/>
    <w:rsid w:val="00B40E17"/>
    <w:rsid w:val="00B41808"/>
    <w:rsid w:val="00B418D1"/>
    <w:rsid w:val="00B41C70"/>
    <w:rsid w:val="00B41FA9"/>
    <w:rsid w:val="00B42631"/>
    <w:rsid w:val="00B42A8A"/>
    <w:rsid w:val="00B43173"/>
    <w:rsid w:val="00B46110"/>
    <w:rsid w:val="00B47789"/>
    <w:rsid w:val="00B47B3F"/>
    <w:rsid w:val="00B50DD0"/>
    <w:rsid w:val="00B52382"/>
    <w:rsid w:val="00B52BB9"/>
    <w:rsid w:val="00B5336E"/>
    <w:rsid w:val="00B53678"/>
    <w:rsid w:val="00B53FE8"/>
    <w:rsid w:val="00B548B0"/>
    <w:rsid w:val="00B54C8A"/>
    <w:rsid w:val="00B55C94"/>
    <w:rsid w:val="00B56C0F"/>
    <w:rsid w:val="00B57801"/>
    <w:rsid w:val="00B606E7"/>
    <w:rsid w:val="00B6095C"/>
    <w:rsid w:val="00B609F5"/>
    <w:rsid w:val="00B60C43"/>
    <w:rsid w:val="00B61E21"/>
    <w:rsid w:val="00B621ED"/>
    <w:rsid w:val="00B701D3"/>
    <w:rsid w:val="00B706FC"/>
    <w:rsid w:val="00B70B3F"/>
    <w:rsid w:val="00B71116"/>
    <w:rsid w:val="00B71CCB"/>
    <w:rsid w:val="00B7238D"/>
    <w:rsid w:val="00B727A1"/>
    <w:rsid w:val="00B729CD"/>
    <w:rsid w:val="00B7491D"/>
    <w:rsid w:val="00B752AB"/>
    <w:rsid w:val="00B75CAC"/>
    <w:rsid w:val="00B75F37"/>
    <w:rsid w:val="00B763DB"/>
    <w:rsid w:val="00B76FE4"/>
    <w:rsid w:val="00B77A2B"/>
    <w:rsid w:val="00B77EB2"/>
    <w:rsid w:val="00B77F07"/>
    <w:rsid w:val="00B80CAD"/>
    <w:rsid w:val="00B823F4"/>
    <w:rsid w:val="00B82733"/>
    <w:rsid w:val="00B82C0A"/>
    <w:rsid w:val="00B82FB0"/>
    <w:rsid w:val="00B83C00"/>
    <w:rsid w:val="00B8433D"/>
    <w:rsid w:val="00B857EC"/>
    <w:rsid w:val="00B864ED"/>
    <w:rsid w:val="00B902D9"/>
    <w:rsid w:val="00B9043E"/>
    <w:rsid w:val="00B905A7"/>
    <w:rsid w:val="00B906B3"/>
    <w:rsid w:val="00B90F08"/>
    <w:rsid w:val="00B9231C"/>
    <w:rsid w:val="00B92760"/>
    <w:rsid w:val="00B92827"/>
    <w:rsid w:val="00B934C7"/>
    <w:rsid w:val="00B939E0"/>
    <w:rsid w:val="00B9440E"/>
    <w:rsid w:val="00B9571C"/>
    <w:rsid w:val="00B95CE0"/>
    <w:rsid w:val="00B95DC0"/>
    <w:rsid w:val="00B96099"/>
    <w:rsid w:val="00B965EF"/>
    <w:rsid w:val="00B96AD4"/>
    <w:rsid w:val="00B96BFF"/>
    <w:rsid w:val="00B97640"/>
    <w:rsid w:val="00B97DD0"/>
    <w:rsid w:val="00B97F08"/>
    <w:rsid w:val="00BA0B60"/>
    <w:rsid w:val="00BA16E1"/>
    <w:rsid w:val="00BA1F41"/>
    <w:rsid w:val="00BA2CB3"/>
    <w:rsid w:val="00BA3A6D"/>
    <w:rsid w:val="00BA4029"/>
    <w:rsid w:val="00BA4E6F"/>
    <w:rsid w:val="00BA5727"/>
    <w:rsid w:val="00BA57C6"/>
    <w:rsid w:val="00BA5B36"/>
    <w:rsid w:val="00BA5DDA"/>
    <w:rsid w:val="00BA65F3"/>
    <w:rsid w:val="00BA69C5"/>
    <w:rsid w:val="00BA6EED"/>
    <w:rsid w:val="00BA79D4"/>
    <w:rsid w:val="00BA7F69"/>
    <w:rsid w:val="00BB03B0"/>
    <w:rsid w:val="00BB04B9"/>
    <w:rsid w:val="00BB05C5"/>
    <w:rsid w:val="00BB1BE8"/>
    <w:rsid w:val="00BB216C"/>
    <w:rsid w:val="00BB24CA"/>
    <w:rsid w:val="00BB2989"/>
    <w:rsid w:val="00BB2D05"/>
    <w:rsid w:val="00BB34D8"/>
    <w:rsid w:val="00BB3E66"/>
    <w:rsid w:val="00BB408A"/>
    <w:rsid w:val="00BB4723"/>
    <w:rsid w:val="00BB5156"/>
    <w:rsid w:val="00BB6A3E"/>
    <w:rsid w:val="00BB6DB0"/>
    <w:rsid w:val="00BB6E89"/>
    <w:rsid w:val="00BB7036"/>
    <w:rsid w:val="00BB703C"/>
    <w:rsid w:val="00BB71D5"/>
    <w:rsid w:val="00BB7A9C"/>
    <w:rsid w:val="00BB7C25"/>
    <w:rsid w:val="00BC0067"/>
    <w:rsid w:val="00BC0B65"/>
    <w:rsid w:val="00BC0B68"/>
    <w:rsid w:val="00BC0B86"/>
    <w:rsid w:val="00BC169D"/>
    <w:rsid w:val="00BC185F"/>
    <w:rsid w:val="00BC2010"/>
    <w:rsid w:val="00BC254A"/>
    <w:rsid w:val="00BC2C55"/>
    <w:rsid w:val="00BC2D5E"/>
    <w:rsid w:val="00BC2FEE"/>
    <w:rsid w:val="00BC3172"/>
    <w:rsid w:val="00BC3CAE"/>
    <w:rsid w:val="00BC3F14"/>
    <w:rsid w:val="00BC408E"/>
    <w:rsid w:val="00BC46CE"/>
    <w:rsid w:val="00BC4888"/>
    <w:rsid w:val="00BC5B46"/>
    <w:rsid w:val="00BC5B6D"/>
    <w:rsid w:val="00BC5C6A"/>
    <w:rsid w:val="00BC64E4"/>
    <w:rsid w:val="00BC6EDF"/>
    <w:rsid w:val="00BC70BC"/>
    <w:rsid w:val="00BC7789"/>
    <w:rsid w:val="00BD05A9"/>
    <w:rsid w:val="00BD0690"/>
    <w:rsid w:val="00BD0BAC"/>
    <w:rsid w:val="00BD199F"/>
    <w:rsid w:val="00BD2F81"/>
    <w:rsid w:val="00BD47BF"/>
    <w:rsid w:val="00BD4A0B"/>
    <w:rsid w:val="00BD503D"/>
    <w:rsid w:val="00BD541A"/>
    <w:rsid w:val="00BD6B06"/>
    <w:rsid w:val="00BD6E52"/>
    <w:rsid w:val="00BD7100"/>
    <w:rsid w:val="00BD72D5"/>
    <w:rsid w:val="00BD7395"/>
    <w:rsid w:val="00BD7580"/>
    <w:rsid w:val="00BD75CD"/>
    <w:rsid w:val="00BE0339"/>
    <w:rsid w:val="00BE071D"/>
    <w:rsid w:val="00BE07DC"/>
    <w:rsid w:val="00BE0C4C"/>
    <w:rsid w:val="00BE0D1E"/>
    <w:rsid w:val="00BE0E02"/>
    <w:rsid w:val="00BE1007"/>
    <w:rsid w:val="00BE1732"/>
    <w:rsid w:val="00BE1B35"/>
    <w:rsid w:val="00BE2636"/>
    <w:rsid w:val="00BE26A3"/>
    <w:rsid w:val="00BE285E"/>
    <w:rsid w:val="00BE300B"/>
    <w:rsid w:val="00BE30B4"/>
    <w:rsid w:val="00BE3771"/>
    <w:rsid w:val="00BE37C1"/>
    <w:rsid w:val="00BE388C"/>
    <w:rsid w:val="00BE4B05"/>
    <w:rsid w:val="00BE4E0F"/>
    <w:rsid w:val="00BE6156"/>
    <w:rsid w:val="00BE6333"/>
    <w:rsid w:val="00BE684A"/>
    <w:rsid w:val="00BE6E8F"/>
    <w:rsid w:val="00BE79C8"/>
    <w:rsid w:val="00BF0BF9"/>
    <w:rsid w:val="00BF15A9"/>
    <w:rsid w:val="00BF1B39"/>
    <w:rsid w:val="00BF20EA"/>
    <w:rsid w:val="00BF2281"/>
    <w:rsid w:val="00BF3EA1"/>
    <w:rsid w:val="00BF4D4F"/>
    <w:rsid w:val="00BF4F01"/>
    <w:rsid w:val="00BF706B"/>
    <w:rsid w:val="00BF724D"/>
    <w:rsid w:val="00BF7377"/>
    <w:rsid w:val="00BF7B2D"/>
    <w:rsid w:val="00C006C0"/>
    <w:rsid w:val="00C00AA9"/>
    <w:rsid w:val="00C0141A"/>
    <w:rsid w:val="00C018F1"/>
    <w:rsid w:val="00C01A09"/>
    <w:rsid w:val="00C027E2"/>
    <w:rsid w:val="00C0478A"/>
    <w:rsid w:val="00C055E6"/>
    <w:rsid w:val="00C0563F"/>
    <w:rsid w:val="00C05728"/>
    <w:rsid w:val="00C05C8C"/>
    <w:rsid w:val="00C06193"/>
    <w:rsid w:val="00C06D87"/>
    <w:rsid w:val="00C06E9C"/>
    <w:rsid w:val="00C0743D"/>
    <w:rsid w:val="00C07B70"/>
    <w:rsid w:val="00C10703"/>
    <w:rsid w:val="00C10754"/>
    <w:rsid w:val="00C10DF6"/>
    <w:rsid w:val="00C12312"/>
    <w:rsid w:val="00C128F8"/>
    <w:rsid w:val="00C12A29"/>
    <w:rsid w:val="00C12D45"/>
    <w:rsid w:val="00C13639"/>
    <w:rsid w:val="00C1413F"/>
    <w:rsid w:val="00C145BC"/>
    <w:rsid w:val="00C149AC"/>
    <w:rsid w:val="00C14FF7"/>
    <w:rsid w:val="00C152F8"/>
    <w:rsid w:val="00C16C7C"/>
    <w:rsid w:val="00C172BB"/>
    <w:rsid w:val="00C17322"/>
    <w:rsid w:val="00C17345"/>
    <w:rsid w:val="00C17579"/>
    <w:rsid w:val="00C17973"/>
    <w:rsid w:val="00C17A25"/>
    <w:rsid w:val="00C20738"/>
    <w:rsid w:val="00C20D82"/>
    <w:rsid w:val="00C219D4"/>
    <w:rsid w:val="00C2212D"/>
    <w:rsid w:val="00C2251C"/>
    <w:rsid w:val="00C23080"/>
    <w:rsid w:val="00C23374"/>
    <w:rsid w:val="00C24571"/>
    <w:rsid w:val="00C247BF"/>
    <w:rsid w:val="00C25392"/>
    <w:rsid w:val="00C2564A"/>
    <w:rsid w:val="00C25684"/>
    <w:rsid w:val="00C25712"/>
    <w:rsid w:val="00C259E2"/>
    <w:rsid w:val="00C26318"/>
    <w:rsid w:val="00C265AA"/>
    <w:rsid w:val="00C273FF"/>
    <w:rsid w:val="00C278D5"/>
    <w:rsid w:val="00C27D1A"/>
    <w:rsid w:val="00C30014"/>
    <w:rsid w:val="00C31251"/>
    <w:rsid w:val="00C315BE"/>
    <w:rsid w:val="00C31DFA"/>
    <w:rsid w:val="00C31F9D"/>
    <w:rsid w:val="00C36BFA"/>
    <w:rsid w:val="00C37605"/>
    <w:rsid w:val="00C41418"/>
    <w:rsid w:val="00C414B6"/>
    <w:rsid w:val="00C415AE"/>
    <w:rsid w:val="00C41602"/>
    <w:rsid w:val="00C41D0D"/>
    <w:rsid w:val="00C42282"/>
    <w:rsid w:val="00C422F2"/>
    <w:rsid w:val="00C42814"/>
    <w:rsid w:val="00C42C48"/>
    <w:rsid w:val="00C43F41"/>
    <w:rsid w:val="00C44361"/>
    <w:rsid w:val="00C44FF5"/>
    <w:rsid w:val="00C452B6"/>
    <w:rsid w:val="00C45BFB"/>
    <w:rsid w:val="00C46529"/>
    <w:rsid w:val="00C467D0"/>
    <w:rsid w:val="00C46C06"/>
    <w:rsid w:val="00C47351"/>
    <w:rsid w:val="00C473DC"/>
    <w:rsid w:val="00C477BD"/>
    <w:rsid w:val="00C47DA9"/>
    <w:rsid w:val="00C47E53"/>
    <w:rsid w:val="00C50CDA"/>
    <w:rsid w:val="00C5125B"/>
    <w:rsid w:val="00C513D5"/>
    <w:rsid w:val="00C52FD6"/>
    <w:rsid w:val="00C533A5"/>
    <w:rsid w:val="00C53CA9"/>
    <w:rsid w:val="00C5416C"/>
    <w:rsid w:val="00C5455F"/>
    <w:rsid w:val="00C5601A"/>
    <w:rsid w:val="00C57403"/>
    <w:rsid w:val="00C57EBA"/>
    <w:rsid w:val="00C60173"/>
    <w:rsid w:val="00C60617"/>
    <w:rsid w:val="00C62854"/>
    <w:rsid w:val="00C62AC7"/>
    <w:rsid w:val="00C62DC3"/>
    <w:rsid w:val="00C6328B"/>
    <w:rsid w:val="00C6344A"/>
    <w:rsid w:val="00C63802"/>
    <w:rsid w:val="00C63BB3"/>
    <w:rsid w:val="00C63D12"/>
    <w:rsid w:val="00C6436E"/>
    <w:rsid w:val="00C655A6"/>
    <w:rsid w:val="00C655E0"/>
    <w:rsid w:val="00C658B7"/>
    <w:rsid w:val="00C65C42"/>
    <w:rsid w:val="00C65D57"/>
    <w:rsid w:val="00C66283"/>
    <w:rsid w:val="00C66A1A"/>
    <w:rsid w:val="00C66A79"/>
    <w:rsid w:val="00C66F0B"/>
    <w:rsid w:val="00C67396"/>
    <w:rsid w:val="00C70794"/>
    <w:rsid w:val="00C714D4"/>
    <w:rsid w:val="00C7202F"/>
    <w:rsid w:val="00C7252D"/>
    <w:rsid w:val="00C744D0"/>
    <w:rsid w:val="00C7569B"/>
    <w:rsid w:val="00C757FE"/>
    <w:rsid w:val="00C75FA6"/>
    <w:rsid w:val="00C764D2"/>
    <w:rsid w:val="00C7681E"/>
    <w:rsid w:val="00C76E61"/>
    <w:rsid w:val="00C7735A"/>
    <w:rsid w:val="00C77611"/>
    <w:rsid w:val="00C77809"/>
    <w:rsid w:val="00C806DC"/>
    <w:rsid w:val="00C8099E"/>
    <w:rsid w:val="00C81DBB"/>
    <w:rsid w:val="00C82EC0"/>
    <w:rsid w:val="00C831FF"/>
    <w:rsid w:val="00C83472"/>
    <w:rsid w:val="00C84CFB"/>
    <w:rsid w:val="00C8504E"/>
    <w:rsid w:val="00C85C81"/>
    <w:rsid w:val="00C860AE"/>
    <w:rsid w:val="00C866C8"/>
    <w:rsid w:val="00C86924"/>
    <w:rsid w:val="00C86F41"/>
    <w:rsid w:val="00C8777F"/>
    <w:rsid w:val="00C87CC6"/>
    <w:rsid w:val="00C87D44"/>
    <w:rsid w:val="00C9056A"/>
    <w:rsid w:val="00C90A34"/>
    <w:rsid w:val="00C90AAE"/>
    <w:rsid w:val="00C90CC9"/>
    <w:rsid w:val="00C9105C"/>
    <w:rsid w:val="00C91264"/>
    <w:rsid w:val="00C91ACB"/>
    <w:rsid w:val="00C92D07"/>
    <w:rsid w:val="00C92E36"/>
    <w:rsid w:val="00C940C2"/>
    <w:rsid w:val="00C942F1"/>
    <w:rsid w:val="00C94328"/>
    <w:rsid w:val="00C9476A"/>
    <w:rsid w:val="00C94BAD"/>
    <w:rsid w:val="00C94E5D"/>
    <w:rsid w:val="00C9560E"/>
    <w:rsid w:val="00C95650"/>
    <w:rsid w:val="00C96132"/>
    <w:rsid w:val="00C968B0"/>
    <w:rsid w:val="00C97216"/>
    <w:rsid w:val="00C97937"/>
    <w:rsid w:val="00C97AB1"/>
    <w:rsid w:val="00C97D52"/>
    <w:rsid w:val="00CA00B6"/>
    <w:rsid w:val="00CA0448"/>
    <w:rsid w:val="00CA06EA"/>
    <w:rsid w:val="00CA09E7"/>
    <w:rsid w:val="00CA0F70"/>
    <w:rsid w:val="00CA109B"/>
    <w:rsid w:val="00CA13E9"/>
    <w:rsid w:val="00CA1464"/>
    <w:rsid w:val="00CA1B5E"/>
    <w:rsid w:val="00CA25E2"/>
    <w:rsid w:val="00CA29D6"/>
    <w:rsid w:val="00CA3455"/>
    <w:rsid w:val="00CA4779"/>
    <w:rsid w:val="00CA4FF4"/>
    <w:rsid w:val="00CA50F9"/>
    <w:rsid w:val="00CA5162"/>
    <w:rsid w:val="00CA5648"/>
    <w:rsid w:val="00CA5934"/>
    <w:rsid w:val="00CA59B3"/>
    <w:rsid w:val="00CA60A9"/>
    <w:rsid w:val="00CA67AF"/>
    <w:rsid w:val="00CA6AE9"/>
    <w:rsid w:val="00CA6E3A"/>
    <w:rsid w:val="00CA7251"/>
    <w:rsid w:val="00CA725B"/>
    <w:rsid w:val="00CA7385"/>
    <w:rsid w:val="00CA748D"/>
    <w:rsid w:val="00CA79E4"/>
    <w:rsid w:val="00CB075A"/>
    <w:rsid w:val="00CB16FD"/>
    <w:rsid w:val="00CB1BE7"/>
    <w:rsid w:val="00CB22C6"/>
    <w:rsid w:val="00CB2D3D"/>
    <w:rsid w:val="00CB4323"/>
    <w:rsid w:val="00CB4643"/>
    <w:rsid w:val="00CB46B7"/>
    <w:rsid w:val="00CB484E"/>
    <w:rsid w:val="00CB5206"/>
    <w:rsid w:val="00CB6180"/>
    <w:rsid w:val="00CB7969"/>
    <w:rsid w:val="00CC04B1"/>
    <w:rsid w:val="00CC0778"/>
    <w:rsid w:val="00CC0EAD"/>
    <w:rsid w:val="00CC1CC0"/>
    <w:rsid w:val="00CC1FE6"/>
    <w:rsid w:val="00CC26A3"/>
    <w:rsid w:val="00CC3664"/>
    <w:rsid w:val="00CC44E9"/>
    <w:rsid w:val="00CC46CD"/>
    <w:rsid w:val="00CC5531"/>
    <w:rsid w:val="00CC615A"/>
    <w:rsid w:val="00CC6197"/>
    <w:rsid w:val="00CC6E40"/>
    <w:rsid w:val="00CC7EFE"/>
    <w:rsid w:val="00CD0E89"/>
    <w:rsid w:val="00CD176A"/>
    <w:rsid w:val="00CD1D04"/>
    <w:rsid w:val="00CD2EAC"/>
    <w:rsid w:val="00CD3229"/>
    <w:rsid w:val="00CD3488"/>
    <w:rsid w:val="00CD34AE"/>
    <w:rsid w:val="00CD3BD1"/>
    <w:rsid w:val="00CD3D0F"/>
    <w:rsid w:val="00CD405B"/>
    <w:rsid w:val="00CD5240"/>
    <w:rsid w:val="00CD756E"/>
    <w:rsid w:val="00CD7C47"/>
    <w:rsid w:val="00CE061B"/>
    <w:rsid w:val="00CE0BCC"/>
    <w:rsid w:val="00CE0D63"/>
    <w:rsid w:val="00CE0EC8"/>
    <w:rsid w:val="00CE1153"/>
    <w:rsid w:val="00CE150D"/>
    <w:rsid w:val="00CE1863"/>
    <w:rsid w:val="00CE1EB2"/>
    <w:rsid w:val="00CE29E9"/>
    <w:rsid w:val="00CE2B0F"/>
    <w:rsid w:val="00CE2CCF"/>
    <w:rsid w:val="00CE31A7"/>
    <w:rsid w:val="00CE3A76"/>
    <w:rsid w:val="00CE4491"/>
    <w:rsid w:val="00CE6532"/>
    <w:rsid w:val="00CE6E49"/>
    <w:rsid w:val="00CF0ECD"/>
    <w:rsid w:val="00CF1427"/>
    <w:rsid w:val="00CF18BD"/>
    <w:rsid w:val="00CF2245"/>
    <w:rsid w:val="00CF2624"/>
    <w:rsid w:val="00CF30C4"/>
    <w:rsid w:val="00CF3A93"/>
    <w:rsid w:val="00CF3FF7"/>
    <w:rsid w:val="00CF44B2"/>
    <w:rsid w:val="00CF462B"/>
    <w:rsid w:val="00CF4A3D"/>
    <w:rsid w:val="00CF5B04"/>
    <w:rsid w:val="00CF71E0"/>
    <w:rsid w:val="00CF7BF8"/>
    <w:rsid w:val="00D004F6"/>
    <w:rsid w:val="00D0077A"/>
    <w:rsid w:val="00D00C91"/>
    <w:rsid w:val="00D00F64"/>
    <w:rsid w:val="00D0145B"/>
    <w:rsid w:val="00D01DC4"/>
    <w:rsid w:val="00D026D2"/>
    <w:rsid w:val="00D029A1"/>
    <w:rsid w:val="00D03494"/>
    <w:rsid w:val="00D03D7F"/>
    <w:rsid w:val="00D03DBC"/>
    <w:rsid w:val="00D03F11"/>
    <w:rsid w:val="00D045EC"/>
    <w:rsid w:val="00D0465C"/>
    <w:rsid w:val="00D0472D"/>
    <w:rsid w:val="00D05C10"/>
    <w:rsid w:val="00D0657E"/>
    <w:rsid w:val="00D0786F"/>
    <w:rsid w:val="00D100BF"/>
    <w:rsid w:val="00D1079F"/>
    <w:rsid w:val="00D1130E"/>
    <w:rsid w:val="00D11912"/>
    <w:rsid w:val="00D11A44"/>
    <w:rsid w:val="00D11E58"/>
    <w:rsid w:val="00D12271"/>
    <w:rsid w:val="00D1298A"/>
    <w:rsid w:val="00D12A12"/>
    <w:rsid w:val="00D144A3"/>
    <w:rsid w:val="00D14A25"/>
    <w:rsid w:val="00D14FB7"/>
    <w:rsid w:val="00D156D4"/>
    <w:rsid w:val="00D157C7"/>
    <w:rsid w:val="00D15DC9"/>
    <w:rsid w:val="00D15FEF"/>
    <w:rsid w:val="00D169F7"/>
    <w:rsid w:val="00D16A63"/>
    <w:rsid w:val="00D20297"/>
    <w:rsid w:val="00D202EB"/>
    <w:rsid w:val="00D20687"/>
    <w:rsid w:val="00D207FF"/>
    <w:rsid w:val="00D21651"/>
    <w:rsid w:val="00D21750"/>
    <w:rsid w:val="00D2202A"/>
    <w:rsid w:val="00D22206"/>
    <w:rsid w:val="00D2241A"/>
    <w:rsid w:val="00D22DAB"/>
    <w:rsid w:val="00D2372E"/>
    <w:rsid w:val="00D24665"/>
    <w:rsid w:val="00D24D4B"/>
    <w:rsid w:val="00D25D7D"/>
    <w:rsid w:val="00D25FF2"/>
    <w:rsid w:val="00D2623A"/>
    <w:rsid w:val="00D263B7"/>
    <w:rsid w:val="00D269A1"/>
    <w:rsid w:val="00D26BF3"/>
    <w:rsid w:val="00D27E4B"/>
    <w:rsid w:val="00D3060B"/>
    <w:rsid w:val="00D30D6F"/>
    <w:rsid w:val="00D316A8"/>
    <w:rsid w:val="00D317D6"/>
    <w:rsid w:val="00D31FED"/>
    <w:rsid w:val="00D3270D"/>
    <w:rsid w:val="00D329AA"/>
    <w:rsid w:val="00D32E29"/>
    <w:rsid w:val="00D33AF3"/>
    <w:rsid w:val="00D3490E"/>
    <w:rsid w:val="00D34DBF"/>
    <w:rsid w:val="00D364A2"/>
    <w:rsid w:val="00D365B8"/>
    <w:rsid w:val="00D37232"/>
    <w:rsid w:val="00D37F4C"/>
    <w:rsid w:val="00D41C3F"/>
    <w:rsid w:val="00D4302E"/>
    <w:rsid w:val="00D43424"/>
    <w:rsid w:val="00D4354D"/>
    <w:rsid w:val="00D4363B"/>
    <w:rsid w:val="00D436B6"/>
    <w:rsid w:val="00D44207"/>
    <w:rsid w:val="00D4507A"/>
    <w:rsid w:val="00D45543"/>
    <w:rsid w:val="00D456F9"/>
    <w:rsid w:val="00D45BE3"/>
    <w:rsid w:val="00D4674B"/>
    <w:rsid w:val="00D46B3D"/>
    <w:rsid w:val="00D4704B"/>
    <w:rsid w:val="00D47F94"/>
    <w:rsid w:val="00D50F06"/>
    <w:rsid w:val="00D5112B"/>
    <w:rsid w:val="00D51206"/>
    <w:rsid w:val="00D5125C"/>
    <w:rsid w:val="00D518D9"/>
    <w:rsid w:val="00D536C9"/>
    <w:rsid w:val="00D53BAA"/>
    <w:rsid w:val="00D5411A"/>
    <w:rsid w:val="00D5496A"/>
    <w:rsid w:val="00D55358"/>
    <w:rsid w:val="00D5538D"/>
    <w:rsid w:val="00D5546B"/>
    <w:rsid w:val="00D56ED9"/>
    <w:rsid w:val="00D57B68"/>
    <w:rsid w:val="00D60CAC"/>
    <w:rsid w:val="00D61B7C"/>
    <w:rsid w:val="00D61E56"/>
    <w:rsid w:val="00D6227E"/>
    <w:rsid w:val="00D624D0"/>
    <w:rsid w:val="00D63924"/>
    <w:rsid w:val="00D6571B"/>
    <w:rsid w:val="00D66391"/>
    <w:rsid w:val="00D6646D"/>
    <w:rsid w:val="00D666C2"/>
    <w:rsid w:val="00D66B31"/>
    <w:rsid w:val="00D67696"/>
    <w:rsid w:val="00D67ADD"/>
    <w:rsid w:val="00D7037A"/>
    <w:rsid w:val="00D70985"/>
    <w:rsid w:val="00D70B6E"/>
    <w:rsid w:val="00D726D7"/>
    <w:rsid w:val="00D7318F"/>
    <w:rsid w:val="00D7349B"/>
    <w:rsid w:val="00D73564"/>
    <w:rsid w:val="00D73C78"/>
    <w:rsid w:val="00D750CC"/>
    <w:rsid w:val="00D76517"/>
    <w:rsid w:val="00D767F3"/>
    <w:rsid w:val="00D7689A"/>
    <w:rsid w:val="00D76CC3"/>
    <w:rsid w:val="00D77135"/>
    <w:rsid w:val="00D806B1"/>
    <w:rsid w:val="00D80E82"/>
    <w:rsid w:val="00D8123C"/>
    <w:rsid w:val="00D81B92"/>
    <w:rsid w:val="00D81CF2"/>
    <w:rsid w:val="00D81F13"/>
    <w:rsid w:val="00D822B3"/>
    <w:rsid w:val="00D8293F"/>
    <w:rsid w:val="00D82A93"/>
    <w:rsid w:val="00D830B9"/>
    <w:rsid w:val="00D83632"/>
    <w:rsid w:val="00D83D6C"/>
    <w:rsid w:val="00D83F18"/>
    <w:rsid w:val="00D8425B"/>
    <w:rsid w:val="00D86DF3"/>
    <w:rsid w:val="00D8703D"/>
    <w:rsid w:val="00D87A2A"/>
    <w:rsid w:val="00D87CC8"/>
    <w:rsid w:val="00D90609"/>
    <w:rsid w:val="00D91021"/>
    <w:rsid w:val="00D91C8D"/>
    <w:rsid w:val="00D91FED"/>
    <w:rsid w:val="00D9212D"/>
    <w:rsid w:val="00D92849"/>
    <w:rsid w:val="00D92BE5"/>
    <w:rsid w:val="00D934C1"/>
    <w:rsid w:val="00D94207"/>
    <w:rsid w:val="00D9477B"/>
    <w:rsid w:val="00D947EF"/>
    <w:rsid w:val="00D94D39"/>
    <w:rsid w:val="00D9519F"/>
    <w:rsid w:val="00D957BB"/>
    <w:rsid w:val="00D95831"/>
    <w:rsid w:val="00D96218"/>
    <w:rsid w:val="00D968FF"/>
    <w:rsid w:val="00D96C40"/>
    <w:rsid w:val="00DA0A17"/>
    <w:rsid w:val="00DA15C5"/>
    <w:rsid w:val="00DA23F4"/>
    <w:rsid w:val="00DA4132"/>
    <w:rsid w:val="00DA471E"/>
    <w:rsid w:val="00DA5E6B"/>
    <w:rsid w:val="00DA6219"/>
    <w:rsid w:val="00DA6781"/>
    <w:rsid w:val="00DA75FA"/>
    <w:rsid w:val="00DA7779"/>
    <w:rsid w:val="00DA7AB2"/>
    <w:rsid w:val="00DA7FE2"/>
    <w:rsid w:val="00DB0578"/>
    <w:rsid w:val="00DB0E7A"/>
    <w:rsid w:val="00DB1E2E"/>
    <w:rsid w:val="00DB2178"/>
    <w:rsid w:val="00DB230B"/>
    <w:rsid w:val="00DB3A93"/>
    <w:rsid w:val="00DB4235"/>
    <w:rsid w:val="00DB42DE"/>
    <w:rsid w:val="00DB4541"/>
    <w:rsid w:val="00DB4977"/>
    <w:rsid w:val="00DB4B64"/>
    <w:rsid w:val="00DB5510"/>
    <w:rsid w:val="00DB56B7"/>
    <w:rsid w:val="00DB58C1"/>
    <w:rsid w:val="00DB5D6F"/>
    <w:rsid w:val="00DB6199"/>
    <w:rsid w:val="00DB6D45"/>
    <w:rsid w:val="00DB7427"/>
    <w:rsid w:val="00DC05B8"/>
    <w:rsid w:val="00DC0791"/>
    <w:rsid w:val="00DC2FD6"/>
    <w:rsid w:val="00DC4EE9"/>
    <w:rsid w:val="00DC572A"/>
    <w:rsid w:val="00DC582E"/>
    <w:rsid w:val="00DC5BB9"/>
    <w:rsid w:val="00DC727A"/>
    <w:rsid w:val="00DC7CA0"/>
    <w:rsid w:val="00DD07A7"/>
    <w:rsid w:val="00DD08FF"/>
    <w:rsid w:val="00DD14AD"/>
    <w:rsid w:val="00DD15CE"/>
    <w:rsid w:val="00DD1833"/>
    <w:rsid w:val="00DD1DD0"/>
    <w:rsid w:val="00DD38E6"/>
    <w:rsid w:val="00DD405B"/>
    <w:rsid w:val="00DD4426"/>
    <w:rsid w:val="00DD4B9E"/>
    <w:rsid w:val="00DD4C5F"/>
    <w:rsid w:val="00DD4E61"/>
    <w:rsid w:val="00DD59EC"/>
    <w:rsid w:val="00DD6E7A"/>
    <w:rsid w:val="00DD7AC3"/>
    <w:rsid w:val="00DE065C"/>
    <w:rsid w:val="00DE0EC4"/>
    <w:rsid w:val="00DE0F4E"/>
    <w:rsid w:val="00DE1258"/>
    <w:rsid w:val="00DE19A3"/>
    <w:rsid w:val="00DE215B"/>
    <w:rsid w:val="00DE2CA6"/>
    <w:rsid w:val="00DE3C1E"/>
    <w:rsid w:val="00DE50D2"/>
    <w:rsid w:val="00DE5E1E"/>
    <w:rsid w:val="00DE5F3A"/>
    <w:rsid w:val="00DE600A"/>
    <w:rsid w:val="00DE6DB5"/>
    <w:rsid w:val="00DE747E"/>
    <w:rsid w:val="00DF036E"/>
    <w:rsid w:val="00DF192D"/>
    <w:rsid w:val="00DF1F4B"/>
    <w:rsid w:val="00DF2029"/>
    <w:rsid w:val="00DF261E"/>
    <w:rsid w:val="00DF293E"/>
    <w:rsid w:val="00DF4B93"/>
    <w:rsid w:val="00DF5016"/>
    <w:rsid w:val="00DF5507"/>
    <w:rsid w:val="00DF71BF"/>
    <w:rsid w:val="00DF7C16"/>
    <w:rsid w:val="00E000BB"/>
    <w:rsid w:val="00E002E0"/>
    <w:rsid w:val="00E006AD"/>
    <w:rsid w:val="00E00840"/>
    <w:rsid w:val="00E00EBC"/>
    <w:rsid w:val="00E012EB"/>
    <w:rsid w:val="00E027DD"/>
    <w:rsid w:val="00E0291F"/>
    <w:rsid w:val="00E03179"/>
    <w:rsid w:val="00E0390A"/>
    <w:rsid w:val="00E03A9F"/>
    <w:rsid w:val="00E04EC4"/>
    <w:rsid w:val="00E079F0"/>
    <w:rsid w:val="00E11CC9"/>
    <w:rsid w:val="00E11F2D"/>
    <w:rsid w:val="00E127CF"/>
    <w:rsid w:val="00E1298F"/>
    <w:rsid w:val="00E12C16"/>
    <w:rsid w:val="00E12CD7"/>
    <w:rsid w:val="00E13017"/>
    <w:rsid w:val="00E135BC"/>
    <w:rsid w:val="00E13AAA"/>
    <w:rsid w:val="00E13B9E"/>
    <w:rsid w:val="00E1444B"/>
    <w:rsid w:val="00E14A5A"/>
    <w:rsid w:val="00E14B66"/>
    <w:rsid w:val="00E150A8"/>
    <w:rsid w:val="00E1757B"/>
    <w:rsid w:val="00E208F9"/>
    <w:rsid w:val="00E212E4"/>
    <w:rsid w:val="00E21DA1"/>
    <w:rsid w:val="00E23F8C"/>
    <w:rsid w:val="00E24BDE"/>
    <w:rsid w:val="00E25463"/>
    <w:rsid w:val="00E25483"/>
    <w:rsid w:val="00E256A6"/>
    <w:rsid w:val="00E25817"/>
    <w:rsid w:val="00E275BF"/>
    <w:rsid w:val="00E27DED"/>
    <w:rsid w:val="00E30C0F"/>
    <w:rsid w:val="00E312E3"/>
    <w:rsid w:val="00E3198A"/>
    <w:rsid w:val="00E31B24"/>
    <w:rsid w:val="00E33247"/>
    <w:rsid w:val="00E33606"/>
    <w:rsid w:val="00E34182"/>
    <w:rsid w:val="00E34315"/>
    <w:rsid w:val="00E34F5A"/>
    <w:rsid w:val="00E351C7"/>
    <w:rsid w:val="00E35670"/>
    <w:rsid w:val="00E35AEA"/>
    <w:rsid w:val="00E37ABD"/>
    <w:rsid w:val="00E40F0E"/>
    <w:rsid w:val="00E413BC"/>
    <w:rsid w:val="00E42E30"/>
    <w:rsid w:val="00E432FC"/>
    <w:rsid w:val="00E435B9"/>
    <w:rsid w:val="00E445A1"/>
    <w:rsid w:val="00E448D8"/>
    <w:rsid w:val="00E46478"/>
    <w:rsid w:val="00E468EB"/>
    <w:rsid w:val="00E50358"/>
    <w:rsid w:val="00E503EA"/>
    <w:rsid w:val="00E50407"/>
    <w:rsid w:val="00E505CD"/>
    <w:rsid w:val="00E505D3"/>
    <w:rsid w:val="00E50704"/>
    <w:rsid w:val="00E50F71"/>
    <w:rsid w:val="00E5139A"/>
    <w:rsid w:val="00E51FED"/>
    <w:rsid w:val="00E526B2"/>
    <w:rsid w:val="00E52B0A"/>
    <w:rsid w:val="00E536EF"/>
    <w:rsid w:val="00E53DCF"/>
    <w:rsid w:val="00E54553"/>
    <w:rsid w:val="00E54657"/>
    <w:rsid w:val="00E54C8F"/>
    <w:rsid w:val="00E5541C"/>
    <w:rsid w:val="00E55CE6"/>
    <w:rsid w:val="00E560AA"/>
    <w:rsid w:val="00E56E07"/>
    <w:rsid w:val="00E601E8"/>
    <w:rsid w:val="00E60BB0"/>
    <w:rsid w:val="00E625D5"/>
    <w:rsid w:val="00E6302A"/>
    <w:rsid w:val="00E649D3"/>
    <w:rsid w:val="00E6557F"/>
    <w:rsid w:val="00E66148"/>
    <w:rsid w:val="00E66292"/>
    <w:rsid w:val="00E66A88"/>
    <w:rsid w:val="00E66B2E"/>
    <w:rsid w:val="00E66E35"/>
    <w:rsid w:val="00E6766C"/>
    <w:rsid w:val="00E7049B"/>
    <w:rsid w:val="00E71F19"/>
    <w:rsid w:val="00E72BAC"/>
    <w:rsid w:val="00E744A0"/>
    <w:rsid w:val="00E74BDF"/>
    <w:rsid w:val="00E753C2"/>
    <w:rsid w:val="00E753E9"/>
    <w:rsid w:val="00E75AC5"/>
    <w:rsid w:val="00E75C04"/>
    <w:rsid w:val="00E75E34"/>
    <w:rsid w:val="00E76B22"/>
    <w:rsid w:val="00E77D00"/>
    <w:rsid w:val="00E80058"/>
    <w:rsid w:val="00E80D5D"/>
    <w:rsid w:val="00E814B5"/>
    <w:rsid w:val="00E81DE6"/>
    <w:rsid w:val="00E81E99"/>
    <w:rsid w:val="00E82181"/>
    <w:rsid w:val="00E8239F"/>
    <w:rsid w:val="00E82976"/>
    <w:rsid w:val="00E82E36"/>
    <w:rsid w:val="00E83420"/>
    <w:rsid w:val="00E84021"/>
    <w:rsid w:val="00E84C87"/>
    <w:rsid w:val="00E84CFC"/>
    <w:rsid w:val="00E8565E"/>
    <w:rsid w:val="00E86AA1"/>
    <w:rsid w:val="00E8701C"/>
    <w:rsid w:val="00E87130"/>
    <w:rsid w:val="00E8721E"/>
    <w:rsid w:val="00E87224"/>
    <w:rsid w:val="00E87B65"/>
    <w:rsid w:val="00E9085A"/>
    <w:rsid w:val="00E91158"/>
    <w:rsid w:val="00E9138B"/>
    <w:rsid w:val="00E9183F"/>
    <w:rsid w:val="00E91E93"/>
    <w:rsid w:val="00E91F0D"/>
    <w:rsid w:val="00E91F8E"/>
    <w:rsid w:val="00E92221"/>
    <w:rsid w:val="00E9235D"/>
    <w:rsid w:val="00E9326E"/>
    <w:rsid w:val="00E936B2"/>
    <w:rsid w:val="00E942E4"/>
    <w:rsid w:val="00E952F1"/>
    <w:rsid w:val="00E9536D"/>
    <w:rsid w:val="00E96E18"/>
    <w:rsid w:val="00E96E6E"/>
    <w:rsid w:val="00E9748C"/>
    <w:rsid w:val="00E97A4B"/>
    <w:rsid w:val="00E97FCA"/>
    <w:rsid w:val="00EA0A87"/>
    <w:rsid w:val="00EA11DE"/>
    <w:rsid w:val="00EA1F04"/>
    <w:rsid w:val="00EA254C"/>
    <w:rsid w:val="00EA31F7"/>
    <w:rsid w:val="00EA3445"/>
    <w:rsid w:val="00EA357B"/>
    <w:rsid w:val="00EA3B9F"/>
    <w:rsid w:val="00EA3BA8"/>
    <w:rsid w:val="00EA3D5C"/>
    <w:rsid w:val="00EA3F5E"/>
    <w:rsid w:val="00EA3FCA"/>
    <w:rsid w:val="00EA540B"/>
    <w:rsid w:val="00EA5B2A"/>
    <w:rsid w:val="00EA6A91"/>
    <w:rsid w:val="00EA71AD"/>
    <w:rsid w:val="00EB05EF"/>
    <w:rsid w:val="00EB0698"/>
    <w:rsid w:val="00EB1109"/>
    <w:rsid w:val="00EB22EA"/>
    <w:rsid w:val="00EB2744"/>
    <w:rsid w:val="00EB404B"/>
    <w:rsid w:val="00EB470A"/>
    <w:rsid w:val="00EB4A64"/>
    <w:rsid w:val="00EB4AC4"/>
    <w:rsid w:val="00EB4F1B"/>
    <w:rsid w:val="00EB4F60"/>
    <w:rsid w:val="00EB5383"/>
    <w:rsid w:val="00EB56B7"/>
    <w:rsid w:val="00EB59FF"/>
    <w:rsid w:val="00EB5F20"/>
    <w:rsid w:val="00EB61A0"/>
    <w:rsid w:val="00EB62D9"/>
    <w:rsid w:val="00EB6643"/>
    <w:rsid w:val="00EB7CE9"/>
    <w:rsid w:val="00EC0F45"/>
    <w:rsid w:val="00EC1552"/>
    <w:rsid w:val="00EC3578"/>
    <w:rsid w:val="00EC4A17"/>
    <w:rsid w:val="00EC52DF"/>
    <w:rsid w:val="00EC699B"/>
    <w:rsid w:val="00EC72F0"/>
    <w:rsid w:val="00EC73D5"/>
    <w:rsid w:val="00EC7ACA"/>
    <w:rsid w:val="00ED042A"/>
    <w:rsid w:val="00ED0602"/>
    <w:rsid w:val="00ED0628"/>
    <w:rsid w:val="00ED1312"/>
    <w:rsid w:val="00ED14F1"/>
    <w:rsid w:val="00ED21D6"/>
    <w:rsid w:val="00ED33F5"/>
    <w:rsid w:val="00ED368D"/>
    <w:rsid w:val="00ED38FD"/>
    <w:rsid w:val="00ED3CEC"/>
    <w:rsid w:val="00ED5366"/>
    <w:rsid w:val="00ED685A"/>
    <w:rsid w:val="00ED7C1B"/>
    <w:rsid w:val="00EE00FE"/>
    <w:rsid w:val="00EE0484"/>
    <w:rsid w:val="00EE11AD"/>
    <w:rsid w:val="00EE26DA"/>
    <w:rsid w:val="00EE3049"/>
    <w:rsid w:val="00EE3BE6"/>
    <w:rsid w:val="00EE4287"/>
    <w:rsid w:val="00EE4750"/>
    <w:rsid w:val="00EE4F87"/>
    <w:rsid w:val="00EE4FA7"/>
    <w:rsid w:val="00EE6332"/>
    <w:rsid w:val="00EE679D"/>
    <w:rsid w:val="00EE6BA0"/>
    <w:rsid w:val="00EE6BE2"/>
    <w:rsid w:val="00EE6D97"/>
    <w:rsid w:val="00EE729A"/>
    <w:rsid w:val="00EE77C8"/>
    <w:rsid w:val="00EE7F11"/>
    <w:rsid w:val="00EF39E7"/>
    <w:rsid w:val="00EF4087"/>
    <w:rsid w:val="00EF453E"/>
    <w:rsid w:val="00EF6073"/>
    <w:rsid w:val="00EF68B7"/>
    <w:rsid w:val="00EF694B"/>
    <w:rsid w:val="00EF6C57"/>
    <w:rsid w:val="00EF6E46"/>
    <w:rsid w:val="00EF7319"/>
    <w:rsid w:val="00EF7763"/>
    <w:rsid w:val="00F00410"/>
    <w:rsid w:val="00F006F5"/>
    <w:rsid w:val="00F0076F"/>
    <w:rsid w:val="00F007E9"/>
    <w:rsid w:val="00F0144C"/>
    <w:rsid w:val="00F016AD"/>
    <w:rsid w:val="00F023B6"/>
    <w:rsid w:val="00F0254D"/>
    <w:rsid w:val="00F0258D"/>
    <w:rsid w:val="00F034AC"/>
    <w:rsid w:val="00F03FEA"/>
    <w:rsid w:val="00F046DD"/>
    <w:rsid w:val="00F04BB5"/>
    <w:rsid w:val="00F04D1B"/>
    <w:rsid w:val="00F050E9"/>
    <w:rsid w:val="00F05152"/>
    <w:rsid w:val="00F0632F"/>
    <w:rsid w:val="00F076C9"/>
    <w:rsid w:val="00F07E45"/>
    <w:rsid w:val="00F10426"/>
    <w:rsid w:val="00F105CC"/>
    <w:rsid w:val="00F11389"/>
    <w:rsid w:val="00F11EB3"/>
    <w:rsid w:val="00F122CC"/>
    <w:rsid w:val="00F12E1E"/>
    <w:rsid w:val="00F13C3C"/>
    <w:rsid w:val="00F14346"/>
    <w:rsid w:val="00F17422"/>
    <w:rsid w:val="00F177D7"/>
    <w:rsid w:val="00F201B6"/>
    <w:rsid w:val="00F20415"/>
    <w:rsid w:val="00F2150E"/>
    <w:rsid w:val="00F21805"/>
    <w:rsid w:val="00F21925"/>
    <w:rsid w:val="00F21B28"/>
    <w:rsid w:val="00F2213C"/>
    <w:rsid w:val="00F22594"/>
    <w:rsid w:val="00F22E38"/>
    <w:rsid w:val="00F22F8A"/>
    <w:rsid w:val="00F2327D"/>
    <w:rsid w:val="00F23E37"/>
    <w:rsid w:val="00F24084"/>
    <w:rsid w:val="00F245B6"/>
    <w:rsid w:val="00F248C7"/>
    <w:rsid w:val="00F24E19"/>
    <w:rsid w:val="00F2701A"/>
    <w:rsid w:val="00F2781A"/>
    <w:rsid w:val="00F3015F"/>
    <w:rsid w:val="00F30A86"/>
    <w:rsid w:val="00F31B72"/>
    <w:rsid w:val="00F353AE"/>
    <w:rsid w:val="00F36080"/>
    <w:rsid w:val="00F3693F"/>
    <w:rsid w:val="00F36CF6"/>
    <w:rsid w:val="00F36D79"/>
    <w:rsid w:val="00F37A1C"/>
    <w:rsid w:val="00F37C42"/>
    <w:rsid w:val="00F37E5A"/>
    <w:rsid w:val="00F40420"/>
    <w:rsid w:val="00F41717"/>
    <w:rsid w:val="00F41AD9"/>
    <w:rsid w:val="00F4242F"/>
    <w:rsid w:val="00F42BE9"/>
    <w:rsid w:val="00F43447"/>
    <w:rsid w:val="00F4369D"/>
    <w:rsid w:val="00F4394B"/>
    <w:rsid w:val="00F443DC"/>
    <w:rsid w:val="00F44433"/>
    <w:rsid w:val="00F467A5"/>
    <w:rsid w:val="00F46D7E"/>
    <w:rsid w:val="00F470CB"/>
    <w:rsid w:val="00F470D5"/>
    <w:rsid w:val="00F47589"/>
    <w:rsid w:val="00F47667"/>
    <w:rsid w:val="00F50613"/>
    <w:rsid w:val="00F5072A"/>
    <w:rsid w:val="00F508B3"/>
    <w:rsid w:val="00F50AB1"/>
    <w:rsid w:val="00F50B5E"/>
    <w:rsid w:val="00F50EAA"/>
    <w:rsid w:val="00F51B54"/>
    <w:rsid w:val="00F51FF4"/>
    <w:rsid w:val="00F52113"/>
    <w:rsid w:val="00F524D1"/>
    <w:rsid w:val="00F53702"/>
    <w:rsid w:val="00F550F1"/>
    <w:rsid w:val="00F55E9B"/>
    <w:rsid w:val="00F5730D"/>
    <w:rsid w:val="00F575BB"/>
    <w:rsid w:val="00F602D6"/>
    <w:rsid w:val="00F604B8"/>
    <w:rsid w:val="00F60FCD"/>
    <w:rsid w:val="00F6113D"/>
    <w:rsid w:val="00F616F5"/>
    <w:rsid w:val="00F61B74"/>
    <w:rsid w:val="00F61C56"/>
    <w:rsid w:val="00F623B4"/>
    <w:rsid w:val="00F623C8"/>
    <w:rsid w:val="00F6318A"/>
    <w:rsid w:val="00F6377E"/>
    <w:rsid w:val="00F6498E"/>
    <w:rsid w:val="00F65007"/>
    <w:rsid w:val="00F66167"/>
    <w:rsid w:val="00F67CAF"/>
    <w:rsid w:val="00F72275"/>
    <w:rsid w:val="00F73773"/>
    <w:rsid w:val="00F74578"/>
    <w:rsid w:val="00F74B41"/>
    <w:rsid w:val="00F74C7E"/>
    <w:rsid w:val="00F74D5A"/>
    <w:rsid w:val="00F753CF"/>
    <w:rsid w:val="00F75989"/>
    <w:rsid w:val="00F7612B"/>
    <w:rsid w:val="00F76C66"/>
    <w:rsid w:val="00F77710"/>
    <w:rsid w:val="00F80923"/>
    <w:rsid w:val="00F80DB6"/>
    <w:rsid w:val="00F815EF"/>
    <w:rsid w:val="00F815F2"/>
    <w:rsid w:val="00F817A3"/>
    <w:rsid w:val="00F82723"/>
    <w:rsid w:val="00F830D5"/>
    <w:rsid w:val="00F83921"/>
    <w:rsid w:val="00F83E80"/>
    <w:rsid w:val="00F83F3F"/>
    <w:rsid w:val="00F84383"/>
    <w:rsid w:val="00F846DA"/>
    <w:rsid w:val="00F8475D"/>
    <w:rsid w:val="00F84E47"/>
    <w:rsid w:val="00F855D0"/>
    <w:rsid w:val="00F85878"/>
    <w:rsid w:val="00F85BCE"/>
    <w:rsid w:val="00F85D70"/>
    <w:rsid w:val="00F85E6D"/>
    <w:rsid w:val="00F85EC7"/>
    <w:rsid w:val="00F8616D"/>
    <w:rsid w:val="00F8763A"/>
    <w:rsid w:val="00F87832"/>
    <w:rsid w:val="00F87D52"/>
    <w:rsid w:val="00F900BC"/>
    <w:rsid w:val="00F90161"/>
    <w:rsid w:val="00F90CD5"/>
    <w:rsid w:val="00F9158F"/>
    <w:rsid w:val="00F918B3"/>
    <w:rsid w:val="00F91E3E"/>
    <w:rsid w:val="00F9220E"/>
    <w:rsid w:val="00F92F07"/>
    <w:rsid w:val="00F93518"/>
    <w:rsid w:val="00F937E2"/>
    <w:rsid w:val="00F9388D"/>
    <w:rsid w:val="00F94027"/>
    <w:rsid w:val="00F94AC5"/>
    <w:rsid w:val="00F94C78"/>
    <w:rsid w:val="00F95256"/>
    <w:rsid w:val="00F95F6D"/>
    <w:rsid w:val="00F96871"/>
    <w:rsid w:val="00F96AE4"/>
    <w:rsid w:val="00F976FB"/>
    <w:rsid w:val="00FA049E"/>
    <w:rsid w:val="00FA04D7"/>
    <w:rsid w:val="00FA06C9"/>
    <w:rsid w:val="00FA07C1"/>
    <w:rsid w:val="00FA07CD"/>
    <w:rsid w:val="00FA0903"/>
    <w:rsid w:val="00FA0F37"/>
    <w:rsid w:val="00FA12A8"/>
    <w:rsid w:val="00FA1381"/>
    <w:rsid w:val="00FA15C0"/>
    <w:rsid w:val="00FA16F5"/>
    <w:rsid w:val="00FA1B6C"/>
    <w:rsid w:val="00FA1E64"/>
    <w:rsid w:val="00FA1F83"/>
    <w:rsid w:val="00FA2778"/>
    <w:rsid w:val="00FA2889"/>
    <w:rsid w:val="00FA4C40"/>
    <w:rsid w:val="00FA52E3"/>
    <w:rsid w:val="00FA55F0"/>
    <w:rsid w:val="00FA7EC2"/>
    <w:rsid w:val="00FB0C8C"/>
    <w:rsid w:val="00FB0D18"/>
    <w:rsid w:val="00FB1A25"/>
    <w:rsid w:val="00FB20C6"/>
    <w:rsid w:val="00FB2E2A"/>
    <w:rsid w:val="00FB39E0"/>
    <w:rsid w:val="00FB499B"/>
    <w:rsid w:val="00FB4F32"/>
    <w:rsid w:val="00FB4F45"/>
    <w:rsid w:val="00FB6144"/>
    <w:rsid w:val="00FB6A87"/>
    <w:rsid w:val="00FB71D6"/>
    <w:rsid w:val="00FB7842"/>
    <w:rsid w:val="00FB7D36"/>
    <w:rsid w:val="00FB7EA3"/>
    <w:rsid w:val="00FC0686"/>
    <w:rsid w:val="00FC0DC9"/>
    <w:rsid w:val="00FC0EE0"/>
    <w:rsid w:val="00FC1613"/>
    <w:rsid w:val="00FC1E67"/>
    <w:rsid w:val="00FC30D6"/>
    <w:rsid w:val="00FC3412"/>
    <w:rsid w:val="00FC3B5E"/>
    <w:rsid w:val="00FC446C"/>
    <w:rsid w:val="00FC44CC"/>
    <w:rsid w:val="00FC46B9"/>
    <w:rsid w:val="00FC4973"/>
    <w:rsid w:val="00FC4B1E"/>
    <w:rsid w:val="00FC4D43"/>
    <w:rsid w:val="00FC541F"/>
    <w:rsid w:val="00FC578A"/>
    <w:rsid w:val="00FC5D60"/>
    <w:rsid w:val="00FC7738"/>
    <w:rsid w:val="00FD09A5"/>
    <w:rsid w:val="00FD0B56"/>
    <w:rsid w:val="00FD141C"/>
    <w:rsid w:val="00FD1A7F"/>
    <w:rsid w:val="00FD1C43"/>
    <w:rsid w:val="00FD1C48"/>
    <w:rsid w:val="00FD2627"/>
    <w:rsid w:val="00FD2880"/>
    <w:rsid w:val="00FD2930"/>
    <w:rsid w:val="00FD2D8F"/>
    <w:rsid w:val="00FD330A"/>
    <w:rsid w:val="00FD357F"/>
    <w:rsid w:val="00FD37E5"/>
    <w:rsid w:val="00FD3B8B"/>
    <w:rsid w:val="00FD4411"/>
    <w:rsid w:val="00FD58C5"/>
    <w:rsid w:val="00FD5DAA"/>
    <w:rsid w:val="00FD5F2E"/>
    <w:rsid w:val="00FD617F"/>
    <w:rsid w:val="00FD6684"/>
    <w:rsid w:val="00FD6DE7"/>
    <w:rsid w:val="00FD706C"/>
    <w:rsid w:val="00FE068F"/>
    <w:rsid w:val="00FE07F6"/>
    <w:rsid w:val="00FE084E"/>
    <w:rsid w:val="00FE116C"/>
    <w:rsid w:val="00FE1371"/>
    <w:rsid w:val="00FE13EA"/>
    <w:rsid w:val="00FE15C9"/>
    <w:rsid w:val="00FE1F8D"/>
    <w:rsid w:val="00FE2E3F"/>
    <w:rsid w:val="00FE35F8"/>
    <w:rsid w:val="00FE3A79"/>
    <w:rsid w:val="00FE3DF3"/>
    <w:rsid w:val="00FE409E"/>
    <w:rsid w:val="00FE4BF1"/>
    <w:rsid w:val="00FE68A1"/>
    <w:rsid w:val="00FE7B1C"/>
    <w:rsid w:val="00FE7D07"/>
    <w:rsid w:val="00FF045B"/>
    <w:rsid w:val="00FF1027"/>
    <w:rsid w:val="00FF162E"/>
    <w:rsid w:val="00FF2398"/>
    <w:rsid w:val="00FF2DD7"/>
    <w:rsid w:val="00FF30BE"/>
    <w:rsid w:val="00FF48CF"/>
    <w:rsid w:val="00FF4B49"/>
    <w:rsid w:val="00FF51DE"/>
    <w:rsid w:val="00FF533B"/>
    <w:rsid w:val="00FF54EE"/>
    <w:rsid w:val="00FF5BA5"/>
    <w:rsid w:val="00FF5CF3"/>
    <w:rsid w:val="00FF5D78"/>
    <w:rsid w:val="00FF6096"/>
    <w:rsid w:val="00FF684B"/>
    <w:rsid w:val="00FF6D4F"/>
    <w:rsid w:val="00FF711B"/>
    <w:rsid w:val="00FF759E"/>
    <w:rsid w:val="00FF79AB"/>
    <w:rsid w:val="0110BA40"/>
    <w:rsid w:val="011F77E6"/>
    <w:rsid w:val="015950C0"/>
    <w:rsid w:val="01A7510F"/>
    <w:rsid w:val="01BCC55E"/>
    <w:rsid w:val="021455EF"/>
    <w:rsid w:val="02B95436"/>
    <w:rsid w:val="02C0BC71"/>
    <w:rsid w:val="02D8C5A1"/>
    <w:rsid w:val="03185F16"/>
    <w:rsid w:val="03B15EC3"/>
    <w:rsid w:val="03BA0E0F"/>
    <w:rsid w:val="03BB6D2C"/>
    <w:rsid w:val="03DB55C8"/>
    <w:rsid w:val="040E5ADE"/>
    <w:rsid w:val="040FB3F0"/>
    <w:rsid w:val="045CFC02"/>
    <w:rsid w:val="0469C23B"/>
    <w:rsid w:val="046DD241"/>
    <w:rsid w:val="0479F0B1"/>
    <w:rsid w:val="048DE072"/>
    <w:rsid w:val="04B58024"/>
    <w:rsid w:val="04E52409"/>
    <w:rsid w:val="04F07008"/>
    <w:rsid w:val="05355230"/>
    <w:rsid w:val="056C4F64"/>
    <w:rsid w:val="058B7499"/>
    <w:rsid w:val="059FC2F5"/>
    <w:rsid w:val="05A904AB"/>
    <w:rsid w:val="05C21165"/>
    <w:rsid w:val="05DE38B7"/>
    <w:rsid w:val="06049166"/>
    <w:rsid w:val="064BB367"/>
    <w:rsid w:val="068C1B59"/>
    <w:rsid w:val="071333F3"/>
    <w:rsid w:val="07577D08"/>
    <w:rsid w:val="0787DF58"/>
    <w:rsid w:val="0794D4CC"/>
    <w:rsid w:val="07A61A46"/>
    <w:rsid w:val="07DD0879"/>
    <w:rsid w:val="0899ADE4"/>
    <w:rsid w:val="08A7A280"/>
    <w:rsid w:val="08B2D641"/>
    <w:rsid w:val="0907BB38"/>
    <w:rsid w:val="09536713"/>
    <w:rsid w:val="096A0CAA"/>
    <w:rsid w:val="0A8A422F"/>
    <w:rsid w:val="0A8BCA45"/>
    <w:rsid w:val="0A9DEB3D"/>
    <w:rsid w:val="0AADBAC3"/>
    <w:rsid w:val="0B0A954A"/>
    <w:rsid w:val="0B1DB21C"/>
    <w:rsid w:val="0B5664C9"/>
    <w:rsid w:val="0C38D035"/>
    <w:rsid w:val="0C64EF77"/>
    <w:rsid w:val="0D5A6490"/>
    <w:rsid w:val="0D8D575A"/>
    <w:rsid w:val="0DA57AFC"/>
    <w:rsid w:val="0DC89A5B"/>
    <w:rsid w:val="0DDC50F1"/>
    <w:rsid w:val="0E08A83E"/>
    <w:rsid w:val="0E11DCD0"/>
    <w:rsid w:val="0E2488BE"/>
    <w:rsid w:val="0E25397E"/>
    <w:rsid w:val="0E6A04BE"/>
    <w:rsid w:val="0E8F1A09"/>
    <w:rsid w:val="0E941191"/>
    <w:rsid w:val="0EC7097E"/>
    <w:rsid w:val="0F1EBB23"/>
    <w:rsid w:val="0F7EAD17"/>
    <w:rsid w:val="0F83812C"/>
    <w:rsid w:val="0F8B04B2"/>
    <w:rsid w:val="1052B112"/>
    <w:rsid w:val="1071FED8"/>
    <w:rsid w:val="10784678"/>
    <w:rsid w:val="10822722"/>
    <w:rsid w:val="108B9867"/>
    <w:rsid w:val="10A4BFC9"/>
    <w:rsid w:val="10C1BE1C"/>
    <w:rsid w:val="10CD7DD0"/>
    <w:rsid w:val="10D8CD78"/>
    <w:rsid w:val="10FCA3D6"/>
    <w:rsid w:val="11157187"/>
    <w:rsid w:val="1138B1FA"/>
    <w:rsid w:val="1164860F"/>
    <w:rsid w:val="11860372"/>
    <w:rsid w:val="1205D03E"/>
    <w:rsid w:val="121C8FD1"/>
    <w:rsid w:val="122DF00D"/>
    <w:rsid w:val="123ECA93"/>
    <w:rsid w:val="1265E8FB"/>
    <w:rsid w:val="1286756C"/>
    <w:rsid w:val="12FAF418"/>
    <w:rsid w:val="131B8D3B"/>
    <w:rsid w:val="1330C421"/>
    <w:rsid w:val="133F8660"/>
    <w:rsid w:val="13928660"/>
    <w:rsid w:val="13B021CB"/>
    <w:rsid w:val="13C92881"/>
    <w:rsid w:val="13D22BD2"/>
    <w:rsid w:val="13DDBF84"/>
    <w:rsid w:val="13E71809"/>
    <w:rsid w:val="13F588E8"/>
    <w:rsid w:val="143E5116"/>
    <w:rsid w:val="1456D8FF"/>
    <w:rsid w:val="145FC2A2"/>
    <w:rsid w:val="148D3729"/>
    <w:rsid w:val="1512C7FC"/>
    <w:rsid w:val="154B5F54"/>
    <w:rsid w:val="1573A8F8"/>
    <w:rsid w:val="15915949"/>
    <w:rsid w:val="15A887DC"/>
    <w:rsid w:val="15B1B0F0"/>
    <w:rsid w:val="15B51C76"/>
    <w:rsid w:val="15C4634C"/>
    <w:rsid w:val="163BB055"/>
    <w:rsid w:val="164CCCCD"/>
    <w:rsid w:val="16532DFD"/>
    <w:rsid w:val="16648B64"/>
    <w:rsid w:val="16686070"/>
    <w:rsid w:val="16A54F99"/>
    <w:rsid w:val="16ECCAF6"/>
    <w:rsid w:val="172FF3A2"/>
    <w:rsid w:val="175442F6"/>
    <w:rsid w:val="1765A37F"/>
    <w:rsid w:val="1778D9A4"/>
    <w:rsid w:val="177D8D78"/>
    <w:rsid w:val="1792B267"/>
    <w:rsid w:val="179C1FCA"/>
    <w:rsid w:val="17A75E22"/>
    <w:rsid w:val="17C6FB36"/>
    <w:rsid w:val="17CF9FB3"/>
    <w:rsid w:val="181800BA"/>
    <w:rsid w:val="18F348FD"/>
    <w:rsid w:val="19581122"/>
    <w:rsid w:val="198ED6AB"/>
    <w:rsid w:val="19D669E3"/>
    <w:rsid w:val="1A3A7DD1"/>
    <w:rsid w:val="1A86E820"/>
    <w:rsid w:val="1AAACF83"/>
    <w:rsid w:val="1ADB2B7C"/>
    <w:rsid w:val="1B8968F6"/>
    <w:rsid w:val="1B9DB2A0"/>
    <w:rsid w:val="1BA5C8FF"/>
    <w:rsid w:val="1BDE89C6"/>
    <w:rsid w:val="1BEF56CD"/>
    <w:rsid w:val="1C0128F9"/>
    <w:rsid w:val="1C4D8680"/>
    <w:rsid w:val="1CA27485"/>
    <w:rsid w:val="1CF402B6"/>
    <w:rsid w:val="1D02FC95"/>
    <w:rsid w:val="1D1741D7"/>
    <w:rsid w:val="1D3BE91B"/>
    <w:rsid w:val="1D9FF65D"/>
    <w:rsid w:val="1DC039EE"/>
    <w:rsid w:val="1DFB666A"/>
    <w:rsid w:val="1E1CACC4"/>
    <w:rsid w:val="1E42F8FC"/>
    <w:rsid w:val="1E4BCA94"/>
    <w:rsid w:val="1E532B2E"/>
    <w:rsid w:val="1E5DDD67"/>
    <w:rsid w:val="1E87D086"/>
    <w:rsid w:val="1E8EAEC0"/>
    <w:rsid w:val="1EB0C48A"/>
    <w:rsid w:val="1EB926E5"/>
    <w:rsid w:val="1F252AD6"/>
    <w:rsid w:val="1F389916"/>
    <w:rsid w:val="1F429FD5"/>
    <w:rsid w:val="1F4E2F34"/>
    <w:rsid w:val="1FA17A9D"/>
    <w:rsid w:val="1FE493F1"/>
    <w:rsid w:val="1FEEFB8F"/>
    <w:rsid w:val="1FF61ECC"/>
    <w:rsid w:val="20749FD5"/>
    <w:rsid w:val="207D8FDE"/>
    <w:rsid w:val="20855B57"/>
    <w:rsid w:val="20BEC1C3"/>
    <w:rsid w:val="20D6B4D0"/>
    <w:rsid w:val="20DD78CB"/>
    <w:rsid w:val="21035A5C"/>
    <w:rsid w:val="21081AE5"/>
    <w:rsid w:val="21237671"/>
    <w:rsid w:val="214A339F"/>
    <w:rsid w:val="2164DB4D"/>
    <w:rsid w:val="218ACBF0"/>
    <w:rsid w:val="2199C0DC"/>
    <w:rsid w:val="21C51D5C"/>
    <w:rsid w:val="21DA2564"/>
    <w:rsid w:val="21E7C5F7"/>
    <w:rsid w:val="220F463F"/>
    <w:rsid w:val="221DF2FE"/>
    <w:rsid w:val="222AD21B"/>
    <w:rsid w:val="2271C148"/>
    <w:rsid w:val="227E6645"/>
    <w:rsid w:val="22CCEFEC"/>
    <w:rsid w:val="22E6A67C"/>
    <w:rsid w:val="230CB7D5"/>
    <w:rsid w:val="2372C303"/>
    <w:rsid w:val="24578F1A"/>
    <w:rsid w:val="24BAA378"/>
    <w:rsid w:val="251A20E6"/>
    <w:rsid w:val="253034C9"/>
    <w:rsid w:val="25373F44"/>
    <w:rsid w:val="254D24B6"/>
    <w:rsid w:val="2592B8D5"/>
    <w:rsid w:val="25AACA32"/>
    <w:rsid w:val="25B0060F"/>
    <w:rsid w:val="25B20BEE"/>
    <w:rsid w:val="25FB2744"/>
    <w:rsid w:val="262DEB24"/>
    <w:rsid w:val="266FFF10"/>
    <w:rsid w:val="26775E37"/>
    <w:rsid w:val="26CA1629"/>
    <w:rsid w:val="26DDED0C"/>
    <w:rsid w:val="278D8170"/>
    <w:rsid w:val="27A10E8F"/>
    <w:rsid w:val="27A6C0E6"/>
    <w:rsid w:val="27B6F40B"/>
    <w:rsid w:val="27D86353"/>
    <w:rsid w:val="27D91ADA"/>
    <w:rsid w:val="2838CD25"/>
    <w:rsid w:val="288FCE81"/>
    <w:rsid w:val="28A69D7D"/>
    <w:rsid w:val="28B6D1CD"/>
    <w:rsid w:val="28CC6920"/>
    <w:rsid w:val="29408188"/>
    <w:rsid w:val="2954421F"/>
    <w:rsid w:val="296FA14D"/>
    <w:rsid w:val="29727CBE"/>
    <w:rsid w:val="29A87D94"/>
    <w:rsid w:val="29F8872A"/>
    <w:rsid w:val="2A12CB20"/>
    <w:rsid w:val="2A31B391"/>
    <w:rsid w:val="2A4F8476"/>
    <w:rsid w:val="2A6CF21C"/>
    <w:rsid w:val="2AA5DAF4"/>
    <w:rsid w:val="2ABC07A5"/>
    <w:rsid w:val="2AE44C52"/>
    <w:rsid w:val="2AFB2677"/>
    <w:rsid w:val="2AFDEAAC"/>
    <w:rsid w:val="2B444DF5"/>
    <w:rsid w:val="2B8C1671"/>
    <w:rsid w:val="2BA934D3"/>
    <w:rsid w:val="2BE39939"/>
    <w:rsid w:val="2CB811E2"/>
    <w:rsid w:val="2CC185DD"/>
    <w:rsid w:val="2CD3390C"/>
    <w:rsid w:val="2CE54AD8"/>
    <w:rsid w:val="2DBB1DAC"/>
    <w:rsid w:val="2DBFF7E2"/>
    <w:rsid w:val="2DC1786B"/>
    <w:rsid w:val="2DFD014B"/>
    <w:rsid w:val="2DFFC3D2"/>
    <w:rsid w:val="2E796860"/>
    <w:rsid w:val="2EE9C93A"/>
    <w:rsid w:val="2F03A5D5"/>
    <w:rsid w:val="2F6E6D5E"/>
    <w:rsid w:val="2F98D7FF"/>
    <w:rsid w:val="2FA0F33F"/>
    <w:rsid w:val="2FC34E83"/>
    <w:rsid w:val="2FF43909"/>
    <w:rsid w:val="30030C63"/>
    <w:rsid w:val="30117444"/>
    <w:rsid w:val="30410753"/>
    <w:rsid w:val="307EE59D"/>
    <w:rsid w:val="309F8126"/>
    <w:rsid w:val="30A70CAB"/>
    <w:rsid w:val="30B61BD8"/>
    <w:rsid w:val="30CEF5E9"/>
    <w:rsid w:val="30E6F63A"/>
    <w:rsid w:val="3149A71D"/>
    <w:rsid w:val="31915F98"/>
    <w:rsid w:val="319AC997"/>
    <w:rsid w:val="32571A6C"/>
    <w:rsid w:val="32CB5302"/>
    <w:rsid w:val="336DAF2A"/>
    <w:rsid w:val="3377AF9E"/>
    <w:rsid w:val="33820934"/>
    <w:rsid w:val="33FF973C"/>
    <w:rsid w:val="341E7DEE"/>
    <w:rsid w:val="342E5C72"/>
    <w:rsid w:val="34D8C091"/>
    <w:rsid w:val="3581BCBA"/>
    <w:rsid w:val="3584B7E0"/>
    <w:rsid w:val="3623F101"/>
    <w:rsid w:val="36477A2F"/>
    <w:rsid w:val="368306D5"/>
    <w:rsid w:val="369BA70E"/>
    <w:rsid w:val="37079C1A"/>
    <w:rsid w:val="3707C57F"/>
    <w:rsid w:val="370C9565"/>
    <w:rsid w:val="372F6A28"/>
    <w:rsid w:val="374D8C9E"/>
    <w:rsid w:val="3752DD00"/>
    <w:rsid w:val="37673ECF"/>
    <w:rsid w:val="377C7CB4"/>
    <w:rsid w:val="378B2655"/>
    <w:rsid w:val="37A41FD9"/>
    <w:rsid w:val="37BF0D7F"/>
    <w:rsid w:val="37DDF61C"/>
    <w:rsid w:val="37F582CB"/>
    <w:rsid w:val="380D2F01"/>
    <w:rsid w:val="381D0EA3"/>
    <w:rsid w:val="381E5D00"/>
    <w:rsid w:val="3822D0FD"/>
    <w:rsid w:val="3842AB48"/>
    <w:rsid w:val="3852F088"/>
    <w:rsid w:val="385D7D81"/>
    <w:rsid w:val="38B4CAF0"/>
    <w:rsid w:val="39891D0C"/>
    <w:rsid w:val="3990CF85"/>
    <w:rsid w:val="39A57901"/>
    <w:rsid w:val="39D71094"/>
    <w:rsid w:val="39E2FC03"/>
    <w:rsid w:val="3A2B34DD"/>
    <w:rsid w:val="3A38E0E8"/>
    <w:rsid w:val="3A47740A"/>
    <w:rsid w:val="3A6A4FA0"/>
    <w:rsid w:val="3A6BE399"/>
    <w:rsid w:val="3AB3978B"/>
    <w:rsid w:val="3B7E6A29"/>
    <w:rsid w:val="3C0165F8"/>
    <w:rsid w:val="3C29424A"/>
    <w:rsid w:val="3C3F0610"/>
    <w:rsid w:val="3C45FB0C"/>
    <w:rsid w:val="3C73C8DF"/>
    <w:rsid w:val="3C763411"/>
    <w:rsid w:val="3C8A432B"/>
    <w:rsid w:val="3CC7FEEB"/>
    <w:rsid w:val="3CD22119"/>
    <w:rsid w:val="3D252B3C"/>
    <w:rsid w:val="3D890554"/>
    <w:rsid w:val="3D9EE12C"/>
    <w:rsid w:val="3DE8F4B2"/>
    <w:rsid w:val="3DF242FE"/>
    <w:rsid w:val="3DFA0921"/>
    <w:rsid w:val="3E13BA61"/>
    <w:rsid w:val="3E4BD33B"/>
    <w:rsid w:val="3EB31422"/>
    <w:rsid w:val="3EC10841"/>
    <w:rsid w:val="3EFB3D07"/>
    <w:rsid w:val="3F1C6F9E"/>
    <w:rsid w:val="3F450FC7"/>
    <w:rsid w:val="3F5DEFF1"/>
    <w:rsid w:val="3F7324A5"/>
    <w:rsid w:val="3FF93EA2"/>
    <w:rsid w:val="401C3B7E"/>
    <w:rsid w:val="403B7434"/>
    <w:rsid w:val="4090F2DF"/>
    <w:rsid w:val="40DA1EC1"/>
    <w:rsid w:val="414F1A51"/>
    <w:rsid w:val="415F336F"/>
    <w:rsid w:val="418ECA09"/>
    <w:rsid w:val="41A3398A"/>
    <w:rsid w:val="41FCB1BB"/>
    <w:rsid w:val="4208F39D"/>
    <w:rsid w:val="4224A3E5"/>
    <w:rsid w:val="422B791C"/>
    <w:rsid w:val="423DE1AB"/>
    <w:rsid w:val="4247DE28"/>
    <w:rsid w:val="429BBBC3"/>
    <w:rsid w:val="42E36AA5"/>
    <w:rsid w:val="42E84BF1"/>
    <w:rsid w:val="430B4C66"/>
    <w:rsid w:val="434BA5F0"/>
    <w:rsid w:val="43756BCF"/>
    <w:rsid w:val="44232D15"/>
    <w:rsid w:val="44242E71"/>
    <w:rsid w:val="4443E778"/>
    <w:rsid w:val="444DE9DC"/>
    <w:rsid w:val="4458C12A"/>
    <w:rsid w:val="4484B082"/>
    <w:rsid w:val="44BBD2D3"/>
    <w:rsid w:val="44DDA149"/>
    <w:rsid w:val="4502FB93"/>
    <w:rsid w:val="4504B43E"/>
    <w:rsid w:val="45170F1C"/>
    <w:rsid w:val="4524E849"/>
    <w:rsid w:val="4569F0DF"/>
    <w:rsid w:val="45A35F8D"/>
    <w:rsid w:val="45A98E24"/>
    <w:rsid w:val="45B51510"/>
    <w:rsid w:val="46270CA8"/>
    <w:rsid w:val="4633A9E8"/>
    <w:rsid w:val="463E83C7"/>
    <w:rsid w:val="4647CD4B"/>
    <w:rsid w:val="46514EDD"/>
    <w:rsid w:val="465E8FA8"/>
    <w:rsid w:val="46648FAA"/>
    <w:rsid w:val="4686D287"/>
    <w:rsid w:val="474B6EAE"/>
    <w:rsid w:val="4788E68C"/>
    <w:rsid w:val="47F71A45"/>
    <w:rsid w:val="4801BE98"/>
    <w:rsid w:val="480B6D7D"/>
    <w:rsid w:val="4836B668"/>
    <w:rsid w:val="487BD49E"/>
    <w:rsid w:val="489EF7EF"/>
    <w:rsid w:val="48E39A57"/>
    <w:rsid w:val="48EF8780"/>
    <w:rsid w:val="49138F5D"/>
    <w:rsid w:val="4957D0F5"/>
    <w:rsid w:val="496D5E8E"/>
    <w:rsid w:val="49CE8CC0"/>
    <w:rsid w:val="49F8BB26"/>
    <w:rsid w:val="4A01D073"/>
    <w:rsid w:val="4A3EF635"/>
    <w:rsid w:val="4A62DCE4"/>
    <w:rsid w:val="4A65FA23"/>
    <w:rsid w:val="4A938769"/>
    <w:rsid w:val="4AAF5FBE"/>
    <w:rsid w:val="4ABEFB07"/>
    <w:rsid w:val="4B0C3793"/>
    <w:rsid w:val="4B39D159"/>
    <w:rsid w:val="4B3B2243"/>
    <w:rsid w:val="4B446882"/>
    <w:rsid w:val="4B78440B"/>
    <w:rsid w:val="4BAAF15D"/>
    <w:rsid w:val="4C1E925A"/>
    <w:rsid w:val="4C281867"/>
    <w:rsid w:val="4C4670FE"/>
    <w:rsid w:val="4C4FF089"/>
    <w:rsid w:val="4C9D6A45"/>
    <w:rsid w:val="4CA68CE4"/>
    <w:rsid w:val="4CF5A4A9"/>
    <w:rsid w:val="4D04FE7A"/>
    <w:rsid w:val="4D1B2502"/>
    <w:rsid w:val="4D4B3A43"/>
    <w:rsid w:val="4D52DC2E"/>
    <w:rsid w:val="4DABA93D"/>
    <w:rsid w:val="4DC22AFF"/>
    <w:rsid w:val="4DE6BA68"/>
    <w:rsid w:val="4DEB9D66"/>
    <w:rsid w:val="4E1D7ACF"/>
    <w:rsid w:val="4E36D952"/>
    <w:rsid w:val="4E4B41F3"/>
    <w:rsid w:val="4E67A53C"/>
    <w:rsid w:val="4E734B19"/>
    <w:rsid w:val="4E76CC90"/>
    <w:rsid w:val="4E8BF3FC"/>
    <w:rsid w:val="4E8F0DEE"/>
    <w:rsid w:val="4F098662"/>
    <w:rsid w:val="4F31A0A8"/>
    <w:rsid w:val="4F628026"/>
    <w:rsid w:val="4F93BB08"/>
    <w:rsid w:val="502E9FDB"/>
    <w:rsid w:val="506C08D9"/>
    <w:rsid w:val="50791F79"/>
    <w:rsid w:val="50AC8114"/>
    <w:rsid w:val="50C97CC2"/>
    <w:rsid w:val="50D60B37"/>
    <w:rsid w:val="518AEEBB"/>
    <w:rsid w:val="518EA4E6"/>
    <w:rsid w:val="51940E41"/>
    <w:rsid w:val="51FA69D8"/>
    <w:rsid w:val="51FDE356"/>
    <w:rsid w:val="527A2232"/>
    <w:rsid w:val="52BE8C0D"/>
    <w:rsid w:val="52F188EC"/>
    <w:rsid w:val="52F2A268"/>
    <w:rsid w:val="5304A7D3"/>
    <w:rsid w:val="53141D00"/>
    <w:rsid w:val="534F33E9"/>
    <w:rsid w:val="53619D8F"/>
    <w:rsid w:val="5389757A"/>
    <w:rsid w:val="53A834DD"/>
    <w:rsid w:val="53BCA859"/>
    <w:rsid w:val="53CAD581"/>
    <w:rsid w:val="53F900F8"/>
    <w:rsid w:val="5421C7B8"/>
    <w:rsid w:val="5448A3FA"/>
    <w:rsid w:val="54814421"/>
    <w:rsid w:val="548CD714"/>
    <w:rsid w:val="5536AB4E"/>
    <w:rsid w:val="553A4A70"/>
    <w:rsid w:val="557D5CEF"/>
    <w:rsid w:val="55810FC2"/>
    <w:rsid w:val="55BF1955"/>
    <w:rsid w:val="55C5D67D"/>
    <w:rsid w:val="55F21265"/>
    <w:rsid w:val="55FCD1E1"/>
    <w:rsid w:val="5628D6D1"/>
    <w:rsid w:val="5678490E"/>
    <w:rsid w:val="5693C0D4"/>
    <w:rsid w:val="570762DE"/>
    <w:rsid w:val="57B503A2"/>
    <w:rsid w:val="57DF13AF"/>
    <w:rsid w:val="57F3A885"/>
    <w:rsid w:val="58146133"/>
    <w:rsid w:val="581FF08C"/>
    <w:rsid w:val="58226505"/>
    <w:rsid w:val="582750AA"/>
    <w:rsid w:val="589AECA5"/>
    <w:rsid w:val="589D7664"/>
    <w:rsid w:val="58AECA62"/>
    <w:rsid w:val="593385A4"/>
    <w:rsid w:val="5951515D"/>
    <w:rsid w:val="595DB607"/>
    <w:rsid w:val="5971238A"/>
    <w:rsid w:val="597F77FE"/>
    <w:rsid w:val="5A2F3522"/>
    <w:rsid w:val="5A2F6915"/>
    <w:rsid w:val="5A56891D"/>
    <w:rsid w:val="5A5DD982"/>
    <w:rsid w:val="5A9CFC6A"/>
    <w:rsid w:val="5AE75763"/>
    <w:rsid w:val="5B2D9C96"/>
    <w:rsid w:val="5BC86A3A"/>
    <w:rsid w:val="5BDD6F4A"/>
    <w:rsid w:val="5BE7A463"/>
    <w:rsid w:val="5BF5CD5E"/>
    <w:rsid w:val="5C0FEE67"/>
    <w:rsid w:val="5C75E010"/>
    <w:rsid w:val="5C91C9F9"/>
    <w:rsid w:val="5CA6E7D3"/>
    <w:rsid w:val="5CAABC7E"/>
    <w:rsid w:val="5D224408"/>
    <w:rsid w:val="5D73DA3C"/>
    <w:rsid w:val="5DA50CA3"/>
    <w:rsid w:val="5DE3FBED"/>
    <w:rsid w:val="5E011A44"/>
    <w:rsid w:val="5E215E8B"/>
    <w:rsid w:val="5E25E4B0"/>
    <w:rsid w:val="5E4C6E93"/>
    <w:rsid w:val="5E711965"/>
    <w:rsid w:val="5ED7BEE0"/>
    <w:rsid w:val="5F1780CB"/>
    <w:rsid w:val="5F39EE32"/>
    <w:rsid w:val="5F77CC7C"/>
    <w:rsid w:val="5F99BBB5"/>
    <w:rsid w:val="600DD03B"/>
    <w:rsid w:val="601FE619"/>
    <w:rsid w:val="605C02E7"/>
    <w:rsid w:val="6064BA9E"/>
    <w:rsid w:val="60BEAD4E"/>
    <w:rsid w:val="60C1286B"/>
    <w:rsid w:val="60D57F3C"/>
    <w:rsid w:val="60F2BFE4"/>
    <w:rsid w:val="61180DA8"/>
    <w:rsid w:val="61240DD9"/>
    <w:rsid w:val="61643EFD"/>
    <w:rsid w:val="622AF1DE"/>
    <w:rsid w:val="626D6408"/>
    <w:rsid w:val="62B9DEE7"/>
    <w:rsid w:val="62C263E5"/>
    <w:rsid w:val="62DAC72E"/>
    <w:rsid w:val="62EBB370"/>
    <w:rsid w:val="63ADDF63"/>
    <w:rsid w:val="63ED1E18"/>
    <w:rsid w:val="640F0EC7"/>
    <w:rsid w:val="64964805"/>
    <w:rsid w:val="649C79A4"/>
    <w:rsid w:val="649E1661"/>
    <w:rsid w:val="64C6179C"/>
    <w:rsid w:val="64F14F2B"/>
    <w:rsid w:val="64FA6E4A"/>
    <w:rsid w:val="6578F614"/>
    <w:rsid w:val="658DD69C"/>
    <w:rsid w:val="65AB45D3"/>
    <w:rsid w:val="65C36DB0"/>
    <w:rsid w:val="65C82C4F"/>
    <w:rsid w:val="65D547A9"/>
    <w:rsid w:val="66FBF922"/>
    <w:rsid w:val="674FABE9"/>
    <w:rsid w:val="6753AE00"/>
    <w:rsid w:val="6772306A"/>
    <w:rsid w:val="6841A239"/>
    <w:rsid w:val="68507381"/>
    <w:rsid w:val="688DE0ED"/>
    <w:rsid w:val="68BF048E"/>
    <w:rsid w:val="690050EC"/>
    <w:rsid w:val="6905A075"/>
    <w:rsid w:val="69086746"/>
    <w:rsid w:val="692EED7A"/>
    <w:rsid w:val="69A97729"/>
    <w:rsid w:val="69E499E9"/>
    <w:rsid w:val="6A1DBE55"/>
    <w:rsid w:val="6A678E29"/>
    <w:rsid w:val="6A81F316"/>
    <w:rsid w:val="6A9701B8"/>
    <w:rsid w:val="6AA1156A"/>
    <w:rsid w:val="6AB52F87"/>
    <w:rsid w:val="6AD4E8B9"/>
    <w:rsid w:val="6AE14AEF"/>
    <w:rsid w:val="6B28BA71"/>
    <w:rsid w:val="6B55CF16"/>
    <w:rsid w:val="6B6522C5"/>
    <w:rsid w:val="6B65C23D"/>
    <w:rsid w:val="6B7D3167"/>
    <w:rsid w:val="6BBEDADD"/>
    <w:rsid w:val="6BCF6A45"/>
    <w:rsid w:val="6BDBCC78"/>
    <w:rsid w:val="6BE1ABD3"/>
    <w:rsid w:val="6C5A56D1"/>
    <w:rsid w:val="6CD934DD"/>
    <w:rsid w:val="6D36EDEB"/>
    <w:rsid w:val="6D3A4AF0"/>
    <w:rsid w:val="6D9BF403"/>
    <w:rsid w:val="6DF9C631"/>
    <w:rsid w:val="6E1D2529"/>
    <w:rsid w:val="6E4270A5"/>
    <w:rsid w:val="6EE2B112"/>
    <w:rsid w:val="6EEC00D4"/>
    <w:rsid w:val="6F1AF51E"/>
    <w:rsid w:val="6F492001"/>
    <w:rsid w:val="6FB34EC6"/>
    <w:rsid w:val="6FBB2099"/>
    <w:rsid w:val="6FD44F7A"/>
    <w:rsid w:val="6FDC9840"/>
    <w:rsid w:val="70139B4D"/>
    <w:rsid w:val="70ADFBC3"/>
    <w:rsid w:val="7102AEB0"/>
    <w:rsid w:val="7109E0D1"/>
    <w:rsid w:val="71F7EE67"/>
    <w:rsid w:val="7225985E"/>
    <w:rsid w:val="724CA193"/>
    <w:rsid w:val="72552596"/>
    <w:rsid w:val="726205CB"/>
    <w:rsid w:val="72B787F9"/>
    <w:rsid w:val="72B97AED"/>
    <w:rsid w:val="72DCE01F"/>
    <w:rsid w:val="7307C7FA"/>
    <w:rsid w:val="732E0318"/>
    <w:rsid w:val="7369D698"/>
    <w:rsid w:val="74051BCC"/>
    <w:rsid w:val="741954D1"/>
    <w:rsid w:val="74B516C0"/>
    <w:rsid w:val="751E53C3"/>
    <w:rsid w:val="75379B49"/>
    <w:rsid w:val="7543E065"/>
    <w:rsid w:val="75598FD4"/>
    <w:rsid w:val="756D70E1"/>
    <w:rsid w:val="75957D2C"/>
    <w:rsid w:val="75D4784A"/>
    <w:rsid w:val="760CBC87"/>
    <w:rsid w:val="7620B785"/>
    <w:rsid w:val="76C616B7"/>
    <w:rsid w:val="76EF9AFC"/>
    <w:rsid w:val="77263A66"/>
    <w:rsid w:val="772F9C45"/>
    <w:rsid w:val="773CF8F2"/>
    <w:rsid w:val="774B4E50"/>
    <w:rsid w:val="784E42E1"/>
    <w:rsid w:val="7873E97F"/>
    <w:rsid w:val="7894C4F0"/>
    <w:rsid w:val="78ABD221"/>
    <w:rsid w:val="78DD15DE"/>
    <w:rsid w:val="79027835"/>
    <w:rsid w:val="794F01A0"/>
    <w:rsid w:val="79603B05"/>
    <w:rsid w:val="79C71F87"/>
    <w:rsid w:val="79C8C34A"/>
    <w:rsid w:val="79E79AF3"/>
    <w:rsid w:val="7A07A7D5"/>
    <w:rsid w:val="7A345438"/>
    <w:rsid w:val="7A407EAB"/>
    <w:rsid w:val="7A7D1287"/>
    <w:rsid w:val="7A8D3C84"/>
    <w:rsid w:val="7AA80BD4"/>
    <w:rsid w:val="7AD885D7"/>
    <w:rsid w:val="7AF5767B"/>
    <w:rsid w:val="7AFB2A66"/>
    <w:rsid w:val="7B007DAE"/>
    <w:rsid w:val="7B6EFD68"/>
    <w:rsid w:val="7B91CE20"/>
    <w:rsid w:val="7B9B2E42"/>
    <w:rsid w:val="7BBEF419"/>
    <w:rsid w:val="7BCC65B2"/>
    <w:rsid w:val="7BFB1A3A"/>
    <w:rsid w:val="7C0E64D8"/>
    <w:rsid w:val="7C3923CD"/>
    <w:rsid w:val="7C4B89F7"/>
    <w:rsid w:val="7C7F73FE"/>
    <w:rsid w:val="7C906F8A"/>
    <w:rsid w:val="7C9098EF"/>
    <w:rsid w:val="7C9C4E0F"/>
    <w:rsid w:val="7CA3714C"/>
    <w:rsid w:val="7CA5216F"/>
    <w:rsid w:val="7CB5D21A"/>
    <w:rsid w:val="7CCBDF69"/>
    <w:rsid w:val="7CCD58A2"/>
    <w:rsid w:val="7CD9F2D0"/>
    <w:rsid w:val="7CE4110A"/>
    <w:rsid w:val="7D4211AD"/>
    <w:rsid w:val="7D683613"/>
    <w:rsid w:val="7E22A98B"/>
    <w:rsid w:val="7E242926"/>
    <w:rsid w:val="7E27A487"/>
    <w:rsid w:val="7EBFFE14"/>
    <w:rsid w:val="7EC8EC9A"/>
    <w:rsid w:val="7F083514"/>
    <w:rsid w:val="7F0A58F2"/>
    <w:rsid w:val="7F5AA2C6"/>
    <w:rsid w:val="7F6183E0"/>
    <w:rsid w:val="7FA0CB55"/>
    <w:rsid w:val="7FD232CE"/>
    <w:rsid w:val="7FF98FA5"/>
    <w:rsid w:val="7FF9CD9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91D35"/>
  <w15:chartTrackingRefBased/>
  <w15:docId w15:val="{1DEF58F0-469B-43C6-806B-01A7568F9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E6194"/>
    <w:pPr>
      <w:spacing w:after="120"/>
      <w:jc w:val="both"/>
    </w:pPr>
    <w:rPr>
      <w:rFonts w:ascii="Times New Roman" w:hAnsi="Times New Roman"/>
    </w:rPr>
  </w:style>
  <w:style w:type="paragraph" w:styleId="berschrift1">
    <w:name w:val="heading 1"/>
    <w:basedOn w:val="Standard"/>
    <w:next w:val="Standard"/>
    <w:link w:val="berschrift1Zchn"/>
    <w:uiPriority w:val="9"/>
    <w:qFormat/>
    <w:rsid w:val="00DB7427"/>
    <w:pPr>
      <w:keepNext/>
      <w:keepLines/>
      <w:numPr>
        <w:numId w:val="5"/>
      </w:numPr>
      <w:spacing w:before="240"/>
      <w:ind w:left="431" w:hanging="431"/>
      <w:outlineLvl w:val="0"/>
    </w:pPr>
    <w:rPr>
      <w:rFonts w:eastAsiaTheme="majorEastAsia" w:cstheme="majorBidi"/>
      <w:b/>
      <w:sz w:val="32"/>
      <w:szCs w:val="32"/>
    </w:rPr>
  </w:style>
  <w:style w:type="paragraph" w:styleId="berschrift2">
    <w:name w:val="heading 2"/>
    <w:basedOn w:val="Standard"/>
    <w:next w:val="Standard"/>
    <w:link w:val="berschrift2Zchn"/>
    <w:uiPriority w:val="9"/>
    <w:unhideWhenUsed/>
    <w:qFormat/>
    <w:rsid w:val="00A51AB0"/>
    <w:pPr>
      <w:keepNext/>
      <w:keepLines/>
      <w:numPr>
        <w:ilvl w:val="1"/>
        <w:numId w:val="5"/>
      </w:numPr>
      <w:spacing w:before="60" w:after="60"/>
      <w:outlineLvl w:val="1"/>
    </w:pPr>
    <w:rPr>
      <w:rFonts w:eastAsiaTheme="majorEastAsia" w:cstheme="majorBidi"/>
      <w:b/>
      <w:szCs w:val="26"/>
    </w:rPr>
  </w:style>
  <w:style w:type="paragraph" w:styleId="berschrift3">
    <w:name w:val="heading 3"/>
    <w:basedOn w:val="Standard"/>
    <w:next w:val="Standard"/>
    <w:link w:val="berschrift3Zchn"/>
    <w:uiPriority w:val="9"/>
    <w:unhideWhenUsed/>
    <w:qFormat/>
    <w:rsid w:val="00EE11AD"/>
    <w:pPr>
      <w:keepNext/>
      <w:keepLines/>
      <w:numPr>
        <w:ilvl w:val="2"/>
        <w:numId w:val="5"/>
      </w:numPr>
      <w:spacing w:before="40" w:after="40"/>
      <w:outlineLvl w:val="2"/>
    </w:pPr>
    <w:rPr>
      <w:rFonts w:eastAsiaTheme="majorEastAsia" w:cstheme="majorBidi"/>
      <w:color w:val="000000" w:themeColor="text1"/>
    </w:rPr>
  </w:style>
  <w:style w:type="paragraph" w:styleId="berschrift4">
    <w:name w:val="heading 4"/>
    <w:basedOn w:val="Standard"/>
    <w:next w:val="Standard"/>
    <w:link w:val="berschrift4Zchn"/>
    <w:uiPriority w:val="9"/>
    <w:unhideWhenUsed/>
    <w:qFormat/>
    <w:rsid w:val="00014B3F"/>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014B3F"/>
    <w:pPr>
      <w:keepNext/>
      <w:keepLines/>
      <w:numPr>
        <w:ilvl w:val="4"/>
        <w:numId w:val="5"/>
      </w:numPr>
      <w:tabs>
        <w:tab w:val="num" w:pos="360"/>
      </w:tabs>
      <w:spacing w:before="40"/>
      <w:ind w:left="0" w:firstLine="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014B3F"/>
    <w:pPr>
      <w:keepNext/>
      <w:keepLines/>
      <w:numPr>
        <w:ilvl w:val="5"/>
        <w:numId w:val="5"/>
      </w:numPr>
      <w:tabs>
        <w:tab w:val="num" w:pos="360"/>
      </w:tabs>
      <w:spacing w:before="40"/>
      <w:ind w:left="0" w:firstLine="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014B3F"/>
    <w:pPr>
      <w:keepNext/>
      <w:keepLines/>
      <w:numPr>
        <w:ilvl w:val="6"/>
        <w:numId w:val="5"/>
      </w:numPr>
      <w:tabs>
        <w:tab w:val="num" w:pos="360"/>
      </w:tabs>
      <w:spacing w:before="40"/>
      <w:ind w:left="0" w:firstLine="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014B3F"/>
    <w:pPr>
      <w:keepNext/>
      <w:keepLines/>
      <w:numPr>
        <w:ilvl w:val="7"/>
        <w:numId w:val="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014B3F"/>
    <w:pPr>
      <w:keepNext/>
      <w:keepLines/>
      <w:numPr>
        <w:ilvl w:val="8"/>
        <w:numId w:val="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B7427"/>
    <w:rPr>
      <w:rFonts w:ascii="Times New Roman" w:eastAsiaTheme="majorEastAsia" w:hAnsi="Times New Roman" w:cstheme="majorBidi"/>
      <w:b/>
      <w:sz w:val="32"/>
      <w:szCs w:val="32"/>
    </w:rPr>
  </w:style>
  <w:style w:type="paragraph" w:styleId="Titel">
    <w:name w:val="Title"/>
    <w:basedOn w:val="Standard"/>
    <w:next w:val="Standard"/>
    <w:link w:val="TitelZchn"/>
    <w:uiPriority w:val="10"/>
    <w:qFormat/>
    <w:rsid w:val="00A51AB0"/>
    <w:pPr>
      <w:contextualSpacing/>
    </w:pPr>
    <w:rPr>
      <w:rFonts w:eastAsiaTheme="majorEastAsia" w:cstheme="majorBidi"/>
      <w:b/>
      <w:spacing w:val="-10"/>
      <w:kern w:val="28"/>
      <w:sz w:val="40"/>
      <w:szCs w:val="56"/>
    </w:rPr>
  </w:style>
  <w:style w:type="character" w:customStyle="1" w:styleId="TitelZchn">
    <w:name w:val="Titel Zchn"/>
    <w:basedOn w:val="Absatz-Standardschriftart"/>
    <w:link w:val="Titel"/>
    <w:uiPriority w:val="10"/>
    <w:rsid w:val="00A51AB0"/>
    <w:rPr>
      <w:rFonts w:ascii="Times New Roman" w:eastAsiaTheme="majorEastAsia" w:hAnsi="Times New Roman" w:cstheme="majorBidi"/>
      <w:b/>
      <w:spacing w:val="-10"/>
      <w:kern w:val="28"/>
      <w:sz w:val="40"/>
      <w:szCs w:val="56"/>
    </w:rPr>
  </w:style>
  <w:style w:type="character" w:customStyle="1" w:styleId="berschrift2Zchn">
    <w:name w:val="Überschrift 2 Zchn"/>
    <w:basedOn w:val="Absatz-Standardschriftart"/>
    <w:link w:val="berschrift2"/>
    <w:uiPriority w:val="9"/>
    <w:rsid w:val="00A51AB0"/>
    <w:rPr>
      <w:rFonts w:ascii="Times New Roman" w:eastAsiaTheme="majorEastAsia" w:hAnsi="Times New Roman" w:cstheme="majorBidi"/>
      <w:b/>
      <w:szCs w:val="26"/>
    </w:rPr>
  </w:style>
  <w:style w:type="paragraph" w:styleId="Beschriftung">
    <w:name w:val="caption"/>
    <w:basedOn w:val="Standard"/>
    <w:next w:val="Standard"/>
    <w:uiPriority w:val="35"/>
    <w:unhideWhenUsed/>
    <w:qFormat/>
    <w:rsid w:val="00952343"/>
    <w:pPr>
      <w:spacing w:after="200"/>
    </w:pPr>
    <w:rPr>
      <w:i/>
      <w:iCs/>
      <w:color w:val="44546A" w:themeColor="text2"/>
      <w:sz w:val="18"/>
      <w:szCs w:val="18"/>
    </w:rPr>
  </w:style>
  <w:style w:type="character" w:styleId="Hervorhebung">
    <w:name w:val="Emphasis"/>
    <w:aliases w:val="caption"/>
    <w:uiPriority w:val="20"/>
    <w:qFormat/>
    <w:rsid w:val="00F855D0"/>
    <w:rPr>
      <w:color w:val="000000" w:themeColor="text1"/>
      <w:lang w:val="en-US"/>
    </w:rPr>
  </w:style>
  <w:style w:type="paragraph" w:customStyle="1" w:styleId="EndNoteBibliographyTitle">
    <w:name w:val="EndNote Bibliography Title"/>
    <w:basedOn w:val="Standard"/>
    <w:link w:val="EndNoteBibliographyTitleChar"/>
    <w:rsid w:val="00C36BFA"/>
    <w:pPr>
      <w:jc w:val="center"/>
    </w:pPr>
    <w:rPr>
      <w:rFonts w:cs="Times New Roman"/>
      <w:lang w:val="en-US"/>
    </w:rPr>
  </w:style>
  <w:style w:type="character" w:customStyle="1" w:styleId="EndNoteBibliographyTitleChar">
    <w:name w:val="EndNote Bibliography Title Char"/>
    <w:basedOn w:val="Absatz-Standardschriftart"/>
    <w:link w:val="EndNoteBibliographyTitle"/>
    <w:rsid w:val="00C36BFA"/>
    <w:rPr>
      <w:rFonts w:ascii="Times New Roman" w:hAnsi="Times New Roman" w:cs="Times New Roman"/>
      <w:lang w:val="en-US"/>
    </w:rPr>
  </w:style>
  <w:style w:type="paragraph" w:customStyle="1" w:styleId="EndNoteBibliography">
    <w:name w:val="EndNote Bibliography"/>
    <w:basedOn w:val="Standard"/>
    <w:link w:val="EndNoteBibliographyChar"/>
    <w:rsid w:val="00C36BFA"/>
    <w:rPr>
      <w:rFonts w:cs="Times New Roman"/>
      <w:lang w:val="en-US"/>
    </w:rPr>
  </w:style>
  <w:style w:type="character" w:customStyle="1" w:styleId="EndNoteBibliographyChar">
    <w:name w:val="EndNote Bibliography Char"/>
    <w:basedOn w:val="Absatz-Standardschriftart"/>
    <w:link w:val="EndNoteBibliography"/>
    <w:rsid w:val="00C36BFA"/>
    <w:rPr>
      <w:rFonts w:ascii="Times New Roman" w:hAnsi="Times New Roman" w:cs="Times New Roman"/>
      <w:lang w:val="en-US"/>
    </w:rPr>
  </w:style>
  <w:style w:type="character" w:styleId="Hyperlink">
    <w:name w:val="Hyperlink"/>
    <w:basedOn w:val="Absatz-Standardschriftart"/>
    <w:uiPriority w:val="99"/>
    <w:unhideWhenUsed/>
    <w:rsid w:val="00C36BFA"/>
    <w:rPr>
      <w:color w:val="0563C1" w:themeColor="hyperlink"/>
      <w:u w:val="single"/>
    </w:rPr>
  </w:style>
  <w:style w:type="character" w:styleId="NichtaufgelsteErwhnung">
    <w:name w:val="Unresolved Mention"/>
    <w:basedOn w:val="Absatz-Standardschriftart"/>
    <w:uiPriority w:val="99"/>
    <w:semiHidden/>
    <w:unhideWhenUsed/>
    <w:rsid w:val="00C36BFA"/>
    <w:rPr>
      <w:color w:val="605E5C"/>
      <w:shd w:val="clear" w:color="auto" w:fill="E1DFDD"/>
    </w:rPr>
  </w:style>
  <w:style w:type="character" w:styleId="Kommentarzeichen">
    <w:name w:val="annotation reference"/>
    <w:basedOn w:val="Absatz-Standardschriftart"/>
    <w:uiPriority w:val="99"/>
    <w:semiHidden/>
    <w:unhideWhenUsed/>
    <w:rsid w:val="006D1034"/>
    <w:rPr>
      <w:sz w:val="16"/>
      <w:szCs w:val="16"/>
    </w:rPr>
  </w:style>
  <w:style w:type="paragraph" w:styleId="Kommentartext">
    <w:name w:val="annotation text"/>
    <w:basedOn w:val="Standard"/>
    <w:link w:val="KommentartextZchn"/>
    <w:uiPriority w:val="99"/>
    <w:unhideWhenUsed/>
    <w:rsid w:val="006D1034"/>
    <w:rPr>
      <w:sz w:val="20"/>
      <w:szCs w:val="20"/>
    </w:rPr>
  </w:style>
  <w:style w:type="character" w:customStyle="1" w:styleId="KommentartextZchn">
    <w:name w:val="Kommentartext Zchn"/>
    <w:basedOn w:val="Absatz-Standardschriftart"/>
    <w:link w:val="Kommentartext"/>
    <w:uiPriority w:val="99"/>
    <w:rsid w:val="006D1034"/>
    <w:rPr>
      <w:rFonts w:ascii="Times New Roman" w:hAnsi="Times New Roman"/>
      <w:sz w:val="20"/>
      <w:szCs w:val="20"/>
    </w:rPr>
  </w:style>
  <w:style w:type="paragraph" w:styleId="Kommentarthema">
    <w:name w:val="annotation subject"/>
    <w:basedOn w:val="Kommentartext"/>
    <w:next w:val="Kommentartext"/>
    <w:link w:val="KommentarthemaZchn"/>
    <w:uiPriority w:val="99"/>
    <w:semiHidden/>
    <w:unhideWhenUsed/>
    <w:rsid w:val="006D1034"/>
    <w:rPr>
      <w:b/>
      <w:bCs/>
    </w:rPr>
  </w:style>
  <w:style w:type="character" w:customStyle="1" w:styleId="KommentarthemaZchn">
    <w:name w:val="Kommentarthema Zchn"/>
    <w:basedOn w:val="KommentartextZchn"/>
    <w:link w:val="Kommentarthema"/>
    <w:uiPriority w:val="99"/>
    <w:semiHidden/>
    <w:rsid w:val="006D1034"/>
    <w:rPr>
      <w:rFonts w:ascii="Times New Roman" w:hAnsi="Times New Roman"/>
      <w:b/>
      <w:bCs/>
      <w:sz w:val="20"/>
      <w:szCs w:val="20"/>
    </w:rPr>
  </w:style>
  <w:style w:type="paragraph" w:styleId="StandardWeb">
    <w:name w:val="Normal (Web)"/>
    <w:basedOn w:val="Standard"/>
    <w:uiPriority w:val="99"/>
    <w:semiHidden/>
    <w:unhideWhenUsed/>
    <w:rsid w:val="008B63EC"/>
    <w:pPr>
      <w:spacing w:before="100" w:beforeAutospacing="1" w:after="100" w:afterAutospacing="1"/>
      <w:jc w:val="left"/>
    </w:pPr>
    <w:rPr>
      <w:rFonts w:eastAsia="Times New Roman" w:cs="Times New Roman"/>
      <w:lang w:eastAsia="en-GB"/>
    </w:rPr>
  </w:style>
  <w:style w:type="paragraph" w:styleId="Sprechblasentext">
    <w:name w:val="Balloon Text"/>
    <w:basedOn w:val="Standard"/>
    <w:link w:val="SprechblasentextZchn"/>
    <w:uiPriority w:val="99"/>
    <w:semiHidden/>
    <w:unhideWhenUsed/>
    <w:rsid w:val="005E458E"/>
    <w:rPr>
      <w:rFonts w:cs="Times New Roman"/>
      <w:sz w:val="18"/>
      <w:szCs w:val="18"/>
    </w:rPr>
  </w:style>
  <w:style w:type="character" w:customStyle="1" w:styleId="SprechblasentextZchn">
    <w:name w:val="Sprechblasentext Zchn"/>
    <w:basedOn w:val="Absatz-Standardschriftart"/>
    <w:link w:val="Sprechblasentext"/>
    <w:uiPriority w:val="99"/>
    <w:semiHidden/>
    <w:rsid w:val="005E458E"/>
    <w:rPr>
      <w:rFonts w:ascii="Times New Roman" w:hAnsi="Times New Roman" w:cs="Times New Roman"/>
      <w:sz w:val="18"/>
      <w:szCs w:val="18"/>
    </w:rPr>
  </w:style>
  <w:style w:type="paragraph" w:styleId="KeinLeerraum">
    <w:name w:val="No Spacing"/>
    <w:uiPriority w:val="1"/>
    <w:qFormat/>
    <w:rsid w:val="00502542"/>
    <w:pPr>
      <w:jc w:val="both"/>
    </w:pPr>
    <w:rPr>
      <w:rFonts w:ascii="Times New Roman" w:hAnsi="Times New Roman"/>
    </w:rPr>
  </w:style>
  <w:style w:type="paragraph" w:styleId="Literaturverzeichnis">
    <w:name w:val="Bibliography"/>
    <w:basedOn w:val="Standard"/>
    <w:next w:val="Standard"/>
    <w:uiPriority w:val="37"/>
    <w:unhideWhenUsed/>
    <w:rsid w:val="00590480"/>
    <w:pPr>
      <w:ind w:left="720" w:hanging="720"/>
    </w:pPr>
  </w:style>
  <w:style w:type="paragraph" w:styleId="berarbeitung">
    <w:name w:val="Revision"/>
    <w:hidden/>
    <w:uiPriority w:val="99"/>
    <w:semiHidden/>
    <w:rsid w:val="007D3E10"/>
    <w:rPr>
      <w:rFonts w:ascii="Times New Roman" w:hAnsi="Times New Roman"/>
    </w:rPr>
  </w:style>
  <w:style w:type="table" w:styleId="Tabellenraster">
    <w:name w:val="Table Grid"/>
    <w:basedOn w:val="NormaleTabelle"/>
    <w:uiPriority w:val="39"/>
    <w:rsid w:val="00D92B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8B3D96"/>
    <w:rPr>
      <w:color w:val="808080"/>
    </w:rPr>
  </w:style>
  <w:style w:type="paragraph" w:styleId="Listenabsatz">
    <w:name w:val="List Paragraph"/>
    <w:basedOn w:val="Standard"/>
    <w:uiPriority w:val="34"/>
    <w:qFormat/>
    <w:rsid w:val="00A80DA1"/>
    <w:pPr>
      <w:ind w:left="720"/>
      <w:contextualSpacing/>
    </w:pPr>
  </w:style>
  <w:style w:type="paragraph" w:styleId="Funotentext">
    <w:name w:val="footnote text"/>
    <w:basedOn w:val="Standard"/>
    <w:link w:val="FunotentextZchn"/>
    <w:uiPriority w:val="99"/>
    <w:semiHidden/>
    <w:unhideWhenUsed/>
    <w:rsid w:val="00C92D07"/>
    <w:rPr>
      <w:sz w:val="20"/>
      <w:szCs w:val="20"/>
    </w:rPr>
  </w:style>
  <w:style w:type="character" w:customStyle="1" w:styleId="FunotentextZchn">
    <w:name w:val="Fußnotentext Zchn"/>
    <w:basedOn w:val="Absatz-Standardschriftart"/>
    <w:link w:val="Funotentext"/>
    <w:uiPriority w:val="99"/>
    <w:semiHidden/>
    <w:rsid w:val="00C92D07"/>
    <w:rPr>
      <w:rFonts w:ascii="Times New Roman" w:hAnsi="Times New Roman"/>
      <w:sz w:val="20"/>
      <w:szCs w:val="20"/>
    </w:rPr>
  </w:style>
  <w:style w:type="character" w:styleId="Funotenzeichen">
    <w:name w:val="footnote reference"/>
    <w:basedOn w:val="Absatz-Standardschriftart"/>
    <w:uiPriority w:val="99"/>
    <w:semiHidden/>
    <w:unhideWhenUsed/>
    <w:rsid w:val="00C92D07"/>
    <w:rPr>
      <w:vertAlign w:val="superscript"/>
    </w:rPr>
  </w:style>
  <w:style w:type="character" w:styleId="Endnotenzeichen">
    <w:name w:val="endnote reference"/>
    <w:basedOn w:val="Absatz-Standardschriftart"/>
    <w:uiPriority w:val="99"/>
    <w:semiHidden/>
    <w:unhideWhenUsed/>
    <w:rsid w:val="00A65DD8"/>
    <w:rPr>
      <w:vertAlign w:val="superscript"/>
    </w:rPr>
  </w:style>
  <w:style w:type="paragraph" w:styleId="Kopfzeile">
    <w:name w:val="header"/>
    <w:basedOn w:val="Standard"/>
    <w:link w:val="KopfzeileZchn"/>
    <w:uiPriority w:val="99"/>
    <w:unhideWhenUsed/>
    <w:rsid w:val="00C42282"/>
    <w:pPr>
      <w:tabs>
        <w:tab w:val="center" w:pos="4513"/>
        <w:tab w:val="right" w:pos="9026"/>
      </w:tabs>
    </w:pPr>
  </w:style>
  <w:style w:type="character" w:customStyle="1" w:styleId="KopfzeileZchn">
    <w:name w:val="Kopfzeile Zchn"/>
    <w:basedOn w:val="Absatz-Standardschriftart"/>
    <w:link w:val="Kopfzeile"/>
    <w:uiPriority w:val="99"/>
    <w:rsid w:val="00C42282"/>
    <w:rPr>
      <w:rFonts w:ascii="Times New Roman" w:hAnsi="Times New Roman"/>
    </w:rPr>
  </w:style>
  <w:style w:type="paragraph" w:styleId="Fuzeile">
    <w:name w:val="footer"/>
    <w:basedOn w:val="Standard"/>
    <w:link w:val="FuzeileZchn"/>
    <w:uiPriority w:val="99"/>
    <w:unhideWhenUsed/>
    <w:rsid w:val="00C42282"/>
    <w:pPr>
      <w:tabs>
        <w:tab w:val="center" w:pos="4513"/>
        <w:tab w:val="right" w:pos="9026"/>
      </w:tabs>
    </w:pPr>
  </w:style>
  <w:style w:type="character" w:customStyle="1" w:styleId="FuzeileZchn">
    <w:name w:val="Fußzeile Zchn"/>
    <w:basedOn w:val="Absatz-Standardschriftart"/>
    <w:link w:val="Fuzeile"/>
    <w:uiPriority w:val="99"/>
    <w:rsid w:val="00C42282"/>
    <w:rPr>
      <w:rFonts w:ascii="Times New Roman" w:hAnsi="Times New Roman"/>
    </w:rPr>
  </w:style>
  <w:style w:type="character" w:customStyle="1" w:styleId="berschrift3Zchn">
    <w:name w:val="Überschrift 3 Zchn"/>
    <w:basedOn w:val="Absatz-Standardschriftart"/>
    <w:link w:val="berschrift3"/>
    <w:uiPriority w:val="9"/>
    <w:rsid w:val="00EE11AD"/>
    <w:rPr>
      <w:rFonts w:ascii="Times New Roman" w:eastAsiaTheme="majorEastAsia" w:hAnsi="Times New Roman" w:cstheme="majorBidi"/>
      <w:color w:val="000000" w:themeColor="text1"/>
    </w:rPr>
  </w:style>
  <w:style w:type="numbering" w:styleId="111111">
    <w:name w:val="Outline List 2"/>
    <w:basedOn w:val="KeineListe"/>
    <w:uiPriority w:val="99"/>
    <w:semiHidden/>
    <w:unhideWhenUsed/>
    <w:rsid w:val="00F40420"/>
    <w:pPr>
      <w:numPr>
        <w:numId w:val="4"/>
      </w:numPr>
    </w:pPr>
  </w:style>
  <w:style w:type="character" w:customStyle="1" w:styleId="berschrift4Zchn">
    <w:name w:val="Überschrift 4 Zchn"/>
    <w:basedOn w:val="Absatz-Standardschriftart"/>
    <w:link w:val="berschrift4"/>
    <w:uiPriority w:val="9"/>
    <w:rsid w:val="00014B3F"/>
    <w:rPr>
      <w:rFonts w:asciiTheme="majorHAnsi" w:eastAsiaTheme="majorEastAsia" w:hAnsiTheme="majorHAnsi" w:cstheme="majorBidi"/>
      <w:i/>
      <w:iCs/>
      <w:color w:val="2F5496" w:themeColor="accent1" w:themeShade="BF"/>
    </w:rPr>
  </w:style>
  <w:style w:type="character" w:customStyle="1" w:styleId="berschrift5Zchn">
    <w:name w:val="Überschrift 5 Zchn"/>
    <w:basedOn w:val="Absatz-Standardschriftart"/>
    <w:link w:val="berschrift5"/>
    <w:uiPriority w:val="9"/>
    <w:semiHidden/>
    <w:rsid w:val="00014B3F"/>
    <w:rPr>
      <w:rFonts w:asciiTheme="majorHAnsi" w:eastAsiaTheme="majorEastAsia" w:hAnsiTheme="majorHAnsi" w:cstheme="majorBidi"/>
      <w:color w:val="2F5496" w:themeColor="accent1" w:themeShade="BF"/>
    </w:rPr>
  </w:style>
  <w:style w:type="character" w:customStyle="1" w:styleId="berschrift6Zchn">
    <w:name w:val="Überschrift 6 Zchn"/>
    <w:basedOn w:val="Absatz-Standardschriftart"/>
    <w:link w:val="berschrift6"/>
    <w:uiPriority w:val="9"/>
    <w:semiHidden/>
    <w:rsid w:val="00014B3F"/>
    <w:rPr>
      <w:rFonts w:asciiTheme="majorHAnsi" w:eastAsiaTheme="majorEastAsia" w:hAnsiTheme="majorHAnsi" w:cstheme="majorBidi"/>
      <w:color w:val="1F3763" w:themeColor="accent1" w:themeShade="7F"/>
    </w:rPr>
  </w:style>
  <w:style w:type="character" w:customStyle="1" w:styleId="berschrift7Zchn">
    <w:name w:val="Überschrift 7 Zchn"/>
    <w:basedOn w:val="Absatz-Standardschriftart"/>
    <w:link w:val="berschrift7"/>
    <w:uiPriority w:val="9"/>
    <w:semiHidden/>
    <w:rsid w:val="00014B3F"/>
    <w:rPr>
      <w:rFonts w:asciiTheme="majorHAnsi" w:eastAsiaTheme="majorEastAsia" w:hAnsiTheme="majorHAnsi" w:cstheme="majorBidi"/>
      <w:i/>
      <w:iCs/>
      <w:color w:val="1F3763" w:themeColor="accent1" w:themeShade="7F"/>
    </w:rPr>
  </w:style>
  <w:style w:type="character" w:customStyle="1" w:styleId="berschrift8Zchn">
    <w:name w:val="Überschrift 8 Zchn"/>
    <w:basedOn w:val="Absatz-Standardschriftart"/>
    <w:link w:val="berschrift8"/>
    <w:uiPriority w:val="9"/>
    <w:semiHidden/>
    <w:rsid w:val="00014B3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014B3F"/>
    <w:rPr>
      <w:rFonts w:asciiTheme="majorHAnsi" w:eastAsiaTheme="majorEastAsia" w:hAnsiTheme="majorHAnsi" w:cstheme="majorBidi"/>
      <w:i/>
      <w:iCs/>
      <w:color w:val="272727" w:themeColor="text1" w:themeTint="D8"/>
      <w:sz w:val="21"/>
      <w:szCs w:val="21"/>
    </w:rPr>
  </w:style>
  <w:style w:type="character" w:styleId="Zeilennummer">
    <w:name w:val="line number"/>
    <w:basedOn w:val="Absatz-Standardschriftart"/>
    <w:uiPriority w:val="99"/>
    <w:semiHidden/>
    <w:unhideWhenUsed/>
    <w:rsid w:val="008E0DB4"/>
  </w:style>
  <w:style w:type="character" w:styleId="Seitenzahl">
    <w:name w:val="page number"/>
    <w:basedOn w:val="Absatz-Standardschriftart"/>
    <w:uiPriority w:val="99"/>
    <w:semiHidden/>
    <w:unhideWhenUsed/>
    <w:rsid w:val="004E3820"/>
  </w:style>
  <w:style w:type="table" w:styleId="Listentabelle6farbig">
    <w:name w:val="List Table 6 Colorful"/>
    <w:basedOn w:val="NormaleTabelle"/>
    <w:uiPriority w:val="51"/>
    <w:rsid w:val="0021334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21334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entabelle5dunkel">
    <w:name w:val="List Table 5 Dark"/>
    <w:basedOn w:val="NormaleTabelle"/>
    <w:uiPriority w:val="50"/>
    <w:rsid w:val="0021334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BesuchterLink">
    <w:name w:val="FollowedHyperlink"/>
    <w:basedOn w:val="Absatz-Standardschriftart"/>
    <w:uiPriority w:val="99"/>
    <w:semiHidden/>
    <w:unhideWhenUsed/>
    <w:rsid w:val="00884D35"/>
    <w:rPr>
      <w:color w:val="954F72" w:themeColor="followedHyperlink"/>
      <w:u w:val="single"/>
    </w:rPr>
  </w:style>
  <w:style w:type="paragraph" w:customStyle="1" w:styleId="p1">
    <w:name w:val="p1"/>
    <w:basedOn w:val="Standard"/>
    <w:rsid w:val="00884D35"/>
    <w:pPr>
      <w:spacing w:after="0"/>
      <w:jc w:val="left"/>
    </w:pPr>
    <w:rPr>
      <w:rFonts w:ascii=".AppleSystemUIFont" w:eastAsia="Times New Roman" w:hAnsi=".AppleSystemUIFont" w:cs="Times New Roman"/>
      <w:color w:val="0E0E0E"/>
      <w:sz w:val="23"/>
      <w:szCs w:val="23"/>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05499">
      <w:bodyDiv w:val="1"/>
      <w:marLeft w:val="0"/>
      <w:marRight w:val="0"/>
      <w:marTop w:val="0"/>
      <w:marBottom w:val="0"/>
      <w:divBdr>
        <w:top w:val="none" w:sz="0" w:space="0" w:color="auto"/>
        <w:left w:val="none" w:sz="0" w:space="0" w:color="auto"/>
        <w:bottom w:val="none" w:sz="0" w:space="0" w:color="auto"/>
        <w:right w:val="none" w:sz="0" w:space="0" w:color="auto"/>
      </w:divBdr>
    </w:div>
    <w:div w:id="117335134">
      <w:bodyDiv w:val="1"/>
      <w:marLeft w:val="0"/>
      <w:marRight w:val="0"/>
      <w:marTop w:val="0"/>
      <w:marBottom w:val="0"/>
      <w:divBdr>
        <w:top w:val="none" w:sz="0" w:space="0" w:color="auto"/>
        <w:left w:val="none" w:sz="0" w:space="0" w:color="auto"/>
        <w:bottom w:val="none" w:sz="0" w:space="0" w:color="auto"/>
        <w:right w:val="none" w:sz="0" w:space="0" w:color="auto"/>
      </w:divBdr>
    </w:div>
    <w:div w:id="226653786">
      <w:bodyDiv w:val="1"/>
      <w:marLeft w:val="0"/>
      <w:marRight w:val="0"/>
      <w:marTop w:val="0"/>
      <w:marBottom w:val="0"/>
      <w:divBdr>
        <w:top w:val="none" w:sz="0" w:space="0" w:color="auto"/>
        <w:left w:val="none" w:sz="0" w:space="0" w:color="auto"/>
        <w:bottom w:val="none" w:sz="0" w:space="0" w:color="auto"/>
        <w:right w:val="none" w:sz="0" w:space="0" w:color="auto"/>
      </w:divBdr>
      <w:divsChild>
        <w:div w:id="1402823677">
          <w:marLeft w:val="0"/>
          <w:marRight w:val="0"/>
          <w:marTop w:val="0"/>
          <w:marBottom w:val="0"/>
          <w:divBdr>
            <w:top w:val="none" w:sz="0" w:space="0" w:color="auto"/>
            <w:left w:val="none" w:sz="0" w:space="0" w:color="auto"/>
            <w:bottom w:val="none" w:sz="0" w:space="0" w:color="auto"/>
            <w:right w:val="none" w:sz="0" w:space="0" w:color="auto"/>
          </w:divBdr>
          <w:divsChild>
            <w:div w:id="1059522506">
              <w:marLeft w:val="0"/>
              <w:marRight w:val="0"/>
              <w:marTop w:val="0"/>
              <w:marBottom w:val="0"/>
              <w:divBdr>
                <w:top w:val="none" w:sz="0" w:space="0" w:color="auto"/>
                <w:left w:val="none" w:sz="0" w:space="0" w:color="auto"/>
                <w:bottom w:val="none" w:sz="0" w:space="0" w:color="auto"/>
                <w:right w:val="none" w:sz="0" w:space="0" w:color="auto"/>
              </w:divBdr>
            </w:div>
            <w:div w:id="1088498526">
              <w:marLeft w:val="0"/>
              <w:marRight w:val="0"/>
              <w:marTop w:val="0"/>
              <w:marBottom w:val="0"/>
              <w:divBdr>
                <w:top w:val="none" w:sz="0" w:space="0" w:color="auto"/>
                <w:left w:val="none" w:sz="0" w:space="0" w:color="auto"/>
                <w:bottom w:val="none" w:sz="0" w:space="0" w:color="auto"/>
                <w:right w:val="none" w:sz="0" w:space="0" w:color="auto"/>
              </w:divBdr>
            </w:div>
            <w:div w:id="156186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653209">
      <w:bodyDiv w:val="1"/>
      <w:marLeft w:val="0"/>
      <w:marRight w:val="0"/>
      <w:marTop w:val="0"/>
      <w:marBottom w:val="0"/>
      <w:divBdr>
        <w:top w:val="none" w:sz="0" w:space="0" w:color="auto"/>
        <w:left w:val="none" w:sz="0" w:space="0" w:color="auto"/>
        <w:bottom w:val="none" w:sz="0" w:space="0" w:color="auto"/>
        <w:right w:val="none" w:sz="0" w:space="0" w:color="auto"/>
      </w:divBdr>
    </w:div>
    <w:div w:id="325474735">
      <w:bodyDiv w:val="1"/>
      <w:marLeft w:val="0"/>
      <w:marRight w:val="0"/>
      <w:marTop w:val="0"/>
      <w:marBottom w:val="0"/>
      <w:divBdr>
        <w:top w:val="none" w:sz="0" w:space="0" w:color="auto"/>
        <w:left w:val="none" w:sz="0" w:space="0" w:color="auto"/>
        <w:bottom w:val="none" w:sz="0" w:space="0" w:color="auto"/>
        <w:right w:val="none" w:sz="0" w:space="0" w:color="auto"/>
      </w:divBdr>
    </w:div>
    <w:div w:id="327097729">
      <w:bodyDiv w:val="1"/>
      <w:marLeft w:val="0"/>
      <w:marRight w:val="0"/>
      <w:marTop w:val="0"/>
      <w:marBottom w:val="0"/>
      <w:divBdr>
        <w:top w:val="none" w:sz="0" w:space="0" w:color="auto"/>
        <w:left w:val="none" w:sz="0" w:space="0" w:color="auto"/>
        <w:bottom w:val="none" w:sz="0" w:space="0" w:color="auto"/>
        <w:right w:val="none" w:sz="0" w:space="0" w:color="auto"/>
      </w:divBdr>
    </w:div>
    <w:div w:id="374163674">
      <w:bodyDiv w:val="1"/>
      <w:marLeft w:val="0"/>
      <w:marRight w:val="0"/>
      <w:marTop w:val="0"/>
      <w:marBottom w:val="0"/>
      <w:divBdr>
        <w:top w:val="none" w:sz="0" w:space="0" w:color="auto"/>
        <w:left w:val="none" w:sz="0" w:space="0" w:color="auto"/>
        <w:bottom w:val="none" w:sz="0" w:space="0" w:color="auto"/>
        <w:right w:val="none" w:sz="0" w:space="0" w:color="auto"/>
      </w:divBdr>
    </w:div>
    <w:div w:id="428081807">
      <w:bodyDiv w:val="1"/>
      <w:marLeft w:val="0"/>
      <w:marRight w:val="0"/>
      <w:marTop w:val="0"/>
      <w:marBottom w:val="0"/>
      <w:divBdr>
        <w:top w:val="none" w:sz="0" w:space="0" w:color="auto"/>
        <w:left w:val="none" w:sz="0" w:space="0" w:color="auto"/>
        <w:bottom w:val="none" w:sz="0" w:space="0" w:color="auto"/>
        <w:right w:val="none" w:sz="0" w:space="0" w:color="auto"/>
      </w:divBdr>
    </w:div>
    <w:div w:id="429206936">
      <w:bodyDiv w:val="1"/>
      <w:marLeft w:val="0"/>
      <w:marRight w:val="0"/>
      <w:marTop w:val="0"/>
      <w:marBottom w:val="0"/>
      <w:divBdr>
        <w:top w:val="none" w:sz="0" w:space="0" w:color="auto"/>
        <w:left w:val="none" w:sz="0" w:space="0" w:color="auto"/>
        <w:bottom w:val="none" w:sz="0" w:space="0" w:color="auto"/>
        <w:right w:val="none" w:sz="0" w:space="0" w:color="auto"/>
      </w:divBdr>
    </w:div>
    <w:div w:id="482896734">
      <w:bodyDiv w:val="1"/>
      <w:marLeft w:val="0"/>
      <w:marRight w:val="0"/>
      <w:marTop w:val="0"/>
      <w:marBottom w:val="0"/>
      <w:divBdr>
        <w:top w:val="none" w:sz="0" w:space="0" w:color="auto"/>
        <w:left w:val="none" w:sz="0" w:space="0" w:color="auto"/>
        <w:bottom w:val="none" w:sz="0" w:space="0" w:color="auto"/>
        <w:right w:val="none" w:sz="0" w:space="0" w:color="auto"/>
      </w:divBdr>
    </w:div>
    <w:div w:id="592935383">
      <w:bodyDiv w:val="1"/>
      <w:marLeft w:val="0"/>
      <w:marRight w:val="0"/>
      <w:marTop w:val="0"/>
      <w:marBottom w:val="0"/>
      <w:divBdr>
        <w:top w:val="none" w:sz="0" w:space="0" w:color="auto"/>
        <w:left w:val="none" w:sz="0" w:space="0" w:color="auto"/>
        <w:bottom w:val="none" w:sz="0" w:space="0" w:color="auto"/>
        <w:right w:val="none" w:sz="0" w:space="0" w:color="auto"/>
      </w:divBdr>
    </w:div>
    <w:div w:id="611980278">
      <w:bodyDiv w:val="1"/>
      <w:marLeft w:val="0"/>
      <w:marRight w:val="0"/>
      <w:marTop w:val="0"/>
      <w:marBottom w:val="0"/>
      <w:divBdr>
        <w:top w:val="none" w:sz="0" w:space="0" w:color="auto"/>
        <w:left w:val="none" w:sz="0" w:space="0" w:color="auto"/>
        <w:bottom w:val="none" w:sz="0" w:space="0" w:color="auto"/>
        <w:right w:val="none" w:sz="0" w:space="0" w:color="auto"/>
      </w:divBdr>
    </w:div>
    <w:div w:id="641278788">
      <w:bodyDiv w:val="1"/>
      <w:marLeft w:val="0"/>
      <w:marRight w:val="0"/>
      <w:marTop w:val="0"/>
      <w:marBottom w:val="0"/>
      <w:divBdr>
        <w:top w:val="none" w:sz="0" w:space="0" w:color="auto"/>
        <w:left w:val="none" w:sz="0" w:space="0" w:color="auto"/>
        <w:bottom w:val="none" w:sz="0" w:space="0" w:color="auto"/>
        <w:right w:val="none" w:sz="0" w:space="0" w:color="auto"/>
      </w:divBdr>
    </w:div>
    <w:div w:id="676729729">
      <w:bodyDiv w:val="1"/>
      <w:marLeft w:val="0"/>
      <w:marRight w:val="0"/>
      <w:marTop w:val="0"/>
      <w:marBottom w:val="0"/>
      <w:divBdr>
        <w:top w:val="none" w:sz="0" w:space="0" w:color="auto"/>
        <w:left w:val="none" w:sz="0" w:space="0" w:color="auto"/>
        <w:bottom w:val="none" w:sz="0" w:space="0" w:color="auto"/>
        <w:right w:val="none" w:sz="0" w:space="0" w:color="auto"/>
      </w:divBdr>
    </w:div>
    <w:div w:id="677925659">
      <w:bodyDiv w:val="1"/>
      <w:marLeft w:val="0"/>
      <w:marRight w:val="0"/>
      <w:marTop w:val="0"/>
      <w:marBottom w:val="0"/>
      <w:divBdr>
        <w:top w:val="none" w:sz="0" w:space="0" w:color="auto"/>
        <w:left w:val="none" w:sz="0" w:space="0" w:color="auto"/>
        <w:bottom w:val="none" w:sz="0" w:space="0" w:color="auto"/>
        <w:right w:val="none" w:sz="0" w:space="0" w:color="auto"/>
      </w:divBdr>
    </w:div>
    <w:div w:id="718089143">
      <w:bodyDiv w:val="1"/>
      <w:marLeft w:val="0"/>
      <w:marRight w:val="0"/>
      <w:marTop w:val="0"/>
      <w:marBottom w:val="0"/>
      <w:divBdr>
        <w:top w:val="none" w:sz="0" w:space="0" w:color="auto"/>
        <w:left w:val="none" w:sz="0" w:space="0" w:color="auto"/>
        <w:bottom w:val="none" w:sz="0" w:space="0" w:color="auto"/>
        <w:right w:val="none" w:sz="0" w:space="0" w:color="auto"/>
      </w:divBdr>
    </w:div>
    <w:div w:id="791366581">
      <w:bodyDiv w:val="1"/>
      <w:marLeft w:val="0"/>
      <w:marRight w:val="0"/>
      <w:marTop w:val="0"/>
      <w:marBottom w:val="0"/>
      <w:divBdr>
        <w:top w:val="none" w:sz="0" w:space="0" w:color="auto"/>
        <w:left w:val="none" w:sz="0" w:space="0" w:color="auto"/>
        <w:bottom w:val="none" w:sz="0" w:space="0" w:color="auto"/>
        <w:right w:val="none" w:sz="0" w:space="0" w:color="auto"/>
      </w:divBdr>
    </w:div>
    <w:div w:id="810907113">
      <w:bodyDiv w:val="1"/>
      <w:marLeft w:val="0"/>
      <w:marRight w:val="0"/>
      <w:marTop w:val="0"/>
      <w:marBottom w:val="0"/>
      <w:divBdr>
        <w:top w:val="none" w:sz="0" w:space="0" w:color="auto"/>
        <w:left w:val="none" w:sz="0" w:space="0" w:color="auto"/>
        <w:bottom w:val="none" w:sz="0" w:space="0" w:color="auto"/>
        <w:right w:val="none" w:sz="0" w:space="0" w:color="auto"/>
      </w:divBdr>
    </w:div>
    <w:div w:id="818377885">
      <w:bodyDiv w:val="1"/>
      <w:marLeft w:val="0"/>
      <w:marRight w:val="0"/>
      <w:marTop w:val="0"/>
      <w:marBottom w:val="0"/>
      <w:divBdr>
        <w:top w:val="none" w:sz="0" w:space="0" w:color="auto"/>
        <w:left w:val="none" w:sz="0" w:space="0" w:color="auto"/>
        <w:bottom w:val="none" w:sz="0" w:space="0" w:color="auto"/>
        <w:right w:val="none" w:sz="0" w:space="0" w:color="auto"/>
      </w:divBdr>
    </w:div>
    <w:div w:id="1178538317">
      <w:bodyDiv w:val="1"/>
      <w:marLeft w:val="0"/>
      <w:marRight w:val="0"/>
      <w:marTop w:val="0"/>
      <w:marBottom w:val="0"/>
      <w:divBdr>
        <w:top w:val="none" w:sz="0" w:space="0" w:color="auto"/>
        <w:left w:val="none" w:sz="0" w:space="0" w:color="auto"/>
        <w:bottom w:val="none" w:sz="0" w:space="0" w:color="auto"/>
        <w:right w:val="none" w:sz="0" w:space="0" w:color="auto"/>
      </w:divBdr>
    </w:div>
    <w:div w:id="1199899993">
      <w:bodyDiv w:val="1"/>
      <w:marLeft w:val="0"/>
      <w:marRight w:val="0"/>
      <w:marTop w:val="0"/>
      <w:marBottom w:val="0"/>
      <w:divBdr>
        <w:top w:val="none" w:sz="0" w:space="0" w:color="auto"/>
        <w:left w:val="none" w:sz="0" w:space="0" w:color="auto"/>
        <w:bottom w:val="none" w:sz="0" w:space="0" w:color="auto"/>
        <w:right w:val="none" w:sz="0" w:space="0" w:color="auto"/>
      </w:divBdr>
    </w:div>
    <w:div w:id="1469009088">
      <w:bodyDiv w:val="1"/>
      <w:marLeft w:val="0"/>
      <w:marRight w:val="0"/>
      <w:marTop w:val="0"/>
      <w:marBottom w:val="0"/>
      <w:divBdr>
        <w:top w:val="none" w:sz="0" w:space="0" w:color="auto"/>
        <w:left w:val="none" w:sz="0" w:space="0" w:color="auto"/>
        <w:bottom w:val="none" w:sz="0" w:space="0" w:color="auto"/>
        <w:right w:val="none" w:sz="0" w:space="0" w:color="auto"/>
      </w:divBdr>
    </w:div>
    <w:div w:id="1667398601">
      <w:bodyDiv w:val="1"/>
      <w:marLeft w:val="0"/>
      <w:marRight w:val="0"/>
      <w:marTop w:val="0"/>
      <w:marBottom w:val="0"/>
      <w:divBdr>
        <w:top w:val="none" w:sz="0" w:space="0" w:color="auto"/>
        <w:left w:val="none" w:sz="0" w:space="0" w:color="auto"/>
        <w:bottom w:val="none" w:sz="0" w:space="0" w:color="auto"/>
        <w:right w:val="none" w:sz="0" w:space="0" w:color="auto"/>
      </w:divBdr>
    </w:div>
    <w:div w:id="1747411786">
      <w:bodyDiv w:val="1"/>
      <w:marLeft w:val="0"/>
      <w:marRight w:val="0"/>
      <w:marTop w:val="0"/>
      <w:marBottom w:val="0"/>
      <w:divBdr>
        <w:top w:val="none" w:sz="0" w:space="0" w:color="auto"/>
        <w:left w:val="none" w:sz="0" w:space="0" w:color="auto"/>
        <w:bottom w:val="none" w:sz="0" w:space="0" w:color="auto"/>
        <w:right w:val="none" w:sz="0" w:space="0" w:color="auto"/>
      </w:divBdr>
    </w:div>
    <w:div w:id="1774084886">
      <w:bodyDiv w:val="1"/>
      <w:marLeft w:val="0"/>
      <w:marRight w:val="0"/>
      <w:marTop w:val="0"/>
      <w:marBottom w:val="0"/>
      <w:divBdr>
        <w:top w:val="none" w:sz="0" w:space="0" w:color="auto"/>
        <w:left w:val="none" w:sz="0" w:space="0" w:color="auto"/>
        <w:bottom w:val="none" w:sz="0" w:space="0" w:color="auto"/>
        <w:right w:val="none" w:sz="0" w:space="0" w:color="auto"/>
      </w:divBdr>
    </w:div>
    <w:div w:id="1917127368">
      <w:bodyDiv w:val="1"/>
      <w:marLeft w:val="0"/>
      <w:marRight w:val="0"/>
      <w:marTop w:val="0"/>
      <w:marBottom w:val="0"/>
      <w:divBdr>
        <w:top w:val="none" w:sz="0" w:space="0" w:color="auto"/>
        <w:left w:val="none" w:sz="0" w:space="0" w:color="auto"/>
        <w:bottom w:val="none" w:sz="0" w:space="0" w:color="auto"/>
        <w:right w:val="none" w:sz="0" w:space="0" w:color="auto"/>
      </w:divBdr>
    </w:div>
    <w:div w:id="1925070252">
      <w:bodyDiv w:val="1"/>
      <w:marLeft w:val="0"/>
      <w:marRight w:val="0"/>
      <w:marTop w:val="0"/>
      <w:marBottom w:val="0"/>
      <w:divBdr>
        <w:top w:val="none" w:sz="0" w:space="0" w:color="auto"/>
        <w:left w:val="none" w:sz="0" w:space="0" w:color="auto"/>
        <w:bottom w:val="none" w:sz="0" w:space="0" w:color="auto"/>
        <w:right w:val="none" w:sz="0" w:space="0" w:color="auto"/>
      </w:divBdr>
    </w:div>
    <w:div w:id="1969123445">
      <w:bodyDiv w:val="1"/>
      <w:marLeft w:val="0"/>
      <w:marRight w:val="0"/>
      <w:marTop w:val="0"/>
      <w:marBottom w:val="0"/>
      <w:divBdr>
        <w:top w:val="none" w:sz="0" w:space="0" w:color="auto"/>
        <w:left w:val="none" w:sz="0" w:space="0" w:color="auto"/>
        <w:bottom w:val="none" w:sz="0" w:space="0" w:color="auto"/>
        <w:right w:val="none" w:sz="0" w:space="0" w:color="auto"/>
      </w:divBdr>
    </w:div>
    <w:div w:id="2026664843">
      <w:bodyDiv w:val="1"/>
      <w:marLeft w:val="0"/>
      <w:marRight w:val="0"/>
      <w:marTop w:val="0"/>
      <w:marBottom w:val="0"/>
      <w:divBdr>
        <w:top w:val="none" w:sz="0" w:space="0" w:color="auto"/>
        <w:left w:val="none" w:sz="0" w:space="0" w:color="auto"/>
        <w:bottom w:val="none" w:sz="0" w:space="0" w:color="auto"/>
        <w:right w:val="none" w:sz="0" w:space="0" w:color="auto"/>
      </w:divBdr>
    </w:div>
    <w:div w:id="2042388732">
      <w:bodyDiv w:val="1"/>
      <w:marLeft w:val="0"/>
      <w:marRight w:val="0"/>
      <w:marTop w:val="0"/>
      <w:marBottom w:val="0"/>
      <w:divBdr>
        <w:top w:val="none" w:sz="0" w:space="0" w:color="auto"/>
        <w:left w:val="none" w:sz="0" w:space="0" w:color="auto"/>
        <w:bottom w:val="none" w:sz="0" w:space="0" w:color="auto"/>
        <w:right w:val="none" w:sz="0" w:space="0" w:color="auto"/>
      </w:divBdr>
    </w:div>
    <w:div w:id="2128044284">
      <w:bodyDiv w:val="1"/>
      <w:marLeft w:val="0"/>
      <w:marRight w:val="0"/>
      <w:marTop w:val="0"/>
      <w:marBottom w:val="0"/>
      <w:divBdr>
        <w:top w:val="none" w:sz="0" w:space="0" w:color="auto"/>
        <w:left w:val="none" w:sz="0" w:space="0" w:color="auto"/>
        <w:bottom w:val="none" w:sz="0" w:space="0" w:color="auto"/>
        <w:right w:val="none" w:sz="0" w:space="0" w:color="auto"/>
      </w:divBdr>
    </w:div>
    <w:div w:id="2145612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iser@ifado.de" TargetMode="External"/><Relationship Id="rId13" Type="http://schemas.openxmlformats.org/officeDocument/2006/relationships/hyperlink" Target="mailto:lewis.chuang@phil.tu-chemnitz.de" TargetMode="External"/><Relationship Id="rId18" Type="http://schemas.openxmlformats.org/officeDocument/2006/relationships/image" Target="media/image2.tif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s://orcid.org/0000-0002-8858-4287" TargetMode="External"/><Relationship Id="rId17" Type="http://schemas.openxmlformats.org/officeDocument/2006/relationships/image" Target="media/image1.png"/><Relationship Id="rId25" Type="http://schemas.openxmlformats.org/officeDocument/2006/relationships/hyperlink" Target="https://github.com/julianreiser/grail_switch.git" TargetMode="External"/><Relationship Id="rId2" Type="http://schemas.openxmlformats.org/officeDocument/2006/relationships/numbering" Target="numbering.xml"/><Relationship Id="rId16" Type="http://schemas.openxmlformats.org/officeDocument/2006/relationships/hyperlink" Target="https://orcid.org/0000-0003-3616-9767"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rnau@ifado.de" TargetMode="External"/><Relationship Id="rId24" Type="http://schemas.openxmlformats.org/officeDocument/2006/relationships/hyperlink" Target="https://doi.org/10.5281/zenodo.14506178" TargetMode="External"/><Relationship Id="rId5" Type="http://schemas.openxmlformats.org/officeDocument/2006/relationships/webSettings" Target="webSettings.xml"/><Relationship Id="rId15" Type="http://schemas.openxmlformats.org/officeDocument/2006/relationships/hyperlink" Target="mailto:wascher@ifado.de" TargetMode="External"/><Relationship Id="rId23" Type="http://schemas.openxmlformats.org/officeDocument/2006/relationships/image" Target="media/image6.png"/><Relationship Id="rId28" Type="http://schemas.openxmlformats.org/officeDocument/2006/relationships/footer" Target="footer2.xml"/><Relationship Id="rId10" Type="http://schemas.openxmlformats.org/officeDocument/2006/relationships/hyperlink" Target="https://orcid.org/0000-0002-0918-1448" TargetMode="External"/><Relationship Id="rId19" Type="http://schemas.openxmlformats.org/officeDocument/2006/relationships/hyperlink" Target="https://github.com/ericcfields/FMUT/wiki/Using-FMUT" TargetMode="External"/><Relationship Id="rId4" Type="http://schemas.openxmlformats.org/officeDocument/2006/relationships/settings" Target="settings.xml"/><Relationship Id="rId9" Type="http://schemas.openxmlformats.org/officeDocument/2006/relationships/hyperlink" Target="mailto:rinkenauer@ifado.de" TargetMode="External"/><Relationship Id="rId14" Type="http://schemas.openxmlformats.org/officeDocument/2006/relationships/hyperlink" Target="https://orcid.org/0000-0002-1975-5716" TargetMode="External"/><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2DB93-CFDC-AA4A-8405-0EB013933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28217</Words>
  <Characters>177773</Characters>
  <Application>Microsoft Office Word</Application>
  <DocSecurity>0</DocSecurity>
  <Lines>1481</Lines>
  <Paragraphs>411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205579</CharactersWithSpaces>
  <SharedDoc>false</SharedDoc>
  <HLinks>
    <vt:vector size="6" baseType="variant">
      <vt:variant>
        <vt:i4>3211366</vt:i4>
      </vt:variant>
      <vt:variant>
        <vt:i4>108</vt:i4>
      </vt:variant>
      <vt:variant>
        <vt:i4>0</vt:i4>
      </vt:variant>
      <vt:variant>
        <vt:i4>5</vt:i4>
      </vt:variant>
      <vt:variant>
        <vt:lpwstr>https://github.com/ericcfields/FMUT/wiki/Using-FMUT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 Reiser</dc:creator>
  <cp:keywords/>
  <dc:description/>
  <cp:lastModifiedBy>Reiser, Julian</cp:lastModifiedBy>
  <cp:revision>2</cp:revision>
  <dcterms:created xsi:type="dcterms:W3CDTF">2025-01-09T10:19:00Z</dcterms:created>
  <dcterms:modified xsi:type="dcterms:W3CDTF">2025-01-09T10:19:00Z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documentId_3709</vt:lpwstr>
  </property>
  <property fmtid="{D5CDD505-2E9C-101B-9397-08002B2CF9AE}" pid="3" name="grammarly_documentContext">
    <vt:lpwstr>{"goals":[],"domain":"general","emotions":[],"dialect":"american"}</vt:lpwstr>
  </property>
  <property fmtid="{D5CDD505-2E9C-101B-9397-08002B2CF9AE}" pid="4" name="ZOTERO_PREF_1">
    <vt:lpwstr>&lt;data data-version="3" zotero-version="7.0.12-beta.1+31bbf2acf"&gt;&lt;session id="1e6YnVbL"/&gt;&lt;style id="http://www.zotero.org/styles/apa" locale="en-US" hasBibliography="1" bibliographyStyleHasBeenSet="1"/&gt;&lt;prefs&gt;&lt;pref name="fieldType" value="Field"/&gt;&lt;/prefs&gt;&lt;</vt:lpwstr>
  </property>
  <property fmtid="{D5CDD505-2E9C-101B-9397-08002B2CF9AE}" pid="5" name="ZOTERO_PREF_2">
    <vt:lpwstr>/data&gt;</vt:lpwstr>
  </property>
</Properties>
</file>