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178C5C" w14:textId="0CE4B21D" w:rsidR="004B23F3" w:rsidRPr="00A141D2" w:rsidRDefault="006A5CA8" w:rsidP="00AD38C6">
      <w:pPr>
        <w:pStyle w:val="Title"/>
        <w:rPr>
          <w:lang w:val="en-GB"/>
        </w:rPr>
      </w:pPr>
      <w:r w:rsidRPr="00A141D2">
        <w:rPr>
          <w:lang w:val="en-GB"/>
        </w:rPr>
        <w:t>Integrating Probabilities and Storylines to Explore Uncertain Direct and Cascading Climate Risks in Multi-sectoral Systems</w:t>
      </w:r>
      <w:r w:rsidR="002C2EC6" w:rsidRPr="00A141D2">
        <w:rPr>
          <w:lang w:val="en-GB"/>
        </w:rPr>
        <w:t xml:space="preserve">: </w:t>
      </w:r>
      <w:r w:rsidR="0027581F" w:rsidRPr="00A141D2">
        <w:rPr>
          <w:lang w:val="en-GB"/>
        </w:rPr>
        <w:t>A</w:t>
      </w:r>
      <w:r w:rsidR="00DC020A" w:rsidRPr="00A141D2">
        <w:rPr>
          <w:lang w:val="en-GB"/>
        </w:rPr>
        <w:t xml:space="preserve"> </w:t>
      </w:r>
      <w:r w:rsidR="0027581F" w:rsidRPr="00A141D2">
        <w:rPr>
          <w:lang w:val="en-GB"/>
        </w:rPr>
        <w:t>C</w:t>
      </w:r>
      <w:r w:rsidR="00DC020A" w:rsidRPr="00A141D2">
        <w:rPr>
          <w:lang w:val="en-GB"/>
        </w:rPr>
        <w:t xml:space="preserve">ase of </w:t>
      </w:r>
      <w:r w:rsidR="0027581F" w:rsidRPr="00A141D2">
        <w:rPr>
          <w:lang w:val="en-GB"/>
        </w:rPr>
        <w:t>T</w:t>
      </w:r>
      <w:r w:rsidR="00DC020A" w:rsidRPr="00A141D2">
        <w:rPr>
          <w:lang w:val="en-GB"/>
        </w:rPr>
        <w:t xml:space="preserve">he Lielupe </w:t>
      </w:r>
      <w:r w:rsidR="0027581F" w:rsidRPr="00A141D2">
        <w:rPr>
          <w:lang w:val="en-GB"/>
        </w:rPr>
        <w:t>B</w:t>
      </w:r>
      <w:r w:rsidR="00DC020A" w:rsidRPr="00A141D2">
        <w:rPr>
          <w:lang w:val="en-GB"/>
        </w:rPr>
        <w:t>asin</w:t>
      </w:r>
    </w:p>
    <w:p w14:paraId="7A5D1ADE" w14:textId="5CB4C60F" w:rsidR="00584F19" w:rsidRPr="00C97447" w:rsidRDefault="00A525DD" w:rsidP="00AE4407">
      <w:pPr>
        <w:pStyle w:val="Authors"/>
        <w:rPr>
          <w:rFonts w:cstheme="minorHAnsi"/>
          <w:lang w:val="nl-NL"/>
        </w:rPr>
      </w:pPr>
      <w:r w:rsidRPr="00C97447">
        <w:rPr>
          <w:rFonts w:cstheme="minorHAnsi"/>
          <w:lang w:val="nl-NL"/>
        </w:rPr>
        <w:t>F.E. Buskop</w:t>
      </w:r>
      <w:r w:rsidRPr="00C97447">
        <w:rPr>
          <w:rFonts w:cstheme="minorHAnsi"/>
          <w:vertAlign w:val="superscript"/>
          <w:lang w:val="nl-NL"/>
        </w:rPr>
        <w:t>1</w:t>
      </w:r>
      <w:r w:rsidR="00E4596C" w:rsidRPr="00C97447">
        <w:rPr>
          <w:rFonts w:cstheme="minorHAnsi"/>
          <w:vertAlign w:val="superscript"/>
          <w:lang w:val="nl-NL"/>
        </w:rPr>
        <w:t>,</w:t>
      </w:r>
      <w:r w:rsidR="007B4CF3" w:rsidRPr="00C97447">
        <w:rPr>
          <w:rFonts w:cstheme="minorHAnsi"/>
          <w:vertAlign w:val="superscript"/>
          <w:lang w:val="nl-NL"/>
        </w:rPr>
        <w:t>2</w:t>
      </w:r>
      <w:r w:rsidR="009C1D9A" w:rsidRPr="00C97447">
        <w:rPr>
          <w:rFonts w:cstheme="minorHAnsi"/>
          <w:vertAlign w:val="superscript"/>
          <w:lang w:val="nl-NL"/>
        </w:rPr>
        <w:t>,3</w:t>
      </w:r>
      <w:r w:rsidRPr="00C97447">
        <w:rPr>
          <w:rFonts w:cstheme="minorHAnsi"/>
          <w:lang w:val="nl-NL"/>
        </w:rPr>
        <w:t xml:space="preserve">, </w:t>
      </w:r>
      <w:r w:rsidR="00001414" w:rsidRPr="00C97447">
        <w:rPr>
          <w:rFonts w:cstheme="minorHAnsi"/>
          <w:lang w:val="nl-NL"/>
        </w:rPr>
        <w:t>F.  Sperna Weiland</w:t>
      </w:r>
      <w:r w:rsidR="00001414" w:rsidRPr="00C97447">
        <w:rPr>
          <w:rFonts w:cstheme="minorHAnsi"/>
          <w:vertAlign w:val="superscript"/>
          <w:lang w:val="nl-NL"/>
        </w:rPr>
        <w:t>2</w:t>
      </w:r>
      <w:r w:rsidR="00001414" w:rsidRPr="00C97447">
        <w:rPr>
          <w:rFonts w:cstheme="minorHAnsi"/>
          <w:lang w:val="nl-NL"/>
        </w:rPr>
        <w:t xml:space="preserve">, </w:t>
      </w:r>
      <w:r w:rsidRPr="00C97447">
        <w:rPr>
          <w:rFonts w:cstheme="minorHAnsi"/>
          <w:lang w:val="nl-NL"/>
        </w:rPr>
        <w:t>S. Hochrainer-Stigler</w:t>
      </w:r>
      <w:r w:rsidR="009C1D9A" w:rsidRPr="00C97447">
        <w:rPr>
          <w:rFonts w:cstheme="minorHAnsi"/>
          <w:vertAlign w:val="superscript"/>
          <w:lang w:val="nl-NL"/>
        </w:rPr>
        <w:t>3</w:t>
      </w:r>
      <w:r w:rsidRPr="00C97447">
        <w:rPr>
          <w:rFonts w:cstheme="minorHAnsi"/>
          <w:lang w:val="nl-NL"/>
        </w:rPr>
        <w:t>, R. Šakić Trogrlić</w:t>
      </w:r>
      <w:r w:rsidR="1777D959" w:rsidRPr="00C97447">
        <w:rPr>
          <w:rFonts w:cstheme="minorHAnsi"/>
          <w:vertAlign w:val="superscript"/>
          <w:lang w:val="nl-NL"/>
        </w:rPr>
        <w:t>3</w:t>
      </w:r>
      <w:r w:rsidR="00870AD5" w:rsidRPr="00C97447">
        <w:rPr>
          <w:rFonts w:cstheme="minorHAnsi"/>
          <w:lang w:val="nl-NL"/>
        </w:rPr>
        <w:t xml:space="preserve"> </w:t>
      </w:r>
      <w:r w:rsidRPr="00C97447">
        <w:rPr>
          <w:rFonts w:cstheme="minorHAnsi"/>
          <w:lang w:val="nl-NL"/>
        </w:rPr>
        <w:t>and B.J.J.M. van den Hurk</w:t>
      </w:r>
      <w:r w:rsidR="00E4596C" w:rsidRPr="00C97447">
        <w:rPr>
          <w:rFonts w:cstheme="minorHAnsi"/>
          <w:vertAlign w:val="superscript"/>
          <w:lang w:val="nl-NL"/>
        </w:rPr>
        <w:t>1,</w:t>
      </w:r>
      <w:r w:rsidR="007B4CF3" w:rsidRPr="00C97447">
        <w:rPr>
          <w:rFonts w:cstheme="minorHAnsi"/>
          <w:vertAlign w:val="superscript"/>
          <w:lang w:val="nl-NL"/>
        </w:rPr>
        <w:t>2</w:t>
      </w:r>
      <w:r w:rsidRPr="00C97447">
        <w:rPr>
          <w:rFonts w:cstheme="minorHAnsi"/>
          <w:lang w:val="nl-NL"/>
        </w:rPr>
        <w:t xml:space="preserve"> </w:t>
      </w:r>
    </w:p>
    <w:p w14:paraId="70FC651E" w14:textId="30E756FC" w:rsidR="00C94AA5" w:rsidRPr="00C97447" w:rsidRDefault="008A6077" w:rsidP="001508FE">
      <w:pPr>
        <w:pStyle w:val="Affiliation"/>
        <w:rPr>
          <w:lang w:val="nl-NL"/>
        </w:rPr>
      </w:pPr>
      <w:r w:rsidRPr="00C97447">
        <w:rPr>
          <w:vertAlign w:val="superscript"/>
          <w:lang w:val="nl-NL"/>
        </w:rPr>
        <w:t>1</w:t>
      </w:r>
      <w:r w:rsidR="00A525DD" w:rsidRPr="00C97447">
        <w:rPr>
          <w:lang w:val="nl-NL"/>
        </w:rPr>
        <w:t>Institute for Environmental Studies, Vrije Universiteit Amsterdam, Amsterdam, The Netherlands</w:t>
      </w:r>
    </w:p>
    <w:p w14:paraId="4F35496B" w14:textId="46814554" w:rsidR="00C94AA5" w:rsidRPr="00A141D2" w:rsidRDefault="00545B6C" w:rsidP="001508FE">
      <w:pPr>
        <w:pStyle w:val="Affiliation"/>
        <w:rPr>
          <w:lang w:val="en-GB"/>
        </w:rPr>
      </w:pPr>
      <w:r w:rsidRPr="00A141D2">
        <w:rPr>
          <w:vertAlign w:val="superscript"/>
          <w:lang w:val="en-GB"/>
        </w:rPr>
        <w:t>2</w:t>
      </w:r>
      <w:r w:rsidR="00A525DD" w:rsidRPr="00A141D2">
        <w:rPr>
          <w:lang w:val="en-GB"/>
        </w:rPr>
        <w:t>Deltares, Delft, The Netherlands</w:t>
      </w:r>
    </w:p>
    <w:p w14:paraId="1A7665B6" w14:textId="766ED419" w:rsidR="001508FE" w:rsidRPr="00A141D2" w:rsidRDefault="00545B6C" w:rsidP="001508FE">
      <w:pPr>
        <w:pStyle w:val="Affiliation"/>
        <w:rPr>
          <w:lang w:val="en-GB"/>
        </w:rPr>
      </w:pPr>
      <w:r w:rsidRPr="00A141D2">
        <w:rPr>
          <w:vertAlign w:val="superscript"/>
          <w:lang w:val="en-GB"/>
        </w:rPr>
        <w:t>3</w:t>
      </w:r>
      <w:r w:rsidR="00A525DD" w:rsidRPr="00A141D2">
        <w:rPr>
          <w:lang w:val="en-GB"/>
        </w:rPr>
        <w:t>IIASA - International Institute for Applied Systems Analysis, Laxenburg, Austria</w:t>
      </w:r>
    </w:p>
    <w:p w14:paraId="3C8329C7" w14:textId="14B9C56D" w:rsidR="00835FAF" w:rsidRPr="00A141D2" w:rsidRDefault="008A6077" w:rsidP="001508FE">
      <w:pPr>
        <w:pStyle w:val="Affiliation"/>
        <w:rPr>
          <w:lang w:val="en-GB"/>
        </w:rPr>
      </w:pPr>
      <w:r w:rsidRPr="00A141D2">
        <w:rPr>
          <w:lang w:val="en-GB"/>
        </w:rPr>
        <w:t>Correspond</w:t>
      </w:r>
      <w:r w:rsidR="00DE3F91" w:rsidRPr="00A141D2">
        <w:rPr>
          <w:lang w:val="en-GB"/>
        </w:rPr>
        <w:t>ing</w:t>
      </w:r>
      <w:r w:rsidRPr="00A141D2">
        <w:rPr>
          <w:lang w:val="en-GB"/>
        </w:rPr>
        <w:t xml:space="preserve"> </w:t>
      </w:r>
      <w:r w:rsidR="006F662E" w:rsidRPr="00A141D2">
        <w:rPr>
          <w:lang w:val="en-GB"/>
        </w:rPr>
        <w:t>author:</w:t>
      </w:r>
      <w:r w:rsidRPr="00A141D2">
        <w:rPr>
          <w:lang w:val="en-GB"/>
        </w:rPr>
        <w:t xml:space="preserve"> </w:t>
      </w:r>
      <w:r w:rsidR="00A525DD" w:rsidRPr="00A141D2">
        <w:rPr>
          <w:lang w:val="en-GB"/>
        </w:rPr>
        <w:t>Franciscus Eduard Buskop</w:t>
      </w:r>
      <w:r w:rsidR="00DE3F91" w:rsidRPr="00A141D2">
        <w:rPr>
          <w:lang w:val="en-GB"/>
        </w:rPr>
        <w:t xml:space="preserve"> (</w:t>
      </w:r>
      <w:hyperlink r:id="rId8" w:history="1">
        <w:r w:rsidR="00A525DD" w:rsidRPr="00A141D2">
          <w:rPr>
            <w:rStyle w:val="Hyperlink"/>
            <w:sz w:val="22"/>
            <w:szCs w:val="22"/>
            <w:lang w:val="en-GB"/>
          </w:rPr>
          <w:t>t.buskop@vu.nl)</w:t>
        </w:r>
      </w:hyperlink>
      <w:r w:rsidR="00DE3F91" w:rsidRPr="00A141D2">
        <w:rPr>
          <w:lang w:val="en-GB"/>
        </w:rPr>
        <w:t xml:space="preserve"> </w:t>
      </w:r>
    </w:p>
    <w:p w14:paraId="35160ACC" w14:textId="50CD354B" w:rsidR="000E4312" w:rsidRPr="00A141D2" w:rsidRDefault="00C94AA5" w:rsidP="003C67B9">
      <w:pPr>
        <w:pStyle w:val="Heading-Main"/>
        <w:rPr>
          <w:rFonts w:cstheme="minorHAnsi"/>
          <w:sz w:val="22"/>
          <w:szCs w:val="22"/>
          <w:lang w:val="en-GB"/>
        </w:rPr>
      </w:pPr>
      <w:r w:rsidRPr="00A141D2">
        <w:rPr>
          <w:rFonts w:cstheme="minorHAnsi"/>
          <w:sz w:val="22"/>
          <w:szCs w:val="22"/>
          <w:lang w:val="en-GB"/>
        </w:rPr>
        <w:t>Key Points:</w:t>
      </w:r>
    </w:p>
    <w:p w14:paraId="1C715AEB" w14:textId="3FD29E83" w:rsidR="0073369F" w:rsidRPr="00A141D2" w:rsidRDefault="007A6A49" w:rsidP="006568F9">
      <w:pPr>
        <w:pStyle w:val="KeyPoints"/>
        <w:numPr>
          <w:ilvl w:val="0"/>
          <w:numId w:val="9"/>
        </w:numPr>
        <w:rPr>
          <w:sz w:val="22"/>
          <w:szCs w:val="22"/>
          <w:lang w:val="en-GB"/>
        </w:rPr>
      </w:pPr>
      <w:r w:rsidRPr="00A141D2">
        <w:rPr>
          <w:sz w:val="22"/>
          <w:szCs w:val="22"/>
          <w:lang w:val="en-GB"/>
        </w:rPr>
        <w:t>A</w:t>
      </w:r>
      <w:r w:rsidR="00A729A4" w:rsidRPr="00A141D2">
        <w:rPr>
          <w:sz w:val="22"/>
          <w:szCs w:val="22"/>
          <w:lang w:val="en-GB"/>
        </w:rPr>
        <w:t xml:space="preserve"> ‘plausibilistic’</w:t>
      </w:r>
      <w:r w:rsidR="0073369F" w:rsidRPr="00A141D2">
        <w:rPr>
          <w:sz w:val="22"/>
          <w:szCs w:val="22"/>
          <w:lang w:val="en-GB"/>
        </w:rPr>
        <w:t xml:space="preserve"> </w:t>
      </w:r>
      <w:r w:rsidR="00A729A4" w:rsidRPr="00A141D2">
        <w:rPr>
          <w:sz w:val="22"/>
          <w:szCs w:val="22"/>
          <w:lang w:val="en-GB"/>
        </w:rPr>
        <w:t xml:space="preserve">approach </w:t>
      </w:r>
      <w:r w:rsidR="00F4547A" w:rsidRPr="00A141D2">
        <w:rPr>
          <w:sz w:val="22"/>
          <w:szCs w:val="22"/>
          <w:lang w:val="en-GB"/>
        </w:rPr>
        <w:t>to</w:t>
      </w:r>
      <w:r w:rsidR="00A729A4" w:rsidRPr="00A141D2">
        <w:rPr>
          <w:sz w:val="22"/>
          <w:szCs w:val="22"/>
          <w:lang w:val="en-GB"/>
        </w:rPr>
        <w:t xml:space="preserve"> assess </w:t>
      </w:r>
      <w:r w:rsidR="0073369F" w:rsidRPr="00A141D2">
        <w:rPr>
          <w:sz w:val="22"/>
          <w:szCs w:val="22"/>
          <w:lang w:val="en-GB"/>
        </w:rPr>
        <w:t xml:space="preserve">uncertain regional climate risks by combining </w:t>
      </w:r>
      <w:r w:rsidRPr="00A141D2">
        <w:rPr>
          <w:sz w:val="22"/>
          <w:szCs w:val="22"/>
          <w:lang w:val="en-GB"/>
        </w:rPr>
        <w:t xml:space="preserve">event </w:t>
      </w:r>
      <w:r w:rsidR="0073369F" w:rsidRPr="00A141D2">
        <w:rPr>
          <w:sz w:val="22"/>
          <w:szCs w:val="22"/>
          <w:lang w:val="en-GB"/>
        </w:rPr>
        <w:t xml:space="preserve">probabilities and plausible </w:t>
      </w:r>
      <w:r w:rsidRPr="00A141D2">
        <w:rPr>
          <w:sz w:val="22"/>
          <w:szCs w:val="22"/>
          <w:lang w:val="en-GB"/>
        </w:rPr>
        <w:t xml:space="preserve">climate </w:t>
      </w:r>
      <w:r w:rsidR="0073369F" w:rsidRPr="00A141D2">
        <w:rPr>
          <w:sz w:val="22"/>
          <w:szCs w:val="22"/>
          <w:lang w:val="en-GB"/>
        </w:rPr>
        <w:t>storylines</w:t>
      </w:r>
    </w:p>
    <w:p w14:paraId="0A137A1B" w14:textId="1687F072" w:rsidR="0073369F" w:rsidRPr="00A141D2" w:rsidRDefault="00795EEF" w:rsidP="006568F9">
      <w:pPr>
        <w:pStyle w:val="KeyPoints"/>
        <w:numPr>
          <w:ilvl w:val="0"/>
          <w:numId w:val="9"/>
        </w:numPr>
        <w:rPr>
          <w:sz w:val="22"/>
          <w:szCs w:val="22"/>
          <w:lang w:val="en-GB"/>
        </w:rPr>
      </w:pPr>
      <w:r w:rsidRPr="00A141D2">
        <w:rPr>
          <w:sz w:val="22"/>
          <w:szCs w:val="22"/>
          <w:lang w:val="en-GB"/>
        </w:rPr>
        <w:t>Targeted insights address</w:t>
      </w:r>
      <w:r w:rsidR="00BF4E58" w:rsidRPr="00A141D2">
        <w:rPr>
          <w:sz w:val="22"/>
          <w:szCs w:val="22"/>
          <w:lang w:val="en-GB"/>
        </w:rPr>
        <w:t>ing</w:t>
      </w:r>
      <w:r w:rsidRPr="00A141D2">
        <w:rPr>
          <w:sz w:val="22"/>
          <w:szCs w:val="22"/>
          <w:lang w:val="en-GB"/>
        </w:rPr>
        <w:t xml:space="preserve"> direct and cascading </w:t>
      </w:r>
      <w:r w:rsidR="00B34B84" w:rsidRPr="00A141D2">
        <w:rPr>
          <w:sz w:val="22"/>
          <w:szCs w:val="22"/>
          <w:lang w:val="en-GB"/>
        </w:rPr>
        <w:t>risks</w:t>
      </w:r>
      <w:r w:rsidRPr="00A141D2">
        <w:rPr>
          <w:sz w:val="22"/>
          <w:szCs w:val="22"/>
          <w:lang w:val="en-GB"/>
        </w:rPr>
        <w:t xml:space="preserve"> in multi-sectoral systems </w:t>
      </w:r>
      <w:r w:rsidR="00335441" w:rsidRPr="00A141D2">
        <w:rPr>
          <w:sz w:val="22"/>
          <w:szCs w:val="22"/>
          <w:lang w:val="en-GB"/>
        </w:rPr>
        <w:t>facing</w:t>
      </w:r>
      <w:r w:rsidRPr="00A141D2">
        <w:rPr>
          <w:sz w:val="22"/>
          <w:szCs w:val="22"/>
          <w:lang w:val="en-GB"/>
        </w:rPr>
        <w:t xml:space="preserve"> climate and socio</w:t>
      </w:r>
      <w:r w:rsidR="00B34B84" w:rsidRPr="00A141D2">
        <w:rPr>
          <w:sz w:val="22"/>
          <w:szCs w:val="22"/>
          <w:lang w:val="en-GB"/>
        </w:rPr>
        <w:t>-</w:t>
      </w:r>
      <w:r w:rsidRPr="00A141D2">
        <w:rPr>
          <w:sz w:val="22"/>
          <w:szCs w:val="22"/>
          <w:lang w:val="en-GB"/>
        </w:rPr>
        <w:t>economic uncertainty</w:t>
      </w:r>
    </w:p>
    <w:p w14:paraId="7F6EDFC2" w14:textId="60B38C53" w:rsidR="00176377" w:rsidRPr="00A141D2" w:rsidRDefault="008B74F9" w:rsidP="003C67B9">
      <w:pPr>
        <w:pStyle w:val="KeyPoints"/>
        <w:numPr>
          <w:ilvl w:val="0"/>
          <w:numId w:val="9"/>
        </w:numPr>
        <w:rPr>
          <w:sz w:val="22"/>
          <w:szCs w:val="22"/>
          <w:lang w:val="en-GB"/>
        </w:rPr>
      </w:pPr>
      <w:r w:rsidRPr="00A141D2">
        <w:rPr>
          <w:sz w:val="22"/>
          <w:szCs w:val="22"/>
          <w:lang w:val="en-GB"/>
        </w:rPr>
        <w:t xml:space="preserve">Application to the Lielupe basin highlights </w:t>
      </w:r>
      <w:r w:rsidR="008270E8" w:rsidRPr="00A141D2">
        <w:rPr>
          <w:sz w:val="22"/>
          <w:szCs w:val="22"/>
          <w:lang w:val="en-GB"/>
        </w:rPr>
        <w:t xml:space="preserve">key risk areas </w:t>
      </w:r>
      <w:r w:rsidR="00985F59" w:rsidRPr="00A141D2">
        <w:rPr>
          <w:sz w:val="22"/>
          <w:szCs w:val="22"/>
          <w:lang w:val="en-GB"/>
        </w:rPr>
        <w:t>and sectors</w:t>
      </w:r>
      <w:r w:rsidR="00481CAA" w:rsidRPr="00A141D2">
        <w:rPr>
          <w:sz w:val="22"/>
          <w:szCs w:val="22"/>
          <w:lang w:val="en-GB"/>
        </w:rPr>
        <w:t xml:space="preserve">, </w:t>
      </w:r>
      <w:r w:rsidR="00A3311E" w:rsidRPr="00A141D2">
        <w:rPr>
          <w:sz w:val="22"/>
          <w:szCs w:val="22"/>
          <w:lang w:val="en-GB"/>
        </w:rPr>
        <w:t>aiding</w:t>
      </w:r>
      <w:r w:rsidRPr="00A141D2">
        <w:rPr>
          <w:sz w:val="22"/>
          <w:szCs w:val="22"/>
          <w:lang w:val="en-GB"/>
        </w:rPr>
        <w:t xml:space="preserve"> </w:t>
      </w:r>
      <w:r w:rsidR="00335441" w:rsidRPr="00A141D2">
        <w:rPr>
          <w:sz w:val="22"/>
          <w:szCs w:val="22"/>
          <w:lang w:val="en-GB"/>
        </w:rPr>
        <w:t>risk managers</w:t>
      </w:r>
      <w:r w:rsidR="008D3B3D" w:rsidRPr="00A141D2">
        <w:rPr>
          <w:sz w:val="22"/>
          <w:szCs w:val="22"/>
          <w:lang w:val="en-GB"/>
        </w:rPr>
        <w:t xml:space="preserve"> in </w:t>
      </w:r>
      <w:r w:rsidR="00A3311E" w:rsidRPr="00A141D2">
        <w:rPr>
          <w:sz w:val="22"/>
          <w:szCs w:val="22"/>
          <w:lang w:val="en-GB"/>
        </w:rPr>
        <w:t xml:space="preserve">their </w:t>
      </w:r>
      <w:r w:rsidR="008D3B3D" w:rsidRPr="00A141D2">
        <w:rPr>
          <w:sz w:val="22"/>
          <w:szCs w:val="22"/>
          <w:lang w:val="en-GB"/>
        </w:rPr>
        <w:t>adaptation planning</w:t>
      </w:r>
    </w:p>
    <w:p w14:paraId="2659CCE1" w14:textId="77777777" w:rsidR="002F3B11" w:rsidRPr="00A141D2" w:rsidRDefault="008A6077" w:rsidP="008B4AAE">
      <w:pPr>
        <w:pStyle w:val="Heading-Main"/>
        <w:rPr>
          <w:rFonts w:cstheme="minorHAnsi"/>
          <w:lang w:val="en-GB"/>
        </w:rPr>
      </w:pPr>
      <w:r w:rsidRPr="00A141D2">
        <w:rPr>
          <w:rFonts w:cstheme="minorHAnsi"/>
          <w:lang w:val="en-GB"/>
        </w:rPr>
        <w:t>Abstract</w:t>
      </w:r>
    </w:p>
    <w:p w14:paraId="2B0AE554" w14:textId="7BF2CB2F" w:rsidR="0080767D" w:rsidRPr="00A141D2" w:rsidRDefault="00DA702D" w:rsidP="000558C5">
      <w:pPr>
        <w:pStyle w:val="Abstract"/>
        <w:rPr>
          <w:lang w:val="en-GB"/>
        </w:rPr>
      </w:pPr>
      <w:r w:rsidRPr="00A141D2">
        <w:rPr>
          <w:lang w:val="en-GB"/>
        </w:rPr>
        <w:t>Anticipating and managing future climate risks</w:t>
      </w:r>
      <w:r w:rsidR="004D31B3" w:rsidRPr="00A141D2">
        <w:rPr>
          <w:lang w:val="en-GB"/>
        </w:rPr>
        <w:t xml:space="preserve"> in interconnected multi-sectoral systems</w:t>
      </w:r>
      <w:r w:rsidRPr="00A141D2">
        <w:rPr>
          <w:lang w:val="en-GB"/>
        </w:rPr>
        <w:t xml:space="preserve"> </w:t>
      </w:r>
      <w:r w:rsidR="0081192F" w:rsidRPr="00A141D2">
        <w:rPr>
          <w:lang w:val="en-GB"/>
        </w:rPr>
        <w:t xml:space="preserve">is complicated by uncertainties in </w:t>
      </w:r>
      <w:r w:rsidR="006A6499" w:rsidRPr="00A141D2">
        <w:rPr>
          <w:lang w:val="en-GB"/>
        </w:rPr>
        <w:t xml:space="preserve">risk drivers in </w:t>
      </w:r>
      <w:r w:rsidR="004D31B3" w:rsidRPr="00A141D2">
        <w:rPr>
          <w:lang w:val="en-GB"/>
        </w:rPr>
        <w:t xml:space="preserve">both human and natural systems. </w:t>
      </w:r>
      <w:r w:rsidR="00765BDB" w:rsidRPr="00A141D2">
        <w:rPr>
          <w:lang w:val="en-GB"/>
        </w:rPr>
        <w:t xml:space="preserve">Comprehensive yet comprehensible </w:t>
      </w:r>
      <w:r w:rsidR="005E19FC" w:rsidRPr="00A141D2">
        <w:rPr>
          <w:lang w:val="en-GB"/>
        </w:rPr>
        <w:t>targeted</w:t>
      </w:r>
      <w:r w:rsidR="004E66E2" w:rsidRPr="00A141D2">
        <w:rPr>
          <w:lang w:val="en-GB"/>
        </w:rPr>
        <w:t xml:space="preserve"> climate risk information</w:t>
      </w:r>
      <w:r w:rsidR="00765BDB" w:rsidRPr="00A141D2">
        <w:rPr>
          <w:lang w:val="en-GB"/>
        </w:rPr>
        <w:t xml:space="preserve"> </w:t>
      </w:r>
      <w:r w:rsidR="005E19FC" w:rsidRPr="00A141D2">
        <w:rPr>
          <w:lang w:val="en-GB"/>
        </w:rPr>
        <w:t>exploring</w:t>
      </w:r>
      <w:r w:rsidR="00765BDB" w:rsidRPr="00A141D2">
        <w:rPr>
          <w:lang w:val="en-GB"/>
        </w:rPr>
        <w:t xml:space="preserve"> these uncertainties</w:t>
      </w:r>
      <w:r w:rsidR="004E66E2" w:rsidRPr="00A141D2">
        <w:rPr>
          <w:lang w:val="en-GB"/>
        </w:rPr>
        <w:t xml:space="preserve"> </w:t>
      </w:r>
      <w:r w:rsidR="0016426E" w:rsidRPr="00A141D2">
        <w:rPr>
          <w:lang w:val="en-GB"/>
        </w:rPr>
        <w:t xml:space="preserve">is </w:t>
      </w:r>
      <w:r w:rsidR="004E66E2" w:rsidRPr="00A141D2">
        <w:rPr>
          <w:lang w:val="en-GB"/>
        </w:rPr>
        <w:t>relevant for e.g.</w:t>
      </w:r>
      <w:r w:rsidR="001713F1" w:rsidRPr="00A141D2">
        <w:rPr>
          <w:lang w:val="en-GB"/>
        </w:rPr>
        <w:t xml:space="preserve"> strategic</w:t>
      </w:r>
      <w:r w:rsidR="004E66E2" w:rsidRPr="00A141D2">
        <w:rPr>
          <w:lang w:val="en-GB"/>
        </w:rPr>
        <w:t xml:space="preserve"> allocation of limited resources to th</w:t>
      </w:r>
      <w:r w:rsidR="0046632D" w:rsidRPr="00A141D2">
        <w:rPr>
          <w:lang w:val="en-GB"/>
        </w:rPr>
        <w:t>e most vulnerable areas and sectors</w:t>
      </w:r>
      <w:r w:rsidR="004E66E2" w:rsidRPr="00A141D2">
        <w:rPr>
          <w:lang w:val="en-GB"/>
        </w:rPr>
        <w:t>.</w:t>
      </w:r>
      <w:r w:rsidR="006770C7" w:rsidRPr="00A141D2">
        <w:rPr>
          <w:lang w:val="en-GB"/>
        </w:rPr>
        <w:t xml:space="preserve"> </w:t>
      </w:r>
      <w:r w:rsidR="00A52B1A" w:rsidRPr="00A141D2">
        <w:rPr>
          <w:lang w:val="en-GB"/>
        </w:rPr>
        <w:t xml:space="preserve">To address these complexities, this study introduces an interdisciplinary methodology combining meteorological, hydrological, and </w:t>
      </w:r>
      <w:r w:rsidR="00DF695A" w:rsidRPr="00A141D2">
        <w:rPr>
          <w:lang w:val="en-GB"/>
        </w:rPr>
        <w:t>socio-</w:t>
      </w:r>
      <w:r w:rsidR="00A52B1A" w:rsidRPr="00A141D2">
        <w:rPr>
          <w:lang w:val="en-GB"/>
        </w:rPr>
        <w:t>economic perspectives</w:t>
      </w:r>
      <w:r w:rsidR="00A7111C" w:rsidRPr="00A141D2">
        <w:rPr>
          <w:lang w:val="en-GB"/>
        </w:rPr>
        <w:t>,</w:t>
      </w:r>
      <w:r w:rsidR="00A52B1A" w:rsidRPr="00A141D2">
        <w:rPr>
          <w:lang w:val="en-GB"/>
        </w:rPr>
        <w:t xml:space="preserve"> tested in the</w:t>
      </w:r>
      <w:r w:rsidR="00A95FF0" w:rsidRPr="00A141D2">
        <w:rPr>
          <w:lang w:val="en-GB"/>
        </w:rPr>
        <w:t xml:space="preserve"> </w:t>
      </w:r>
      <w:r w:rsidR="00BE4CF8" w:rsidRPr="00A141D2">
        <w:rPr>
          <w:lang w:val="en-GB"/>
        </w:rPr>
        <w:t>flood-prone</w:t>
      </w:r>
      <w:r w:rsidR="00A7111C" w:rsidRPr="00A141D2">
        <w:rPr>
          <w:lang w:val="en-GB"/>
        </w:rPr>
        <w:t>,</w:t>
      </w:r>
      <w:r w:rsidR="00A52B1A" w:rsidRPr="00A141D2">
        <w:rPr>
          <w:lang w:val="en-GB"/>
        </w:rPr>
        <w:t xml:space="preserve"> transboundary Lielupe basin </w:t>
      </w:r>
      <w:r w:rsidR="00CE1F04" w:rsidRPr="00A141D2">
        <w:rPr>
          <w:lang w:val="en-GB"/>
        </w:rPr>
        <w:t>shared by</w:t>
      </w:r>
      <w:r w:rsidR="00A52B1A" w:rsidRPr="00A141D2">
        <w:rPr>
          <w:lang w:val="en-GB"/>
        </w:rPr>
        <w:t xml:space="preserve"> Latvia and Lithuania.</w:t>
      </w:r>
      <w:r w:rsidR="006A6499" w:rsidRPr="00A141D2">
        <w:rPr>
          <w:lang w:val="en-GB"/>
        </w:rPr>
        <w:t xml:space="preserve"> A ’plausibilistic’ </w:t>
      </w:r>
      <w:r w:rsidR="00F34E18" w:rsidRPr="00A141D2">
        <w:rPr>
          <w:lang w:val="en-GB"/>
        </w:rPr>
        <w:t xml:space="preserve">risk assessment </w:t>
      </w:r>
      <w:r w:rsidR="006A6499" w:rsidRPr="00A141D2">
        <w:rPr>
          <w:lang w:val="en-GB"/>
        </w:rPr>
        <w:t xml:space="preserve">approach is applied in which plausible climate scenario storylines are sampled </w:t>
      </w:r>
      <w:r w:rsidR="00A26701" w:rsidRPr="00A141D2">
        <w:rPr>
          <w:lang w:val="en-GB"/>
        </w:rPr>
        <w:t>on their</w:t>
      </w:r>
      <w:r w:rsidR="006A6499" w:rsidRPr="00A141D2">
        <w:rPr>
          <w:lang w:val="en-GB"/>
        </w:rPr>
        <w:t xml:space="preserve"> relevance for local impacts, allowing the assessment of </w:t>
      </w:r>
      <w:r w:rsidR="0061105C" w:rsidRPr="00A141D2">
        <w:rPr>
          <w:lang w:val="en-GB"/>
        </w:rPr>
        <w:t xml:space="preserve">conditional </w:t>
      </w:r>
      <w:r w:rsidR="006A6499" w:rsidRPr="00A141D2">
        <w:rPr>
          <w:lang w:val="en-GB"/>
        </w:rPr>
        <w:t xml:space="preserve">changes </w:t>
      </w:r>
      <w:r w:rsidR="0061105C" w:rsidRPr="00A141D2">
        <w:rPr>
          <w:lang w:val="en-GB"/>
        </w:rPr>
        <w:t xml:space="preserve">in </w:t>
      </w:r>
      <w:r w:rsidR="00601704" w:rsidRPr="00A141D2">
        <w:rPr>
          <w:lang w:val="en-GB"/>
        </w:rPr>
        <w:t xml:space="preserve">high-impact probabilistic </w:t>
      </w:r>
      <w:r w:rsidR="00657F3A" w:rsidRPr="00A141D2">
        <w:rPr>
          <w:lang w:val="en-GB"/>
        </w:rPr>
        <w:t>discharges</w:t>
      </w:r>
      <w:r w:rsidR="00D34A50" w:rsidRPr="00A141D2">
        <w:rPr>
          <w:lang w:val="en-GB"/>
        </w:rPr>
        <w:t>.</w:t>
      </w:r>
      <w:r w:rsidR="000078B6" w:rsidRPr="00A141D2">
        <w:rPr>
          <w:lang w:val="en-GB"/>
        </w:rPr>
        <w:t xml:space="preserve"> In addition, plausible yet differently structured future </w:t>
      </w:r>
      <w:r w:rsidR="004C7C28" w:rsidRPr="00A141D2">
        <w:rPr>
          <w:lang w:val="en-GB"/>
        </w:rPr>
        <w:t xml:space="preserve">urban areas and </w:t>
      </w:r>
      <w:r w:rsidR="000078B6" w:rsidRPr="00A141D2">
        <w:rPr>
          <w:lang w:val="en-GB"/>
        </w:rPr>
        <w:t xml:space="preserve">economies are sampled to project direct impact potential and its cascading socio-economic effects. By integrating </w:t>
      </w:r>
      <w:r w:rsidR="00EE68E2" w:rsidRPr="00A141D2">
        <w:rPr>
          <w:lang w:val="en-GB"/>
        </w:rPr>
        <w:t xml:space="preserve">both </w:t>
      </w:r>
      <w:r w:rsidR="000078B6" w:rsidRPr="00A141D2">
        <w:rPr>
          <w:lang w:val="en-GB"/>
        </w:rPr>
        <w:t xml:space="preserve">climate and socio-economic scenarios, a </w:t>
      </w:r>
      <w:r w:rsidR="00931EF3" w:rsidRPr="00A141D2">
        <w:rPr>
          <w:lang w:val="en-GB"/>
        </w:rPr>
        <w:t xml:space="preserve">risk mapping </w:t>
      </w:r>
      <w:r w:rsidR="00695D56" w:rsidRPr="00A141D2">
        <w:rPr>
          <w:lang w:val="en-GB"/>
        </w:rPr>
        <w:t xml:space="preserve">can be made to </w:t>
      </w:r>
      <w:r w:rsidR="00BB32F3" w:rsidRPr="00A141D2">
        <w:rPr>
          <w:lang w:val="en-GB"/>
        </w:rPr>
        <w:t xml:space="preserve">highlight </w:t>
      </w:r>
      <w:r w:rsidR="000078B6" w:rsidRPr="00A141D2">
        <w:rPr>
          <w:lang w:val="en-GB"/>
        </w:rPr>
        <w:t>regions where (compounding) risk drivers may occur.</w:t>
      </w:r>
      <w:r w:rsidR="003541A5" w:rsidRPr="00A141D2">
        <w:rPr>
          <w:lang w:val="en-GB"/>
        </w:rPr>
        <w:t xml:space="preserve"> </w:t>
      </w:r>
      <w:r w:rsidR="006416C8" w:rsidRPr="00A141D2">
        <w:rPr>
          <w:lang w:val="en-GB"/>
        </w:rPr>
        <w:t xml:space="preserve">Application to the Lielupe basin reveals </w:t>
      </w:r>
      <w:r w:rsidR="005D0D97" w:rsidRPr="00A141D2">
        <w:rPr>
          <w:lang w:val="en-GB"/>
        </w:rPr>
        <w:t>those</w:t>
      </w:r>
      <w:r w:rsidR="006416C8" w:rsidRPr="00A141D2">
        <w:rPr>
          <w:lang w:val="en-GB"/>
        </w:rPr>
        <w:t xml:space="preserve"> </w:t>
      </w:r>
      <w:r w:rsidR="00B732C9" w:rsidRPr="00A141D2">
        <w:rPr>
          <w:lang w:val="en-GB"/>
        </w:rPr>
        <w:t>areas</w:t>
      </w:r>
      <w:r w:rsidR="00E24BCF" w:rsidRPr="00A141D2">
        <w:rPr>
          <w:lang w:val="en-GB"/>
        </w:rPr>
        <w:t xml:space="preserve"> and </w:t>
      </w:r>
      <w:r w:rsidR="006416C8" w:rsidRPr="00A141D2">
        <w:rPr>
          <w:lang w:val="en-GB"/>
        </w:rPr>
        <w:t>sectors</w:t>
      </w:r>
      <w:r w:rsidR="005D0D97" w:rsidRPr="00A141D2">
        <w:rPr>
          <w:lang w:val="en-GB"/>
        </w:rPr>
        <w:t xml:space="preserve"> most </w:t>
      </w:r>
      <w:r w:rsidR="00771857" w:rsidRPr="00A141D2">
        <w:rPr>
          <w:lang w:val="en-GB"/>
        </w:rPr>
        <w:t>vulnerable</w:t>
      </w:r>
      <w:r w:rsidR="006416C8" w:rsidRPr="00A141D2">
        <w:rPr>
          <w:lang w:val="en-GB"/>
        </w:rPr>
        <w:t xml:space="preserve"> </w:t>
      </w:r>
      <w:r w:rsidR="00A36739" w:rsidRPr="00A141D2">
        <w:rPr>
          <w:lang w:val="en-GB"/>
        </w:rPr>
        <w:t>to climate impacts</w:t>
      </w:r>
      <w:r w:rsidR="00283FE5" w:rsidRPr="00A141D2">
        <w:rPr>
          <w:lang w:val="en-GB"/>
        </w:rPr>
        <w:t xml:space="preserve"> </w:t>
      </w:r>
      <w:r w:rsidR="00A36739" w:rsidRPr="00A141D2">
        <w:rPr>
          <w:lang w:val="en-GB"/>
        </w:rPr>
        <w:t>across</w:t>
      </w:r>
      <w:r w:rsidR="000F4382" w:rsidRPr="00A141D2">
        <w:rPr>
          <w:lang w:val="en-GB"/>
        </w:rPr>
        <w:t xml:space="preserve"> diverse</w:t>
      </w:r>
      <w:r w:rsidR="00771857" w:rsidRPr="00A141D2">
        <w:rPr>
          <w:lang w:val="en-GB"/>
        </w:rPr>
        <w:t xml:space="preserve"> </w:t>
      </w:r>
      <w:r w:rsidR="00283FE5" w:rsidRPr="00A141D2">
        <w:rPr>
          <w:lang w:val="en-GB"/>
        </w:rPr>
        <w:t>climate and socio-economic</w:t>
      </w:r>
      <w:r w:rsidR="006416C8" w:rsidRPr="00A141D2">
        <w:rPr>
          <w:lang w:val="en-GB"/>
        </w:rPr>
        <w:t xml:space="preserve"> scenarios</w:t>
      </w:r>
      <w:r w:rsidR="003541A5" w:rsidRPr="00A141D2">
        <w:rPr>
          <w:lang w:val="en-GB"/>
        </w:rPr>
        <w:t xml:space="preserve">. </w:t>
      </w:r>
      <w:r w:rsidR="0012337E" w:rsidRPr="00A141D2">
        <w:rPr>
          <w:lang w:val="en-GB"/>
        </w:rPr>
        <w:t>Our</w:t>
      </w:r>
      <w:r w:rsidR="008A223B" w:rsidRPr="00A141D2">
        <w:rPr>
          <w:lang w:val="en-GB"/>
        </w:rPr>
        <w:t xml:space="preserve"> comprehensive </w:t>
      </w:r>
      <w:r w:rsidR="00F40953" w:rsidRPr="00D5503F">
        <w:rPr>
          <w:lang w:val="en-GB"/>
        </w:rPr>
        <w:t xml:space="preserve">approach </w:t>
      </w:r>
      <w:r w:rsidR="008A223B" w:rsidRPr="00D5503F">
        <w:rPr>
          <w:lang w:val="en-GB"/>
        </w:rPr>
        <w:t xml:space="preserve">equips regional risk managers with targeted </w:t>
      </w:r>
      <w:r w:rsidR="005D0162" w:rsidRPr="00D5503F">
        <w:rPr>
          <w:lang w:val="en-GB"/>
        </w:rPr>
        <w:t xml:space="preserve">risk </w:t>
      </w:r>
      <w:r w:rsidR="008A223B" w:rsidRPr="00D5503F">
        <w:rPr>
          <w:lang w:val="en-GB"/>
        </w:rPr>
        <w:t xml:space="preserve">information </w:t>
      </w:r>
      <w:r w:rsidR="00822CEF" w:rsidRPr="00D5503F">
        <w:rPr>
          <w:lang w:val="en-GB"/>
        </w:rPr>
        <w:t xml:space="preserve">essential for </w:t>
      </w:r>
      <w:r w:rsidR="008A223B" w:rsidRPr="00D5503F">
        <w:rPr>
          <w:lang w:val="en-GB"/>
        </w:rPr>
        <w:t>prioriti</w:t>
      </w:r>
      <w:r w:rsidR="005D0162" w:rsidRPr="00D5503F">
        <w:rPr>
          <w:lang w:val="en-GB"/>
        </w:rPr>
        <w:t>s</w:t>
      </w:r>
      <w:r w:rsidR="00822CEF" w:rsidRPr="00D5503F">
        <w:rPr>
          <w:lang w:val="en-GB"/>
        </w:rPr>
        <w:t>ing</w:t>
      </w:r>
      <w:r w:rsidR="008A223B" w:rsidRPr="00D5503F">
        <w:rPr>
          <w:lang w:val="en-GB"/>
        </w:rPr>
        <w:t xml:space="preserve"> adaptation planning</w:t>
      </w:r>
      <w:r w:rsidR="003B5CDD" w:rsidRPr="00D5503F">
        <w:rPr>
          <w:lang w:val="en-GB"/>
        </w:rPr>
        <w:t>.</w:t>
      </w:r>
    </w:p>
    <w:p w14:paraId="69A5DBFD" w14:textId="243A320F" w:rsidR="00FC3EAC" w:rsidRPr="00A141D2" w:rsidRDefault="00FC3EAC" w:rsidP="000558C5">
      <w:pPr>
        <w:pStyle w:val="Abstract"/>
        <w:rPr>
          <w:b/>
          <w:bCs/>
          <w:lang w:val="en-GB"/>
        </w:rPr>
      </w:pPr>
      <w:r w:rsidRPr="00A141D2">
        <w:rPr>
          <w:b/>
          <w:bCs/>
          <w:lang w:val="en-GB"/>
        </w:rPr>
        <w:t>Plain Language Summary</w:t>
      </w:r>
    </w:p>
    <w:p w14:paraId="2F998452" w14:textId="7F212783" w:rsidR="00C700C2" w:rsidRPr="00A141D2" w:rsidRDefault="001549EE" w:rsidP="001549EE">
      <w:pPr>
        <w:pStyle w:val="Abstract"/>
        <w:rPr>
          <w:rFonts w:ascii="Times New Roman" w:hAnsi="Times New Roman"/>
          <w:lang w:val="en-GB" w:eastAsia="en-GB"/>
        </w:rPr>
      </w:pPr>
      <w:r w:rsidRPr="00A141D2">
        <w:rPr>
          <w:lang w:val="en-GB"/>
        </w:rPr>
        <w:t xml:space="preserve">Understanding future climate risks, like flooding, is crucial but challenging due to uncertainties in how both the climate and human societies will evolve. </w:t>
      </w:r>
      <w:r w:rsidR="00075525" w:rsidRPr="00A141D2">
        <w:rPr>
          <w:lang w:val="en-GB"/>
        </w:rPr>
        <w:t>It is, therefore, important to consider a range of plausible risk futures.</w:t>
      </w:r>
      <w:r w:rsidR="00494A17" w:rsidRPr="00A141D2">
        <w:rPr>
          <w:lang w:val="en-GB"/>
        </w:rPr>
        <w:t xml:space="preserve"> </w:t>
      </w:r>
      <w:r w:rsidR="001379A6" w:rsidRPr="00A141D2">
        <w:rPr>
          <w:lang w:val="en-GB"/>
        </w:rPr>
        <w:t>O</w:t>
      </w:r>
      <w:r w:rsidRPr="00A141D2">
        <w:rPr>
          <w:lang w:val="en-GB"/>
        </w:rPr>
        <w:t xml:space="preserve">ur study introduces a new method to </w:t>
      </w:r>
      <w:r w:rsidR="001379A6" w:rsidRPr="00A141D2">
        <w:rPr>
          <w:lang w:val="en-GB"/>
        </w:rPr>
        <w:t>sample</w:t>
      </w:r>
      <w:r w:rsidRPr="00A141D2">
        <w:rPr>
          <w:lang w:val="en-GB"/>
        </w:rPr>
        <w:t xml:space="preserve"> a limited yet </w:t>
      </w:r>
      <w:r w:rsidRPr="00A141D2">
        <w:rPr>
          <w:lang w:val="en-GB"/>
        </w:rPr>
        <w:lastRenderedPageBreak/>
        <w:t xml:space="preserve">comprehensive range of possible </w:t>
      </w:r>
      <w:r w:rsidR="00494A17" w:rsidRPr="00A141D2">
        <w:rPr>
          <w:lang w:val="en-GB"/>
        </w:rPr>
        <w:t xml:space="preserve">risk </w:t>
      </w:r>
      <w:r w:rsidRPr="00A141D2">
        <w:rPr>
          <w:lang w:val="en-GB"/>
        </w:rPr>
        <w:t>futures, providing targeted information to help decision-makers prepare</w:t>
      </w:r>
      <w:r w:rsidR="00494A17" w:rsidRPr="00A141D2">
        <w:rPr>
          <w:lang w:val="en-GB"/>
        </w:rPr>
        <w:t xml:space="preserve"> for an uncertain future</w:t>
      </w:r>
      <w:r w:rsidRPr="00A141D2">
        <w:rPr>
          <w:lang w:val="en-GB"/>
        </w:rPr>
        <w:t xml:space="preserve">. By combining climate and </w:t>
      </w:r>
      <w:r w:rsidR="001379A6" w:rsidRPr="00A141D2">
        <w:rPr>
          <w:lang w:val="en-GB"/>
        </w:rPr>
        <w:t>socio-</w:t>
      </w:r>
      <w:r w:rsidRPr="00A141D2">
        <w:rPr>
          <w:lang w:val="en-GB"/>
        </w:rPr>
        <w:t xml:space="preserve">economic perspectives, we identify areas where direct flood risks are likely to change and assess how these changes could ripple through the economy. We tested this approach in the flood-prone Lielupe </w:t>
      </w:r>
      <w:r w:rsidR="00910F5B" w:rsidRPr="00A141D2">
        <w:rPr>
          <w:lang w:val="en-GB"/>
        </w:rPr>
        <w:t>r</w:t>
      </w:r>
      <w:r w:rsidRPr="00A141D2">
        <w:rPr>
          <w:lang w:val="en-GB"/>
        </w:rPr>
        <w:t xml:space="preserve">iver basin, shared by Latvia and Lithuania. </w:t>
      </w:r>
      <w:r w:rsidR="00F02FE9" w:rsidRPr="00A141D2">
        <w:rPr>
          <w:lang w:val="en-GB"/>
        </w:rPr>
        <w:t>We analysed potential shifts in extreme flood discharges and their impacts using various scenarios of relevant future climate conditions, urban development, and economic change</w:t>
      </w:r>
      <w:r w:rsidRPr="00A141D2">
        <w:rPr>
          <w:lang w:val="en-GB"/>
        </w:rPr>
        <w:t>s. The findings reveal that flood risks can vary significantly across regions and sectors, depending on the combination of climate and socio-economic conditions</w:t>
      </w:r>
      <w:r w:rsidR="00DD0DD2" w:rsidRPr="00A141D2">
        <w:rPr>
          <w:lang w:val="en-GB"/>
        </w:rPr>
        <w:t xml:space="preserve"> and resulting risk drivers</w:t>
      </w:r>
      <w:r w:rsidRPr="00A141D2">
        <w:rPr>
          <w:lang w:val="en-GB"/>
        </w:rPr>
        <w:t xml:space="preserve">. </w:t>
      </w:r>
      <w:r w:rsidR="00DD0DD2" w:rsidRPr="00A141D2">
        <w:rPr>
          <w:lang w:val="en-GB"/>
        </w:rPr>
        <w:t xml:space="preserve">Our </w:t>
      </w:r>
      <w:r w:rsidRPr="00A141D2">
        <w:rPr>
          <w:lang w:val="en-GB"/>
        </w:rPr>
        <w:t xml:space="preserve">approach allows policymakers </w:t>
      </w:r>
      <w:r w:rsidR="00F02FE9" w:rsidRPr="00A141D2">
        <w:rPr>
          <w:lang w:val="en-GB"/>
        </w:rPr>
        <w:t xml:space="preserve">to </w:t>
      </w:r>
      <w:r w:rsidR="00DD0DD2" w:rsidRPr="00A141D2">
        <w:rPr>
          <w:lang w:val="en-GB"/>
        </w:rPr>
        <w:t xml:space="preserve">find those </w:t>
      </w:r>
      <w:r w:rsidRPr="00A141D2">
        <w:rPr>
          <w:lang w:val="en-GB"/>
        </w:rPr>
        <w:t>areas and sectors</w:t>
      </w:r>
      <w:r w:rsidR="00E909CA" w:rsidRPr="00A141D2">
        <w:rPr>
          <w:lang w:val="en-GB"/>
        </w:rPr>
        <w:t xml:space="preserve"> </w:t>
      </w:r>
      <w:r w:rsidR="00A141D2">
        <w:rPr>
          <w:lang w:val="en-GB"/>
        </w:rPr>
        <w:t xml:space="preserve">most </w:t>
      </w:r>
      <w:r w:rsidR="00E909CA" w:rsidRPr="00A141D2">
        <w:rPr>
          <w:lang w:val="en-GB"/>
        </w:rPr>
        <w:t xml:space="preserve">vulnerable across </w:t>
      </w:r>
      <w:r w:rsidR="00A141D2">
        <w:rPr>
          <w:lang w:val="en-GB"/>
        </w:rPr>
        <w:t xml:space="preserve">diverse </w:t>
      </w:r>
      <w:r w:rsidR="00525D22" w:rsidRPr="00A141D2">
        <w:rPr>
          <w:lang w:val="en-GB"/>
        </w:rPr>
        <w:t>scenarios</w:t>
      </w:r>
      <w:r w:rsidRPr="00A141D2">
        <w:rPr>
          <w:lang w:val="en-GB"/>
        </w:rPr>
        <w:t>, offering valuable insights for</w:t>
      </w:r>
      <w:r w:rsidR="0012337E" w:rsidRPr="00A141D2">
        <w:rPr>
          <w:lang w:val="en-GB"/>
        </w:rPr>
        <w:t xml:space="preserve"> prioritising</w:t>
      </w:r>
      <w:r w:rsidRPr="00A141D2">
        <w:rPr>
          <w:lang w:val="en-GB"/>
        </w:rPr>
        <w:t xml:space="preserve"> targeted adaptation strategies.</w:t>
      </w:r>
      <w:r w:rsidR="00C700C2" w:rsidRPr="00A141D2">
        <w:rPr>
          <w:sz w:val="22"/>
          <w:szCs w:val="22"/>
          <w:lang w:val="en-GB"/>
        </w:rPr>
        <w:br w:type="page"/>
      </w:r>
    </w:p>
    <w:p w14:paraId="16752E20" w14:textId="33B19304" w:rsidR="002F3B11" w:rsidRPr="00A141D2" w:rsidRDefault="002F3B11" w:rsidP="003855D5">
      <w:pPr>
        <w:pStyle w:val="Heading-Secondary"/>
        <w:rPr>
          <w:lang w:val="en-GB"/>
        </w:rPr>
      </w:pPr>
      <w:r w:rsidRPr="00A141D2">
        <w:rPr>
          <w:lang w:val="en-GB"/>
        </w:rPr>
        <w:lastRenderedPageBreak/>
        <w:t>1 Introduction</w:t>
      </w:r>
      <w:r w:rsidR="00C5306C" w:rsidRPr="00A141D2">
        <w:rPr>
          <w:lang w:val="en-GB"/>
        </w:rPr>
        <w:t xml:space="preserve"> </w:t>
      </w:r>
    </w:p>
    <w:p w14:paraId="26411524" w14:textId="7528E483" w:rsidR="00AE1EBF" w:rsidRPr="00A141D2" w:rsidRDefault="004734CC" w:rsidP="004734CC">
      <w:pPr>
        <w:rPr>
          <w:szCs w:val="24"/>
          <w:lang w:val="en-GB"/>
        </w:rPr>
      </w:pPr>
      <w:r w:rsidRPr="00A141D2">
        <w:rPr>
          <w:szCs w:val="24"/>
          <w:lang w:val="en-GB"/>
        </w:rPr>
        <w:t xml:space="preserve">As climate impacts intensify throughout the twenty-first century </w:t>
      </w:r>
      <w:r w:rsidRPr="00A141D2">
        <w:rPr>
          <w:szCs w:val="24"/>
          <w:lang w:val="en-GB"/>
        </w:rPr>
        <w:fldChar w:fldCharType="begin"/>
      </w:r>
      <w:r w:rsidRPr="00A141D2">
        <w:rPr>
          <w:szCs w:val="24"/>
          <w:lang w:val="en-GB"/>
        </w:rPr>
        <w:instrText xml:space="preserve"> ADDIN ZOTERO_ITEM CSL_CITATION {"citationID":"83gUKYgS","properties":{"formattedCitation":"(Mora et al., 2013)","plainCitation":"(Mora et al., 2013)","noteIndex":0},"citationItems":[{"id":2374,"uris":["http://zotero.org/users/11212985/items/BFDBJX7D"],"itemData":{"id":2374,"type":"article-journal","abstract":"Ecological and societal disruptions by modern climate change are critically determined by the time frame over which climates shift beyond historical analogues. Here we present a new index of the year when the projected mean climate of a given location moves to a state continuously outside the bounds of historical variability under alternative greenhouse gas emissions scenarios. Using 1860 to 2005 as the historical period, this index has a global mean of 2069 (±18 years s.d.) for near-surface air temperature under an emissions stabilization scenario and 2047 (±14 years s.d.) under a ‘business-as-usual’ scenario. Unprecedented climates will occur earliest in the tropics and among low-income countries, highlighting the vulnerability of global biodiversity and the limited governmental capacity to respond to the impacts of climate change. Our findings shed light on the urgency of mitigating greenhouse gas emissions if climates potentially harmful to biodiversity and society are to be prevented.","container-title":"Nature","DOI":"10.1038/nature12540","ISSN":"1476-4687","issue":"7470","language":"en","license":"2013 Springer Nature Limited","note":"number: 7470\npublisher: Nature Publishing Group","page":"183-187","source":"www-nature-com.vu-nl.idm.oclc.org","title":"The projected timing of climate departure from recent variability","volume":"502","author":[{"family":"Mora","given":"Camilo"},{"family":"Frazier","given":"Abby G."},{"family":"Longman","given":"Ryan J."},{"family":"Dacks","given":"Rachel S."},{"family":"Walton","given":"Maya M."},{"family":"Tong","given":"Eric J."},{"family":"Sanchez","given":"Joseph J."},{"family":"Kaiser","given":"Lauren R."},{"family":"Stender","given":"Yuko O."},{"family":"Anderson","given":"James M."},{"family":"Ambrosino","given":"Christine M."},{"family":"Fernandez-Silva","given":"Iria"},{"family":"Giuseffi","given":"Louise M."},{"family":"Giambelluca","given":"Thomas W."}],"issued":{"date-parts":[["2013",10]]},"citation-key":"moraProjectedTimingClimate2013"}}],"schema":"https://github.com/citation-style-language/schema/raw/master/csl-citation.json"} </w:instrText>
      </w:r>
      <w:r w:rsidRPr="00A141D2">
        <w:rPr>
          <w:szCs w:val="24"/>
          <w:lang w:val="en-GB"/>
        </w:rPr>
        <w:fldChar w:fldCharType="separate"/>
      </w:r>
      <w:r w:rsidRPr="00A141D2">
        <w:rPr>
          <w:szCs w:val="24"/>
          <w:lang w:val="en-GB"/>
        </w:rPr>
        <w:t>(Mora et al., 2013)</w:t>
      </w:r>
      <w:r w:rsidRPr="00A141D2">
        <w:rPr>
          <w:szCs w:val="24"/>
          <w:lang w:val="en-GB"/>
        </w:rPr>
        <w:fldChar w:fldCharType="end"/>
      </w:r>
      <w:r w:rsidRPr="00A141D2">
        <w:rPr>
          <w:szCs w:val="24"/>
          <w:lang w:val="en-GB"/>
        </w:rPr>
        <w:t xml:space="preserve">, regions across the globe increasingly need targeted climate risk information to inform adaptation plans that protect vulnerable areas and sectors. Unfortunately, future climate risk information is obscured by large uncertainties in future climate conditions due to unknowns in emission pathways </w:t>
      </w:r>
      <w:r w:rsidRPr="00A141D2">
        <w:rPr>
          <w:szCs w:val="24"/>
          <w:lang w:val="en-GB"/>
        </w:rPr>
        <w:fldChar w:fldCharType="begin"/>
      </w:r>
      <w:r w:rsidRPr="00A141D2">
        <w:rPr>
          <w:szCs w:val="24"/>
          <w:lang w:val="en-GB"/>
        </w:rPr>
        <w:instrText xml:space="preserve"> ADDIN ZOTERO_ITEM CSL_CITATION {"citationID":"ilTsKFcM","properties":{"formattedCitation":"(O\\uc0\\u8217{}Neill et al., 2017; van Vuuren et al., 2011)","plainCitation":"(O’Neill et al., 2017; van Vuuren et al., 2011)","noteIndex":0},"citationItems":[{"id":2826,"uris":["http://zotero.org/users/11212985/items/M459W25K"],"itemData":{"id":2826,"type":"article-journal","abstract":"Long-term scenarios play an important role in research on global environmental change. The climate change research community is developing new scenarios integrating future changes in climate and society to investigate climate impacts as well as options for mitigation and adaptation. One component of these new scenarios is a set of alternative futures of societal development known as the shared socioeconomic pathways (SSPs). The conceptual framework for the design and use of the SSPs calls for the development of global pathways describing the future evolution of key aspects of society that would together imply a range of challenges for mitigating and adapting to climate change. Here we present one component of these pathways: the SSP narratives, a set of five qualitative descriptions of future changes in demographics, human development, economy and lifestyle, policies and institutions, technology, and environment and natural resources. We describe the methods used to develop the narratives as well as how these pathways are hypothesized to produce particular combinations of challenges to mitigation and adaptation. Development of the narratives drew on expert opinion to (1) identify key determinants of these challenges that were essential to incorporate in the narratives and (2) combine these elements in the narratives in a manner consistent with scholarship on their inter-relationships. The narratives are intended as a description of plausible future conditions at the level of large world regions that can serve as a basis for integrated scenarios of emissions and land use, as well as climate impact, adaptation and vulnerability analyses.","container-title":"Global Environmental Change","DOI":"10.1016/j.gloenvcha.2015.01.004","ISSN":"0959-3780","journalAbbreviation":"Global Environmental Change","page":"169-180","source":"ScienceDirect","title":"The roads ahead: Narratives for shared socioeconomic pathways describing world futures in the 21st century","title-short":"The roads ahead","volume":"42","author":[{"family":"O’Neill","given":"Brian C."},{"family":"Kriegler","given":"Elmar"},{"family":"Ebi","given":"Kristie L."},{"family":"Kemp-Benedict","given":"Eric"},{"family":"Riahi","given":"Keywan"},{"family":"Rothman","given":"Dale S."},{"family":"Ruijven","given":"Bas J.","non-dropping-particle":"van"},{"family":"Vuuren","given":"Detlef P.","non-dropping-particle":"van"},{"family":"Birkmann","given":"Joern"},{"family":"Kok","given":"Kasper"},{"family":"Levy","given":"Marc"},{"family":"Solecki","given":"William"}],"issued":{"date-parts":[["2017",1,1]]},"citation-key":"oneillRoadsAheadNarratives2017"}},{"id":2834,"uris":["http://zotero.org/users/11212985/items/Y95YUQLB"],"itemData":{"id":2834,"type":"article-journal","abstract":"This paper summarizes the development process and main characteristics of the Representative Concentration Pathways (RCPs), a set of four new pathways developed for the climate modeling community as a basis for long-term and near-term modeling experiments. The four RCPs together span the range of year 2100 radiative forcing values found in the open literature, i.e. from 2.6 to 8.5 W/m2. The RCPs are the product of an innovative collaboration between integrated assessment modelers, climate modelers, terrestrial ecosystem modelers and emission inventory experts. The resulting product forms a comprehensive data set with high spatial and sectoral resolutions for the period extending to 2100. Land use and emissions of air pollutants and greenhouse gases are reported mostly at a 0.5 × 0.5 degree spatial resolution, with air pollutants also provided per sector (for well-mixed gases, a coarser resolution is used). The underlying integrated assessment model outputs for land use, atmospheric emissions and concentration data were harmonized across models and scenarios to ensure consistency with historical observations while preserving individual scenario trends. For most variables, the RCPs cover a wide range of the existing literature. The RCPs are supplemented with extensions (Extended Concentration Pathways, ECPs), which allow climate modeling experiments through the year 2300. The RCPs are an important development in climate research and provide a potential foundation for further research and assessment, including emissions mitigation and impact analysis.","container-title":"Climatic Change","DOI":"10.1007/s10584-011-0148-z","ISSN":"1573-1480","issue":"1","journalAbbreviation":"Climatic Change","language":"en","page":"5","source":"Springer Link","title":"The representative concentration pathways: an overview","title-short":"The representative concentration pathways","volume":"109","author":[{"family":"Vuuren","given":"Detlef P.","non-dropping-particle":"van"},{"family":"Edmonds","given":"Jae"},{"family":"Kainuma","given":"Mikiko"},{"family":"Riahi","given":"Keywan"},{"family":"Thomson","given":"Allison"},{"family":"Hibbard","given":"Kathy"},{"family":"Hurtt","given":"George C."},{"family":"Kram","given":"Tom"},{"family":"Krey","given":"Volker"},{"family":"Lamarque","given":"Jean-Francois"},{"family":"Masui","given":"Toshihiko"},{"family":"Meinshausen","given":"Malte"},{"family":"Nakicenovic","given":"Nebojsa"},{"family":"Smith","given":"Steven J."},{"family":"Rose","given":"Steven K."}],"issued":{"date-parts":[["2011",8,5]]},"citation-key":"vanvuurenRepresentativeConcentrationPathways2011"}}],"schema":"https://github.com/citation-style-language/schema/raw/master/csl-citation.json"} </w:instrText>
      </w:r>
      <w:r w:rsidRPr="00A141D2">
        <w:rPr>
          <w:szCs w:val="24"/>
          <w:lang w:val="en-GB"/>
        </w:rPr>
        <w:fldChar w:fldCharType="separate"/>
      </w:r>
      <w:r w:rsidRPr="00A141D2">
        <w:rPr>
          <w:szCs w:val="24"/>
          <w:lang w:val="en-GB"/>
        </w:rPr>
        <w:t>(O’Neill et al., 2017; van Vuuren et al., 2011)</w:t>
      </w:r>
      <w:r w:rsidRPr="00A141D2">
        <w:rPr>
          <w:szCs w:val="24"/>
          <w:lang w:val="en-GB"/>
        </w:rPr>
        <w:fldChar w:fldCharType="end"/>
      </w:r>
      <w:r w:rsidRPr="00A141D2">
        <w:rPr>
          <w:szCs w:val="24"/>
          <w:lang w:val="en-GB"/>
        </w:rPr>
        <w:t xml:space="preserve">, earth system responses to those emissions </w:t>
      </w:r>
      <w:r w:rsidRPr="00A141D2">
        <w:rPr>
          <w:szCs w:val="24"/>
          <w:lang w:val="en-GB"/>
        </w:rPr>
        <w:fldChar w:fldCharType="begin"/>
      </w:r>
      <w:r w:rsidRPr="00A141D2">
        <w:rPr>
          <w:szCs w:val="24"/>
          <w:lang w:val="en-GB"/>
        </w:rPr>
        <w:instrText xml:space="preserve"> ADDIN ZOTERO_ITEM CSL_CITATION {"citationID":"xqhHDe24","properties":{"formattedCitation":"(Hawkins &amp; Sutton, 2011; F. Lehner et al., 2020)","plainCitation":"(Hawkins &amp; Sutton, 2011; F. Lehner et al., 2020)","noteIndex":0},"citationItems":[{"id":1290,"uris":["http://zotero.org/users/11212985/items/HP423JSE"],"itemData":{"id":1290,"type":"article-journal","abstract":"We separate and quantify the sources of uncertainty in projections of regional (</w:instrText>
      </w:r>
      <w:r w:rsidRPr="00A141D2">
        <w:rPr>
          <w:rFonts w:ascii="Cambria Math" w:hAnsi="Cambria Math" w:cs="Cambria Math"/>
          <w:szCs w:val="24"/>
          <w:lang w:val="en-GB"/>
        </w:rPr>
        <w:instrText>∼</w:instrText>
      </w:r>
      <w:r w:rsidRPr="00A141D2">
        <w:rPr>
          <w:szCs w:val="24"/>
          <w:lang w:val="en-GB"/>
        </w:rPr>
        <w:instrText xml:space="preserve">2,500 km) precipitation changes for the twenty-first century using the CMIP3 multi-model ensemble, allowing a direct comparison with a similar analysis for regional temperature changes. For decadal means of seasonal mean precipitation, internal variability is the dominant uncertainty for predictions of the first decade everywhere, and for many regions until the third decade ahead. Model uncertainty is generally the dominant source of uncertainty for longer lead times. Scenario uncertainty is found to be small or negligible for all regions and lead times, apart from close to the poles at the end of the century. For the global mean, model uncertainty dominates at all lead times. The signal-to-noise ratio (S/N) of the precipitation projections is highest at the poles but less than 1 almost everywhere else, and is far lower than for temperature projections. In particular, the tropics have the highest S/N for temperature, but the lowest for precipitation. We also estimate a ‘potential S/N’ by assuming that model uncertainty could be reduced to zero, and show that, for regional precipitation, the gains in S/N are fairly modest, especially for predictions of the next few decades. This finding suggests that adaptation decisions will need to be made in the context of high uncertainty concerning regional changes in precipitation. The potential to narrow uncertainty in regional temperature projections is far greater. These conclusions on S/N are for the current generation of models; the real signal may be larger or smaller than the CMIP3 multi-model mean. Also note that the S/N for extreme precipitation, which is more relevant for many climate impacts, may be larger than for the seasonal mean precipitation considered here.","container-title":"Climate Dynamics","DOI":"10.1007/s00382-010-0810-6","ISSN":"1432-0894","issue":"1","journalAbbreviation":"Clim Dyn","language":"en","page":"407-418","source":"Springer Link","title":"The potential to narrow uncertainty in projections of regional precipitation change","volume":"37","author":[{"family":"Hawkins","given":"Ed"},{"family":"Sutton","given":"Rowan"}],"issued":{"date-parts":[["2011",7,1]]},"citation-key":"hawkinsPotentialNarrowUncertainty2011"}},{"id":2355,"uris":["http://zotero.org/users/11212985/items/8ZK88B3E"],"itemData":{"id":2355,"type":"article-journal","abstract":"Partitioning uncertainty in projections of future climate change into contributions from internal variability, model response uncertainty and emissions scenarios has historically relied on making assumptions about forced changes in the mean and variability. With the advent of multiple single-model initial-condition large ensembles (SMILEs), these assumptions can be scrutinized, as they allow a more robust separation between sources of uncertainty. Here, the framework from Hawkins and Sutton (2009) for uncertainty partitioning is revisited for temperature and precipitation projections using seven SMILEs and the Coupled Model Intercomparison Project CMIP5 and CMIP6 archives. The original approach is shown to work well at global scales (potential method bias&amp;thinsp;&amp;lt;&amp;thinsp;20&amp;thinsp;%), while at local to regional scales such as British Isles temperature or Sahel precipitation, there is a notable potential method bias (up to 50&amp;thinsp;%), and more accurate partitioning of uncertainty is achieved through the use of SMILEs. Whenever internal variability and forced changes therein are important, the need to evaluate and improve the representation of variability in models is evident. The available SMILEs are shown to be a good representation of the CMIP5 model diversity in many situations, making them a useful tool for interpreting CMIP5. CMIP6 often shows larger absolute and relative model uncertainty than CMIP5, although part of this difference can be reconciled with the higher average transient climate response in CMIP6. This study demonstrates the added value of a collection of SMILEs for quantifying and diagnosing uncertainty in climate projections.","container-title":"Earth System Dynamics","DOI":"10.5194/esd-11-491-2020","ISSN":"2190-4979","issue":"2","language":"English","note":"publisher: Copernicus GmbH","page":"491-508","source":"Copernicus Online Journals","title":"Partitioning climate projection uncertainty with multiple large ensembles and CMIP5/6","volume":"11","author":[{"family":"Lehner","given":"Flavio"},{"family":"Deser","given":"Clara"},{"family":"Maher","given":"Nicola"},{"family":"Marotzke","given":"Jochem"},{"family":"Fischer","given":"Erich M."},{"family":"Brunner","given":"Lukas"},{"family":"Knutti","given":"Reto"},{"family":"Hawkins","given":"Ed"}],"issued":{"date-parts":[["2020",5,29]]},"citation-key":"lehnerPartitioningClimateProjection2020"}}],"schema":"https://github.com/citation-style-language/schema/raw/master/csl-citation.json"} </w:instrText>
      </w:r>
      <w:r w:rsidRPr="00A141D2">
        <w:rPr>
          <w:szCs w:val="24"/>
          <w:lang w:val="en-GB"/>
        </w:rPr>
        <w:fldChar w:fldCharType="separate"/>
      </w:r>
      <w:r w:rsidRPr="00A141D2">
        <w:rPr>
          <w:szCs w:val="24"/>
          <w:lang w:val="en-GB"/>
        </w:rPr>
        <w:t>(Hawkins &amp; Sutton, 2011; F. Lehner et al., 2020)</w:t>
      </w:r>
      <w:r w:rsidRPr="00A141D2">
        <w:rPr>
          <w:szCs w:val="24"/>
          <w:lang w:val="en-GB"/>
        </w:rPr>
        <w:fldChar w:fldCharType="end"/>
      </w:r>
      <w:r w:rsidRPr="00A141D2">
        <w:rPr>
          <w:szCs w:val="24"/>
          <w:lang w:val="en-GB"/>
        </w:rPr>
        <w:t xml:space="preserve"> and societal developments </w:t>
      </w:r>
      <w:r w:rsidRPr="00A141D2">
        <w:rPr>
          <w:szCs w:val="24"/>
          <w:lang w:val="en-GB"/>
        </w:rPr>
        <w:fldChar w:fldCharType="begin"/>
      </w:r>
      <w:r w:rsidRPr="00A141D2">
        <w:rPr>
          <w:szCs w:val="24"/>
          <w:lang w:val="en-GB"/>
        </w:rPr>
        <w:instrText xml:space="preserve"> ADDIN ZOTERO_ITEM CSL_CITATION {"citationID":"FD1FZmdg","properties":{"formattedCitation":"(O\\uc0\\u8217{}Neill et al., 2014; Wilby &amp; Dessai, 2010)","plainCitation":"(O’Neill et al., 2014; Wilby &amp; Dessai, 2010)","noteIndex":0},"citationItems":[{"id":1965,"uris":["http://zotero.org/groups/5015323/items/G36L4MCL"],"itemData":{"id":1965,"type":"article-journal","container-title":"Climatic Change","DOI":"10.1007/s10584-013-0905-2","ISSN":"0165-0009, 1573-1480","issue":"3","journalAbbreviation":"Climatic Change","language":"en","page":"387-400","source":"DOI.org (Crossref)","title":"A new scenario framework for climate change research: the concept of shared socioeconomic pathways","title-short":"A new scenario framework for climate change research","volume":"122","author":[{"family":"O’Neill","given":"Brian C."},{"family":"Kriegler","given":"Elmar"},{"family":"Riahi","given":"Keywan"},{"family":"Ebi","given":"Kristie L."},{"family":"Hallegatte","given":"Stephane"},{"family":"Carter","given":"Timothy R."},{"family":"Mathur","given":"Ritu"},{"family":"Vuuren","given":"Detlef P.","non-dropping-particle":"van"}],"issued":{"date-parts":[["2014",2]]},"citation-key":"oneillNewScenarioFramework2014"}},{"id":1728,"uris":["http://zotero.org/users/11212985/items/5S25RUAN"],"itemData":{"id":1728,"type":"article-journal","container-title":"Weather","DOI":"10.1002/wea.543","ISSN":"1477-8696","issue":"7","language":"en","note":"_eprint: https://rmets.onlinelibrary.wiley.com/doi/pdf/10.1002/wea.543","page":"180-185","source":"Wiley Online Library","title":"Robust adaptation to climate change","volume":"65","author":[{"family":"Wilby","given":"Robert L."},{"family":"Dessai","given":"Suraje"}],"issued":{"date-parts":[["2010"]]},"citation-key":"wilbyRobustAdaptationClimate2010"}}],"schema":"https://github.com/citation-style-language/schema/raw/master/csl-citation.json"} </w:instrText>
      </w:r>
      <w:r w:rsidRPr="00A141D2">
        <w:rPr>
          <w:szCs w:val="24"/>
          <w:lang w:val="en-GB"/>
        </w:rPr>
        <w:fldChar w:fldCharType="separate"/>
      </w:r>
      <w:r w:rsidRPr="00A141D2">
        <w:rPr>
          <w:lang w:val="en-GB"/>
        </w:rPr>
        <w:t>(O’Neill et al., 2014; Wilby &amp; Dessai, 2010)</w:t>
      </w:r>
      <w:r w:rsidRPr="00A141D2">
        <w:rPr>
          <w:szCs w:val="24"/>
          <w:lang w:val="en-GB"/>
        </w:rPr>
        <w:fldChar w:fldCharType="end"/>
      </w:r>
      <w:r w:rsidRPr="00A141D2">
        <w:rPr>
          <w:szCs w:val="24"/>
          <w:lang w:val="en-GB"/>
        </w:rPr>
        <w:t xml:space="preserve">. To assess this uncertainty and convert it into a manageable risk information package serving the design of effective adaptation strategies, a subset of plausible climate impact scenarios can be explored to inform robust decision-making </w:t>
      </w:r>
      <w:r w:rsidRPr="00A141D2">
        <w:rPr>
          <w:szCs w:val="24"/>
          <w:lang w:val="en-GB"/>
        </w:rPr>
        <w:fldChar w:fldCharType="begin"/>
      </w:r>
      <w:r w:rsidRPr="00A141D2">
        <w:rPr>
          <w:szCs w:val="24"/>
          <w:lang w:val="en-GB"/>
        </w:rPr>
        <w:instrText xml:space="preserve"> ADDIN ZOTERO_ITEM CSL_CITATION {"citationID":"MLaboGhj","properties":{"formattedCitation":"(Lempert, 2013; Lempert et al., 2003)","plainCitation":"(Lempert, 2013; Lempert et al., 2003)","noteIndex":0},"citationItems":[{"id":295,"uris":["http://zotero.org/users/11212985/items/MB2FBDVD"],"itemData":{"id":295,"type":"article-journal","abstract":"Scenarios exist so that decision makers and those who provide them with information can make statements about the future that claim less confidence than do predictions, projections, and forecasts. Despite their prevalence, fundamental questions remain about how scenarios should best be developed and used. This paper proposes a particular conceptualization of scenarios that aims to address many of the challenges faced when using scenarios to inform contentious policy debates. The concept envisions scenarios as illuminating the vulnerabilities of proposed policies, that is, as concise summaries of the future states of the world in which a proposed policy would fail to meet its goals. Such scenarios emerge from a decision support process that begins with a proposed policy, seeks to understand the conditions under which it would fail, and then uses this information to identify and evaluate potential alternative policies that are robust over a wide range of future conditions. Statistical cluster analyses applied to databases of simulation model results can help identify scenarios as part of this process. Drawing on themes from the decision support literature, this paper first reviews difficulties faced when using scenarios to inform climate-related decisions, describes the proposed approach to address these challenges, illustrates the approach with applications for three different types of users, and concludes with some thoughts on implications for the provision of climate information and for future scenario processes.","container-title":"Climatic Change","DOI":"10.1007/s10584-012-0574-6","ISSN":"1573-1480","issue":"4","journalAbbreviation":"Climatic Change","language":"en","page":"627-646","source":"Springer Link","title":"Scenarios that illuminate vulnerabilities and robust responses","volume":"117","author":[{"family":"Lempert","given":"Robert J."}],"issued":{"date-parts":[["2013",4,1]]},"citation-key":"lempertScenariosThatIlluminate2013"}},{"id":1731,"uris":["http://zotero.org/users/11212985/items/RMS7G4US"],"itemData":{"id":1731,"type":"report","abstract":"&lt;p&gt;The checkered history of predicting the future — e.g., “Man will never fly” — has dissuaded policymakers from considering the long-term effects of decisions. New analytic methods, enabled by modern computers, transform our ability to reason about the future. The authors here demonstrate a quantitative approach to long-term policy analysis (LTPA). Robust methods enable decisionmakers to examine a vast range of futures and design adaptive strategies to be robust across them. Using sustainable development as an example, the authors discuss how these methods apply to LTPA and a wide range of decisionmaking under conditions of deep uncertainty.&lt;/p&gt;","language":"en","publisher":"RAND Corporation","source":"www.rand.org","title":"Shaping the Next One Hundred Years: New Methods for Quantitative, Long-Term Policy Analysis","title-short":"Shaping the Next One Hundred Years","URL":"https://www.rand.org/pubs/monograph_reports/MR1626.html","author":[{"family":"Lempert","given":"Robert J."},{"family":"Popper","given":"Steven W."},{"family":"Bankes","given":"Steven C."}],"accessed":{"date-parts":[["2023",5,3]]},"issued":{"date-parts":[["2003",1,1]]},"citation-key":"lempertShapingNextOne2003"}}],"schema":"https://github.com/citation-style-language/schema/raw/master/csl-citation.json"} </w:instrText>
      </w:r>
      <w:r w:rsidRPr="00A141D2">
        <w:rPr>
          <w:szCs w:val="24"/>
          <w:lang w:val="en-GB"/>
        </w:rPr>
        <w:fldChar w:fldCharType="separate"/>
      </w:r>
      <w:r w:rsidRPr="00A141D2">
        <w:rPr>
          <w:szCs w:val="24"/>
          <w:lang w:val="en-GB"/>
        </w:rPr>
        <w:t>(Lempert, 2013; Lempert et al., 2003)</w:t>
      </w:r>
      <w:r w:rsidRPr="00A141D2">
        <w:rPr>
          <w:szCs w:val="24"/>
          <w:lang w:val="en-GB"/>
        </w:rPr>
        <w:fldChar w:fldCharType="end"/>
      </w:r>
      <w:r w:rsidRPr="00A141D2">
        <w:rPr>
          <w:szCs w:val="24"/>
          <w:lang w:val="en-GB"/>
        </w:rPr>
        <w:t xml:space="preserve"> or adaptive planning approaches </w:t>
      </w:r>
      <w:r w:rsidRPr="00A141D2">
        <w:rPr>
          <w:szCs w:val="24"/>
          <w:lang w:val="en-GB"/>
        </w:rPr>
        <w:fldChar w:fldCharType="begin"/>
      </w:r>
      <w:r w:rsidRPr="00A141D2">
        <w:rPr>
          <w:szCs w:val="24"/>
          <w:lang w:val="en-GB"/>
        </w:rPr>
        <w:instrText xml:space="preserve"> ADDIN ZOTERO_ITEM CSL_CITATION {"citationID":"AQV206OY","properties":{"formattedCitation":"(Haasnoot et al., 2019)","plainCitation":"(Haasnoot et al., 2019)","noteIndex":0},"citationItems":[{"id":2714,"uris":["http://zotero.org/users/11212985/items/S449YD2Y"],"itemData":{"id":2714,"type":"chapter","abstract":"Dynamic Adaptive Policy Pathways (DAPP) is a DMDU approach that explicitly includes decision making over time. The essence is proactive and dynamic planning in response to how the future actually unfolds.DAPP explores alternative sequences of decisions (adaptation pathways) for multiple futures and illuminates the path dependency of alternative strategies. It opens the decision space and helps to overcome policy paralysis due to deep uncertainty. There are different routes that can achieve the objectives under changing conditions (like ‘different roads leading to Rome’).Policy actions have an uncertain design life and might fail sooner or later to continue achieving objectives as the operating conditions change (i.e. they reach an adaptation tipping point (ATP)). Similarly, opportunity tipping points may occur.Multiple pathways are typically visualized in a metro map or decision tree, with time or changing conditions on one of the axes.DAPP supports the design of a dynamic adaptive strategy that includes initial actions, long-term options, and adaptation signals to identify when to implement the long-term options or revisit decisions.","container-title":"Decision Making under Deep Uncertainty: From Theory to Practice","event-place":"Cham","ISBN":"978-3-030-05252-2","language":"en","note":"DOI: 10.1007/978-3-030-05252-2_4","page":"71-92","publisher":"Springer International Publishing","publisher-place":"Cham","source":"Springer Link","title":"Dynamic Adaptive Policy Pathways (DAPP)","URL":"https://doi.org/10.1007/978-3-030-05252-2_4","author":[{"family":"Haasnoot","given":"Marjolijn"},{"family":"Warren","given":"Andrew"},{"family":"Kwakkel","given":"Jan H."}],"editor":[{"family":"Marchau","given":"Vincent A. W. J."},{"family":"Walker","given":"Warren E."},{"family":"Bloemen","given":"Pieter J. T. M."},{"family":"Popper","given":"Steven W."}],"accessed":{"date-parts":[["2024",7,8]]},"issued":{"date-parts":[["2019"]]},"citation-key":"haasnootDynamicAdaptivePolicy2019"}}],"schema":"https://github.com/citation-style-language/schema/raw/master/csl-citation.json"} </w:instrText>
      </w:r>
      <w:r w:rsidRPr="00A141D2">
        <w:rPr>
          <w:szCs w:val="24"/>
          <w:lang w:val="en-GB"/>
        </w:rPr>
        <w:fldChar w:fldCharType="separate"/>
      </w:r>
      <w:r w:rsidRPr="00A141D2">
        <w:rPr>
          <w:szCs w:val="24"/>
          <w:lang w:val="en-GB"/>
        </w:rPr>
        <w:t>(Haasnoot et al., 2019)</w:t>
      </w:r>
      <w:r w:rsidRPr="00A141D2">
        <w:rPr>
          <w:szCs w:val="24"/>
          <w:lang w:val="en-GB"/>
        </w:rPr>
        <w:fldChar w:fldCharType="end"/>
      </w:r>
      <w:r w:rsidRPr="00A141D2">
        <w:rPr>
          <w:szCs w:val="24"/>
          <w:lang w:val="en-GB"/>
        </w:rPr>
        <w:t>.</w:t>
      </w:r>
    </w:p>
    <w:p w14:paraId="3A5A15B8" w14:textId="7198CE3B" w:rsidR="00AE1EBF" w:rsidRPr="00A141D2" w:rsidRDefault="004734CC" w:rsidP="00AE1EBF">
      <w:pPr>
        <w:rPr>
          <w:lang w:val="en-GB"/>
        </w:rPr>
      </w:pPr>
      <w:r w:rsidRPr="00A141D2">
        <w:rPr>
          <w:lang w:val="en-GB"/>
        </w:rPr>
        <w:t xml:space="preserve">One method to explore impact uncertainty is through physical climate storylines </w:t>
      </w:r>
      <w:r w:rsidRPr="00A141D2">
        <w:rPr>
          <w:lang w:val="en-GB"/>
        </w:rPr>
        <w:fldChar w:fldCharType="begin"/>
      </w:r>
      <w:r w:rsidRPr="00A141D2">
        <w:rPr>
          <w:lang w:val="en-GB"/>
        </w:rPr>
        <w:instrText xml:space="preserve"> ADDIN ZOTERO_ITEM CSL_CITATION {"citationID":"XKGqKrwV","properties":{"formattedCitation":"(Shepherd, 2019; Shepherd et al., 2018)","plainCitation":"(Shepherd, 2019; Shepherd et al., 2018)","noteIndex":0},"citationItems":[{"id":318,"uris":["http://zotero.org/users/11212985/items/3LIVPHYF"],"itemData":{"id":318,"type":"article-journal","abstract":"Climate science seeks to make statements of confidence about what has happened, and what will happen (conditional on scenario). The approach is effective for the global, thermodynamic aspects of climate change, but is ineffective when it comes to aspects of climate change related to atmospheric circulation, which are highly uncertain. Yet, atmospheric circulation strongly mediates climate impacts at the regional scale. In this way, the confidence framework, which focuses on avoiding type 1 errors (false alarms), raises the prospect of committing type 2 errors (missed warnings). This has ethical implications. At the regional scale, however, where information on climate change has to be combined with many other factors affecting vulnerability and exposure—most of which are highly uncertain—the societally relevant question is not ‘What will happen?’ but rather ‘What is the impact of particular actions under an uncertain regional climate change?’ This reframing of the question can cut the Gordian knot of regional climate change information, provided one distinguishes between epistemic and aleatoric uncertainties—something that is generally not done in climate projections. It is argued that the storyline approach to climate change—the identification of physically self-consistent, plausible pathways—has the potential to accomplish precisely this.","container-title":"Proceedings of the Royal Society A: Mathematical, Physical and Engineering Sciences","DOI":"10.1098/rspa.2019.0013","issue":"2225","note":"publisher: Royal Society","page":"20190013","source":"royalsocietypublishing.org (Atypon)","title":"Storyline approach to the construction of regional climate change information","volume":"475","author":[{"family":"Shepherd","given":"Theodore G."}],"issued":{"date-parts":[["2019",5,15]]},"citation-key":"shepherdStorylineApproachConstruction2019"}},{"id":290,"uris":["http://zotero.org/users/11212985/items/3KJ65H3U"],"itemData":{"id":290,"type":"article-journal","abstract":"As climate change research becomes increasingly applied, the need for actionable information is growing rapidly. A key aspect of this requirement is the representation of uncertainties. The conventional approach to representing uncertainty in physical aspects of climate change is probabilistic, based on ensembles of climate model simulations. In the face of deep uncertainties, the known limitations of this approach are becoming increasingly apparent. An alternative is thus emerging which may be called a ‘storyline’ approach. We define a storyline as a physically self-consistent unfolding of past events, or of plausible future events or pathways. No a priori probability of the storyline is assessed; emphasis is placed instead on understanding the driving factors involved, and the plausibility of those factors. We introduce a typology of four reasons for using storylines to represent uncertainty in physical aspects of climate change: (i) improving risk awareness by framing risk in an event-oriented rather than a probabilistic manner, which corresponds more directly to how people perceive and respond to risk; (ii) strengthening decision-making by allowing one to work backward from a particular vulnerability or decision point, combining climate change information with other relevant factors to address compound risk and develop appropriate stress tests; (iii) providing a physical basis for partitioning uncertainty, thereby allowing the use of more credible regional models in a conditioned manner and (iv) exploring the boundaries of plausibility, thereby guarding against false precision and surprise. Storylines also offer a powerful way of linking physical with human aspects of climate change.","container-title":"Climatic Change","DOI":"10.1007/s10584-018-2317-9","ISSN":"1573-1480","issue":"3","journalAbbreviation":"Climatic Change","language":"en","page":"555-571","source":"Springer Link","title":"Storylines: an alternative approach to representing uncertainty in physical aspects of climate change","title-short":"Storylines","volume":"151","author":[{"family":"Shepherd","given":"Theodore G."},{"family":"Boyd","given":"Emily"},{"family":"Calel","given":"Raphael A."},{"family":"Chapman","given":"Sandra C."},{"family":"Dessai","given":"Suraje"},{"family":"Dima-West","given":"Ioana M."},{"family":"Fowler","given":"Hayley J."},{"family":"James","given":"Rachel"},{"family":"Maraun","given":"Douglas"},{"family":"Martius","given":"Olivia"},{"family":"Senior","given":"Catherine A."},{"family":"Sobel","given":"Adam H."},{"family":"Stainforth","given":"David A."},{"family":"Tett","given":"Simon F. B."},{"family":"Trenberth","given":"Kevin E."},{"family":"Hurk","given":"Bart J. J. M.","non-dropping-particle":"van den"},{"family":"Watkins","given":"Nicholas W."},{"family":"Wilby","given":"Robert L."},{"family":"Zenghelis","given":"Dimitri A."}],"issued":{"date-parts":[["2018",12,1]]},"citation-key":"shepherdStorylinesAlternativeApproach2018"}}],"schema":"https://github.com/citation-style-language/schema/raw/master/csl-citation.json"} </w:instrText>
      </w:r>
      <w:r w:rsidRPr="00A141D2">
        <w:rPr>
          <w:lang w:val="en-GB"/>
        </w:rPr>
        <w:fldChar w:fldCharType="separate"/>
      </w:r>
      <w:r w:rsidRPr="00A141D2">
        <w:rPr>
          <w:lang w:val="en-GB"/>
        </w:rPr>
        <w:t>(Shepherd, 2019; Shepherd et al., 2018)</w:t>
      </w:r>
      <w:r w:rsidRPr="00A141D2">
        <w:rPr>
          <w:lang w:val="en-GB"/>
        </w:rPr>
        <w:fldChar w:fldCharType="end"/>
      </w:r>
      <w:r w:rsidRPr="00A141D2">
        <w:rPr>
          <w:lang w:val="en-GB"/>
        </w:rPr>
        <w:t xml:space="preserve">, where lessons can be learned from 'what if' scenarios and their conditional explanations </w:t>
      </w:r>
      <w:r w:rsidRPr="00A141D2">
        <w:rPr>
          <w:lang w:val="en-GB"/>
        </w:rPr>
        <w:fldChar w:fldCharType="begin"/>
      </w:r>
      <w:r w:rsidRPr="00A141D2">
        <w:rPr>
          <w:lang w:val="en-GB"/>
        </w:rPr>
        <w:instrText xml:space="preserve"> ADDIN ZOTERO_ITEM CSL_CITATION {"citationID":"yPpdzzYD","properties":{"formattedCitation":"(Sillmann et al., 2021)","plainCitation":"(Sillmann et al., 2021)","noteIndex":0},"citationItems":[{"id":378,"uris":["http://zotero.org/users/11212985/items/94MQR8GY"],"itemData":{"id":378,"type":"article-journal","abstract":"The climate science community is challenged to adopt an actionable risk perspective, which is difficult to align with the traditional focus on model-based probabilistic climate change projections. Event-based storylines can provide a way out of this conundrum by putting emphasis on plausibility rather than probability. This links directly to common practices in disaster risk management using “stress-testing” for emergency preparedness based on events that are conditional on specific and plausible assumptions. Event-based storylines allow for conditional explanations, without full attribution of every causal factor, which is crucial when some aspects of the latter are complex and highly uncertain.","container-title":"Earth's Future","DOI":"10.1029/2020EF001783","ISSN":"2328-4277","issue":"2","language":"en","note":"_eprint: https://agupubs.onlinelibrary.wiley.com/doi/pdf/10.1029/2020EF001783","page":"e2020EF001783","source":"Wiley Online Library","title":"Event-Based Storylines to Address Climate Risk","volume":"9","author":[{"family":"Sillmann","given":"Jana"},{"family":"Shepherd","given":"Theodore G."},{"family":"Hurk","given":"Bart","non-dropping-particle":"van den"},{"family":"Hazeleger","given":"Wilco"},{"family":"Martius","given":"Olivia"},{"family":"Slingo","given":"Julia"},{"family":"Zscheischler","given":"Jakob"}],"issued":{"date-parts":[["2021"]]},"citation-key":"sillmannEventBasedStorylinesAddress2021"}}],"schema":"https://github.com/citation-style-language/schema/raw/master/csl-citation.json"} </w:instrText>
      </w:r>
      <w:r w:rsidRPr="00A141D2">
        <w:rPr>
          <w:lang w:val="en-GB"/>
        </w:rPr>
        <w:fldChar w:fldCharType="separate"/>
      </w:r>
      <w:r w:rsidRPr="00A141D2">
        <w:rPr>
          <w:lang w:val="en-GB"/>
        </w:rPr>
        <w:t>(Sillmann et al., 2021)</w:t>
      </w:r>
      <w:r w:rsidRPr="00A141D2">
        <w:rPr>
          <w:lang w:val="en-GB"/>
        </w:rPr>
        <w:fldChar w:fldCharType="end"/>
      </w:r>
      <w:r w:rsidRPr="00A141D2">
        <w:rPr>
          <w:lang w:val="en-GB"/>
        </w:rPr>
        <w:t xml:space="preserve">. By exploring multiple storylines that incorporate climate change or socio-economic developments, one can find vulnerabilities and drivers of risks that require specific attention </w:t>
      </w:r>
      <w:r w:rsidRPr="00A141D2">
        <w:rPr>
          <w:lang w:val="en-GB"/>
        </w:rPr>
        <w:fldChar w:fldCharType="begin"/>
      </w:r>
      <w:r w:rsidRPr="00A141D2">
        <w:rPr>
          <w:lang w:val="en-GB"/>
        </w:rPr>
        <w:instrText xml:space="preserve"> ADDIN ZOTERO_ITEM CSL_CITATION {"citationID":"sUG2Ga9Q","properties":{"formattedCitation":"(Goulart et al., 2024; van den Hurk et al., 2023)","plainCitation":"(Goulart et al., 2024; van den Hurk et al., 2023)","noteIndex":0},"citationItems":[{"id":2730,"uris":["http://zotero.org/users/11212985/items/2GVV4D4K"],"itemData":{"id":2730,"type":"article-journal","abstract":"High impact events like Hurricane Sandy (2012) significantly affect society and decision-making around weather/climate adaptation. Our understanding of the potential effects of such events is limited to their rare historical occurrences. Climate change might alter these events to an extent that current adaptation responses become insufficient. Furthermore, internal climate variability in the current climate might also lead to slightly different events with possible larger societal impacts. Therefore, exploring high impact events under different conditions becomes important for (future) impact assessment. In this study, we create storylines of Sandy to assess compound coastal flooding on critical infrastructure in New York City under different scenarios, including climate change effects (on the storm and through sea level rise) and internal variability (variations in the storm's intensity and location). We find that 1 m of sea level rise increases average flood volumes by 4.2 times, while maximised precipitation scenarios (internal variability) lead to a 2.5-fold increase in flood volumes. The maximised precipitation scenarios impact inland critical infrastructure assets with low water levels, while sea level rise impacts fewer coastal assets though with high water levels. The diversity in hazards and impacts demonstrates the importance of building a set of relevant scenarios, including those representing the effects of climate change and internal variability. The integration of a modelling framework connecting meteorological conditions to local hazards and impacts provides relevant and accessible information that can directly be integrated into high impact event assessments.","container-title":"Natural Hazards and Earth System Sciences","DOI":"10.5194/nhess-24-29-2024","ISSN":"1561-8633","issue":"1","language":"English","note":"publisher: Copernicus GmbH","page":"29-45","source":"Copernicus Online Journals","title":"Compound flood impacts from Hurricane Sandy on New York City in climate-driven storylines","volume":"24","author":[{"family":"Goulart","given":"Henrique M. D."},{"family":"Benito Lazaro","given":"Irene"},{"family":"Garderen","given":"Linda","non-dropping-particle":"van"},{"family":"Wiel","given":"Karin","non-dropping-particle":"van der"},{"family":"Le Bars","given":"Dewi"},{"family":"Koks","given":"Elco"},{"family":"Hurk","given":"Bart","non-dropping-particle":"van den"}],"issued":{"date-parts":[["2024",1,10]]},"citation-key":"goulartCompoundFloodImpacts2024"}},{"id":2041,"uris":["http://zotero.org/users/11212985/items/WQCJG658"],"itemData":{"id":2041,"type":"article-journal","abstract":"Quote: “What I hear, I forget. What I see, I remember. What I do, I understand.” (Xunzi, </w:instrText>
      </w:r>
      <w:r w:rsidRPr="00A141D2">
        <w:rPr>
          <w:rFonts w:ascii="Cambria Math" w:hAnsi="Cambria Math" w:cs="Cambria Math"/>
          <w:lang w:val="en-GB"/>
        </w:rPr>
        <w:instrText>∼</w:instrText>
      </w:r>
      <w:r w:rsidRPr="00A141D2">
        <w:rPr>
          <w:lang w:val="en-GB"/>
        </w:rPr>
        <w:instrText xml:space="preserve">300 BCE). Modelling complex interactions involving climatic features, socio-economic vulnerability or responses, and long impact transmissions is associated with substantial uncertainty. Physical climate storylines are proposed as an approach to explore complex impact transmission pathways and possible alternative unfoldings of event cascades under future climate conditions. These storylines are particularly useful for climate risk assessment for complex domains, including event cascades crossing multiple disciplinary or geographical borders. For an effective role in climate risks assessments, development guidelines are needed to consistently develop and interpret the storyline event analyses. This paper elaborates on the suitability of physical climate storyline approaches involving climate event induced shocks propagating into societal impacts. It proposes a set of common elements to construct the event storylines. In addition, criteria for their application for climate risk assessment are given, referring to the need for storylines to be physically plausible, relevant for the specific context, and risk-informative. Apart from an illustrative gallery of storyline examples found in literature, three examples of varying scope and complexity are presented in detail, all involving the potential impact on European socio-economic sectors induced by remote climate change features occurring far outside the geographical domain of the European mainland. The storyline examples illustrate the application of the proposed storyline components and evaluate the suitability of the criteria defined in this paper. It thereby contributes to a rigorous design and application of event-based climate storyline approaches.","container-title":"Climate Risk Management","DOI":"10.1016/j.crm.2023.100500","ISSN":"2212-0963","journalAbbreviation":"Climate Risk Management","language":"en","page":"100500","source":"ScienceDirect","title":"Climate impact storylines for assessing socio-economic responses to remote events","volume":"40","author":[{"family":"Hurk","given":"Bart J. J. M.","non-dropping-particle":"van den"},{"family":"Baldissera Pacchetti","given":"Marina"},{"family":"Boere","given":"Esther"},{"family":"Ciullo","given":"Alessio"},{"family":"Coulter","given":"Liese"},{"family":"Dessai","given":"Suraje"},{"family":"Ercin","given":"Ertug"},{"family":"Goulart","given":"Henrique M. D."},{"family":"Hamed","given":"Raed"},{"family":"Hochrainer-Stigler","given":"Stefan"},{"family":"Koks","given":"Elco"},{"family":"Kubiczek","given":"Patryk"},{"family":"Levermann","given":"Anders"},{"family":"Mechler","given":"Reinhard"},{"family":"Meersbergen","given":"Maarten","non-dropping-particle":"van"},{"family":"Mester","given":"Benedikt"},{"family":"Middelanis","given":"Robin"},{"family":"Minderhoud","given":"Katie"},{"family":"Mysiak","given":"Jaroslav"},{"family":"Nirandjan","given":"Sadhana"},{"family":"Oord","given":"Gijs","non-dropping-particle":"van den"},{"family":"Otto","given":"Christian"},{"family":"Sayers","given":"Paul"},{"family":"Schewe","given":"Jacob"},{"family":"Shepherd","given":"Theodore G."},{"family":"Sillmann","given":"Jana"},{"family":"Stuparu","given":"Dana"},{"family":"Vogt","given":"Thomas"},{"family":"Witpas","given":"Katrien"}],"issued":{"date-parts":[["2023",1,1]]},"citation-key":"vandenhurkClimateImpactStorylines2023"}}],"schema":"https://github.com/citation-style-language/schema/raw/master/csl-citation.json"} </w:instrText>
      </w:r>
      <w:r w:rsidRPr="00A141D2">
        <w:rPr>
          <w:lang w:val="en-GB"/>
        </w:rPr>
        <w:fldChar w:fldCharType="separate"/>
      </w:r>
      <w:r w:rsidRPr="00A141D2">
        <w:rPr>
          <w:lang w:val="en-GB"/>
        </w:rPr>
        <w:t>(Goulart et al., 2024; van den Hurk et al., 2023)</w:t>
      </w:r>
      <w:r w:rsidRPr="00A141D2">
        <w:rPr>
          <w:lang w:val="en-GB"/>
        </w:rPr>
        <w:fldChar w:fldCharType="end"/>
      </w:r>
      <w:r w:rsidRPr="00A141D2">
        <w:rPr>
          <w:lang w:val="en-GB"/>
        </w:rPr>
        <w:t xml:space="preserve">. One application of climate storylines is to explore plausible changes in conditional probabilities of </w:t>
      </w:r>
      <w:r w:rsidR="00C62748" w:rsidRPr="00A141D2">
        <w:rPr>
          <w:lang w:val="en-GB"/>
        </w:rPr>
        <w:t xml:space="preserve">extreme </w:t>
      </w:r>
      <w:r w:rsidRPr="00A141D2">
        <w:rPr>
          <w:lang w:val="en-GB"/>
        </w:rPr>
        <w:t xml:space="preserve">meteorological events for the selected climate storylines </w:t>
      </w:r>
      <w:r w:rsidRPr="00A141D2">
        <w:rPr>
          <w:lang w:val="en-GB"/>
        </w:rPr>
        <w:fldChar w:fldCharType="begin"/>
      </w:r>
      <w:r w:rsidRPr="00A141D2">
        <w:rPr>
          <w:lang w:val="en-GB"/>
        </w:rPr>
        <w:instrText xml:space="preserve"> ADDIN ZOTERO_ITEM CSL_CITATION {"citationID":"hMX5Xxho","properties":{"formattedCitation":"(Lin\\uc0\\u233{} et al., 2024; van den Hurk, 2022; van der Wiel et al., 2024)","plainCitation":"(Liné et al., 2024; van den Hurk, 2022; van der Wiel et al., 2024)","noteIndex":0},"citationItems":[{"id":3112,"uris":["http://zotero.org/users/11212985/items/8CB8LUZF"],"itemData":{"id":3112,"type":"article-journal","abstract":"Internal variability arising from the inherently chaotic nature of the climate system has amplified or obscured human-caused changes, especially at regional scales in the extratropics, where its contribution to climate variability is the largest. It is virtually certain that this will continue in the near-term. We here focus on the Northern Europe region, whose variability is largely controlled by the North Atlantic Oscillation (NAO) and the Atlantic Meridional Overturning Circulation (AMOC) through remote dynamical and thermodynamic processes, and introduce the concept of internal variability storylines (IVS) to explore, understand, and quantify the role of the two combined drivers of internal variability in the modulation of the anthropogenic warming by 2040 in winter. Based on a large ensemble of historical-scenario simulations, we show that the high-impact IVS, characterised by weak AMOC decline and a decadal shift of the NAO toward dominant positive phase, leads faster to warmer-wetter conditions independently of actual and future greenhouse gases emissions. By contrast, amplified AMOC reduction and more recurrent negative NAO can considerably damp both warming and wettening at near-term. In the latter IVS, we provide evidence that winter-severe conditions similar to those in 2010, that had been responsible for widespread socio-economic disruptions, remain almost as likely to occur by 2040. Reframing the uncertain climate outcomes into the physical science space in a conditional form through the prism of IVS makes climate information relevant for accurate risk assessments and adaptation planning.","container-title":"npj Climate and Atmospheric Science","DOI":"10.1038/s41612-024-00759-2","ISSN":"2397-3722","issue":"1","journalAbbreviation":"npj Clim Atmos Sci","language":"en","license":"2024 The Author(s)","note":"publisher: Nature Publishing Group","page":"1-14","source":"www.nature.com","title":"Modulation of Northern Europe near-term anthropogenic warming and wettening assessed through internal variability storylines","volume":"7","author":[{"family":"Liné","given":"Aurélien"},{"family":"Cassou","given":"Christophe"},{"family":"Msadek","given":"Rym"},{"family":"Parey","given":"Sylvie"}],"issued":{"date-parts":[["2024",11,6]]},"citation-key":"lineModulationNorthernEurope2024"}},{"id":30,"uris":["http://zotero.org/users/11212985/items/PD2DTKZQ"],"itemData":{"id":30,"type":"article-journal","abstract":"To support climate adaptation decision-making, a picture of current and upcoming climate and socio-economic conditions is required, including an overview of intervention scenarios and their impact. In order to be actionable, this picture needs to rely on credible, relevant, and legitimate information, which implies the use of tested models and concepts, tailored to the decision context, and with transparent and understandable assumptions on boundary conditions and process representation. These criteria are challenged when the complexity of the problem is large and stakes are high. For many conditions, unforeseeable features and events with potentially large implications affect the problem at hand and contribute to the uncertainty that is not easily quantified, let alone eliminated. We explore storyline development approaches that help in selecting relevant and credible pathways and events that enrich the understanding of the risks and options at stake. We explore two categories of storylines (climate scenario storylines and climate risk storylines) by discussing use cases in which these were developed.","container-title":"Springer Climate","DOI":"10.1007/978-3-030-86211-4_4","ISSN":"23520701","note":"publisher: Springer Science and Business Media B.V.","page":"27-32","title":"Impact-Oriented Climate Information Selection","author":[{"family":"Hurk","given":"Bart J. J. M.","non-dropping-particle":"van den"}],"issued":{"date-parts":[["2022"]]},"citation-key":"vandenhurkImpactOrientedClimateInformation2022"},"label":"page"},{"id":2673,"uris":["http://zotero.org/users/11212985/items/DZFW2DAG"],"itemData":{"id":2673,"type":"article-journal","abstract":"This paper presents the methodology for the construction of the KNMI'23 national climate scenarios for the Netherlands. We have developed six scenarios, that cover a substantial part of the uncertainty in CMIP6 projections of future climate change in the region. Different sources of uncertainty are disentangled as much as possible, partly by means of a storyline approach. Uncertainty in future emissions is covered by making scenarios conditional on different SSP scenarios (SSP1-2.6, SSP2-4.5, and SSP5-8.5). For each SSP scenario and time horizon (2050, 2100, 2150), we determine a global warming level based on the median of the constrained estimates of climate sensitivity from IPCC AR6. The remaining climate model uncertainty of the regional climate response at these warming levels is covered by two storylines, which are designed with a focus on the annual and seasonal mean precipitation response (a dry-trending and wet-trending variant for each SSP). This choice was motivated by the importance of future water management to society. For users with specific interests we provide means how to account for the impact of the uncertainty in climate sensitivity. Since CMIP6 GCM data do not provide the required spatial detail for impact m</w:instrText>
      </w:r>
      <w:r w:rsidRPr="00C97447">
        <w:rPr>
          <w:lang w:val="nl-NL"/>
        </w:rPr>
        <w:instrText xml:space="preserve">odeling, we reconstruct the CMIP6 responses by resampling internal variability in a GCM-RCM initial-condition ensemble. The resulting climate scenarios form a detailed storyline of plausible future climates in the Netherlands. The data can be used for impact calculations and assessments by stakeholders, and will be used to inform policy making in different sectors of Dutch society.","container-title":"Earth's Future","DOI":"10.1029/2023EF003983","ISSN":"2328-4277","issue":"2","language":"en","note":"_eprint: https://agupubs.onlinelibrary.wiley.com/doi/pdf/10.1029/2023EF003983","page":"e2023EF003983","source":"Wiley Online Library","title":"KNMI'23 Climate Scenarios for the Netherlands: Storyline Scenarios of Regional Climate Change","title-short":"KNMI'23 Climate Scenarios for the Netherlands","volume":"12","author":[{"family":"Wiel","given":"Karin","non-dropping-particle":"van der"},{"family":"Beersma","given":"Jules"},{"family":"Brink","given":"Henk","non-dropping-particle":"van den"},{"family":"Krikken","given":"Folmer"},{"family":"Selten","given":"Frank"},{"family":"Severijns","given":"Camiel"},{"family":"Sterl","given":"Andreas"},{"family":"Meijgaard","given":"Erik","non-dropping-particle":"van"},{"family":"Reerink","given":"Thomas"},{"family":"Dorland","given":"Rob","non-dropping-particle":"van"}],"issued":{"date-parts":[["2024"]]},"citation-key":"vanderwielKNMI23Climate2024"}}],"schema":"https://github.com/citation-style-language/schema/raw/master/csl-citation.json"} </w:instrText>
      </w:r>
      <w:r w:rsidRPr="00A141D2">
        <w:rPr>
          <w:lang w:val="en-GB"/>
        </w:rPr>
        <w:fldChar w:fldCharType="separate"/>
      </w:r>
      <w:r w:rsidRPr="00C97447">
        <w:rPr>
          <w:lang w:val="nl-NL"/>
        </w:rPr>
        <w:t>(Liné et al., 2024; van den Hurk, 2022; van der Wiel et al., 2024)</w:t>
      </w:r>
      <w:r w:rsidRPr="00A141D2">
        <w:rPr>
          <w:lang w:val="en-GB"/>
        </w:rPr>
        <w:fldChar w:fldCharType="end"/>
      </w:r>
      <w:r w:rsidRPr="00C97447">
        <w:rPr>
          <w:lang w:val="nl-NL"/>
        </w:rPr>
        <w:t xml:space="preserve">. </w:t>
      </w:r>
      <w:r w:rsidRPr="00A141D2">
        <w:rPr>
          <w:lang w:val="en-GB"/>
        </w:rPr>
        <w:t xml:space="preserve">Such probabilities (or likelihoods) are an important factor for investment decisions in either risk prevention, consequence reduction, or risk transfers </w:t>
      </w:r>
      <w:r w:rsidRPr="00A141D2">
        <w:rPr>
          <w:lang w:val="en-GB"/>
        </w:rPr>
        <w:fldChar w:fldCharType="begin"/>
      </w:r>
      <w:r w:rsidRPr="00A141D2">
        <w:rPr>
          <w:lang w:val="en-GB"/>
        </w:rPr>
        <w:instrText xml:space="preserve"> ADDIN ZOTERO_ITEM CSL_CITATION {"citationID":"Inszs9yH","properties":{"formattedCitation":"(Linnerooth-Bayer &amp; Hochrainer-Stigler, 2015; Mechler et al., 2014)","plainCitation":"(Linnerooth-Bayer &amp; Hochrainer-Stigler, 2015; Mechler et al., 2014)","noteIndex":0},"citationItems":[{"id":2931,"uris":["http://zotero.org/users/11212985/items/RDJIQSCE"],"itemData":{"id":2931,"type":"article-journal","abstract":"The International Panel on Climate Change (IPCC) has called for a new balance between reducing the risks from climate extremes and transferring them (for example, through insurance) as means for effectively preparing for and managing disaster impacts in a changing climate. This paper elaborates on this balance with an overview of disaster risk financing mechanisms and how they contribute to disaster risk reduction and climate change adaptation in developing countries. We suggest a risk management approach that targets risk reduction and risk financing to different layers of risk, including a layer that represents a possible limit to adaptation. By reviewing traditional post-disaster financial arrangements, such as government compensation, and non-traditional pre-disaster instruments, such as index-based insurance, we show how risk financing can complement and stimulate risk reduction. We discuss the benefits of financial instruments, including the provision of post-disaster finances for recovery and pre-disaster security necessary for climate adaptation and poverty reduction. These benefits come at a cost, and we discuss the risks, challenges, and future prospects of risk financing in developing countries.","container-title":"Climatic Change","DOI":"10.1007/s10584-013-1035-6","ISSN":"1573-1480","issue":"1","journalAbbreviation":"Climatic Change","language":"en","page":"85-100","source":"Springer Link","title":"Financial instruments for disaster risk management and climate change adaptation","volume":"133","author":[{"family":"Linnerooth-Bayer","given":"Joanne"},{"family":"Hochrainer-Stigler","given":"Stefan"}],"issued":{"date-parts":[["2015",11,1]]},"citation-key":"linnerooth-bayerFinancialInstrumentsDisaster2015"}},{"id":2929,"uris":["http://zotero.org/users/11212985/items/AJR35AIN"],"itemData":{"id":2929,"type":"article-journal","abstract":"Truly understanding climate-related disaster risk, and the management of that risk, can inform effective action on climate adaptation and the loss and damage mechanism, the main vehicle under the UN Climate Convention for dealing with climate-related effects, including residual impacts after adaptation.","container-title":"Nature Climate Change","DOI":"10.1038/nclimate2137","ISSN":"1758-6798","issue":"4","journalAbbreviation":"Nature Clim Change","language":"en","license":"2014 Springer Nature Limited","note":"publisher: Nature Publishing Group","page":"235-237","source":"www-nature-com.vu-nl.idm.oclc.org","title":"Managing unnatural disaster risk from climate extremes","volume":"4","author":[{"family":"Mechler","given":"Reinhard"},{"family":"Bouwer","given":"Laurens M."},{"family":"Linnerooth-Bayer","given":"Joanne"},{"family":"Hochrainer-Stigler","given":"Stefan"},{"family":"Aerts","given":"Jeroen C. J. H."},{"family":"Surminski","given":"Swenja"},{"family":"Williges","given":"Keith"}],"issued":{"date-parts":[["2014",4]]},"citation-key":"mechlerManagingUnnaturalDisaster2014"}}],"schema":"https://github.com/citation-style-language/schema/raw/master/csl-citation.json"} </w:instrText>
      </w:r>
      <w:r w:rsidRPr="00A141D2">
        <w:rPr>
          <w:lang w:val="en-GB"/>
        </w:rPr>
        <w:fldChar w:fldCharType="separate"/>
      </w:r>
      <w:r w:rsidRPr="00A141D2">
        <w:rPr>
          <w:lang w:val="en-GB"/>
        </w:rPr>
        <w:t>(Linnerooth-Bayer &amp; Hochrainer-Stigler, 2015; Mechler et al., 2014)</w:t>
      </w:r>
      <w:r w:rsidRPr="00A141D2">
        <w:rPr>
          <w:lang w:val="en-GB"/>
        </w:rPr>
        <w:fldChar w:fldCharType="end"/>
      </w:r>
      <w:r w:rsidRPr="00A141D2">
        <w:rPr>
          <w:lang w:val="en-GB"/>
        </w:rPr>
        <w:t>. However, quantitative estimates of changes in impact probabilities, which require an interdisciplinary approach, have remained elusive in current literature.</w:t>
      </w:r>
    </w:p>
    <w:p w14:paraId="0FBA0516" w14:textId="5E771581" w:rsidR="004734CC" w:rsidRPr="00A141D2" w:rsidRDefault="004734CC" w:rsidP="004734CC">
      <w:pPr>
        <w:rPr>
          <w:lang w:val="en-GB"/>
        </w:rPr>
      </w:pPr>
      <w:r w:rsidRPr="00A141D2">
        <w:rPr>
          <w:lang w:val="en-GB"/>
        </w:rPr>
        <w:t xml:space="preserve">Climate scenario storylines such as those of Liné et al. </w:t>
      </w:r>
      <w:r w:rsidRPr="00A141D2">
        <w:rPr>
          <w:lang w:val="en-GB"/>
        </w:rPr>
        <w:fldChar w:fldCharType="begin"/>
      </w:r>
      <w:r w:rsidRPr="00A141D2">
        <w:rPr>
          <w:lang w:val="en-GB"/>
        </w:rPr>
        <w:instrText xml:space="preserve"> ADDIN ZOTERO_ITEM CSL_CITATION {"citationID":"LfFoJbax","properties":{"formattedCitation":"(2024)","plainCitation":"(2024)","noteIndex":0},"citationItems":[{"id":3112,"uris":["http://zotero.org/users/11212985/items/8CB8LUZF"],"itemData":{"id":3112,"type":"article-journal","abstract":"Internal variability arising from the inherently chaotic nature of the climate system has amplified or obscured human-caused changes, especially at regional scales in the extratropics, where its contribution to climate variability is the largest. It is virtually certain that this will continue in the near-term. We here focus on the Northern Europe region, whose variability is largely controlled by the North Atlantic Oscillation (NAO) and the Atlantic Meridional Overturning Circulation (AMOC) through remote dynamical and thermodynamic processes, and introduce the concept of internal variability storylines (IVS) to explore, understand, and quantify the role of the two combined drivers of internal variability in the modulation of the anthropogenic warming by 2040 in winter. Based on a large ensemble of historical-scenario simulations, we show that the high-impact IVS, characterised by weak AMOC decline and a decadal shift of the NAO toward dominant positive phase, leads faster to warmer-wetter conditions independently of actual and future greenhouse gases emissions. By contrast, amplified AMOC reduction and more recurrent negative NAO can considerably damp both warming and wettening at near-term. In the latter IVS, we provide evidence that winter-severe conditions similar to those in 2010, that had been responsible for widespread socio-economic disruptions, remain almost as likely to occur by 2040. Reframing the uncertain climate outcomes into the physical science space in a conditional form through the prism of IVS makes climate information relevant for accurate risk assessments and adaptation planning.","container-title":"npj Climate and Atmospheric Science","DOI":"10.1038/s41612-024-00759-2","ISSN":"2397-3722","issue":"1","journalAbbreviation":"npj Clim Atmos Sci","language":"en","license":"2024 The Author(s)","note":"publisher: Nature Publishing Group","page":"1-14","source":"www.nature.com","title":"Modulation of Northern Europe near-term anthropogenic warming and wettening assessed through internal variability storylines","volume":"7","author":[{"family":"Liné","given":"Aurélien"},{"family":"Cassou","given":"Christophe"},{"family":"Msadek","given":"Rym"},{"family":"Parey","given":"Sylvie"}],"issued":{"date-parts":[["2024",11,6]]},"citation-key":"lineModulationNorthernEurope2024"},"label":"page","suppress-author":true}],"schema":"https://github.com/citation-style-language/schema/raw/master/csl-citation.json"} </w:instrText>
      </w:r>
      <w:r w:rsidRPr="00A141D2">
        <w:rPr>
          <w:lang w:val="en-GB"/>
        </w:rPr>
        <w:fldChar w:fldCharType="separate"/>
      </w:r>
      <w:r w:rsidRPr="00A141D2">
        <w:rPr>
          <w:lang w:val="en-GB"/>
        </w:rPr>
        <w:t>(2024)</w:t>
      </w:r>
      <w:r w:rsidRPr="00A141D2">
        <w:rPr>
          <w:lang w:val="en-GB"/>
        </w:rPr>
        <w:fldChar w:fldCharType="end"/>
      </w:r>
      <w:r w:rsidRPr="00A141D2">
        <w:rPr>
          <w:lang w:val="en-GB"/>
        </w:rPr>
        <w:t xml:space="preserve"> take a meteorological perspective to storyline construction, aiming to cover the variability of a broad set of ‘target weather variables’ conditioned on a few large-scale Earth system characteristics such as the N</w:t>
      </w:r>
      <w:r w:rsidR="003C62A5" w:rsidRPr="00A141D2">
        <w:rPr>
          <w:lang w:val="en-GB"/>
        </w:rPr>
        <w:t xml:space="preserve">orth </w:t>
      </w:r>
      <w:r w:rsidRPr="00A141D2">
        <w:rPr>
          <w:lang w:val="en-GB"/>
        </w:rPr>
        <w:t>A</w:t>
      </w:r>
      <w:r w:rsidR="003C62A5" w:rsidRPr="00A141D2">
        <w:rPr>
          <w:lang w:val="en-GB"/>
        </w:rPr>
        <w:t>tlantic Oscillation</w:t>
      </w:r>
      <w:r w:rsidR="007346CC" w:rsidRPr="00A141D2">
        <w:rPr>
          <w:lang w:val="en-GB"/>
        </w:rPr>
        <w:t xml:space="preserve"> (NAO)</w:t>
      </w:r>
      <w:r w:rsidRPr="00A141D2">
        <w:rPr>
          <w:lang w:val="en-GB"/>
        </w:rPr>
        <w:t xml:space="preserve"> or </w:t>
      </w:r>
      <w:r w:rsidR="007346CC" w:rsidRPr="00A141D2">
        <w:rPr>
          <w:lang w:val="en-GB"/>
        </w:rPr>
        <w:t>Atlantic meridional overturning circulation (</w:t>
      </w:r>
      <w:r w:rsidRPr="00A141D2">
        <w:rPr>
          <w:lang w:val="en-GB"/>
        </w:rPr>
        <w:t>AMOC</w:t>
      </w:r>
      <w:r w:rsidR="007346CC" w:rsidRPr="00A141D2">
        <w:rPr>
          <w:lang w:val="en-GB"/>
        </w:rPr>
        <w:t>)</w:t>
      </w:r>
      <w:r w:rsidRPr="00A141D2">
        <w:rPr>
          <w:lang w:val="en-GB"/>
        </w:rPr>
        <w:t xml:space="preserve">. Conversely, Van der Wiel et al. </w:t>
      </w:r>
      <w:r w:rsidRPr="00A141D2">
        <w:rPr>
          <w:lang w:val="en-GB"/>
        </w:rPr>
        <w:fldChar w:fldCharType="begin"/>
      </w:r>
      <w:r w:rsidRPr="00A141D2">
        <w:rPr>
          <w:lang w:val="en-GB"/>
        </w:rPr>
        <w:instrText xml:space="preserve"> ADDIN ZOTERO_ITEM CSL_CITATION {"citationID":"7vCpgWto","properties":{"formattedCitation":"(2024)","plainCitation":"(2024)","noteIndex":0},"citationItems":[{"id":2673,"uris":["http://zotero.org/users/11212985/items/DZFW2DAG"],"itemData":{"id":2673,"type":"article-journal","abstract":"This paper presents the methodology for the construction of the KNMI'23 national climate scenarios for the Netherlands. We have developed six scenarios, that cover a substantial part of the uncertainty in CMIP6 projections of future climate change in the region. Different sources of uncertainty are disentangled as much as possible, partly by means of a storyline approach. Uncertainty in future emissions is covered by making scenarios conditional on different SSP scenarios (SSP1-2.6, SSP2-4.5, and SSP5-8.5). For each SSP scenario and time horizon (2050, 2100, 2150), we determine a global warming level based on the median of the constrained estimates of climate sensitivity from IPCC AR6. The remaining climate model uncertainty of the regional climate response at these warming levels is covered by two storylines, which are designed with a focus on the annual and seasonal mean precipitation response (a dry-trending and wet-trending variant for each SSP). This choice was motivated by the importance of future water management to society. For users with specific interests we provide means how to account for the impact of the uncertainty in climate sensitivity. Since CMIP6 GCM data do not provide the required spatial detail for impact modeling, we reconstruct the CMIP6 responses by resampling internal variability in a GCM-RCM initial-condition ensemble. The resulting climate scenarios form a detailed storyline of plausible future climates in the Netherlands. The data can be used for impact calculations and assessments by stakeholders, and will be used to inform policy making in different sectors of Dutch society.","container-title":"Earth's Future","DOI":"10.1029/2023EF003983","ISSN":"2328-4277","issue":"2","language":"en","note":"_eprint: https://agupubs.onlinelibrary.wiley.com/doi/pdf/10.1029/2023EF003983","page":"e2023EF003983","source":"Wiley Online Library","title":"KNMI'23 Climate Scenarios for the Netherlands: Storyline Scenarios of Regional Climate Change","title-short":"KNMI'23 Climate Scenarios for the Netherlands","volume":"12","author":[{"family":"Wiel","given":"Karin","non-dropping-particle":"van der"},{"family":"Beersma","given":"Jules"},{"family":"Brink","given":"Henk","non-dropping-particle":"van den"},{"family":"Krikken","given":"Folmer"},{"family":"Selten","given":"Frank"},{"family":"Severijns","given":"Camiel"},{"family":"Sterl","given":"Andreas"},{"family":"Meijgaard","given":"Erik","non-dropping-particle":"van"},{"family":"Reerink","given":"Thomas"},{"family":"Dorland","given":"Rob","non-dropping-particle":"van"}],"issued":{"date-parts":[["2024"]]},"citation-key":"vanderwielKNMI23Climate2024"},"label":"page","suppress-author":true}],"schema":"https://github.com/citation-style-language/schema/raw/master/csl-citation.json"} </w:instrText>
      </w:r>
      <w:r w:rsidRPr="00A141D2">
        <w:rPr>
          <w:lang w:val="en-GB"/>
        </w:rPr>
        <w:fldChar w:fldCharType="separate"/>
      </w:r>
      <w:r w:rsidRPr="00A141D2">
        <w:rPr>
          <w:lang w:val="en-GB"/>
        </w:rPr>
        <w:t>(2024)</w:t>
      </w:r>
      <w:r w:rsidRPr="00A141D2">
        <w:rPr>
          <w:lang w:val="en-GB"/>
        </w:rPr>
        <w:fldChar w:fldCharType="end"/>
      </w:r>
      <w:r w:rsidRPr="00A141D2">
        <w:rPr>
          <w:lang w:val="en-GB"/>
        </w:rPr>
        <w:t xml:space="preserve"> construct storylines conditioned on the direct local precipitation response while aiming to describe a large set of associated target</w:t>
      </w:r>
      <w:r w:rsidR="007B255B" w:rsidRPr="00A141D2">
        <w:rPr>
          <w:lang w:val="en-GB"/>
        </w:rPr>
        <w:t xml:space="preserve"> weather</w:t>
      </w:r>
      <w:r w:rsidRPr="00A141D2">
        <w:rPr>
          <w:lang w:val="en-GB"/>
        </w:rPr>
        <w:t xml:space="preserve"> variables to serve a broad group of stakeholders. Although this approach has merit in providing climate scenarios for many, such generic scenarios may lack specificity for individual decision-making contexts since information needs are not uniform throughout society </w:t>
      </w:r>
      <w:r w:rsidRPr="00A141D2">
        <w:rPr>
          <w:lang w:val="en-GB"/>
        </w:rPr>
        <w:fldChar w:fldCharType="begin"/>
      </w:r>
      <w:r w:rsidRPr="00A141D2">
        <w:rPr>
          <w:lang w:val="en-GB"/>
        </w:rPr>
        <w:instrText xml:space="preserve"> ADDIN ZOTERO_ITEM CSL_CITATION {"citationID":"DlDaE5Y7","properties":{"formattedCitation":"(Kirchhoff et al., 2013)","plainCitation":"(Kirchhoff et al., 2013)","noteIndex":0},"citationItems":[{"id":3085,"uris":["http://zotero.org/users/11212985/items/WAN8A6LY"],"itemData":{"id":3085,"type":"article-journal","abstract":"Despite the rapid evolution and growing complexity in models of science-society interaction, the rate and breadth of use of scientific knowledge in environmental decision making, especially related to climate variability and change, remain below expectations. This suggests a persistent gap between production and use that, to date, efforts to rethink and restructure science production have not been able to surmount. We review different models of science-policy interfaces to understand how they have influenced the organization of knowledge production and application. We then explore how new approaches to the creation of knowledge have emerged, involving both growing integration across disciplines and greater interaction with users. Finally, we review climate information use in the United States and United Kingdom to explore how the structure of knowledge production and the characteristics of users and their decision environments expose the challenges of broadening usable climate science.","container-title":"Annual Review of Environment and Resources","DOI":"10.1146/annurev-environ-022112-112828","ISSN":"1543-5938, 1545-2050","issue":"Volume 38, 2013","language":"en","note":"publisher: Annual Reviews","page":"393-414","source":"www-annualreviews-org.vu-nl.idm.oclc.org","title":"Actionable Knowledge for Environmental Decision Making: Broadening the Usability of Climate Science","title-short":"Actionable Knowledge for Environmental Decision Making","volume":"38","author":[{"family":"Kirchhoff","given":"Christine J."},{"family":"Lemos","given":"Maria Carmen"},{"family":"Dessai","given":"Suraje"}],"issued":{"date-parts":[["2013",10,17]]},"citation-key":"kirchhoffActionableKnowledgeEnvironmental2013"}}],"schema":"https://github.com/citation-style-language/schema/raw/master/csl-citation.json"} </w:instrText>
      </w:r>
      <w:r w:rsidRPr="00A141D2">
        <w:rPr>
          <w:lang w:val="en-GB"/>
        </w:rPr>
        <w:fldChar w:fldCharType="separate"/>
      </w:r>
      <w:r w:rsidRPr="00A141D2">
        <w:rPr>
          <w:lang w:val="en-GB"/>
        </w:rPr>
        <w:t>(Kirchhoff et al., 2013)</w:t>
      </w:r>
      <w:r w:rsidRPr="00A141D2">
        <w:rPr>
          <w:lang w:val="en-GB"/>
        </w:rPr>
        <w:fldChar w:fldCharType="end"/>
      </w:r>
      <w:r w:rsidRPr="00A141D2">
        <w:rPr>
          <w:lang w:val="en-GB"/>
        </w:rPr>
        <w:t xml:space="preserve">. Information salience is one of the key requirements for decision-making </w:t>
      </w:r>
      <w:r w:rsidRPr="00A141D2">
        <w:rPr>
          <w:lang w:val="en-GB"/>
        </w:rPr>
        <w:fldChar w:fldCharType="begin"/>
      </w:r>
      <w:r w:rsidRPr="00A141D2">
        <w:rPr>
          <w:lang w:val="en-GB"/>
        </w:rPr>
        <w:instrText xml:space="preserve"> ADDIN ZOTERO_ITEM CSL_CITATION {"citationID":"A5QcV1PK","properties":{"formattedCitation":"(Lemos et al., 2012)","plainCitation":"(Lemos et al., 2012)","noteIndex":0},"citationItems":[{"id":3088,"uris":["http://zotero.org/users/11212985/items/VMEN5FCD"],"itemData":{"id":3088,"type":"article-journal","abstract":"This Review focuses on how policymakers and others deal with scientific information about the climate, with the aim of understanding how potentially useful information becomes used (or usable) in practice. A conceptual model of the path between usefulness and usability is presented.","container-title":"Nature Climate Change","DOI":"10.1038/nclimate1614","ISSN":"1758-6798","issue":"11","journalAbbreviation":"Nature Clim Change","language":"en","license":"2012 Springer Nature Limited","note":"publisher: Nature Publishing Group","page":"789-794","source":"www-nature-com.vu-nl.idm.oclc.org","title":"Narrowing the climate information usability gap","volume":"2","author":[{"family":"Lemos","given":"Maria Carmen"},{"family":"Kirchhoff","given":"Christine J."},{"family":"Ramprasad","given":"Vijay"}],"issued":{"date-parts":[["2012",11]]},"citation-key":"lemosNarrowingClimateInformation2012"}}],"schema":"https://github.com/citation-style-language/schema/raw/master/csl-citation.json"} </w:instrText>
      </w:r>
      <w:r w:rsidRPr="00A141D2">
        <w:rPr>
          <w:lang w:val="en-GB"/>
        </w:rPr>
        <w:fldChar w:fldCharType="separate"/>
      </w:r>
      <w:r w:rsidRPr="00A141D2">
        <w:rPr>
          <w:lang w:val="en-GB"/>
        </w:rPr>
        <w:t>(Lemos et al., 2012)</w:t>
      </w:r>
      <w:r w:rsidRPr="00A141D2">
        <w:rPr>
          <w:lang w:val="en-GB"/>
        </w:rPr>
        <w:fldChar w:fldCharType="end"/>
      </w:r>
      <w:r w:rsidRPr="00A141D2">
        <w:rPr>
          <w:lang w:val="en-GB"/>
        </w:rPr>
        <w:t>, requiring appropriate methods to provide such information. Climate scenario storylines targeting variables directly related to the impact</w:t>
      </w:r>
      <w:r w:rsidR="001E3B75" w:rsidRPr="00A141D2">
        <w:rPr>
          <w:lang w:val="en-GB"/>
        </w:rPr>
        <w:t xml:space="preserve">s on </w:t>
      </w:r>
      <w:r w:rsidRPr="00A141D2">
        <w:rPr>
          <w:lang w:val="en-GB"/>
        </w:rPr>
        <w:t xml:space="preserve">specific stakeholders have the potential to provide effective insights </w:t>
      </w:r>
      <w:r w:rsidR="002831D8" w:rsidRPr="00A141D2">
        <w:rPr>
          <w:lang w:val="en-GB"/>
        </w:rPr>
        <w:t>into</w:t>
      </w:r>
      <w:r w:rsidRPr="00A141D2">
        <w:rPr>
          <w:lang w:val="en-GB"/>
        </w:rPr>
        <w:t xml:space="preserve"> the local implications of climate change </w:t>
      </w:r>
      <w:r w:rsidR="003F501A" w:rsidRPr="00A141D2">
        <w:rPr>
          <w:lang w:val="en-GB"/>
        </w:rPr>
        <w:fldChar w:fldCharType="begin"/>
      </w:r>
      <w:r w:rsidR="003F501A" w:rsidRPr="00A141D2">
        <w:rPr>
          <w:lang w:val="en-GB"/>
        </w:rPr>
        <w:instrText xml:space="preserve"> ADDIN ZOTERO_ITEM CSL_CITATION {"citationID":"CWcLRFV4","properties":{"formattedCitation":"(Sillmann et al., 2021)","plainCitation":"(Sillmann et al., 2021)","noteIndex":0},"citationItems":[{"id":378,"uris":["http://zotero.org/users/11212985/items/94MQR8GY"],"itemData":{"id":378,"type":"article-journal","abstract":"The climate science community is challenged to adopt an actionable risk perspective, which is difficult to align with the traditional focus on model-based probabilistic climate change projections. Event-based storylines can provide a way out of this conundrum by putting emphasis on plausibility rather than probability. This links directly to common practices in disaster risk management using “stress-testing” for emergency preparedness based on events that are conditional on specific and plausible assumptions. Event-based storylines allow for conditional explanations, without full attribution of every causal factor, which is crucial when some aspects of the latter are complex and highly uncertain.","container-title":"Earth's Future","DOI":"10.1029/2020EF001783","ISSN":"2328-4277","issue":"2","language":"en","note":"_eprint: https://agupubs.onlinelibrary.wiley.com/doi/pdf/10.1029/2020EF001783","page":"e2020EF001783","source":"Wiley Online Library","title":"Event-Based Storylines to Address Climate Risk","volume":"9","author":[{"family":"Sillmann","given":"Jana"},{"family":"Shepherd","given":"Theodore G."},{"family":"Hurk","given":"Bart","non-dropping-particle":"van den"},{"family":"Hazeleger","given":"Wilco"},{"family":"Martius","given":"Olivia"},{"family":"Slingo","given":"Julia"},{"family":"Zscheischler","given":"Jakob"}],"issued":{"date-parts":[["2021"]]},"citation-key":"sillmannEventBasedStorylinesAddress2021"}}],"schema":"https://github.com/citation-style-language/schema/raw/master/csl-citation.json"} </w:instrText>
      </w:r>
      <w:r w:rsidR="003F501A" w:rsidRPr="00A141D2">
        <w:rPr>
          <w:lang w:val="en-GB"/>
        </w:rPr>
        <w:fldChar w:fldCharType="separate"/>
      </w:r>
      <w:r w:rsidR="003F501A" w:rsidRPr="00A141D2">
        <w:rPr>
          <w:lang w:val="en-GB"/>
        </w:rPr>
        <w:t>(Sillmann et al., 2021)</w:t>
      </w:r>
      <w:r w:rsidR="003F501A" w:rsidRPr="00A141D2">
        <w:rPr>
          <w:lang w:val="en-GB"/>
        </w:rPr>
        <w:fldChar w:fldCharType="end"/>
      </w:r>
      <w:r w:rsidRPr="00A141D2">
        <w:rPr>
          <w:lang w:val="en-GB"/>
        </w:rPr>
        <w:t xml:space="preserve">.  </w:t>
      </w:r>
    </w:p>
    <w:p w14:paraId="6E61E838" w14:textId="4CA8E6ED" w:rsidR="004734CC" w:rsidRPr="00A141D2" w:rsidRDefault="004734CC" w:rsidP="004734CC">
      <w:pPr>
        <w:rPr>
          <w:szCs w:val="24"/>
          <w:lang w:val="en-GB"/>
        </w:rPr>
      </w:pPr>
      <w:r w:rsidRPr="00A141D2">
        <w:rPr>
          <w:szCs w:val="24"/>
          <w:lang w:val="en-GB"/>
        </w:rPr>
        <w:t xml:space="preserve">Additionally, climate impacts occur in an increasingly connected world where direct effects in one region or industry can cascade through to connected industries or regions </w:t>
      </w:r>
      <w:r w:rsidRPr="00A141D2">
        <w:rPr>
          <w:szCs w:val="24"/>
          <w:lang w:val="en-GB"/>
        </w:rPr>
        <w:fldChar w:fldCharType="begin"/>
      </w:r>
      <w:r w:rsidRPr="00A141D2">
        <w:rPr>
          <w:szCs w:val="24"/>
          <w:lang w:val="en-GB"/>
        </w:rPr>
        <w:instrText xml:space="preserve"> ADDIN ZOTERO_ITEM CSL_CITATION {"citationID":"guZhAQGe","properties":{"formattedCitation":"(Middelanis et al., 2021; Sieg et al., 2019)","plainCitation":"(Middelanis et al., 2021; Sieg et al., 2019)","noteIndex":0},"citationItems":[{"id":2959,"uris":["http://zotero.org/users/11212985/items/ITDYL9L8"],"itemData":{"id":2959,"type":"article-journal","abstract":"Tropical cyclones range among the costliest disasters on Earth. Their economic repercussions along the supply and trade network also affect remote economies that are not directly affected. We here simulate possible global repercussions on consumption for the example case of Hurricane Sandy in the US (2012) using the shock-propagation model Acclimate. The modeled shock yields a global three-phase ripple: an initial production demand reduction and associated consumption price decrease, followed by a supply shortage with increasing prices, and finally a recovery phase. Regions with strong trade relations to the US experience strong magnitudes of the ripple. A dominating demand reduction or supply shortage leads to overall consumption gains or losses of a region, respectively. While finding these repercussions in historic data is challenging due to strong volatility of economic interactions, numerical models like ours can help to identify them by approaching the problem from an exploratory angle, isolating the effect of interest. For this, our model simulates the economic interactions of over 7000 regional economic sectors, interlinked through about 1.8 million trade relations. Under global warming, the wave-like structures of the economic response to major hurricanes like the one simulated here are likely to intensify and potentially overlap with other weather extremes.","container-title":"Environmental Research Letters","DOI":"10.1088/1748-9326/ac39c0","ISSN":"1748-9326","issue":"12","journalAbbreviation":"Environ. Res. Lett.","language":"en","note":"publisher: IOP Publishing","page":"124049","source":"Institute of Physics","title":"Wave-like global economic ripple response to Hurricane Sandy","volume":"16","author":[{"family":"Middelanis","given":"Robin"},{"family":"Willner","given":"Sven N."},{"family":"Otto","given":"Christian"},{"family":"Kuhla","given":"Kilian"},{"family":"Quante","given":"Lennart"},{"family":"Levermann","given":"Anders"}],"issued":{"date-parts":[["2021",12]]},"citation-key":"middelanisWavelikeGlobalEconomic2021"}},{"id":2870,"uris":["http://zotero.org/users/11212985/items/FAMI9X4S"],"itemData":{"id":2870,"type":"article-journal","abstract":"Understanding and quantifying total economic impacts of flood events is essential for flood risk management and adaptation planning. Yet, detailed estimations of joint direct and indirect flood-induced economic impacts are rare. In this study an innovative modeling procedure for the joint assessment of short-term direct and indirect economic flood impacts is introduced. The procedure is applied to 19 economic sectors in eight federal states of Germany after the flood events in 2013. The assessment of the direct economic impacts is object-based and considers uncertainties associated with the hazard, the exposed objects and their vulnerability. The direct economic impacts are then coupled to a supply-side Input-Output-Model to estimate the indirect economic impacts. The procedure provides distributions of direct and indirect economic impacts which capture the associated uncertainties. The distributions of the direct economic impacts in the federal states are plausible when compared to reported values. The ratio between indirect and direct economic impacts shows that the sectors Manufacturing, Financial and Insurance activities suffered the most from indirect economic impacts. These ratios also indicate that indirect economic impacts can be almost as high as direct economic impacts. They differ strongly between the economic sectors indicating that the application of a single factor as a proxy for the indirect impacts of all economic sectors is not appropriate.","container-title":"PLOS ONE","DOI":"10.1371/journal.pone.0212932","ISSN":"1932-6203","issue":"4","journalAbbreviation":"PLOS ONE","language":"en","note":"publisher: Public Library of Science","page":"e0212932","source":"PLoS Journals","title":"Integrated assessment of short-term direct and indirect economic flood impacts including uncertainty quantification","volume":"14","author":[{"family":"Sieg","given":"Tobias"},{"family":"Schinko","given":"Thomas"},{"family":"Vogel","given":"Kristin"},{"family":"Mechler","given":"Reinhard"},{"family":"Merz","given":"Bruno"},{"family":"Kreibich","given":"Heidi"}],"issued":{"date-parts":[["2019",4,4]]},"citation-key":"siegIntegratedAssessmentShortterm2019"}}],"schema":"https://github.com/citation-style-language/schema/raw/master/csl-citation.json"} </w:instrText>
      </w:r>
      <w:r w:rsidRPr="00A141D2">
        <w:rPr>
          <w:szCs w:val="24"/>
          <w:lang w:val="en-GB"/>
        </w:rPr>
        <w:fldChar w:fldCharType="separate"/>
      </w:r>
      <w:r w:rsidRPr="00A141D2">
        <w:rPr>
          <w:szCs w:val="24"/>
          <w:lang w:val="en-GB"/>
        </w:rPr>
        <w:t>(Middelanis et al., 2021; Sieg et al., 2019)</w:t>
      </w:r>
      <w:r w:rsidRPr="00A141D2">
        <w:rPr>
          <w:szCs w:val="24"/>
          <w:lang w:val="en-GB"/>
        </w:rPr>
        <w:fldChar w:fldCharType="end"/>
      </w:r>
      <w:r w:rsidRPr="00A141D2">
        <w:rPr>
          <w:szCs w:val="24"/>
          <w:lang w:val="en-GB"/>
        </w:rPr>
        <w:t xml:space="preserve">. As a result, systemic risk assessments are essential to inform adaptation measures that comprehensively mitigate the various risk mechanisms in multi-sector systems </w:t>
      </w:r>
      <w:r w:rsidRPr="00A141D2">
        <w:rPr>
          <w:szCs w:val="24"/>
          <w:lang w:val="en-GB"/>
        </w:rPr>
        <w:fldChar w:fldCharType="begin"/>
      </w:r>
      <w:r w:rsidRPr="00A141D2">
        <w:rPr>
          <w:szCs w:val="24"/>
          <w:lang w:val="en-GB"/>
        </w:rPr>
        <w:instrText xml:space="preserve"> ADDIN ZOTERO_ITEM CSL_CITATION {"citationID":"n2lvfz7j","properties":{"formattedCitation":"(Challinor et al., 2018; Hochrainer-Stigler et al., 2023; Levermann, 2014)","plainCitation":"(Challinor et al., 2018; Hochrainer-Stigler et al., 2023; Levermann, 2014)","noteIndex":0},"citationItems":[{"id":2850,"uris":["http://zotero.org/users/11212985/items/XI5BXUAM"],"itemData":{"id":2850,"type":"article-journal","abstract":"Systemic climate risks, which result from the potential for cascading impacts through inter-related systems, pose particular challenges to risk assessment, especially when risks are transmitted across sectors and international boundaries. Most impacts of climate variability and change affect regions and jurisdictions in complex ways, and techniques for assessing this transmission of risk are still somewhat limited. Here, we begin to define new approaches to risk assessment that can account for transboundary and trans-sector risk transmission, by presenting: (i) a typology of risk transmission that distinguishes clearly the role of climate versus the role of the social and economic systems that distribute resources; (ii) a review of existing modelling, qualitative and systems-based methods of assessing risk and risk transmission; and (iii) case studies that examine risk transmission in human displacement, food, water and energy security. The case studies show that policies and institutions can attenuate risks significantly through cooperation that can be mutually beneficial to all parties. We conclude with some suggestions for assessment of complex risk transmission mechanisms: use of expert judgement; interactive scenario building; global systems science and big data; innovative use of climate and integrated assessment models; and methods to understand societal responses to climate risk. These approaches aim to inform both research and national-level risk assessment.","container-title":"Philosophical Transactions of the Royal Society A: Mathematical, Physical and Engineering Sciences","DOI":"10.1098/rsta.2017.0301","issue":"2121","note":"publisher: Royal Society","page":"20170301","source":"royalsocietypublishing.org (Atypon)","title":"Transmission of climate risks across sectors and borders","volume":"376","author":[{"family":"Challinor","given":"Andy J."},{"family":"Adger","given":"W. Neil"},{"family":"Benton","given":"Tim G."},{"family":"Conway","given":"Declan"},{"family":"Joshi","given":"Manoj"},{"family":"Frame","given":"Dave"}],"issued":{"date-parts":[["2018",4,30]]},"citation-key":"challinorTransmissionClimateRisks2018"}},{"id":1804,"uris":["http://zotero.org/groups/5015323/items/8Q9KG4IW"],"itemData":{"id":1804,"type":"article-journal","abstract":"Summary: In our increasingly interconnected world, natural hazards and their impacts spread across geographical, administrative, and sectoral boundaries. Due to the interrelationships between multi-hazards and socio-economic dimensions, the impacts of these types of events can surmount those of multiple single hazards. The complexities involved in tackling multi-hazards and multi-risks hinder a more holistic and integrative perspective and make it difficult to identify overarching dimensions important for assessment and management purposes. We contribute to this discussion by building on systemic risk research, especially the focus on interconnectedness, and suggest ways forward for an integrated multi-hazard and multi-risk framework that should be beneficial in real-world applications. In this paper, we propose a six-step framework for analyzing and managing risk across a spectrum ranging from single- to multi- and systemic risk.","container-title":"iScience","DOI":"https://doi.org/10.1016/j.isci.2023.106736","ISSN":"2589-0042","page":"106736","title":"Towards a framework for systemic multi-hazard and multi-risk assessment and management","author":[{"family":"Hochrainer-Stigler","given":"Stefan"},{"family":"Šakić Trogrlić","given":"Robert"},{"family":"Reiter","given":"Karina"},{"family":"Ward","given":"Philip J."},{"family":"Ruiter","given":"Marleen C.","dropping-particle":"de"},{"family":"Duncan","given":"Melanie J."},{"family":"Torresan","given":"Silvia"},{"family":"Ciurean","given":"Roxana"},{"family":"Mysiak","given":"Jaroslav"},{"family":"Stuparu","given":"Dana"},{"family":"Gottardo","given":"Stefania"}],"issued":{"date-parts":[["2023"]]},"citation-key":"hochrainer-stiglerFrameworkSystemicMultihazard2023"}},{"id":3067,"uris":["http://zotero.org/users/11212985/items/FH9CVY7F"],"itemData":{"id":3067,"type":"article-journal","abstract":"Society's infrastructure is hit hard by extreme weather. Networks of trade, transport and production need to adapt globally, says Anders Levermann.","container-title":"Nature","DOI":"10.1038/506027a","ISSN":"1476-4687","issue":"7486","language":"en","license":"2014 Springer Nature Limited","note":"publisher: Nature Publishing Group","page":"27-29","source":"www-nature-com.vu-nl.idm.oclc.org","title":"Climate economics: Make supply chains climate-smart","title-short":"Climate economics","volume":"506","author":[{"family":"Levermann","given":"Anders"}],"issued":{"date-parts":[["2014",2]]},"citation-key":"levermannClimateEconomicsMake2014"}}],"schema":"https://github.com/citation-style-language/schema/raw/master/csl-citation.json"} </w:instrText>
      </w:r>
      <w:r w:rsidRPr="00A141D2">
        <w:rPr>
          <w:szCs w:val="24"/>
          <w:lang w:val="en-GB"/>
        </w:rPr>
        <w:fldChar w:fldCharType="separate"/>
      </w:r>
      <w:r w:rsidRPr="00A141D2">
        <w:rPr>
          <w:szCs w:val="24"/>
          <w:lang w:val="en-GB"/>
        </w:rPr>
        <w:t>(Challinor et al., 2018; Hochrainer-Stigler et al., 2023; Levermann, 2014)</w:t>
      </w:r>
      <w:r w:rsidRPr="00A141D2">
        <w:rPr>
          <w:szCs w:val="24"/>
          <w:lang w:val="en-GB"/>
        </w:rPr>
        <w:fldChar w:fldCharType="end"/>
      </w:r>
      <w:r w:rsidRPr="00A141D2">
        <w:rPr>
          <w:szCs w:val="24"/>
          <w:lang w:val="en-GB"/>
        </w:rPr>
        <w:t>. While indirect</w:t>
      </w:r>
      <w:r w:rsidR="000D32D9" w:rsidRPr="00A141D2">
        <w:rPr>
          <w:szCs w:val="24"/>
          <w:lang w:val="en-GB"/>
        </w:rPr>
        <w:t xml:space="preserve"> or </w:t>
      </w:r>
      <w:r w:rsidR="000D32D9" w:rsidRPr="00A141D2">
        <w:rPr>
          <w:szCs w:val="24"/>
          <w:lang w:val="en-GB"/>
        </w:rPr>
        <w:lastRenderedPageBreak/>
        <w:t>cascading</w:t>
      </w:r>
      <w:r w:rsidRPr="00A141D2">
        <w:rPr>
          <w:szCs w:val="24"/>
          <w:lang w:val="en-GB"/>
        </w:rPr>
        <w:t xml:space="preserve"> societal effects induced by climate hazards have been analysed for future climate conditions in several studies </w:t>
      </w:r>
      <w:r w:rsidRPr="00A141D2">
        <w:rPr>
          <w:szCs w:val="24"/>
          <w:lang w:val="en-GB"/>
        </w:rPr>
        <w:fldChar w:fldCharType="begin"/>
      </w:r>
      <w:r w:rsidRPr="00A141D2">
        <w:rPr>
          <w:szCs w:val="24"/>
          <w:lang w:val="en-GB"/>
        </w:rPr>
        <w:instrText xml:space="preserve"> ADDIN ZOTERO_ITEM CSL_CITATION {"citationID":"a2oZPs6w","properties":{"formattedCitation":"(Lawrence et al., 2020; Willner et al., 2018)","plainCitation":"(Lawrence et al., 2020; Willner et al., 2018)","noteIndex":0},"citationItems":[{"id":2831,"uris":["http://zotero.org/users/11212985/items/RECC6DB5"],"itemData":{"id":2831,"type":"article-journal","abstract":"Climate change is expected to have adverse impacts and implications for a range of human-environment systems. However, our understanding of the extent to which these impacts may propagate as cascades, compounding to form multiple impacts across sectors, is limited. Cascades result from interdependencies between systems and sub-systems of coupled natural and socio-economic systems in response to changes and feedback loops. The combined effects of interacting stressors may affect the ability of individuals, governments, and the private sector to adapt in time, before widespread damage occurs. We discuss the origins of cascading impacts thinking and present the results of an investigation of cascading impacts and implications in New Zealand. A participatory and collaborative approach was used through workshops and semi-structured interviews with sector informants, including engineers, local government staff, and financial risk managers and analysts from the financial services sectors. Qualitative data collection was combined with network and systems analysis to examine increased frequency of high-intensity rainfall events, sea-level rise and drought, across urban water infrastructure and the financial services, and the implications of cascading climate change impacts for governance. Results demonstrate that closer consideration of the combined effects of linked stressors can facilitate a better understanding of the scope and scale of climate change impacts. By using critical systems thinking in characterising and assessing how climate change impacts cascade across domains, we show the implications of cascades for their governance and reveal where climate change adaptation interventions might be focused. The research methods and insights into cascades provide a conceptual and practical basis for further development, which can inform the design of additional studies in other domains and jurisdictions.","container-title":"Climate Risk Management","DOI":"10.1016/j.crm.2020.100234","ISSN":"2212-0963","journalAbbreviation":"Climate Risk Management","page":"100234","source":"ScienceDirect","title":"Cascading climate change impacts and implications","volume":"29","author":[{"family":"Lawrence","given":"Judy"},{"family":"Blackett","given":"Paula"},{"family":"Cradock-Henry","given":"Nicholas A."}],"issued":{"date-parts":[["2020",1,1]]},"citation-key":"lawrenceCascadingClimateChange2020"}},{"id":2841,"uris":["http://zotero.org/users/11212985/items/PZ9MM7V3"],"itemData":{"id":2841,"type":"article-journal","abstract":"Increasing Earth’s surface air temperature yields an intensification of its hydrological cycle1. As a consequence, the risk of river floods will increase regionally within the next two decades due to the atmospheric warming caused by past anthropogenic greenhouse gas emissions2–4. The direct economic losses5,6 caused by these floods can yield regionally heterogeneous losses and gains by propagation within the global trade and supply network7. Here we show that, in the absence of large-scale structural adaptation, the total economic losses due to fluvial floods will increase in the next 20 years globally by 17% despite partial compensation through market adjustment within the global trade network. China will suffer the strongest direct losses, with an increase of 82%. The United States is mostly affected indirectly through its trade relations. By contrast to the United States, recent intensification of the trade relations with China leaves the European Union better prepared for the import of production losses in the future.","container-title":"Nature Climate Change","DOI":"10.1038/s41558-018-0173-2","ISSN":"1758-6798","issue":"7","journalAbbreviation":"Nature Clim Change","language":"en","license":"2018 The Author(s)","note":"publisher: Nature Publishing Group","page":"594-598","source":"www.nature.com","title":"Global economic response to river floods","volume":"8","author":[{"family":"Willner","given":"Sven Norman"},{"family":"Otto","given":"Christian"},{"family":"Levermann","given":"Anders"}],"issued":{"date-parts":[["2018",7]]},"citation-key":"willnerGlobalEconomicResponse2018"}}],"schema":"https://github.com/citation-style-language/schema/raw/master/csl-citation.json"} </w:instrText>
      </w:r>
      <w:r w:rsidRPr="00A141D2">
        <w:rPr>
          <w:szCs w:val="24"/>
          <w:lang w:val="en-GB"/>
        </w:rPr>
        <w:fldChar w:fldCharType="separate"/>
      </w:r>
      <w:r w:rsidRPr="00A141D2">
        <w:rPr>
          <w:szCs w:val="24"/>
          <w:lang w:val="en-GB"/>
        </w:rPr>
        <w:t>(Lawrence et al., 2020; Willner et al., 2018)</w:t>
      </w:r>
      <w:r w:rsidRPr="00A141D2">
        <w:rPr>
          <w:szCs w:val="24"/>
          <w:lang w:val="en-GB"/>
        </w:rPr>
        <w:fldChar w:fldCharType="end"/>
      </w:r>
      <w:r w:rsidRPr="00A141D2">
        <w:rPr>
          <w:szCs w:val="24"/>
          <w:lang w:val="en-GB"/>
        </w:rPr>
        <w:t xml:space="preserve">, to the </w:t>
      </w:r>
      <w:r w:rsidR="00B9057F" w:rsidRPr="00A141D2">
        <w:rPr>
          <w:szCs w:val="24"/>
          <w:lang w:val="en-GB"/>
        </w:rPr>
        <w:t xml:space="preserve">best of </w:t>
      </w:r>
      <w:r w:rsidR="00690907" w:rsidRPr="00A141D2">
        <w:rPr>
          <w:szCs w:val="24"/>
          <w:lang w:val="en-GB"/>
        </w:rPr>
        <w:t xml:space="preserve">the </w:t>
      </w:r>
      <w:r w:rsidRPr="00A141D2">
        <w:rPr>
          <w:szCs w:val="24"/>
          <w:lang w:val="en-GB"/>
        </w:rPr>
        <w:t>author's knowledge, none have sought to explore the cascading effects of climate shocks in future socio-economic scenarios</w:t>
      </w:r>
      <w:r w:rsidR="00277E81" w:rsidRPr="00A141D2">
        <w:rPr>
          <w:szCs w:val="24"/>
          <w:lang w:val="en-GB"/>
        </w:rPr>
        <w:t xml:space="preserve">, despite evidence in </w:t>
      </w:r>
      <w:r w:rsidR="009B4133" w:rsidRPr="00A141D2">
        <w:rPr>
          <w:szCs w:val="24"/>
          <w:lang w:val="en-GB"/>
        </w:rPr>
        <w:t xml:space="preserve">Leimbach et al. </w:t>
      </w:r>
      <w:r w:rsidR="009B4133" w:rsidRPr="00A141D2">
        <w:rPr>
          <w:szCs w:val="24"/>
          <w:lang w:val="en-GB"/>
        </w:rPr>
        <w:fldChar w:fldCharType="begin"/>
      </w:r>
      <w:r w:rsidR="009B4133" w:rsidRPr="00A141D2">
        <w:rPr>
          <w:szCs w:val="24"/>
          <w:lang w:val="en-GB"/>
        </w:rPr>
        <w:instrText xml:space="preserve"> ADDIN ZOTERO_ITEM CSL_CITATION {"citationID":"iu3CN1Os","properties":{"formattedCitation":"(2023)","plainCitation":"(2023)","noteIndex":0},"citationItems":[{"id":2716,"uris":["http://zotero.org/users/11212985/items/NXLMLSH3"],"itemData":{"id":2716,"type":"article-journal","abstract":"Shared socio-economic pathway (SSP) scenarios represent a consistent set of socio-economic assumptions and a major input of Integrated Assessment Models on climate change. This study added a driver that is missing so far in the SSP framework - the evolution of the sectoral structure of economies. A newly constructed set of structural change scenarios is presented. These structural change scenarios represent a well-known characteristic that accompanies the process of economic growth and development - the reallocation of economic activity between the three major sectors agriculture, manufacturing and services. While we construct scenarios for the sectoral shares of labor, value-added and energy based on historical data and an econometric approach, which comes with some limitation, these scenarios are linked to the SSP GDP scenarios and hence implicitly capture properties of the narratives underlying them. We find that the pattern and speed of structural change differ under different SSPs. Moreover, while the scenarios for developing countries reproduce structural change patterns (e.g., hump-shape of manufacturing labor share), observed for developed countries in the past, the projected transformation, in particular the reduction of labor shares in the agricultural sector, represents a tremendous challenge.","container-title":"Futures","DOI":"10.1016/j.futures.2023.103156","ISSN":"0016-3287","journalAbbreviation":"Futures","page":"103156","source":"ScienceDirect","title":"Structural change scenarios within the SSP framework","volume":"150","author":[{"family":"Leimbach","given":"Marian"},{"family":"Marcolino","given":"Marcos"},{"family":"Koch","given":"Johannes"}],"issued":{"date-parts":[["2023",6,1]]},"citation-key":"leimbachStructuralChangeScenarios2023"},"label":"page","suppress-author":true}],"schema":"https://github.com/citation-style-language/schema/raw/master/csl-citation.json"} </w:instrText>
      </w:r>
      <w:r w:rsidR="009B4133" w:rsidRPr="00A141D2">
        <w:rPr>
          <w:szCs w:val="24"/>
          <w:lang w:val="en-GB"/>
        </w:rPr>
        <w:fldChar w:fldCharType="separate"/>
      </w:r>
      <w:r w:rsidR="009B4133" w:rsidRPr="00A141D2">
        <w:rPr>
          <w:szCs w:val="24"/>
          <w:lang w:val="en-GB"/>
        </w:rPr>
        <w:t>(2023)</w:t>
      </w:r>
      <w:r w:rsidR="009B4133" w:rsidRPr="00A141D2">
        <w:rPr>
          <w:szCs w:val="24"/>
          <w:lang w:val="en-GB"/>
        </w:rPr>
        <w:fldChar w:fldCharType="end"/>
      </w:r>
      <w:r w:rsidR="009B4133" w:rsidRPr="00A141D2">
        <w:rPr>
          <w:szCs w:val="24"/>
          <w:lang w:val="en-GB"/>
        </w:rPr>
        <w:t xml:space="preserve"> </w:t>
      </w:r>
      <w:r w:rsidR="00277E81" w:rsidRPr="00A141D2">
        <w:rPr>
          <w:szCs w:val="24"/>
          <w:lang w:val="en-GB"/>
        </w:rPr>
        <w:t xml:space="preserve">that </w:t>
      </w:r>
      <w:r w:rsidRPr="00A141D2">
        <w:rPr>
          <w:szCs w:val="24"/>
          <w:lang w:val="en-GB"/>
        </w:rPr>
        <w:t xml:space="preserve">economies and their compositions </w:t>
      </w:r>
      <w:r w:rsidR="009B4133" w:rsidRPr="00A141D2">
        <w:rPr>
          <w:szCs w:val="24"/>
          <w:lang w:val="en-GB"/>
        </w:rPr>
        <w:t xml:space="preserve">can </w:t>
      </w:r>
      <w:r w:rsidRPr="00A141D2">
        <w:rPr>
          <w:szCs w:val="24"/>
          <w:lang w:val="en-GB"/>
        </w:rPr>
        <w:t>change</w:t>
      </w:r>
      <w:r w:rsidR="008445ED" w:rsidRPr="00A141D2">
        <w:rPr>
          <w:szCs w:val="24"/>
          <w:lang w:val="en-GB"/>
        </w:rPr>
        <w:t xml:space="preserve"> over time</w:t>
      </w:r>
      <w:r w:rsidRPr="00A141D2">
        <w:rPr>
          <w:szCs w:val="24"/>
          <w:lang w:val="en-GB"/>
        </w:rPr>
        <w:t xml:space="preserve">. Changes in sector interactions </w:t>
      </w:r>
      <w:r w:rsidR="008445ED" w:rsidRPr="00A141D2">
        <w:rPr>
          <w:szCs w:val="24"/>
          <w:lang w:val="en-GB"/>
        </w:rPr>
        <w:t xml:space="preserve">may contribute considerably to the </w:t>
      </w:r>
      <w:r w:rsidRPr="00A141D2">
        <w:rPr>
          <w:szCs w:val="24"/>
          <w:lang w:val="en-GB"/>
        </w:rPr>
        <w:t>occurrence of indirect effects of climate shocks.</w:t>
      </w:r>
    </w:p>
    <w:p w14:paraId="3D169445" w14:textId="7A692DC9" w:rsidR="004734CC" w:rsidRPr="00A141D2" w:rsidRDefault="00A561AB" w:rsidP="004734CC">
      <w:pPr>
        <w:rPr>
          <w:lang w:val="en-GB"/>
        </w:rPr>
      </w:pPr>
      <w:r w:rsidRPr="00A141D2">
        <w:rPr>
          <w:lang w:val="en-GB"/>
        </w:rPr>
        <w:t>T</w:t>
      </w:r>
      <w:r w:rsidR="004734CC" w:rsidRPr="00A141D2">
        <w:rPr>
          <w:lang w:val="en-GB"/>
        </w:rPr>
        <w:t>o</w:t>
      </w:r>
      <w:r w:rsidRPr="00A141D2">
        <w:rPr>
          <w:lang w:val="en-GB"/>
        </w:rPr>
        <w:t xml:space="preserve"> </w:t>
      </w:r>
      <w:r w:rsidR="002C3A92" w:rsidRPr="00A141D2">
        <w:rPr>
          <w:lang w:val="en-GB"/>
        </w:rPr>
        <w:t xml:space="preserve">address </w:t>
      </w:r>
      <w:r w:rsidR="008A2B17" w:rsidRPr="00A141D2">
        <w:rPr>
          <w:lang w:val="en-GB"/>
        </w:rPr>
        <w:t xml:space="preserve">identified limitations in the </w:t>
      </w:r>
      <w:r w:rsidR="000058CF" w:rsidRPr="00A141D2">
        <w:rPr>
          <w:lang w:val="en-GB"/>
        </w:rPr>
        <w:t>current storyline literature</w:t>
      </w:r>
      <w:r w:rsidR="004734CC" w:rsidRPr="00A141D2">
        <w:rPr>
          <w:lang w:val="en-GB"/>
        </w:rPr>
        <w:t>,</w:t>
      </w:r>
      <w:r w:rsidR="00E85136" w:rsidRPr="00A141D2">
        <w:rPr>
          <w:lang w:val="en-GB"/>
        </w:rPr>
        <w:t xml:space="preserve"> we propose and test a </w:t>
      </w:r>
      <w:r w:rsidR="00C15186" w:rsidRPr="00A141D2">
        <w:rPr>
          <w:lang w:val="en-GB"/>
        </w:rPr>
        <w:t>novel</w:t>
      </w:r>
      <w:r w:rsidR="00E85136" w:rsidRPr="00A141D2">
        <w:rPr>
          <w:lang w:val="en-GB"/>
        </w:rPr>
        <w:t xml:space="preserve"> multi-mod</w:t>
      </w:r>
      <w:r w:rsidR="0048536D" w:rsidRPr="00A141D2">
        <w:rPr>
          <w:lang w:val="en-GB"/>
        </w:rPr>
        <w:t>a</w:t>
      </w:r>
      <w:r w:rsidR="00E85136" w:rsidRPr="00A141D2">
        <w:rPr>
          <w:lang w:val="en-GB"/>
        </w:rPr>
        <w:t xml:space="preserve">l </w:t>
      </w:r>
      <w:r w:rsidR="00A41AE5" w:rsidRPr="00A141D2">
        <w:rPr>
          <w:lang w:val="en-GB"/>
        </w:rPr>
        <w:t>methodology</w:t>
      </w:r>
      <w:r w:rsidR="00AA7A20" w:rsidRPr="00A141D2">
        <w:rPr>
          <w:lang w:val="en-GB"/>
        </w:rPr>
        <w:t xml:space="preserve"> designed</w:t>
      </w:r>
      <w:r w:rsidR="004734CC" w:rsidRPr="00A141D2">
        <w:rPr>
          <w:lang w:val="en-GB"/>
        </w:rPr>
        <w:t xml:space="preserve"> </w:t>
      </w:r>
      <w:r w:rsidR="000058CF" w:rsidRPr="00A141D2">
        <w:rPr>
          <w:lang w:val="en-GB"/>
        </w:rPr>
        <w:t xml:space="preserve">to </w:t>
      </w:r>
      <w:r w:rsidR="004734CC" w:rsidRPr="00A141D2">
        <w:rPr>
          <w:lang w:val="en-GB"/>
        </w:rPr>
        <w:t>provid</w:t>
      </w:r>
      <w:r w:rsidR="000058CF" w:rsidRPr="00A141D2">
        <w:rPr>
          <w:lang w:val="en-GB"/>
        </w:rPr>
        <w:t>e</w:t>
      </w:r>
      <w:r w:rsidR="004734CC" w:rsidRPr="00A141D2">
        <w:rPr>
          <w:lang w:val="en-GB"/>
        </w:rPr>
        <w:t xml:space="preserve"> targeted, conditional probabilistic climate impact information for plausible climate and socio-economic </w:t>
      </w:r>
      <w:r w:rsidR="004C675F" w:rsidRPr="00A141D2">
        <w:rPr>
          <w:lang w:val="en-GB"/>
        </w:rPr>
        <w:t>storylines</w:t>
      </w:r>
      <w:r w:rsidR="004734CC" w:rsidRPr="00A141D2">
        <w:rPr>
          <w:lang w:val="en-GB"/>
        </w:rPr>
        <w:t>.</w:t>
      </w:r>
      <w:r w:rsidR="00BA6AE0" w:rsidRPr="00A141D2">
        <w:rPr>
          <w:lang w:val="en-GB"/>
        </w:rPr>
        <w:t xml:space="preserve"> </w:t>
      </w:r>
      <w:r w:rsidR="00C26BCD" w:rsidRPr="00A141D2">
        <w:rPr>
          <w:lang w:val="en-GB"/>
        </w:rPr>
        <w:t xml:space="preserve">We term this integrated approach ‘plausibilistic,’ as it merges probabilistic hazard information with plausible storylines. </w:t>
      </w:r>
      <w:r w:rsidR="004734CC" w:rsidRPr="00A141D2">
        <w:rPr>
          <w:lang w:val="en-GB"/>
        </w:rPr>
        <w:t xml:space="preserve">By separating impacts into direct and cascading effects, a rich and comprehensive </w:t>
      </w:r>
      <w:r w:rsidR="00BC3A16" w:rsidRPr="00A141D2">
        <w:rPr>
          <w:lang w:val="en-GB"/>
        </w:rPr>
        <w:t>overview</w:t>
      </w:r>
      <w:r w:rsidR="004734CC" w:rsidRPr="00A141D2">
        <w:rPr>
          <w:lang w:val="en-GB"/>
        </w:rPr>
        <w:t xml:space="preserve"> can be obtained </w:t>
      </w:r>
      <w:r w:rsidR="00BC3A16" w:rsidRPr="00A141D2">
        <w:rPr>
          <w:lang w:val="en-GB"/>
        </w:rPr>
        <w:t>of</w:t>
      </w:r>
      <w:r w:rsidR="004734CC" w:rsidRPr="00A141D2">
        <w:rPr>
          <w:lang w:val="en-GB"/>
        </w:rPr>
        <w:t xml:space="preserve"> future risks in uncertain multi-sectoral human-natural systems. Our methodology focuses on identifying </w:t>
      </w:r>
      <w:r w:rsidR="00770B07" w:rsidRPr="00A141D2">
        <w:rPr>
          <w:lang w:val="en-GB"/>
        </w:rPr>
        <w:t>locally relevant</w:t>
      </w:r>
      <w:r w:rsidR="004734CC" w:rsidRPr="00A141D2">
        <w:rPr>
          <w:lang w:val="en-GB"/>
        </w:rPr>
        <w:t xml:space="preserve"> impact drivers, which guide the selection of relevant storylines from the wide range of possible climates and socio-economic projections. Within each storyline, we map regional impact drivers and illustrate where these </w:t>
      </w:r>
      <w:r w:rsidR="00770B07" w:rsidRPr="00A141D2">
        <w:rPr>
          <w:lang w:val="en-GB"/>
        </w:rPr>
        <w:t xml:space="preserve">drivers </w:t>
      </w:r>
      <w:r w:rsidR="004734CC" w:rsidRPr="00A141D2">
        <w:rPr>
          <w:lang w:val="en-GB"/>
        </w:rPr>
        <w:t>potentially compound. Furthermore, we analyse which economic sectors experience the most severe stress after a climate shock and how this changes in various conditions.</w:t>
      </w:r>
    </w:p>
    <w:p w14:paraId="1ECD4843" w14:textId="6CEF230B" w:rsidR="0041010C" w:rsidRPr="00A141D2" w:rsidRDefault="004734CC" w:rsidP="004734CC">
      <w:pPr>
        <w:rPr>
          <w:szCs w:val="24"/>
          <w:lang w:val="en-GB"/>
        </w:rPr>
      </w:pPr>
      <w:r w:rsidRPr="00A141D2">
        <w:rPr>
          <w:szCs w:val="24"/>
          <w:lang w:val="en-GB"/>
        </w:rPr>
        <w:t xml:space="preserve">To demonstrate the utility of </w:t>
      </w:r>
      <w:r w:rsidR="00907F4C" w:rsidRPr="00A141D2">
        <w:rPr>
          <w:szCs w:val="24"/>
          <w:lang w:val="en-GB"/>
        </w:rPr>
        <w:t xml:space="preserve">the presented methodology, </w:t>
      </w:r>
      <w:r w:rsidRPr="00A141D2">
        <w:rPr>
          <w:szCs w:val="24"/>
          <w:lang w:val="en-GB"/>
        </w:rPr>
        <w:t xml:space="preserve">we </w:t>
      </w:r>
      <w:r w:rsidR="00907F4C" w:rsidRPr="00A141D2">
        <w:rPr>
          <w:szCs w:val="24"/>
          <w:lang w:val="en-GB"/>
        </w:rPr>
        <w:t xml:space="preserve">test it in </w:t>
      </w:r>
      <w:r w:rsidRPr="00A141D2">
        <w:rPr>
          <w:szCs w:val="24"/>
          <w:lang w:val="en-GB"/>
        </w:rPr>
        <w:t xml:space="preserve">an illustrative case. </w:t>
      </w:r>
      <w:r w:rsidR="00B725B6" w:rsidRPr="00A141D2">
        <w:rPr>
          <w:szCs w:val="24"/>
          <w:lang w:val="en-GB"/>
        </w:rPr>
        <w:t>We focus on f</w:t>
      </w:r>
      <w:r w:rsidRPr="00A141D2">
        <w:rPr>
          <w:szCs w:val="24"/>
          <w:lang w:val="en-GB"/>
        </w:rPr>
        <w:t xml:space="preserve">lood risk </w:t>
      </w:r>
      <w:r w:rsidR="00B725B6" w:rsidRPr="00A141D2">
        <w:rPr>
          <w:szCs w:val="24"/>
          <w:lang w:val="en-GB"/>
        </w:rPr>
        <w:t xml:space="preserve">as it </w:t>
      </w:r>
      <w:r w:rsidRPr="00A141D2">
        <w:rPr>
          <w:szCs w:val="24"/>
          <w:lang w:val="en-GB"/>
        </w:rPr>
        <w:t xml:space="preserve">is one of the key risks throughout Europe in a changing climate </w:t>
      </w:r>
      <w:r w:rsidRPr="00A141D2">
        <w:rPr>
          <w:szCs w:val="24"/>
          <w:lang w:val="en-GB"/>
        </w:rPr>
        <w:fldChar w:fldCharType="begin"/>
      </w:r>
      <w:r w:rsidRPr="00A141D2">
        <w:rPr>
          <w:szCs w:val="24"/>
          <w:lang w:val="en-GB"/>
        </w:rPr>
        <w:instrText xml:space="preserve"> ADDIN ZOTERO_ITEM CSL_CITATION {"citationID":"cUhmNntj","properties":{"custom":"","formattedCitation":"(Bednar-Friedl et al., 2022; European Environment Agency, 2024)","plainCitation":"(Bednar-Friedl et al., 2022; European Environment Agency, 2024)","noteIndex":0},"citationItems":[{"id":1437,"uris":["http://zotero.org/users/11212985/items/9QYWW5RJ"],"itemData":{"id":1437,"type":"chapter","container-title":"Climate Change 2022: Impacts, Adaptation and Vulnerability. Contribution of Working Group II to the Sixth Assessment Report of the Intergovernmental Panel on Climate Change","publisher":"Cambridge University Press","source":"IPCC","title":"Europe","URL":"https://www.ipcc.ch/report/ar6/wg2/downloads/report/IPCC_AR6_WGII_Chapter13.pdf","author":[{"family":"Bednar-Friedl","given":"Birgit"},{"family":"Biesbroek","given":"Robbert"},{"family":"Schmidt","given":"Daniela N."},{"family":"Alexander","given":"Peter"},{"family":"Børsheim","given":"Knut Yngve"},{"family":"Carnicer","given":"Jofre"},{"family":"Georgopoulou","given":"Elena"},{"family":"Haasnoot","given":"Marjolijn"},{"family":"Le Cozannet","given":"Gonéri"},{"family":"Lionello","given":"Piero"},{"family":"Lipka","given":"Oksana"},{"family":"Möllmann","given":"Christian"},{"family":"Muccione","given":"Veruska"},{"family":"Mustonen","given":"Tero"},{"family":"Piepenburg","given":"Dieter"},{"family":"Whitmarsh","given":"Lorraine"}],"editor":[{"family":"Pörtner","given":"Hans-Otto"},{"family":"Roberts","given":"Debra Cynthia"},{"family":"Tignor","given":"Melinda M. B."},{"family":"Poloczanska","given":"Elvira S."},{"family":"Mintenbeck","given":"Katja"},{"family":"Alegría","given":"Andrès"},{"family":"Craig","given":"Marlies"},{"family":"Langsdorf","given":"Stefanie"},{"family":"Löschke","given":"Sina"},{"family":"Möller","given":"Vincent"},{"family":"Okem","given":"Andrew"},{"family":"Rama","given":"Bardhyl"}],"issued":{"date-parts":[["2022"]]},"citation-key":"bednar-friedlEurope2022"},"label":"page"},{"id":2759,"uris":["http://zotero.org/users/11212985/items/BQ62RPCV"],"itemData":{"id":2759,"type":"book","event-place":"LU","language":"eng","publisher":"Publications Office","publisher-place":"LU","source":"DOI.org (CSL JSON)","title":"European climate risk assessment: executive summary.","title-short":"European climate risk assessment","URL":"https://data.europa.eu/doi/10.2800/204249","author":[{"literal":"European Environment Agency"}],"accessed":{"date-parts":[["2024",8,15]]},"issued":{"date-parts":[["2024"]]},"citation-key":"europeanenvironmentagencyEuropeanClimateRisk2024"},"label":"page"}],"schema":"https://github.com/citation-style-language/schema/raw/master/csl-citation.json"} </w:instrText>
      </w:r>
      <w:r w:rsidRPr="00A141D2">
        <w:rPr>
          <w:szCs w:val="24"/>
          <w:lang w:val="en-GB"/>
        </w:rPr>
        <w:fldChar w:fldCharType="separate"/>
      </w:r>
      <w:r w:rsidRPr="00A141D2">
        <w:rPr>
          <w:szCs w:val="24"/>
          <w:lang w:val="en-GB"/>
        </w:rPr>
        <w:t>(Bednar-Friedl et al., 2022; European Environment Agency, 2024)</w:t>
      </w:r>
      <w:r w:rsidRPr="00A141D2">
        <w:rPr>
          <w:szCs w:val="24"/>
          <w:lang w:val="en-GB"/>
        </w:rPr>
        <w:fldChar w:fldCharType="end"/>
      </w:r>
      <w:r w:rsidR="001D28EE" w:rsidRPr="00A141D2">
        <w:rPr>
          <w:szCs w:val="24"/>
          <w:lang w:val="en-GB"/>
        </w:rPr>
        <w:t>.</w:t>
      </w:r>
      <w:r w:rsidR="006966F7" w:rsidRPr="00A141D2">
        <w:rPr>
          <w:szCs w:val="24"/>
          <w:lang w:val="en-GB"/>
        </w:rPr>
        <w:t xml:space="preserve"> </w:t>
      </w:r>
      <w:r w:rsidR="001D28EE" w:rsidRPr="00A141D2">
        <w:rPr>
          <w:szCs w:val="24"/>
          <w:lang w:val="en-GB"/>
        </w:rPr>
        <w:t>An exemplary case is the</w:t>
      </w:r>
      <w:r w:rsidR="006966F7" w:rsidRPr="00A141D2">
        <w:rPr>
          <w:szCs w:val="24"/>
          <w:lang w:val="en-GB"/>
        </w:rPr>
        <w:t xml:space="preserve"> transboundary Lithuanian-Latvian Lielupe, where flood risk is a</w:t>
      </w:r>
      <w:r w:rsidR="00B725B6" w:rsidRPr="00A141D2">
        <w:rPr>
          <w:szCs w:val="24"/>
          <w:lang w:val="en-GB"/>
        </w:rPr>
        <w:t>lready a</w:t>
      </w:r>
      <w:r w:rsidR="006966F7" w:rsidRPr="00A141D2">
        <w:rPr>
          <w:szCs w:val="24"/>
          <w:lang w:val="en-GB"/>
        </w:rPr>
        <w:t xml:space="preserve"> prominent issue and is a core focus of the Latvian National Adaptation Plan </w:t>
      </w:r>
      <w:r w:rsidR="006966F7" w:rsidRPr="00A141D2">
        <w:rPr>
          <w:szCs w:val="24"/>
          <w:lang w:val="en-GB"/>
        </w:rPr>
        <w:fldChar w:fldCharType="begin"/>
      </w:r>
      <w:r w:rsidR="006966F7" w:rsidRPr="00A141D2">
        <w:rPr>
          <w:szCs w:val="24"/>
          <w:lang w:val="en-GB"/>
        </w:rPr>
        <w:instrText xml:space="preserve"> ADDIN ZOTERO_ITEM CSL_CITATION {"citationID":"DCH2sIee","properties":{"formattedCitation":"(Ministry of Environmental Protection and Regional Development, 2019)","plainCitation":"(Ministry of Environmental Protection and Regional Development, 2019)","noteIndex":0},"citationItems":[{"id":2962,"uris":["http://zotero.org/users/11212985/items/CXRKMPEN"],"itemData":{"id":2962,"type":"document","abstract":"Tiesību akti un to izmaiņas: visi jaunumi un arhīvs. Sistematizēti tiesību akti. Plašas meklēšanas un personalizētās iespējas. Vietni uztur „Latvijas Vēstnesis”","language":"en","title":"LATVIAN NATIONAL PLAN FOR ADAPTATION TO CLIMATE CHANGE UNTIL 2030","URL":"https://likumi.lv/doc.php?id=308330","author":[{"family":"Ministry of Environmental Protection and Regional Development","given":""}],"accessed":{"date-parts":[["2024",9,26]]},"issued":{"date-parts":[["2019"]]},"citation-key":"ministryofenvironmentalprotectionandregionaldevelopmentLATVIANNATIONALPLAN2019"}}],"schema":"https://github.com/citation-style-language/schema/raw/master/csl-citation.json"} </w:instrText>
      </w:r>
      <w:r w:rsidR="006966F7" w:rsidRPr="00A141D2">
        <w:rPr>
          <w:szCs w:val="24"/>
          <w:lang w:val="en-GB"/>
        </w:rPr>
        <w:fldChar w:fldCharType="separate"/>
      </w:r>
      <w:r w:rsidR="006966F7" w:rsidRPr="00A141D2">
        <w:rPr>
          <w:szCs w:val="24"/>
          <w:lang w:val="en-GB"/>
        </w:rPr>
        <w:t>(Ministry of Environmental Protection and Regional Development, 2019)</w:t>
      </w:r>
      <w:r w:rsidR="006966F7" w:rsidRPr="00A141D2">
        <w:rPr>
          <w:szCs w:val="24"/>
          <w:lang w:val="en-GB"/>
        </w:rPr>
        <w:fldChar w:fldCharType="end"/>
      </w:r>
      <w:r w:rsidR="006966F7" w:rsidRPr="00A141D2">
        <w:rPr>
          <w:szCs w:val="24"/>
          <w:lang w:val="en-GB"/>
        </w:rPr>
        <w:t xml:space="preserve">.  </w:t>
      </w:r>
      <w:r w:rsidR="00B725B6" w:rsidRPr="00A141D2">
        <w:rPr>
          <w:szCs w:val="24"/>
          <w:lang w:val="en-GB"/>
        </w:rPr>
        <w:t>W</w:t>
      </w:r>
      <w:r w:rsidRPr="00A141D2">
        <w:rPr>
          <w:szCs w:val="24"/>
          <w:lang w:val="en-GB"/>
        </w:rPr>
        <w:t>e</w:t>
      </w:r>
      <w:r w:rsidR="003150E0" w:rsidRPr="00A141D2">
        <w:rPr>
          <w:szCs w:val="24"/>
          <w:lang w:val="en-GB"/>
        </w:rPr>
        <w:t>, therefore,</w:t>
      </w:r>
      <w:r w:rsidRPr="00A141D2">
        <w:rPr>
          <w:szCs w:val="24"/>
          <w:lang w:val="en-GB"/>
        </w:rPr>
        <w:t xml:space="preserve"> apply</w:t>
      </w:r>
      <w:r w:rsidR="00A0116C" w:rsidRPr="00A141D2">
        <w:rPr>
          <w:szCs w:val="24"/>
          <w:lang w:val="en-GB"/>
        </w:rPr>
        <w:t xml:space="preserve"> and test</w:t>
      </w:r>
      <w:r w:rsidRPr="00A141D2">
        <w:rPr>
          <w:szCs w:val="24"/>
          <w:lang w:val="en-GB"/>
        </w:rPr>
        <w:t xml:space="preserve"> the framework </w:t>
      </w:r>
      <w:r w:rsidR="003150E0" w:rsidRPr="00A141D2">
        <w:rPr>
          <w:szCs w:val="24"/>
          <w:lang w:val="en-GB"/>
        </w:rPr>
        <w:t xml:space="preserve">in </w:t>
      </w:r>
      <w:r w:rsidRPr="00A141D2">
        <w:rPr>
          <w:szCs w:val="24"/>
          <w:lang w:val="en-GB"/>
        </w:rPr>
        <w:t xml:space="preserve">a riverine flood risk case in the </w:t>
      </w:r>
      <w:r w:rsidR="003150E0" w:rsidRPr="00A141D2">
        <w:rPr>
          <w:szCs w:val="24"/>
          <w:lang w:val="en-GB"/>
        </w:rPr>
        <w:t>Lielupe basin</w:t>
      </w:r>
      <w:r w:rsidRPr="00A141D2">
        <w:rPr>
          <w:szCs w:val="24"/>
          <w:lang w:val="en-GB"/>
        </w:rPr>
        <w:t>.</w:t>
      </w:r>
    </w:p>
    <w:p w14:paraId="555EEAE9" w14:textId="59F4C0FB" w:rsidR="00504F2E" w:rsidRPr="00A141D2" w:rsidRDefault="002F3B11" w:rsidP="003855D5">
      <w:pPr>
        <w:pStyle w:val="Heading-Secondary"/>
        <w:rPr>
          <w:szCs w:val="22"/>
          <w:lang w:val="en-GB"/>
        </w:rPr>
      </w:pPr>
      <w:r w:rsidRPr="00A141D2">
        <w:rPr>
          <w:lang w:val="en-GB"/>
        </w:rPr>
        <w:t>2 Method</w:t>
      </w:r>
    </w:p>
    <w:p w14:paraId="4F03C259" w14:textId="1BC97D61" w:rsidR="009C6D10" w:rsidRPr="00A141D2" w:rsidRDefault="00BC6E40" w:rsidP="009C6D10">
      <w:pPr>
        <w:rPr>
          <w:lang w:val="en-GB"/>
        </w:rPr>
      </w:pPr>
      <w:r w:rsidRPr="00A141D2">
        <w:rPr>
          <w:lang w:val="en-GB"/>
        </w:rPr>
        <w:t>This study aims to provide a comprehensive assessment of future flood risk impacts in multi-sectoral systems by sampling from a range of projections differentiating emission scenarios, Earth system responses, internal variability, and societal development.</w:t>
      </w:r>
      <w:r w:rsidR="008D5C52" w:rsidRPr="00A141D2">
        <w:rPr>
          <w:lang w:val="en-GB"/>
        </w:rPr>
        <w:t xml:space="preserve"> </w:t>
      </w:r>
      <w:r w:rsidR="007E547D" w:rsidRPr="00A141D2">
        <w:rPr>
          <w:lang w:val="en-GB"/>
        </w:rPr>
        <w:t xml:space="preserve">We follow </w:t>
      </w:r>
      <w:r w:rsidR="003D0E30" w:rsidRPr="00A141D2">
        <w:rPr>
          <w:lang w:val="en-GB"/>
        </w:rPr>
        <w:t>the</w:t>
      </w:r>
      <w:r w:rsidR="007E547D" w:rsidRPr="00A141D2">
        <w:rPr>
          <w:lang w:val="en-GB"/>
        </w:rPr>
        <w:t xml:space="preserve"> multi-model experimental design depicted in Figure 1</w:t>
      </w:r>
      <w:r w:rsidR="00C51799" w:rsidRPr="00A141D2">
        <w:rPr>
          <w:lang w:val="en-GB"/>
        </w:rPr>
        <w:t xml:space="preserve">. </w:t>
      </w:r>
      <w:r w:rsidR="00634553" w:rsidRPr="00A141D2">
        <w:rPr>
          <w:lang w:val="en-GB"/>
        </w:rPr>
        <w:t xml:space="preserve">The analysis </w:t>
      </w:r>
      <w:r w:rsidR="00BB764B" w:rsidRPr="00A141D2">
        <w:rPr>
          <w:lang w:val="en-GB"/>
        </w:rPr>
        <w:t>starts with climate risk scoping,</w:t>
      </w:r>
      <w:r w:rsidR="00634553" w:rsidRPr="00A141D2">
        <w:rPr>
          <w:lang w:val="en-GB"/>
        </w:rPr>
        <w:t xml:space="preserve"> </w:t>
      </w:r>
      <w:r w:rsidR="00BB764B" w:rsidRPr="00A141D2">
        <w:rPr>
          <w:lang w:val="en-GB"/>
        </w:rPr>
        <w:t xml:space="preserve">where </w:t>
      </w:r>
      <w:r w:rsidR="00634553" w:rsidRPr="00A141D2">
        <w:rPr>
          <w:lang w:val="en-GB"/>
        </w:rPr>
        <w:t xml:space="preserve">the key issue of interest </w:t>
      </w:r>
      <w:r w:rsidR="00BB764B" w:rsidRPr="00A141D2">
        <w:rPr>
          <w:lang w:val="en-GB"/>
        </w:rPr>
        <w:t>is defined</w:t>
      </w:r>
      <w:r w:rsidR="00E45E2D" w:rsidRPr="00A141D2">
        <w:rPr>
          <w:lang w:val="en-GB"/>
        </w:rPr>
        <w:t>,</w:t>
      </w:r>
      <w:r w:rsidR="00153088" w:rsidRPr="00A141D2">
        <w:rPr>
          <w:lang w:val="en-GB"/>
        </w:rPr>
        <w:t xml:space="preserve"> and </w:t>
      </w:r>
      <w:r w:rsidR="00E45E2D" w:rsidRPr="00A141D2">
        <w:rPr>
          <w:lang w:val="en-GB"/>
        </w:rPr>
        <w:t xml:space="preserve">the </w:t>
      </w:r>
      <w:r w:rsidR="00153088" w:rsidRPr="00A141D2">
        <w:rPr>
          <w:lang w:val="en-GB"/>
        </w:rPr>
        <w:t>boundaries of the analysis are set</w:t>
      </w:r>
      <w:r w:rsidR="00BB764B" w:rsidRPr="00A141D2">
        <w:rPr>
          <w:lang w:val="en-GB"/>
        </w:rPr>
        <w:t xml:space="preserve"> </w:t>
      </w:r>
      <w:r w:rsidR="009C6D10" w:rsidRPr="00A141D2">
        <w:rPr>
          <w:lang w:val="en-GB"/>
        </w:rPr>
        <w:t xml:space="preserve">(Section 2.1). Secondly, we examine how climate uncertainties influence extreme discharges across the basin (Section 2.2). This analysis starts by crafting plausible climate scenario storylines from an ensemble of Global Climate Model projections based on locally relevant Climatic Impact Drivers (CIDs) revealed by a sensitivity analysis. For each climate storyline, conditional probabilistic extreme discharges are determined using hydrological modelling and stochastic weather generation. The resulting plausibilistic storylines of extreme discharge are spatially mapped to gain insight into regional and inter-storyline differences </w:t>
      </w:r>
      <w:r w:rsidR="00DA7754" w:rsidRPr="00A141D2">
        <w:rPr>
          <w:lang w:val="en-GB"/>
        </w:rPr>
        <w:t>in</w:t>
      </w:r>
      <w:r w:rsidR="009C6D10" w:rsidRPr="00A141D2">
        <w:rPr>
          <w:lang w:val="en-GB"/>
        </w:rPr>
        <w:t xml:space="preserve"> local flood risk.</w:t>
      </w:r>
    </w:p>
    <w:p w14:paraId="5E43AC44" w14:textId="5C3A013D" w:rsidR="009C6D10" w:rsidRPr="00A141D2" w:rsidRDefault="009C6D10" w:rsidP="009C6D10">
      <w:pPr>
        <w:rPr>
          <w:szCs w:val="24"/>
          <w:lang w:val="en-GB"/>
        </w:rPr>
      </w:pPr>
      <w:r w:rsidRPr="00A141D2">
        <w:rPr>
          <w:szCs w:val="24"/>
          <w:lang w:val="en-GB"/>
        </w:rPr>
        <w:t xml:space="preserve">In parallel, </w:t>
      </w:r>
      <w:r w:rsidR="00320D5C" w:rsidRPr="00A141D2">
        <w:rPr>
          <w:szCs w:val="24"/>
          <w:lang w:val="en-GB"/>
        </w:rPr>
        <w:t xml:space="preserve">the </w:t>
      </w:r>
      <w:r w:rsidRPr="00A141D2">
        <w:rPr>
          <w:szCs w:val="24"/>
          <w:lang w:val="en-GB"/>
        </w:rPr>
        <w:t>propagation of direct flood impact to indirect economic repercussions is analysed in multiple projections of plausible socio-economic</w:t>
      </w:r>
      <w:r w:rsidR="00EF513E" w:rsidRPr="00A141D2">
        <w:rPr>
          <w:szCs w:val="24"/>
          <w:lang w:val="en-GB"/>
        </w:rPr>
        <w:t xml:space="preserve"> </w:t>
      </w:r>
      <w:r w:rsidR="00ED5FAE" w:rsidRPr="00A141D2">
        <w:rPr>
          <w:szCs w:val="24"/>
          <w:lang w:val="en-GB"/>
        </w:rPr>
        <w:t xml:space="preserve">developments </w:t>
      </w:r>
      <w:r w:rsidR="00620D57" w:rsidRPr="00A141D2">
        <w:rPr>
          <w:szCs w:val="24"/>
          <w:lang w:val="en-GB"/>
        </w:rPr>
        <w:t>influencing</w:t>
      </w:r>
      <w:r w:rsidR="00ED5FAE" w:rsidRPr="00A141D2">
        <w:rPr>
          <w:szCs w:val="24"/>
          <w:lang w:val="en-GB"/>
        </w:rPr>
        <w:t xml:space="preserve"> exposed </w:t>
      </w:r>
      <w:r w:rsidR="002469AA" w:rsidRPr="00A141D2">
        <w:rPr>
          <w:szCs w:val="24"/>
          <w:lang w:val="en-GB"/>
        </w:rPr>
        <w:t xml:space="preserve">building </w:t>
      </w:r>
      <w:r w:rsidR="00ED5FAE" w:rsidRPr="00A141D2">
        <w:rPr>
          <w:szCs w:val="24"/>
          <w:lang w:val="en-GB"/>
        </w:rPr>
        <w:t>asset</w:t>
      </w:r>
      <w:r w:rsidR="00620D57" w:rsidRPr="00A141D2">
        <w:rPr>
          <w:szCs w:val="24"/>
          <w:lang w:val="en-GB"/>
        </w:rPr>
        <w:t xml:space="preserve"> values</w:t>
      </w:r>
      <w:r w:rsidR="00ED5FAE" w:rsidRPr="00A141D2">
        <w:rPr>
          <w:szCs w:val="24"/>
          <w:lang w:val="en-GB"/>
        </w:rPr>
        <w:t xml:space="preserve"> and </w:t>
      </w:r>
      <w:r w:rsidR="009C6501" w:rsidRPr="00A141D2">
        <w:rPr>
          <w:szCs w:val="24"/>
          <w:lang w:val="en-GB"/>
        </w:rPr>
        <w:t xml:space="preserve">relevant </w:t>
      </w:r>
      <w:r w:rsidR="00620D57" w:rsidRPr="00A141D2">
        <w:rPr>
          <w:szCs w:val="24"/>
          <w:lang w:val="en-GB"/>
        </w:rPr>
        <w:t>sectors in the regio</w:t>
      </w:r>
      <w:r w:rsidR="0039188D" w:rsidRPr="00A141D2">
        <w:rPr>
          <w:szCs w:val="24"/>
          <w:lang w:val="en-GB"/>
        </w:rPr>
        <w:t>n</w:t>
      </w:r>
      <w:r w:rsidRPr="00A141D2">
        <w:rPr>
          <w:szCs w:val="24"/>
          <w:lang w:val="en-GB"/>
        </w:rPr>
        <w:t xml:space="preserve">. These socio-economic projections provide </w:t>
      </w:r>
      <w:r w:rsidRPr="00A141D2">
        <w:rPr>
          <w:szCs w:val="24"/>
          <w:lang w:val="en-GB"/>
        </w:rPr>
        <w:lastRenderedPageBreak/>
        <w:t xml:space="preserve">perturbations to the exposure characteristics in regional floodplains and modify economic structures and, consequently, sectoral interactions (Section 2.3). Comparing direct impacts and resulting cascading effects across scenarios illustrates how sectoral and regional stresses can </w:t>
      </w:r>
      <w:r w:rsidR="007D787F" w:rsidRPr="00A141D2">
        <w:rPr>
          <w:szCs w:val="24"/>
          <w:lang w:val="en-GB"/>
        </w:rPr>
        <w:t xml:space="preserve">potentially </w:t>
      </w:r>
      <w:r w:rsidRPr="00A141D2">
        <w:rPr>
          <w:szCs w:val="24"/>
          <w:lang w:val="en-GB"/>
        </w:rPr>
        <w:t xml:space="preserve">evolve, allowing the identification of those areas and sectors whose direct and indirect flood risks are most affected by socio-economic changes (Section 2.4). </w:t>
      </w:r>
    </w:p>
    <w:p w14:paraId="7D037460" w14:textId="36226B5E" w:rsidR="001D3245" w:rsidRDefault="009C6D10" w:rsidP="00062E5F">
      <w:pPr>
        <w:rPr>
          <w:lang w:val="en-GB"/>
        </w:rPr>
      </w:pPr>
      <w:r w:rsidRPr="00A141D2">
        <w:rPr>
          <w:lang w:val="en-GB"/>
        </w:rPr>
        <w:t xml:space="preserve">Lastly, the plausibilistic discharge storylines and socio-economic scenarios are overlaid to identify those locations where risk drivers compound, providing a risk mapping under future conditions (Section 2.5). </w:t>
      </w:r>
    </w:p>
    <w:p w14:paraId="30B0303A" w14:textId="03114480" w:rsidR="00062E5F" w:rsidRPr="00A141D2" w:rsidRDefault="001D3245" w:rsidP="00CD7EE4">
      <w:pPr>
        <w:keepNext/>
        <w:jc w:val="center"/>
        <w:rPr>
          <w:sz w:val="28"/>
          <w:szCs w:val="28"/>
          <w:lang w:val="en-GB"/>
        </w:rPr>
      </w:pPr>
      <w:r>
        <w:rPr>
          <w:noProof/>
        </w:rPr>
        <w:drawing>
          <wp:inline distT="0" distB="0" distL="0" distR="0" wp14:anchorId="487D9A19" wp14:editId="09FF9219">
            <wp:extent cx="5943600" cy="4467860"/>
            <wp:effectExtent l="0" t="0" r="0" b="8890"/>
            <wp:docPr id="7259696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69698"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4467860"/>
                    </a:xfrm>
                    <a:prstGeom prst="rect">
                      <a:avLst/>
                    </a:prstGeom>
                  </pic:spPr>
                </pic:pic>
              </a:graphicData>
            </a:graphic>
          </wp:inline>
        </w:drawing>
      </w:r>
    </w:p>
    <w:p w14:paraId="54131F81" w14:textId="6B1C4EAB" w:rsidR="00BF7D0A" w:rsidRPr="00A141D2" w:rsidRDefault="001614AB" w:rsidP="009A2F96">
      <w:pPr>
        <w:pStyle w:val="Caption"/>
        <w:rPr>
          <w:sz w:val="22"/>
          <w:szCs w:val="20"/>
          <w:lang w:val="en-GB"/>
        </w:rPr>
      </w:pPr>
      <w:bookmarkStart w:id="0" w:name="_Ref177654756"/>
      <w:r w:rsidRPr="00A141D2">
        <w:rPr>
          <w:b/>
          <w:bCs/>
          <w:sz w:val="22"/>
          <w:szCs w:val="20"/>
          <w:lang w:val="en-GB"/>
        </w:rPr>
        <w:t xml:space="preserve">Figure </w:t>
      </w:r>
      <w:bookmarkEnd w:id="0"/>
      <w:r w:rsidR="00FF679D" w:rsidRPr="00A141D2">
        <w:rPr>
          <w:b/>
          <w:bCs/>
          <w:sz w:val="22"/>
          <w:szCs w:val="20"/>
          <w:lang w:val="en-GB"/>
        </w:rPr>
        <w:t>1</w:t>
      </w:r>
      <w:r w:rsidRPr="00A141D2">
        <w:rPr>
          <w:sz w:val="22"/>
          <w:szCs w:val="20"/>
          <w:lang w:val="en-GB"/>
        </w:rPr>
        <w:t xml:space="preserve">: </w:t>
      </w:r>
      <w:r w:rsidR="00CD3DAF" w:rsidRPr="00A141D2">
        <w:rPr>
          <w:sz w:val="22"/>
          <w:szCs w:val="20"/>
          <w:lang w:val="en-GB"/>
        </w:rPr>
        <w:t>Methodology</w:t>
      </w:r>
      <w:r w:rsidRPr="00A141D2">
        <w:rPr>
          <w:sz w:val="22"/>
          <w:szCs w:val="20"/>
          <w:lang w:val="en-GB"/>
        </w:rPr>
        <w:t xml:space="preserve"> used in the study to gain insight into future climate impacts </w:t>
      </w:r>
      <w:r w:rsidR="00DC0073" w:rsidRPr="00A141D2">
        <w:rPr>
          <w:sz w:val="22"/>
          <w:szCs w:val="20"/>
          <w:lang w:val="en-GB"/>
        </w:rPr>
        <w:t>for the specified climate challenge.</w:t>
      </w:r>
    </w:p>
    <w:p w14:paraId="35B6A64C" w14:textId="09DAA14F" w:rsidR="008717D9" w:rsidRPr="00A141D2" w:rsidRDefault="002F3B11" w:rsidP="003855D5">
      <w:pPr>
        <w:pStyle w:val="subheading"/>
      </w:pPr>
      <w:r w:rsidRPr="00A141D2">
        <w:t xml:space="preserve">2.1 </w:t>
      </w:r>
      <w:r w:rsidR="00B45EC4" w:rsidRPr="00A141D2">
        <w:t>Climate Risk Scoping</w:t>
      </w:r>
    </w:p>
    <w:p w14:paraId="18CE7A80" w14:textId="2535F6F3" w:rsidR="00416726" w:rsidRPr="00A141D2" w:rsidRDefault="00416726" w:rsidP="00416726">
      <w:pPr>
        <w:rPr>
          <w:b/>
          <w:bCs/>
          <w:lang w:val="en-GB"/>
        </w:rPr>
      </w:pPr>
      <w:r w:rsidRPr="00A141D2">
        <w:rPr>
          <w:lang w:val="en-GB"/>
        </w:rPr>
        <w:t>The first step</w:t>
      </w:r>
      <w:r w:rsidR="00B335D0" w:rsidRPr="00A141D2">
        <w:rPr>
          <w:lang w:val="en-GB"/>
        </w:rPr>
        <w:t xml:space="preserve"> of our methodology</w:t>
      </w:r>
      <w:r w:rsidRPr="00A141D2">
        <w:rPr>
          <w:lang w:val="en-GB"/>
        </w:rPr>
        <w:t xml:space="preserve"> is to define</w:t>
      </w:r>
      <w:r w:rsidR="00B335D0" w:rsidRPr="00A141D2">
        <w:rPr>
          <w:lang w:val="en-GB"/>
        </w:rPr>
        <w:t xml:space="preserve"> and scope</w:t>
      </w:r>
      <w:r w:rsidRPr="00A141D2">
        <w:rPr>
          <w:lang w:val="en-GB"/>
        </w:rPr>
        <w:t xml:space="preserve"> the </w:t>
      </w:r>
      <w:r w:rsidR="00B335D0" w:rsidRPr="00A141D2">
        <w:rPr>
          <w:lang w:val="en-GB"/>
        </w:rPr>
        <w:t>regional climate risk</w:t>
      </w:r>
      <w:r w:rsidRPr="00A141D2">
        <w:rPr>
          <w:lang w:val="en-GB"/>
        </w:rPr>
        <w:t xml:space="preserve"> of interest.</w:t>
      </w:r>
      <w:r w:rsidR="00E7273F" w:rsidRPr="00A141D2">
        <w:rPr>
          <w:lang w:val="en-GB"/>
        </w:rPr>
        <w:t xml:space="preserve"> This step involves identifying the region, hazard type, impacts, sectors, and time horizon, which collectively </w:t>
      </w:r>
      <w:r w:rsidR="008905BE" w:rsidRPr="00A141D2">
        <w:rPr>
          <w:lang w:val="en-GB"/>
        </w:rPr>
        <w:t>influence</w:t>
      </w:r>
      <w:r w:rsidR="00E7273F" w:rsidRPr="00A141D2">
        <w:rPr>
          <w:lang w:val="en-GB"/>
        </w:rPr>
        <w:t xml:space="preserve"> the conclusions drawn in </w:t>
      </w:r>
      <w:r w:rsidR="008905BE" w:rsidRPr="00A141D2">
        <w:rPr>
          <w:lang w:val="en-GB"/>
        </w:rPr>
        <w:t>risk analysis</w:t>
      </w:r>
      <w:r w:rsidRPr="00A141D2">
        <w:rPr>
          <w:lang w:val="en-GB"/>
        </w:rPr>
        <w:t>. Point</w:t>
      </w:r>
      <w:r w:rsidR="008905BE" w:rsidRPr="00A141D2">
        <w:rPr>
          <w:lang w:val="en-GB"/>
        </w:rPr>
        <w:t>s</w:t>
      </w:r>
      <w:r w:rsidRPr="00A141D2">
        <w:rPr>
          <w:lang w:val="en-GB"/>
        </w:rPr>
        <w:t xml:space="preserve"> of departure for our analysis are the Latvian National Adaptation Plan (NAP) </w:t>
      </w:r>
      <w:r w:rsidRPr="00A141D2">
        <w:rPr>
          <w:lang w:val="en-GB"/>
        </w:rPr>
        <w:fldChar w:fldCharType="begin"/>
      </w:r>
      <w:r w:rsidRPr="00A141D2">
        <w:rPr>
          <w:lang w:val="en-GB"/>
        </w:rPr>
        <w:instrText xml:space="preserve"> ADDIN ZOTERO_ITEM CSL_CITATION {"citationID":"mrt1saqN","properties":{"formattedCitation":"(Ministry of Environmental Protection and Regional Development, 2019)","plainCitation":"(Ministry of Environmental Protection and Regional Development, 2019)","noteIndex":0},"citationItems":[{"id":2962,"uris":["http://zotero.org/users/11212985/items/CXRKMPEN"],"itemData":{"id":2962,"type":"document","abstract":"Tiesību akti un to izmaiņas: visi jaunumi un arhīvs. Sistematizēti tiesību akti. Plašas meklēšanas un personalizētās iespējas. Vietni uztur „Latvijas Vēstnesis”","language":"en","title":"LATVIAN NATIONAL PLAN FOR ADAPTATION TO CLIMATE CHANGE UNTIL 2030","URL":"https://likumi.lv/doc.php?id=308330","author":[{"family":"Ministry of Environmental Protection and Regional Development","given":""}],"accessed":{"date-parts":[["2024",9,26]]},"issued":{"date-parts":[["2019"]]},"citation-key":"ministryofenvironmentalprotectionandregionaldevelopmentLATVIANNATIONALPLAN2019"}}],"schema":"https://github.com/citation-style-language/schema/raw/master/csl-citation.json"} </w:instrText>
      </w:r>
      <w:r w:rsidRPr="00A141D2">
        <w:rPr>
          <w:lang w:val="en-GB"/>
        </w:rPr>
        <w:fldChar w:fldCharType="separate"/>
      </w:r>
      <w:r w:rsidRPr="00A141D2">
        <w:rPr>
          <w:lang w:val="en-GB"/>
        </w:rPr>
        <w:t>(Ministry of Environmental Protection and Regional Development, 2019)</w:t>
      </w:r>
      <w:r w:rsidRPr="00A141D2">
        <w:rPr>
          <w:lang w:val="en-GB"/>
        </w:rPr>
        <w:fldChar w:fldCharType="end"/>
      </w:r>
      <w:r w:rsidRPr="00A141D2">
        <w:rPr>
          <w:lang w:val="en-GB"/>
        </w:rPr>
        <w:t xml:space="preserve"> and river basin management plans (Latvijas Vides, ģeoloģijas un </w:t>
      </w:r>
      <w:r w:rsidRPr="00A141D2">
        <w:rPr>
          <w:lang w:val="en-GB"/>
        </w:rPr>
        <w:lastRenderedPageBreak/>
        <w:t>meteoroloģijas centrs, 2023). These documents are intended to support regional planning in the upcoming decade, and as such</w:t>
      </w:r>
      <w:r w:rsidR="00DF766A" w:rsidRPr="00A141D2">
        <w:rPr>
          <w:lang w:val="en-GB"/>
        </w:rPr>
        <w:t>,</w:t>
      </w:r>
      <w:r w:rsidRPr="00A141D2">
        <w:rPr>
          <w:lang w:val="en-GB"/>
        </w:rPr>
        <w:t xml:space="preserve"> information about potential risk developments during the mid-century is of particular interest.</w:t>
      </w:r>
    </w:p>
    <w:p w14:paraId="443E4DE7" w14:textId="00771D65" w:rsidR="00416726" w:rsidRPr="00A141D2" w:rsidRDefault="00416726" w:rsidP="00416726">
      <w:pPr>
        <w:rPr>
          <w:lang w:val="en-GB"/>
        </w:rPr>
      </w:pPr>
      <w:r w:rsidRPr="00A141D2">
        <w:rPr>
          <w:lang w:val="en-GB"/>
        </w:rPr>
        <w:t>The NAP voices concerns about flooding along rivers in the country. One such flood area is the transboundary Lielupe Basin (Figure 2). The</w:t>
      </w:r>
      <w:r w:rsidR="003B680A" w:rsidRPr="00A141D2">
        <w:rPr>
          <w:lang w:val="en-GB"/>
        </w:rPr>
        <w:t xml:space="preserve"> Latvian-Lithuanian</w:t>
      </w:r>
      <w:r w:rsidRPr="00A141D2">
        <w:rPr>
          <w:lang w:val="en-GB"/>
        </w:rPr>
        <w:t xml:space="preserve"> basin covers 17.600km² and houses around 400.000 people. Local authorities have identified parts of the basin as a current</w:t>
      </w:r>
      <w:r w:rsidR="00243E0E" w:rsidRPr="00A141D2">
        <w:rPr>
          <w:lang w:val="en-GB"/>
        </w:rPr>
        <w:t>-day</w:t>
      </w:r>
      <w:r w:rsidRPr="00A141D2">
        <w:rPr>
          <w:lang w:val="en-GB"/>
        </w:rPr>
        <w:t xml:space="preserve"> flood zone of national importance, and therefore</w:t>
      </w:r>
      <w:r w:rsidR="00EB3E29" w:rsidRPr="00A141D2">
        <w:rPr>
          <w:lang w:val="en-GB"/>
        </w:rPr>
        <w:t>,</w:t>
      </w:r>
      <w:r w:rsidRPr="00A141D2">
        <w:rPr>
          <w:lang w:val="en-GB"/>
        </w:rPr>
        <w:t xml:space="preserve"> information on near-future flood risk is highly valuable. Especially the 1/100-year return period flooding is of interest, as events of this intensity cause significant impacts in the region. Both the NAP and river basin management plan are particularly concerned regarding losses to constructed assets</w:t>
      </w:r>
      <w:r w:rsidR="00EE7D80" w:rsidRPr="00A141D2">
        <w:rPr>
          <w:lang w:val="en-GB"/>
        </w:rPr>
        <w:t>, in our case buildings,</w:t>
      </w:r>
      <w:r w:rsidRPr="00A141D2">
        <w:rPr>
          <w:lang w:val="en-GB"/>
        </w:rPr>
        <w:t xml:space="preserve"> along rivers. Consequently, this study will aim to provide risk developments regarding these assets.</w:t>
      </w:r>
    </w:p>
    <w:p w14:paraId="253F62BF" w14:textId="677B0A32" w:rsidR="00416726" w:rsidRPr="00A141D2" w:rsidRDefault="00616586" w:rsidP="00416726">
      <w:pPr>
        <w:rPr>
          <w:lang w:val="en-GB"/>
        </w:rPr>
      </w:pPr>
      <w:r w:rsidRPr="00A141D2">
        <w:rPr>
          <w:lang w:val="en-GB"/>
        </w:rPr>
        <w:t>These d</w:t>
      </w:r>
      <w:r w:rsidR="00416726" w:rsidRPr="00A141D2">
        <w:rPr>
          <w:lang w:val="en-GB"/>
        </w:rPr>
        <w:t>irect flood impacts</w:t>
      </w:r>
      <w:r w:rsidRPr="00A141D2">
        <w:rPr>
          <w:lang w:val="en-GB"/>
        </w:rPr>
        <w:t xml:space="preserve"> on </w:t>
      </w:r>
      <w:r w:rsidR="0055759D" w:rsidRPr="00A141D2">
        <w:rPr>
          <w:lang w:val="en-GB"/>
        </w:rPr>
        <w:t>buildings</w:t>
      </w:r>
      <w:r w:rsidRPr="00A141D2">
        <w:rPr>
          <w:lang w:val="en-GB"/>
        </w:rPr>
        <w:t xml:space="preserve"> </w:t>
      </w:r>
      <w:r w:rsidR="00416726" w:rsidRPr="00A141D2">
        <w:rPr>
          <w:lang w:val="en-GB"/>
        </w:rPr>
        <w:t>have the potential to affect economic sectors</w:t>
      </w:r>
      <w:r w:rsidR="009D14E1" w:rsidRPr="00A141D2">
        <w:rPr>
          <w:lang w:val="en-GB"/>
        </w:rPr>
        <w:t xml:space="preserve"> </w:t>
      </w:r>
      <w:r w:rsidR="009571F3" w:rsidRPr="00A141D2">
        <w:rPr>
          <w:lang w:val="en-GB"/>
        </w:rPr>
        <w:t>outside of the flood area</w:t>
      </w:r>
      <w:r w:rsidR="00416726" w:rsidRPr="00A141D2">
        <w:rPr>
          <w:lang w:val="en-GB"/>
        </w:rPr>
        <w:t xml:space="preserve">. To illustrate the potential of cascading effects, Figure 3 shows </w:t>
      </w:r>
      <w:r w:rsidR="00E65C2E" w:rsidRPr="00A141D2">
        <w:rPr>
          <w:lang w:val="en-GB"/>
        </w:rPr>
        <w:t xml:space="preserve">the </w:t>
      </w:r>
      <w:r w:rsidR="009571F3" w:rsidRPr="00A141D2">
        <w:rPr>
          <w:lang w:val="en-GB"/>
        </w:rPr>
        <w:t xml:space="preserve">flow of goods between </w:t>
      </w:r>
      <w:r w:rsidR="00416726" w:rsidRPr="00A141D2">
        <w:rPr>
          <w:lang w:val="en-GB"/>
        </w:rPr>
        <w:t>sector</w:t>
      </w:r>
      <w:r w:rsidR="009571F3" w:rsidRPr="00A141D2">
        <w:rPr>
          <w:lang w:val="en-GB"/>
        </w:rPr>
        <w:t>s</w:t>
      </w:r>
      <w:r w:rsidR="00416726" w:rsidRPr="00A141D2">
        <w:rPr>
          <w:lang w:val="en-GB"/>
        </w:rPr>
        <w:t xml:space="preserve"> for the region</w:t>
      </w:r>
      <w:r w:rsidR="00E407BF" w:rsidRPr="00A141D2">
        <w:rPr>
          <w:lang w:val="en-GB"/>
        </w:rPr>
        <w:t>, revealing i</w:t>
      </w:r>
      <w:r w:rsidR="009571F3" w:rsidRPr="00A141D2">
        <w:rPr>
          <w:lang w:val="en-GB"/>
        </w:rPr>
        <w:t>ntersectoral dependenc</w:t>
      </w:r>
      <w:r w:rsidR="00E407BF" w:rsidRPr="00A141D2">
        <w:rPr>
          <w:lang w:val="en-GB"/>
        </w:rPr>
        <w:t>ies</w:t>
      </w:r>
      <w:r w:rsidR="001F3302" w:rsidRPr="00A141D2">
        <w:rPr>
          <w:lang w:val="en-GB"/>
        </w:rPr>
        <w:t>. T</w:t>
      </w:r>
      <w:r w:rsidR="00416726" w:rsidRPr="00A141D2">
        <w:rPr>
          <w:lang w:val="en-GB"/>
        </w:rPr>
        <w:t xml:space="preserve">he construction sector </w:t>
      </w:r>
      <w:r w:rsidR="00F361B5" w:rsidRPr="00A141D2">
        <w:rPr>
          <w:lang w:val="en-GB"/>
        </w:rPr>
        <w:t>and</w:t>
      </w:r>
      <w:r w:rsidR="00416726" w:rsidRPr="00A141D2">
        <w:rPr>
          <w:lang w:val="en-GB"/>
        </w:rPr>
        <w:t xml:space="preserve"> its direct to suppliers and consumers in the economy </w:t>
      </w:r>
      <w:r w:rsidR="00F361B5" w:rsidRPr="00A141D2">
        <w:rPr>
          <w:lang w:val="en-GB"/>
        </w:rPr>
        <w:t xml:space="preserve">are </w:t>
      </w:r>
      <w:r w:rsidR="00416726" w:rsidRPr="00A141D2">
        <w:rPr>
          <w:lang w:val="en-GB"/>
        </w:rPr>
        <w:t>particularly highlighted, because it is Latvia's largest producer and consumer of goods and depends on many domestic and foreign sectors, and has a large importance in the national economy. It is arguably an important sector in rebuilding flood</w:t>
      </w:r>
      <w:r w:rsidR="00F61817" w:rsidRPr="00A141D2">
        <w:rPr>
          <w:lang w:val="en-GB"/>
        </w:rPr>
        <w:t>-</w:t>
      </w:r>
      <w:r w:rsidR="00416726" w:rsidRPr="00A141D2">
        <w:rPr>
          <w:lang w:val="en-GB"/>
        </w:rPr>
        <w:t>impact</w:t>
      </w:r>
      <w:r w:rsidR="00C22D9D" w:rsidRPr="00A141D2">
        <w:rPr>
          <w:lang w:val="en-GB"/>
        </w:rPr>
        <w:t>ed assets</w:t>
      </w:r>
      <w:r w:rsidR="00416726" w:rsidRPr="00A141D2">
        <w:rPr>
          <w:lang w:val="en-GB"/>
        </w:rPr>
        <w:t>, so it is relevant to investigate the direct and indirect effects around this sector.</w:t>
      </w:r>
    </w:p>
    <w:p w14:paraId="1B25A9EB" w14:textId="3EEB54CA" w:rsidR="00307EC6" w:rsidRPr="00A141D2" w:rsidRDefault="00416726" w:rsidP="00BC125C">
      <w:pPr>
        <w:rPr>
          <w:lang w:val="en-GB"/>
        </w:rPr>
      </w:pPr>
      <w:r w:rsidRPr="00A141D2">
        <w:rPr>
          <w:lang w:val="en-GB"/>
        </w:rPr>
        <w:t xml:space="preserve">In summary, this study will analyse plausibilistic climate impact storylines for the 1/100-year return period flood event, its direct impact on </w:t>
      </w:r>
      <w:r w:rsidR="00EE7D80" w:rsidRPr="00A141D2">
        <w:rPr>
          <w:lang w:val="en-GB"/>
        </w:rPr>
        <w:t>building</w:t>
      </w:r>
      <w:r w:rsidRPr="00A141D2">
        <w:rPr>
          <w:lang w:val="en-GB"/>
        </w:rPr>
        <w:t xml:space="preserve"> assets and the cascading effects in the Latvian economy for the mid-century.</w:t>
      </w:r>
    </w:p>
    <w:p w14:paraId="5848570B" w14:textId="244569EB" w:rsidR="00307EC6" w:rsidRPr="00A141D2" w:rsidRDefault="00307EC6" w:rsidP="00307EC6">
      <w:pPr>
        <w:pStyle w:val="IOPText"/>
        <w:jc w:val="center"/>
      </w:pPr>
    </w:p>
    <w:p w14:paraId="655CFD97" w14:textId="01388F11" w:rsidR="00BC125C" w:rsidRPr="00A141D2" w:rsidRDefault="00BC125C" w:rsidP="00307EC6">
      <w:pPr>
        <w:pStyle w:val="IOPText"/>
        <w:jc w:val="center"/>
      </w:pPr>
      <w:r w:rsidRPr="00A141D2">
        <w:rPr>
          <w:noProof/>
        </w:rPr>
        <w:drawing>
          <wp:inline distT="0" distB="0" distL="0" distR="0" wp14:anchorId="71D538B8" wp14:editId="7F71A0BE">
            <wp:extent cx="5943600" cy="2967990"/>
            <wp:effectExtent l="0" t="0" r="0" b="3810"/>
            <wp:docPr id="775344957" name="Picture 1" descr="A map of li lu&#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44957" name="Picture 1" descr="A map of li lu&#10;&#10;Description automatically generated"/>
                    <pic:cNvPicPr/>
                  </pic:nvPicPr>
                  <pic:blipFill>
                    <a:blip r:embed="rId11">
                      <a:extLst>
                        <a:ext uri="{28A0092B-C50C-407E-A947-70E740481C1C}">
                          <a14:useLocalDpi xmlns:a14="http://schemas.microsoft.com/office/drawing/2010/main"/>
                        </a:ext>
                      </a:extLst>
                    </a:blip>
                    <a:stretch>
                      <a:fillRect/>
                    </a:stretch>
                  </pic:blipFill>
                  <pic:spPr>
                    <a:xfrm>
                      <a:off x="0" y="0"/>
                      <a:ext cx="5943600" cy="2967990"/>
                    </a:xfrm>
                    <a:prstGeom prst="rect">
                      <a:avLst/>
                    </a:prstGeom>
                  </pic:spPr>
                </pic:pic>
              </a:graphicData>
            </a:graphic>
          </wp:inline>
        </w:drawing>
      </w:r>
    </w:p>
    <w:p w14:paraId="6A4023F9" w14:textId="4A6B95C1" w:rsidR="00307EC6" w:rsidRPr="00A141D2" w:rsidRDefault="00307EC6" w:rsidP="00307EC6">
      <w:pPr>
        <w:pStyle w:val="Caption"/>
        <w:rPr>
          <w:sz w:val="22"/>
          <w:szCs w:val="20"/>
          <w:lang w:val="en-GB"/>
        </w:rPr>
      </w:pPr>
      <w:bookmarkStart w:id="1" w:name="_Ref159244283"/>
      <w:r w:rsidRPr="00A141D2">
        <w:rPr>
          <w:b/>
          <w:bCs/>
          <w:sz w:val="22"/>
          <w:szCs w:val="20"/>
          <w:lang w:val="en-GB"/>
        </w:rPr>
        <w:lastRenderedPageBreak/>
        <w:t xml:space="preserve">Figure </w:t>
      </w:r>
      <w:bookmarkEnd w:id="1"/>
      <w:r w:rsidR="00324231" w:rsidRPr="00A141D2">
        <w:rPr>
          <w:b/>
          <w:bCs/>
          <w:sz w:val="22"/>
          <w:szCs w:val="20"/>
          <w:lang w:val="en-GB"/>
        </w:rPr>
        <w:t>2</w:t>
      </w:r>
      <w:r w:rsidRPr="00A141D2">
        <w:rPr>
          <w:sz w:val="22"/>
          <w:szCs w:val="20"/>
          <w:lang w:val="en-GB"/>
        </w:rPr>
        <w:t>: Region of interest. The left image shows the location in Europe</w:t>
      </w:r>
      <w:r w:rsidR="00294D72" w:rsidRPr="00A141D2">
        <w:rPr>
          <w:sz w:val="22"/>
          <w:szCs w:val="20"/>
          <w:lang w:val="en-GB"/>
        </w:rPr>
        <w:t>,</w:t>
      </w:r>
      <w:r w:rsidRPr="00A141D2">
        <w:rPr>
          <w:sz w:val="22"/>
          <w:szCs w:val="20"/>
          <w:lang w:val="en-GB"/>
        </w:rPr>
        <w:t xml:space="preserve"> and the right image is a more detailed image of the river network in the basin. The red-filled shape is the Lielupe basin, and light blue indicates the sea surface and the rivers.</w:t>
      </w:r>
    </w:p>
    <w:p w14:paraId="18D6C9A5" w14:textId="76817C6A" w:rsidR="00307EC6" w:rsidRPr="00A141D2" w:rsidRDefault="00DA3D7E" w:rsidP="00A06B5D">
      <w:pPr>
        <w:jc w:val="center"/>
        <w:rPr>
          <w:lang w:val="en-GB"/>
        </w:rPr>
      </w:pPr>
      <w:r w:rsidRPr="00A141D2">
        <w:rPr>
          <w:noProof/>
          <w:lang w:val="en-GB"/>
        </w:rPr>
        <w:drawing>
          <wp:inline distT="0" distB="0" distL="0" distR="0" wp14:anchorId="4A59DC7E" wp14:editId="0E5574E1">
            <wp:extent cx="5208104" cy="5471290"/>
            <wp:effectExtent l="0" t="0" r="0" b="0"/>
            <wp:docPr id="851919697"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919697" name="Picture 1" descr="A diagram of a graph&#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228990" cy="5493231"/>
                    </a:xfrm>
                    <a:prstGeom prst="rect">
                      <a:avLst/>
                    </a:prstGeom>
                    <a:noFill/>
                    <a:ln>
                      <a:noFill/>
                    </a:ln>
                  </pic:spPr>
                </pic:pic>
              </a:graphicData>
            </a:graphic>
          </wp:inline>
        </w:drawing>
      </w:r>
    </w:p>
    <w:p w14:paraId="07FABC9A" w14:textId="06AEE908" w:rsidR="00324231" w:rsidRPr="00A141D2" w:rsidRDefault="00324231" w:rsidP="00056961">
      <w:pPr>
        <w:pStyle w:val="Caption"/>
        <w:rPr>
          <w:sz w:val="22"/>
          <w:szCs w:val="20"/>
          <w:lang w:val="en-GB"/>
        </w:rPr>
      </w:pPr>
      <w:r w:rsidRPr="00A141D2">
        <w:rPr>
          <w:b/>
          <w:bCs/>
          <w:sz w:val="22"/>
          <w:szCs w:val="20"/>
          <w:lang w:val="en-GB"/>
        </w:rPr>
        <w:t>Figure 3</w:t>
      </w:r>
      <w:r w:rsidRPr="00A141D2">
        <w:rPr>
          <w:sz w:val="22"/>
          <w:szCs w:val="20"/>
          <w:lang w:val="en-GB"/>
        </w:rPr>
        <w:t xml:space="preserve">: Sectoral interdependencies of the 40 largest sectors in Latvia based on the sum of intermediate sectoral consumption and production of goods in </w:t>
      </w:r>
      <w:r w:rsidR="00DC690A" w:rsidRPr="00A141D2">
        <w:rPr>
          <w:sz w:val="22"/>
          <w:szCs w:val="20"/>
          <w:lang w:val="en-GB"/>
        </w:rPr>
        <w:t>e</w:t>
      </w:r>
      <w:r w:rsidRPr="00A141D2">
        <w:rPr>
          <w:sz w:val="22"/>
          <w:szCs w:val="20"/>
          <w:lang w:val="en-GB"/>
        </w:rPr>
        <w:t xml:space="preserve">uro. </w:t>
      </w:r>
      <w:r w:rsidR="00032B95" w:rsidRPr="00A141D2">
        <w:rPr>
          <w:sz w:val="22"/>
          <w:szCs w:val="20"/>
          <w:lang w:val="en-GB"/>
        </w:rPr>
        <w:t>Sectors are sorted</w:t>
      </w:r>
      <w:r w:rsidR="00F451F9" w:rsidRPr="00A141D2">
        <w:rPr>
          <w:sz w:val="22"/>
          <w:szCs w:val="20"/>
          <w:lang w:val="en-GB"/>
        </w:rPr>
        <w:t xml:space="preserve"> on flow</w:t>
      </w:r>
      <w:r w:rsidR="00695977" w:rsidRPr="00A141D2">
        <w:rPr>
          <w:sz w:val="22"/>
          <w:szCs w:val="20"/>
          <w:lang w:val="en-GB"/>
        </w:rPr>
        <w:t xml:space="preserve"> sums</w:t>
      </w:r>
      <w:r w:rsidR="00032B95" w:rsidRPr="00A141D2">
        <w:rPr>
          <w:sz w:val="22"/>
          <w:szCs w:val="20"/>
          <w:lang w:val="en-GB"/>
        </w:rPr>
        <w:t xml:space="preserve"> from large </w:t>
      </w:r>
      <w:r w:rsidR="00F451F9" w:rsidRPr="00A141D2">
        <w:rPr>
          <w:sz w:val="22"/>
          <w:szCs w:val="20"/>
          <w:lang w:val="en-GB"/>
        </w:rPr>
        <w:t xml:space="preserve">to small in a clockwise position. </w:t>
      </w:r>
      <w:r w:rsidRPr="00A141D2">
        <w:rPr>
          <w:sz w:val="22"/>
          <w:szCs w:val="20"/>
          <w:lang w:val="en-GB"/>
        </w:rPr>
        <w:t xml:space="preserve">Arrows indicate the direction of goods. </w:t>
      </w:r>
      <w:r w:rsidR="009A1149" w:rsidRPr="00A141D2">
        <w:rPr>
          <w:sz w:val="22"/>
          <w:szCs w:val="20"/>
          <w:lang w:val="en-GB"/>
        </w:rPr>
        <w:t xml:space="preserve">The </w:t>
      </w:r>
      <w:r w:rsidR="00F451F9" w:rsidRPr="00A141D2">
        <w:rPr>
          <w:sz w:val="22"/>
          <w:szCs w:val="20"/>
          <w:lang w:val="en-GB"/>
        </w:rPr>
        <w:t xml:space="preserve">studied </w:t>
      </w:r>
      <w:r w:rsidR="009A1149" w:rsidRPr="00A141D2">
        <w:rPr>
          <w:sz w:val="22"/>
          <w:szCs w:val="20"/>
          <w:lang w:val="en-GB"/>
        </w:rPr>
        <w:t>construction sector</w:t>
      </w:r>
      <w:r w:rsidR="00F451F9" w:rsidRPr="00A141D2">
        <w:rPr>
          <w:sz w:val="22"/>
          <w:szCs w:val="20"/>
          <w:lang w:val="en-GB"/>
        </w:rPr>
        <w:t xml:space="preserve"> </w:t>
      </w:r>
      <w:r w:rsidR="00871FF7" w:rsidRPr="00A141D2">
        <w:rPr>
          <w:sz w:val="22"/>
          <w:szCs w:val="20"/>
          <w:lang w:val="en-GB"/>
        </w:rPr>
        <w:t>and its direct supplier and customer streams are highlighted in colour</w:t>
      </w:r>
      <w:r w:rsidRPr="00A141D2">
        <w:rPr>
          <w:sz w:val="22"/>
          <w:szCs w:val="20"/>
          <w:lang w:val="en-GB"/>
        </w:rPr>
        <w:t>.</w:t>
      </w:r>
      <w:r w:rsidR="006A70B2" w:rsidRPr="00A141D2">
        <w:rPr>
          <w:sz w:val="22"/>
          <w:szCs w:val="20"/>
          <w:lang w:val="en-GB"/>
        </w:rPr>
        <w:t xml:space="preserve"> Underlying d</w:t>
      </w:r>
      <w:r w:rsidR="006A70B2" w:rsidRPr="00A141D2">
        <w:rPr>
          <w:lang w:val="en-GB"/>
        </w:rPr>
        <w:t xml:space="preserve">ata is obtained from the Latvian statistics portal </w:t>
      </w:r>
      <w:r w:rsidR="006A70B2" w:rsidRPr="00A141D2">
        <w:rPr>
          <w:lang w:val="en-GB"/>
        </w:rPr>
        <w:fldChar w:fldCharType="begin"/>
      </w:r>
      <w:r w:rsidR="006A70B2" w:rsidRPr="00A141D2">
        <w:rPr>
          <w:lang w:val="en-GB"/>
        </w:rPr>
        <w:instrText xml:space="preserve"> ADDIN ZOTERO_ITEM CSL_CITATION {"citationID":"JdHs98eO","properties":{"formattedCitation":"(Central Statistical Bureau of Latvia, 2023)","plainCitation":"(Central Statistical Bureau of Latvia, 2023)","noteIndex":0},"citationItems":[{"id":3042,"uris":["http://zotero.org/users/11212985/items/Z3FDDKBP"],"itemData":{"id":3042,"type":"webpage","container-title":"Statistics Portal","language":"en","title":"Symmetric input-output table at basic prices","URL":"https://stat.gov.lv/en/statistics-themes/economy/national-accounts/tables/iki060-symmetric-input-output-table-basic-prices","author":[{"literal":"Central Statistical Bureau of Latvia"}],"accessed":{"date-parts":[["2024",10,23]]},"issued":{"date-parts":[["2023"]]},"citation-key":"centralstatisticalbureauoflatviaSymmetricInputoutputTable2023"}}],"schema":"https://github.com/citation-style-language/schema/raw/master/csl-citation.json"} </w:instrText>
      </w:r>
      <w:r w:rsidR="006A70B2" w:rsidRPr="00A141D2">
        <w:rPr>
          <w:lang w:val="en-GB"/>
        </w:rPr>
        <w:fldChar w:fldCharType="separate"/>
      </w:r>
      <w:r w:rsidR="006A70B2" w:rsidRPr="00A141D2">
        <w:rPr>
          <w:lang w:val="en-GB"/>
        </w:rPr>
        <w:t>(Central Statistical Bureau of Latvia, 2023)</w:t>
      </w:r>
      <w:r w:rsidR="006A70B2" w:rsidRPr="00A141D2">
        <w:rPr>
          <w:lang w:val="en-GB"/>
        </w:rPr>
        <w:fldChar w:fldCharType="end"/>
      </w:r>
      <w:r w:rsidR="00D12070" w:rsidRPr="00A141D2">
        <w:rPr>
          <w:lang w:val="en-GB"/>
        </w:rPr>
        <w:t>. "DOM" indicates domestic sectors, while "IMP" represents imported products, highlighting the distinction between locally produced and imported sectoral impacts.</w:t>
      </w:r>
    </w:p>
    <w:p w14:paraId="522542EC" w14:textId="64803C90" w:rsidR="003313B8" w:rsidRPr="00A141D2" w:rsidRDefault="003313B8" w:rsidP="003855D5">
      <w:pPr>
        <w:pStyle w:val="subheading"/>
        <w:rPr>
          <w:lang w:eastAsia="ja-JP"/>
        </w:rPr>
      </w:pPr>
      <w:r w:rsidRPr="00A141D2">
        <w:rPr>
          <w:lang w:eastAsia="ja-JP"/>
        </w:rPr>
        <w:t xml:space="preserve">2.2 </w:t>
      </w:r>
      <w:r w:rsidR="003601D9" w:rsidRPr="00A141D2">
        <w:rPr>
          <w:lang w:eastAsia="ja-JP"/>
        </w:rPr>
        <w:t xml:space="preserve">Plausibilistic </w:t>
      </w:r>
      <w:r w:rsidR="00B729F2" w:rsidRPr="00A141D2">
        <w:rPr>
          <w:lang w:eastAsia="ja-JP"/>
        </w:rPr>
        <w:t>storylines of extreme discharge</w:t>
      </w:r>
    </w:p>
    <w:p w14:paraId="7C54C0AA" w14:textId="1D44FAC0" w:rsidR="00116E74" w:rsidRPr="00A141D2" w:rsidRDefault="00116E74" w:rsidP="00116E74">
      <w:pPr>
        <w:rPr>
          <w:lang w:val="en-GB" w:eastAsia="ja-JP"/>
        </w:rPr>
      </w:pPr>
      <w:r w:rsidRPr="00A141D2">
        <w:rPr>
          <w:lang w:val="en-GB" w:eastAsia="ja-JP"/>
        </w:rPr>
        <w:t xml:space="preserve">Analysing how extreme discharges change in the basin is a key component of mapping future risks. However, these extremes are dependent on uncertain future climate conditions. For the </w:t>
      </w:r>
      <w:r w:rsidRPr="00A141D2">
        <w:rPr>
          <w:lang w:val="en-GB" w:eastAsia="ja-JP"/>
        </w:rPr>
        <w:lastRenderedPageBreak/>
        <w:t>Lielupe case, we specified a sub-selection of plausible mid-century climate scenario storylines</w:t>
      </w:r>
      <w:r w:rsidR="002B668B" w:rsidRPr="00A141D2">
        <w:rPr>
          <w:lang w:val="en-GB" w:eastAsia="ja-JP"/>
        </w:rPr>
        <w:t>,</w:t>
      </w:r>
      <w:r w:rsidRPr="00A141D2">
        <w:rPr>
          <w:lang w:val="en-GB" w:eastAsia="ja-JP"/>
        </w:rPr>
        <w:t xml:space="preserve"> and calculated changes in the conditional probabilistic 1/100 return period discharge for each storyline relative to the current baseline.</w:t>
      </w:r>
    </w:p>
    <w:p w14:paraId="1E52855B" w14:textId="29B8B3BE" w:rsidR="00116E74" w:rsidRPr="00A141D2" w:rsidRDefault="00116E74" w:rsidP="00116E74">
      <w:pPr>
        <w:rPr>
          <w:lang w:val="en-GB" w:eastAsia="en-GB"/>
        </w:rPr>
      </w:pPr>
      <w:r w:rsidRPr="00A141D2">
        <w:rPr>
          <w:lang w:val="en-GB" w:eastAsia="ja-JP"/>
        </w:rPr>
        <w:t xml:space="preserve">To obtain this information, this study replicates and extends the method introduced by </w:t>
      </w:r>
      <w:r w:rsidRPr="00A141D2">
        <w:rPr>
          <w:lang w:val="en-GB"/>
        </w:rPr>
        <w:t xml:space="preserve">Buskop et al. </w:t>
      </w:r>
      <w:r w:rsidRPr="00A141D2">
        <w:rPr>
          <w:lang w:val="en-GB" w:eastAsia="ja-JP"/>
        </w:rPr>
        <w:fldChar w:fldCharType="begin"/>
      </w:r>
      <w:r w:rsidR="003730AA">
        <w:rPr>
          <w:lang w:val="en-GB" w:eastAsia="ja-JP"/>
        </w:rPr>
        <w:instrText xml:space="preserve"> ADDIN ZOTERO_ITEM CSL_CITATION {"citationID":"VDKdjUIj","properties":{"formattedCitation":"(2024)","plainCitation":"(2024)","noteIndex":0},"citationItems":[{"id":3231,"uris":["http://zotero.org/users/11212985/items/CX67MHDG","http://zotero.org/users/11212985/items/9J33P84S"],"itemData":{"id":3231,"type":"article-journal","abstract":"Climate impacts will continue to evolve over the coming decades, requiring regions worldwide to obtain actionable climate information. Global Climate Models (GCMs) are often used to explore future conditions, but the variability of projections among GCMs complicates regional climate risk assessments. This variability in future projections is only partly explained by the often-used emission scenarios. Model uncertainty and internal variability play a major role in the outcomes of projected meteorological conditions, especially for local precipitation patterns. As precipitation is a key driver for hazards such as floods, droughts, and wildfires, local assessment of resulting risks using emission-based multi-model means probably leads to limited impact exploration. This study proposes a method to select more impact-relevant scenarios by determining regionally relevant climatic impact drivers and clustering GCMs on their projected changes in these drivers. We quantify the effectiveness of our approach by comparing future impacts covered by multi-model means per emission scenario with our approach, expressed as an “exploratory amplification” factor. We illustrate the method for flood risk in the Latvian Lielupe basin and find the novel method has an exploratory amplification up to a factor of eight for the mid-century. We conclude that our method results in locally relevant climate scenarios that significantly improve regional exploration of future climate impacts. Such scenarios provide targeted risk information that can be used in adaptation planning.","container-title":"Environmental Research: Climate","DOI":"10.1088/2752-5295/ad9f8f","ISSN":"2752-5295","journalAbbreviation":"Environ. Res.: Climate","language":"en","source":"Institute of Physics","title":"Amplifying exploration of regional climate risks: clustering future projections on regionally relevant impact drivers instead of emission scenarios","title-short":"Amplifying exploration of regional climate risks","URL":"http://iopscience.iop.org/article/10.1088/2752-5295/ad9f8f","author":[{"family":"Buskop","given":"Franciscus Eduard"},{"family":"Sperna-Weiland","given":"Frederiek"},{"family":"Hurk","given":"Bart","non-dropping-particle":"van den"}],"accessed":{"date-parts":[["2024",12,17]]},"issued":{"date-parts":[["2024"]]},"citation-key":"buskopAmplifyingExplorationRegional2024"},"label":"page","suppress-author":true}],"schema":"https://github.com/citation-style-language/schema/raw/master/csl-citation.json"} </w:instrText>
      </w:r>
      <w:r w:rsidRPr="00A141D2">
        <w:rPr>
          <w:lang w:val="en-GB" w:eastAsia="ja-JP"/>
        </w:rPr>
        <w:fldChar w:fldCharType="separate"/>
      </w:r>
      <w:r w:rsidR="0060193B" w:rsidRPr="00A141D2">
        <w:rPr>
          <w:rFonts w:ascii="Calibri" w:hAnsi="Calibri" w:cs="Calibri"/>
          <w:lang w:val="en-GB"/>
        </w:rPr>
        <w:t>(2024)</w:t>
      </w:r>
      <w:r w:rsidRPr="00A141D2">
        <w:rPr>
          <w:lang w:val="en-GB" w:eastAsia="ja-JP"/>
        </w:rPr>
        <w:fldChar w:fldCharType="end"/>
      </w:r>
      <w:r w:rsidRPr="00A141D2">
        <w:rPr>
          <w:lang w:val="en-GB" w:eastAsia="ja-JP"/>
        </w:rPr>
        <w:t xml:space="preserve">. This method creates a set of four climate scenario storylines by clustering GCM projections based on modelled changes in locally relevant CIDs, instead of clustering by emission scenario. Projections of local precipitation patterns are </w:t>
      </w:r>
      <w:r w:rsidR="00B82DD2" w:rsidRPr="00A141D2">
        <w:rPr>
          <w:lang w:val="en-GB" w:eastAsia="ja-JP"/>
        </w:rPr>
        <w:t xml:space="preserve">primarily </w:t>
      </w:r>
      <w:r w:rsidRPr="00A141D2">
        <w:rPr>
          <w:lang w:val="en-GB" w:eastAsia="ja-JP"/>
        </w:rPr>
        <w:t>governed by internal variability and model uncertainty</w:t>
      </w:r>
      <w:r w:rsidR="000254FF" w:rsidRPr="00A141D2">
        <w:rPr>
          <w:lang w:val="en-GB" w:eastAsia="ja-JP"/>
        </w:rPr>
        <w:t xml:space="preserve"> </w:t>
      </w:r>
      <w:r w:rsidR="000254FF" w:rsidRPr="00A141D2">
        <w:rPr>
          <w:lang w:val="en-GB" w:eastAsia="ja-JP"/>
        </w:rPr>
        <w:fldChar w:fldCharType="begin"/>
      </w:r>
      <w:r w:rsidR="000254FF" w:rsidRPr="00A141D2">
        <w:rPr>
          <w:lang w:val="en-GB" w:eastAsia="ja-JP"/>
        </w:rPr>
        <w:instrText xml:space="preserve"> ADDIN ZOTERO_ITEM CSL_CITATION {"citationID":"fMmsQw2T","properties":{"formattedCitation":"(Hawkins &amp; Sutton, 2011; F. Lehner et al., 2020)","plainCitation":"(Hawkins &amp; Sutton, 2011; F. Lehner et al., 2020)","noteIndex":0},"citationItems":[{"id":1290,"uris":["http://zotero.org/users/11212985/items/HP423JSE"],"itemData":{"id":1290,"type":"article-journal","abstract":"We separate and quantify the sources of uncertainty in projections of regional (</w:instrText>
      </w:r>
      <w:r w:rsidR="000254FF" w:rsidRPr="00A141D2">
        <w:rPr>
          <w:rFonts w:ascii="Cambria Math" w:hAnsi="Cambria Math" w:cs="Cambria Math"/>
          <w:lang w:val="en-GB" w:eastAsia="ja-JP"/>
        </w:rPr>
        <w:instrText>∼</w:instrText>
      </w:r>
      <w:r w:rsidR="000254FF" w:rsidRPr="00A141D2">
        <w:rPr>
          <w:lang w:val="en-GB" w:eastAsia="ja-JP"/>
        </w:rPr>
        <w:instrText xml:space="preserve">2,500 km) precipitation changes for the twenty-first century using the CMIP3 multi-model ensemble, allowing a direct comparison with a similar analysis for regional temperature changes. For decadal means of seasonal mean precipitation, internal variability is the dominant uncertainty for predictions of the first decade everywhere, and for many regions until the third decade ahead. Model uncertainty is generally the dominant source of uncertainty for longer lead times. Scenario uncertainty is found to be small or negligible for all regions and lead times, apart from close to the poles at the end of the century. For the global mean, model uncertainty dominates at all lead times. The signal-to-noise ratio (S/N) of the precipitation projections is highest at the poles but less than 1 almost everywhere else, and is far lower than for temperature projections. In particular, the tropics have the highest S/N for temperature, but the lowest for precipitation. We also estimate a ‘potential S/N’ by assuming that model uncertainty could be reduced to zero, and show that, for regional precipitation, the gains in S/N are fairly modest, especially for predictions of the next few decades. This finding suggests that adaptation decisions will need to be made in the context of high uncertainty concerning regional changes in precipitation. The potential to narrow uncertainty in regional temperature projections is far greater. These conclusions on S/N are for the current generation of models; the real signal may be larger or smaller than the CMIP3 multi-model mean. Also note that the S/N for extreme precipitation, which is more relevant for many climate impacts, may be larger than for the seasonal mean precipitation considered here.","container-title":"Climate Dynamics","DOI":"10.1007/s00382-010-0810-6","ISSN":"1432-0894","issue":"1","journalAbbreviation":"Clim Dyn","language":"en","page":"407-418","source":"Springer Link","title":"The potential to narrow uncertainty in projections of regional precipitation change","volume":"37","author":[{"family":"Hawkins","given":"Ed"},{"family":"Sutton","given":"Rowan"}],"issued":{"date-parts":[["2011",7,1]]},"citation-key":"hawkinsPotentialNarrowUncertainty2011"}},{"id":2355,"uris":["http://zotero.org/users/11212985/items/8ZK88B3E"],"itemData":{"id":2355,"type":"article-journal","abstract":"Partitioning uncertainty in projections of future climate change into contributions from internal variability, model response uncertainty and emissions scenarios has historically relied on making assumptions about forced changes in the mean and variability. With the advent of multiple single-model initial-condition large ensembles (SMILEs), these assumptions can be scrutinized, as they allow a more robust separation between sources of uncertainty. Here, the framework from Hawkins and Sutton (2009) for uncertainty partitioning is revisited for temperature and precipitation projections using seven SMILEs and the Coupled Model Intercomparison Project CMIP5 and CMIP6 archives. The original approach is shown to work well at global scales (potential method bias&amp;thinsp;&amp;lt;&amp;thinsp;20&amp;thinsp;%), while at local to regional scales such as British Isles temperature or Sahel precipitation, there is a notable potential method bias (up to 50&amp;thinsp;%), and more accurate partitioning of uncertainty is achieved through the use of SMILEs. Whenever internal variability and forced changes therein are important, the need to evaluate and improve the representation of variability in models is evident. The available SMILEs are shown to be a good representation of the CMIP5 model diversity in many situations, making them a useful tool for interpreting CMIP5. CMIP6 often shows larger absolute and relative model uncertainty than CMIP5, although part of this difference can be reconciled with the higher average transient climate response in CMIP6. This study demonstrates the added value of a collection of SMILEs for quantifying and diagnosing uncertainty in climate projections.","container-title":"Earth System Dynamics","DOI":"10.5194/esd-11-491-2020","ISSN":"2190-4979","issue":"2","language":"English","note":"publisher: Copernicus GmbH","page":"491-508","source":"Copernicus Online Journals","title":"Partitioning climate projection uncertainty with multiple large ensembles and CMIP5/6","volume":"11","author":[{"family":"Lehner","given":"Flavio"},{"family":"Deser","given":"Clara"},{"family":"Maher","given":"Nicola"},{"family":"Marotzke","given":"Jochem"},{"family":"Fischer","given":"Erich M."},{"family":"Brunner","given":"Lukas"},{"family":"Knutti","given":"Reto"},{"family":"Hawkins","given":"Ed"}],"issued":{"date-parts":[["2020",5,29]]},"citation-key":"lehnerPartitioningClimateProjection2020"}}],"schema":"https://github.com/citation-style-language/schema/raw/master/csl-citation.json"} </w:instrText>
      </w:r>
      <w:r w:rsidR="000254FF" w:rsidRPr="00A141D2">
        <w:rPr>
          <w:lang w:val="en-GB" w:eastAsia="ja-JP"/>
        </w:rPr>
        <w:fldChar w:fldCharType="separate"/>
      </w:r>
      <w:r w:rsidR="000254FF" w:rsidRPr="00A141D2">
        <w:rPr>
          <w:lang w:val="en-GB"/>
        </w:rPr>
        <w:t>(Hawkins &amp; Sutton, 2011; F. Lehner et al., 2020)</w:t>
      </w:r>
      <w:r w:rsidR="000254FF" w:rsidRPr="00A141D2">
        <w:rPr>
          <w:lang w:val="en-GB" w:eastAsia="ja-JP"/>
        </w:rPr>
        <w:fldChar w:fldCharType="end"/>
      </w:r>
      <w:r w:rsidRPr="00A141D2">
        <w:rPr>
          <w:lang w:val="en-GB" w:eastAsia="ja-JP"/>
        </w:rPr>
        <w:t xml:space="preserve">, and aggregation by emission scenario leaves hardly any meaningful scenario variability </w:t>
      </w:r>
      <w:r w:rsidR="006D198F" w:rsidRPr="00A141D2">
        <w:rPr>
          <w:lang w:val="en-GB" w:eastAsia="ja-JP"/>
        </w:rPr>
        <w:t xml:space="preserve">for </w:t>
      </w:r>
      <w:r w:rsidR="00883AF1" w:rsidRPr="00A141D2">
        <w:rPr>
          <w:lang w:val="en-GB" w:eastAsia="ja-JP"/>
        </w:rPr>
        <w:t>exploring regional climate risks</w:t>
      </w:r>
      <w:r w:rsidRPr="00A141D2">
        <w:rPr>
          <w:lang w:val="en-GB" w:eastAsia="ja-JP"/>
        </w:rPr>
        <w:t xml:space="preserve">. </w:t>
      </w:r>
      <w:r w:rsidR="00955217" w:rsidRPr="00A141D2">
        <w:rPr>
          <w:lang w:val="en-GB" w:eastAsia="ja-JP"/>
        </w:rPr>
        <w:t>As such</w:t>
      </w:r>
      <w:r w:rsidR="000254FF" w:rsidRPr="00A141D2">
        <w:rPr>
          <w:lang w:val="en-GB" w:eastAsia="ja-JP"/>
        </w:rPr>
        <w:t>,</w:t>
      </w:r>
      <w:r w:rsidR="00955217" w:rsidRPr="00A141D2">
        <w:rPr>
          <w:lang w:val="en-GB" w:eastAsia="ja-JP"/>
        </w:rPr>
        <w:t xml:space="preserve"> </w:t>
      </w:r>
      <w:r w:rsidRPr="00A141D2">
        <w:rPr>
          <w:lang w:val="en-GB" w:eastAsia="ja-JP"/>
        </w:rPr>
        <w:t>a relevant range of potential future conditions combin</w:t>
      </w:r>
      <w:r w:rsidR="005557F6" w:rsidRPr="00A141D2">
        <w:rPr>
          <w:lang w:val="en-GB" w:eastAsia="ja-JP"/>
        </w:rPr>
        <w:t>es</w:t>
      </w:r>
      <w:r w:rsidRPr="00A141D2">
        <w:rPr>
          <w:lang w:val="en-GB" w:eastAsia="ja-JP"/>
        </w:rPr>
        <w:t xml:space="preserve"> the </w:t>
      </w:r>
      <w:r w:rsidRPr="00A141D2">
        <w:rPr>
          <w:lang w:val="en-GB"/>
        </w:rPr>
        <w:t xml:space="preserve">effects of internal variability, model uncertainty, and emission pathways </w:t>
      </w:r>
      <w:r w:rsidR="00CD361F" w:rsidRPr="00A141D2">
        <w:rPr>
          <w:lang w:val="en-GB"/>
        </w:rPr>
        <w:t>to be used in</w:t>
      </w:r>
      <w:r w:rsidRPr="00A141D2">
        <w:rPr>
          <w:lang w:val="en-GB"/>
        </w:rPr>
        <w:t xml:space="preserve"> </w:t>
      </w:r>
      <w:r w:rsidRPr="00A141D2">
        <w:rPr>
          <w:lang w:val="en-GB" w:eastAsia="ja-JP"/>
        </w:rPr>
        <w:t>regional disaster risk management and adaptation planning</w:t>
      </w:r>
      <w:r w:rsidRPr="00A141D2">
        <w:rPr>
          <w:lang w:val="en-GB"/>
        </w:rPr>
        <w:t xml:space="preserve"> </w:t>
      </w:r>
      <w:r w:rsidRPr="00A141D2">
        <w:rPr>
          <w:lang w:val="en-GB" w:eastAsia="ja-JP"/>
        </w:rPr>
        <w:fldChar w:fldCharType="begin"/>
      </w:r>
      <w:r w:rsidR="00E62822" w:rsidRPr="00A141D2">
        <w:rPr>
          <w:lang w:val="en-GB" w:eastAsia="ja-JP"/>
        </w:rPr>
        <w:instrText xml:space="preserve"> ADDIN ZOTERO_ITEM CSL_CITATION {"citationID":"IUxBrUTy","properties":{"formattedCitation":"(Deser, 2020)","plainCitation":"(Deser, 2020)","noteIndex":0},"citationItems":[{"id":3118,"uris":["http://zotero.org/users/11212985/items/MTLHJ82K"],"itemData":{"id":3118,"type":"article-journal","abstract":"Internal climate variability co-exists with anthropogenic climate change and places limits on the accuracy of regional climate projections due to its inherent unpredictability. This “certain” uncertainty in regional projections introduced by internal variability contrasts with uncertainty resulting from structural differences amongst climate models, which is potentially reducible as climate models improve. Initial-condition “Large Ensembles” of simulations with individual climate models provide a new perspective on the expected range of future climate change outcomes. Their value for climate risk assessment, adaptation management, and decision-making has yet to be fully realized.","container-title":"Earth's Future","DOI":"10.1029/2020EF001854","ISSN":"2328-4277","issue":"12","language":"en","license":"©2020. The Authors.","note":"_eprint: https://agupubs.onlinelibrary.wiley.com/doi/pdf/10.1029/2020EF001854","page":"e2020EF001854","source":"Wiley Online Library","title":"“Certain Uncertainty: The Role of Internal Climate Variability in Projections of Regional Climate Change and Risk Management”","title-short":"“Certain Uncertainty","volume":"8","author":[{"family":"Deser","given":"Clara"}],"issued":{"date-parts":[["2020"]]},"citation-key":"deserCertainUncertaintyRole2020"}}],"schema":"https://github.com/citation-style-language/schema/raw/master/csl-citation.json"} </w:instrText>
      </w:r>
      <w:r w:rsidRPr="00A141D2">
        <w:rPr>
          <w:lang w:val="en-GB" w:eastAsia="ja-JP"/>
        </w:rPr>
        <w:fldChar w:fldCharType="separate"/>
      </w:r>
      <w:r w:rsidR="00E62822" w:rsidRPr="00A141D2">
        <w:rPr>
          <w:lang w:val="en-GB"/>
        </w:rPr>
        <w:t>(Deser, 2020)</w:t>
      </w:r>
      <w:r w:rsidRPr="00A141D2">
        <w:rPr>
          <w:lang w:val="en-GB" w:eastAsia="ja-JP"/>
        </w:rPr>
        <w:fldChar w:fldCharType="end"/>
      </w:r>
      <w:r w:rsidRPr="00A141D2">
        <w:rPr>
          <w:lang w:val="en-GB"/>
        </w:rPr>
        <w:t>.</w:t>
      </w:r>
    </w:p>
    <w:p w14:paraId="5ED2B3BF" w14:textId="77777777" w:rsidR="00116E74" w:rsidRPr="00A141D2" w:rsidRDefault="00116E74" w:rsidP="00775CD3">
      <w:pPr>
        <w:pStyle w:val="subheading"/>
        <w:rPr>
          <w:lang w:eastAsia="ja-JP"/>
        </w:rPr>
      </w:pPr>
      <w:r w:rsidRPr="00A141D2">
        <w:rPr>
          <w:lang w:eastAsia="ja-JP"/>
        </w:rPr>
        <w:t>2.2.1 Relevant Climatic Impact Drivers in the Basin</w:t>
      </w:r>
    </w:p>
    <w:p w14:paraId="27FA2638" w14:textId="76905935" w:rsidR="007053BC" w:rsidRPr="00A141D2" w:rsidRDefault="007F057F" w:rsidP="00116E74">
      <w:pPr>
        <w:rPr>
          <w:lang w:val="en-GB" w:eastAsia="ja-JP"/>
        </w:rPr>
      </w:pPr>
      <w:r w:rsidRPr="00A141D2">
        <w:rPr>
          <w:lang w:val="en-GB"/>
        </w:rPr>
        <w:t xml:space="preserve">To develop climate scenario storylines that allow us to explore a range of plausible extreme discharge changes in the basin, we use the method detailed by </w:t>
      </w:r>
      <w:r w:rsidR="00116E74" w:rsidRPr="00A141D2">
        <w:rPr>
          <w:lang w:val="en-GB" w:eastAsia="ja-JP"/>
        </w:rPr>
        <w:t xml:space="preserve">Buskop et al. </w:t>
      </w:r>
      <w:r w:rsidR="00116E74" w:rsidRPr="00A141D2">
        <w:rPr>
          <w:lang w:val="en-GB" w:eastAsia="ja-JP"/>
        </w:rPr>
        <w:fldChar w:fldCharType="begin"/>
      </w:r>
      <w:r w:rsidR="003730AA">
        <w:rPr>
          <w:lang w:val="en-GB" w:eastAsia="ja-JP"/>
        </w:rPr>
        <w:instrText xml:space="preserve"> ADDIN ZOTERO_ITEM CSL_CITATION {"citationID":"8c0pFLyH","properties":{"formattedCitation":"(2024)","plainCitation":"(2024)","noteIndex":0},"citationItems":[{"id":3231,"uris":["http://zotero.org/users/11212985/items/CX67MHDG","http://zotero.org/users/11212985/items/9J33P84S"],"itemData":{"id":3231,"type":"article-journal","abstract":"Climate impacts will continue to evolve over the coming decades, requiring regions worldwide to obtain actionable climate information. Global Climate Models (GCMs) are often used to explore future conditions, but the variability of projections among GCMs complicates regional climate risk assessments. This variability in future projections is only partly explained by the often-used emission scenarios. Model uncertainty and internal variability play a major role in the outcomes of projected meteorological conditions, especially for local precipitation patterns. As precipitation is a key driver for hazards such as floods, droughts, and wildfires, local assessment of resulting risks using emission-based multi-model means probably leads to limited impact exploration. This study proposes a method to select more impact-relevant scenarios by determining regionally relevant climatic impact drivers and clustering GCMs on their projected changes in these drivers. We quantify the effectiveness of our approach by comparing future impacts covered by multi-model means per emission scenario with our approach, expressed as an “exploratory amplification” factor. We illustrate the method for flood risk in the Latvian Lielupe basin and find the novel method has an exploratory amplification up to a factor of eight for the mid-century. We conclude that our method results in locally relevant climate scenarios that significantly improve regional exploration of future climate impacts. Such scenarios provide targeted risk information that can be used in adaptation planning.","container-title":"Environmental Research: Climate","DOI":"10.1088/2752-5295/ad9f8f","ISSN":"2752-5295","journalAbbreviation":"Environ. Res.: Climate","language":"en","source":"Institute of Physics","title":"Amplifying exploration of regional climate risks: clustering future projections on regionally relevant impact drivers instead of emission scenarios","title-short":"Amplifying exploration of regional climate risks","URL":"http://iopscience.iop.org/article/10.1088/2752-5295/ad9f8f","author":[{"family":"Buskop","given":"Franciscus Eduard"},{"family":"Sperna-Weiland","given":"Frederiek"},{"family":"Hurk","given":"Bart","non-dropping-particle":"van den"}],"accessed":{"date-parts":[["2024",12,17]]},"issued":{"date-parts":[["2024"]]},"citation-key":"buskopAmplifyingExplorationRegional2024"},"label":"page","suppress-author":true}],"schema":"https://github.com/citation-style-language/schema/raw/master/csl-citation.json"} </w:instrText>
      </w:r>
      <w:r w:rsidR="00116E74" w:rsidRPr="00A141D2">
        <w:rPr>
          <w:lang w:val="en-GB" w:eastAsia="ja-JP"/>
        </w:rPr>
        <w:fldChar w:fldCharType="separate"/>
      </w:r>
      <w:r w:rsidR="0060193B" w:rsidRPr="00A141D2">
        <w:rPr>
          <w:rFonts w:ascii="Calibri" w:hAnsi="Calibri" w:cs="Calibri"/>
          <w:lang w:val="en-GB"/>
        </w:rPr>
        <w:t>(2024)</w:t>
      </w:r>
      <w:r w:rsidR="00116E74" w:rsidRPr="00A141D2">
        <w:rPr>
          <w:lang w:val="en-GB" w:eastAsia="ja-JP"/>
        </w:rPr>
        <w:fldChar w:fldCharType="end"/>
      </w:r>
      <w:r w:rsidR="00116E74" w:rsidRPr="00A141D2">
        <w:rPr>
          <w:lang w:val="en-GB" w:eastAsia="ja-JP"/>
        </w:rPr>
        <w:t>.</w:t>
      </w:r>
      <w:r w:rsidR="00D31613" w:rsidRPr="00A141D2">
        <w:rPr>
          <w:lang w:val="en-GB" w:eastAsia="ja-JP"/>
        </w:rPr>
        <w:t xml:space="preserve"> The method </w:t>
      </w:r>
      <w:r w:rsidR="00E43F8F" w:rsidRPr="00A141D2">
        <w:rPr>
          <w:lang w:val="en-GB" w:eastAsia="ja-JP"/>
        </w:rPr>
        <w:t>starts by identifying</w:t>
      </w:r>
      <w:r w:rsidR="00C62528" w:rsidRPr="00A141D2">
        <w:rPr>
          <w:lang w:val="en-GB" w:eastAsia="ja-JP"/>
        </w:rPr>
        <w:t xml:space="preserve"> CIDs</w:t>
      </w:r>
      <w:r w:rsidR="005F1108" w:rsidRPr="00A141D2">
        <w:rPr>
          <w:lang w:val="en-GB"/>
        </w:rPr>
        <w:t xml:space="preserve"> that significantly influence flood risk in the region</w:t>
      </w:r>
      <w:r w:rsidR="00CE0EF6" w:rsidRPr="00A141D2">
        <w:rPr>
          <w:lang w:val="en-GB" w:eastAsia="ja-JP"/>
        </w:rPr>
        <w:t>.</w:t>
      </w:r>
      <w:r w:rsidR="00C804CB" w:rsidRPr="00A141D2">
        <w:rPr>
          <w:lang w:val="en-GB" w:eastAsia="ja-JP"/>
        </w:rPr>
        <w:t xml:space="preserve"> Using these CIDs</w:t>
      </w:r>
      <w:r w:rsidR="001B010D" w:rsidRPr="00A141D2">
        <w:rPr>
          <w:lang w:val="en-GB" w:eastAsia="ja-JP"/>
        </w:rPr>
        <w:t xml:space="preserve">, </w:t>
      </w:r>
      <w:r w:rsidR="005F1108" w:rsidRPr="00A141D2">
        <w:rPr>
          <w:lang w:val="en-GB" w:eastAsia="ja-JP"/>
        </w:rPr>
        <w:t>flood-relevant</w:t>
      </w:r>
      <w:r w:rsidR="001B010D" w:rsidRPr="00A141D2">
        <w:rPr>
          <w:lang w:val="en-GB" w:eastAsia="ja-JP"/>
        </w:rPr>
        <w:t xml:space="preserve"> climate scenario storyline</w:t>
      </w:r>
      <w:r w:rsidR="005F1108" w:rsidRPr="00A141D2">
        <w:rPr>
          <w:lang w:val="en-GB" w:eastAsia="ja-JP"/>
        </w:rPr>
        <w:t>s</w:t>
      </w:r>
      <w:r w:rsidR="001B010D" w:rsidRPr="00A141D2">
        <w:rPr>
          <w:lang w:val="en-GB" w:eastAsia="ja-JP"/>
        </w:rPr>
        <w:t xml:space="preserve"> can be constructed (section 2.2.2). </w:t>
      </w:r>
      <w:r w:rsidR="00FC1F41" w:rsidRPr="00A141D2">
        <w:rPr>
          <w:lang w:val="en-GB" w:eastAsia="ja-JP"/>
        </w:rPr>
        <w:t>R</w:t>
      </w:r>
      <w:r w:rsidR="000C25CA" w:rsidRPr="00A141D2">
        <w:rPr>
          <w:lang w:val="en-GB" w:eastAsia="ja-JP"/>
        </w:rPr>
        <w:t xml:space="preserve">elevant </w:t>
      </w:r>
      <w:r w:rsidR="000C29D5" w:rsidRPr="00A141D2">
        <w:rPr>
          <w:lang w:val="en-GB" w:eastAsia="ja-JP"/>
        </w:rPr>
        <w:t>CID</w:t>
      </w:r>
      <w:r w:rsidR="00A35F0D" w:rsidRPr="00A141D2">
        <w:rPr>
          <w:lang w:val="en-GB" w:eastAsia="ja-JP"/>
        </w:rPr>
        <w:t xml:space="preserve"> identification</w:t>
      </w:r>
      <w:r w:rsidR="000C29D5" w:rsidRPr="00A141D2">
        <w:rPr>
          <w:lang w:val="en-GB" w:eastAsia="ja-JP"/>
        </w:rPr>
        <w:t xml:space="preserve"> </w:t>
      </w:r>
      <w:r w:rsidR="00A35F0D" w:rsidRPr="00A141D2">
        <w:rPr>
          <w:lang w:val="en-GB" w:eastAsia="ja-JP"/>
        </w:rPr>
        <w:t>requires</w:t>
      </w:r>
      <w:r w:rsidR="004D6220" w:rsidRPr="00A141D2">
        <w:rPr>
          <w:lang w:val="en-GB" w:eastAsia="ja-JP"/>
        </w:rPr>
        <w:t xml:space="preserve"> the </w:t>
      </w:r>
      <w:r w:rsidR="00FC1F41" w:rsidRPr="00A141D2">
        <w:rPr>
          <w:lang w:val="en-GB" w:eastAsia="ja-JP"/>
        </w:rPr>
        <w:t>development</w:t>
      </w:r>
      <w:r w:rsidR="004D6220" w:rsidRPr="00A141D2">
        <w:rPr>
          <w:lang w:val="en-GB" w:eastAsia="ja-JP"/>
        </w:rPr>
        <w:t xml:space="preserve"> of atmospheric forcing</w:t>
      </w:r>
      <w:r w:rsidR="006758D0" w:rsidRPr="00A141D2">
        <w:rPr>
          <w:lang w:val="en-GB" w:eastAsia="ja-JP"/>
        </w:rPr>
        <w:t xml:space="preserve"> time series</w:t>
      </w:r>
      <w:r w:rsidR="004D6220" w:rsidRPr="00A141D2">
        <w:rPr>
          <w:lang w:val="en-GB" w:eastAsia="ja-JP"/>
        </w:rPr>
        <w:t xml:space="preserve"> under </w:t>
      </w:r>
      <w:r w:rsidR="001D70DF" w:rsidRPr="00A141D2">
        <w:rPr>
          <w:lang w:val="en-GB" w:eastAsia="ja-JP"/>
        </w:rPr>
        <w:t xml:space="preserve">various climate conditions, a </w:t>
      </w:r>
      <w:r w:rsidR="000C29D5" w:rsidRPr="00A141D2">
        <w:rPr>
          <w:lang w:val="en-GB" w:eastAsia="ja-JP"/>
        </w:rPr>
        <w:t>calibrate</w:t>
      </w:r>
      <w:r w:rsidR="001D70DF" w:rsidRPr="00A141D2">
        <w:rPr>
          <w:lang w:val="en-GB" w:eastAsia="ja-JP"/>
        </w:rPr>
        <w:t>d</w:t>
      </w:r>
      <w:r w:rsidR="000C29D5" w:rsidRPr="00A141D2">
        <w:rPr>
          <w:lang w:val="en-GB" w:eastAsia="ja-JP"/>
        </w:rPr>
        <w:t xml:space="preserve"> hydrological model</w:t>
      </w:r>
      <w:r w:rsidR="00A35F0D" w:rsidRPr="00A141D2">
        <w:rPr>
          <w:lang w:val="en-GB" w:eastAsia="ja-JP"/>
        </w:rPr>
        <w:t xml:space="preserve"> to capture </w:t>
      </w:r>
      <w:r w:rsidR="001D70DF" w:rsidRPr="00A141D2">
        <w:rPr>
          <w:lang w:val="en-GB" w:eastAsia="ja-JP"/>
        </w:rPr>
        <w:t xml:space="preserve">resulting </w:t>
      </w:r>
      <w:r w:rsidR="004D6220" w:rsidRPr="00A141D2">
        <w:rPr>
          <w:lang w:val="en-GB" w:eastAsia="ja-JP"/>
        </w:rPr>
        <w:t>discharge extremes</w:t>
      </w:r>
      <w:r w:rsidR="001D70DF" w:rsidRPr="00A141D2">
        <w:rPr>
          <w:lang w:val="en-GB" w:eastAsia="ja-JP"/>
        </w:rPr>
        <w:t>, and a feature scoring</w:t>
      </w:r>
      <w:r w:rsidR="00A43CF5" w:rsidRPr="00A141D2">
        <w:rPr>
          <w:lang w:val="en-GB" w:eastAsia="ja-JP"/>
        </w:rPr>
        <w:t xml:space="preserve"> </w:t>
      </w:r>
      <w:r w:rsidR="00FC1F41" w:rsidRPr="00A141D2">
        <w:rPr>
          <w:lang w:val="en-GB" w:eastAsia="ja-JP"/>
        </w:rPr>
        <w:t xml:space="preserve">step </w:t>
      </w:r>
      <w:r w:rsidR="00A43CF5" w:rsidRPr="00A141D2">
        <w:rPr>
          <w:lang w:val="en-GB" w:eastAsia="ja-JP"/>
        </w:rPr>
        <w:t>that identifies those CID</w:t>
      </w:r>
      <w:r w:rsidR="00A4792B" w:rsidRPr="00A141D2">
        <w:rPr>
          <w:lang w:val="en-GB" w:eastAsia="ja-JP"/>
        </w:rPr>
        <w:t>s</w:t>
      </w:r>
      <w:r w:rsidR="00A43CF5" w:rsidRPr="00A141D2">
        <w:rPr>
          <w:lang w:val="en-GB" w:eastAsia="ja-JP"/>
        </w:rPr>
        <w:t xml:space="preserve"> that influence extreme discharges most</w:t>
      </w:r>
      <w:r w:rsidR="009933B8" w:rsidRPr="00A141D2">
        <w:rPr>
          <w:lang w:val="en-GB" w:eastAsia="ja-JP"/>
        </w:rPr>
        <w:t>.</w:t>
      </w:r>
      <w:r w:rsidR="001B010D" w:rsidRPr="00A141D2">
        <w:rPr>
          <w:lang w:val="en-GB" w:eastAsia="ja-JP"/>
        </w:rPr>
        <w:t xml:space="preserve"> </w:t>
      </w:r>
    </w:p>
    <w:p w14:paraId="00D88387" w14:textId="1E2FB801" w:rsidR="008927D6" w:rsidRPr="00A141D2" w:rsidRDefault="0013699D" w:rsidP="00357BE4">
      <w:pPr>
        <w:rPr>
          <w:lang w:val="en-GB"/>
        </w:rPr>
      </w:pPr>
      <w:r w:rsidRPr="00A141D2">
        <w:rPr>
          <w:lang w:val="en-GB"/>
        </w:rPr>
        <w:t xml:space="preserve">Meaningful </w:t>
      </w:r>
      <w:r w:rsidR="005F3737" w:rsidRPr="00A141D2">
        <w:rPr>
          <w:lang w:val="en-GB"/>
        </w:rPr>
        <w:t>hydrological modelling</w:t>
      </w:r>
      <w:r w:rsidR="006F2C1C" w:rsidRPr="00A141D2">
        <w:rPr>
          <w:lang w:val="en-GB"/>
        </w:rPr>
        <w:t xml:space="preserve"> of discharge extremes</w:t>
      </w:r>
      <w:r w:rsidR="005F3737" w:rsidRPr="00A141D2">
        <w:rPr>
          <w:lang w:val="en-GB"/>
        </w:rPr>
        <w:t xml:space="preserve"> </w:t>
      </w:r>
      <w:r w:rsidR="00E463D5" w:rsidRPr="00A141D2">
        <w:rPr>
          <w:lang w:val="en-GB"/>
        </w:rPr>
        <w:t>require</w:t>
      </w:r>
      <w:r w:rsidR="005B4F1B" w:rsidRPr="00A141D2">
        <w:rPr>
          <w:lang w:val="en-GB"/>
        </w:rPr>
        <w:t>s</w:t>
      </w:r>
      <w:r w:rsidR="00E463D5" w:rsidRPr="00A141D2">
        <w:rPr>
          <w:lang w:val="en-GB"/>
        </w:rPr>
        <w:t xml:space="preserve"> </w:t>
      </w:r>
      <w:r w:rsidR="00FC1F41" w:rsidRPr="00A141D2">
        <w:rPr>
          <w:lang w:val="en-GB"/>
        </w:rPr>
        <w:t>high resolution</w:t>
      </w:r>
      <w:r w:rsidR="00B5175C" w:rsidRPr="00A141D2">
        <w:rPr>
          <w:lang w:val="en-GB"/>
        </w:rPr>
        <w:t>,</w:t>
      </w:r>
      <w:r w:rsidR="00E463D5" w:rsidRPr="00A141D2">
        <w:rPr>
          <w:lang w:val="en-GB"/>
        </w:rPr>
        <w:t xml:space="preserve"> forcing time series </w:t>
      </w:r>
      <w:r w:rsidR="00B5175C" w:rsidRPr="00A141D2">
        <w:rPr>
          <w:lang w:val="en-GB"/>
        </w:rPr>
        <w:t>of daily temperature and precipitation</w:t>
      </w:r>
      <w:r w:rsidR="005B4F1B" w:rsidRPr="00A141D2">
        <w:rPr>
          <w:lang w:val="en-GB"/>
        </w:rPr>
        <w:t>. At the same time</w:t>
      </w:r>
      <w:r w:rsidR="007C381F" w:rsidRPr="00A141D2">
        <w:rPr>
          <w:lang w:val="en-GB"/>
        </w:rPr>
        <w:t>,</w:t>
      </w:r>
      <w:r w:rsidR="005B4F1B" w:rsidRPr="00A141D2">
        <w:rPr>
          <w:lang w:val="en-GB"/>
        </w:rPr>
        <w:t xml:space="preserve"> </w:t>
      </w:r>
      <w:r w:rsidR="004D4C95" w:rsidRPr="00A141D2">
        <w:rPr>
          <w:lang w:val="en-GB"/>
        </w:rPr>
        <w:t xml:space="preserve">comparing the influence of CIDs on discharge extremes requires a </w:t>
      </w:r>
      <w:r w:rsidR="00E463D5" w:rsidRPr="00A141D2">
        <w:rPr>
          <w:lang w:val="en-GB"/>
        </w:rPr>
        <w:t>consistent sequence of events</w:t>
      </w:r>
      <w:r w:rsidR="000B3881" w:rsidRPr="00A141D2">
        <w:rPr>
          <w:lang w:val="en-GB"/>
        </w:rPr>
        <w:t xml:space="preserve"> across </w:t>
      </w:r>
      <w:r w:rsidR="00FC1F41" w:rsidRPr="00A141D2">
        <w:rPr>
          <w:lang w:val="en-GB"/>
        </w:rPr>
        <w:t xml:space="preserve">alternative </w:t>
      </w:r>
      <w:r w:rsidR="006C0DE0" w:rsidRPr="00A141D2">
        <w:rPr>
          <w:lang w:val="en-GB"/>
        </w:rPr>
        <w:t>forcing runs</w:t>
      </w:r>
      <w:r w:rsidR="004D4C95" w:rsidRPr="00A141D2">
        <w:rPr>
          <w:lang w:val="en-GB"/>
        </w:rPr>
        <w:t xml:space="preserve">. </w:t>
      </w:r>
      <w:r w:rsidR="001D12BF" w:rsidRPr="00A141D2">
        <w:rPr>
          <w:lang w:val="en-GB"/>
        </w:rPr>
        <w:t>The</w:t>
      </w:r>
      <w:r w:rsidR="006C0DE0" w:rsidRPr="00A141D2">
        <w:rPr>
          <w:lang w:val="en-GB"/>
        </w:rPr>
        <w:t>se</w:t>
      </w:r>
      <w:r w:rsidR="001D12BF" w:rsidRPr="00A141D2">
        <w:rPr>
          <w:lang w:val="en-GB"/>
        </w:rPr>
        <w:t xml:space="preserve"> two requirements are</w:t>
      </w:r>
      <w:r w:rsidR="002C5F15" w:rsidRPr="00A141D2">
        <w:rPr>
          <w:lang w:val="en-GB"/>
        </w:rPr>
        <w:t xml:space="preserve"> currently unavailable in </w:t>
      </w:r>
      <w:r w:rsidR="00CD3B4B" w:rsidRPr="00A141D2">
        <w:rPr>
          <w:lang w:val="en-GB"/>
        </w:rPr>
        <w:t xml:space="preserve">the </w:t>
      </w:r>
      <w:r w:rsidR="006C0DE0" w:rsidRPr="00A141D2">
        <w:rPr>
          <w:lang w:val="en-GB"/>
        </w:rPr>
        <w:t>available</w:t>
      </w:r>
      <w:r w:rsidR="001D12BF" w:rsidRPr="00A141D2">
        <w:rPr>
          <w:lang w:val="en-GB"/>
        </w:rPr>
        <w:t xml:space="preserve"> </w:t>
      </w:r>
      <w:r w:rsidR="002C5F15" w:rsidRPr="00A141D2">
        <w:rPr>
          <w:lang w:val="en-GB"/>
        </w:rPr>
        <w:t>GCM time series</w:t>
      </w:r>
      <w:r w:rsidR="00E463D5" w:rsidRPr="00A141D2">
        <w:rPr>
          <w:lang w:val="en-GB"/>
        </w:rPr>
        <w:t>.</w:t>
      </w:r>
      <w:r w:rsidR="005D2F4E" w:rsidRPr="00A141D2">
        <w:rPr>
          <w:lang w:val="en-GB"/>
        </w:rPr>
        <w:t xml:space="preserve"> </w:t>
      </w:r>
      <w:r w:rsidR="001D12BF" w:rsidRPr="00A141D2">
        <w:rPr>
          <w:lang w:val="en-GB"/>
        </w:rPr>
        <w:t>To this end</w:t>
      </w:r>
      <w:r w:rsidR="006F2C1C" w:rsidRPr="00A141D2">
        <w:rPr>
          <w:lang w:val="en-GB"/>
        </w:rPr>
        <w:t>,</w:t>
      </w:r>
      <w:r w:rsidR="00B5175C" w:rsidRPr="00A141D2">
        <w:rPr>
          <w:lang w:val="en-GB"/>
        </w:rPr>
        <w:t xml:space="preserve"> a stochastic weather generator based on Steinschneider and Brown </w:t>
      </w:r>
      <w:r w:rsidR="00B5175C" w:rsidRPr="00A141D2">
        <w:rPr>
          <w:lang w:val="en-GB"/>
        </w:rPr>
        <w:fldChar w:fldCharType="begin"/>
      </w:r>
      <w:r w:rsidR="00B5175C" w:rsidRPr="00A141D2">
        <w:rPr>
          <w:lang w:val="en-GB"/>
        </w:rPr>
        <w:instrText xml:space="preserve"> ADDIN ZOTERO_ITEM CSL_CITATION {"citationID":"m0Xdvc9a","properties":{"formattedCitation":"(2013)","plainCitation":"(2013)","noteIndex":0},"citationItems":[{"id":386,"uris":["http://zotero.org/users/11212985/items/FAP6LVMH"],"itemData":{"id":386,"type":"article-journal","abstract":"A multivariate, multisite daily weather generator is presented for use in decision-centric vulnerability assessments under climate change. The tool is envisioned to be useful for a wide range of socioeconomic and biophysical systems sensitive to different aspects of climate variability and change. The proposed stochastic model has several components, including (1) a wavelet decomposition coupled to an autoregressive model to account for structured, low-frequency climate oscillations, (2) a Markov chain and k-nearest-neighbor (KNN) resampling scheme to simulate spatially distributed, multivariate weather variables over a region, and (3) a quantile mapping procedure to enforce long-term distributional shifts in weather variables that result from prescribed climate changes. The Markov chain is used to better represent wet and dry spell statistics, while the KNN bootstrap resampler preserves the covariance structure between the weather variables and across space. The wavelet-based autoregressive model is applied to annual climate over the region and used to modulate the Markov chain and KNN resampling, embedding appropriate low-frequency structure within the daily weather generation process. Parameters can be altered in any of the components of the proposed model to enable the generation of realistic time series of climate variables that exhibit changes to both lower-order and higher-order statistics at long-term (interannual), mid-term (seasonal), and short-term (daily) timescales. The tool can be coupled with impact models in a bottom-up risk assessment to efficiently and exhaustively explore the potential climate changes under which a system is most vulnerable. An application of the weather generator is presented for the Connecticut River basin to demonstrate the tool's ability to generate a wide range of possible climate sequences over an extensive spatial domain.","container-title":"Water Resources Research","DOI":"10.1002/wrcr.20528","ISSN":"1944-7973","issue":"11","language":"en","note":"_eprint: https://agupubs.onlinelibrary.wiley.com/doi/pdf/10.1002/wrcr.20528","page":"7205-7220","source":"Wiley Online Library","title":"A semiparametric multivariate, multisite weather generator with low-frequency variability for use in climate risk assessments","volume":"49","author":[{"family":"Steinschneider","given":"Scott"},{"family":"Brown","given":"Casey"}],"issued":{"date-parts":[["2013"]]},"citation-key":"steinschneiderSemiparametricMultivariateMultisite2013"},"label":"page","suppress-author":true}],"schema":"https://github.com/citation-style-language/schema/raw/master/csl-citation.json"} </w:instrText>
      </w:r>
      <w:r w:rsidR="00B5175C" w:rsidRPr="00A141D2">
        <w:rPr>
          <w:lang w:val="en-GB"/>
        </w:rPr>
        <w:fldChar w:fldCharType="separate"/>
      </w:r>
      <w:r w:rsidR="00B5175C" w:rsidRPr="00A141D2">
        <w:rPr>
          <w:lang w:val="en-GB"/>
        </w:rPr>
        <w:t>(2013)</w:t>
      </w:r>
      <w:r w:rsidR="00B5175C" w:rsidRPr="00A141D2">
        <w:rPr>
          <w:lang w:val="en-GB"/>
        </w:rPr>
        <w:fldChar w:fldCharType="end"/>
      </w:r>
      <w:r w:rsidR="00B5175C" w:rsidRPr="00A141D2">
        <w:rPr>
          <w:lang w:val="en-GB"/>
        </w:rPr>
        <w:t xml:space="preserve"> is used.</w:t>
      </w:r>
      <w:r w:rsidR="005F3737" w:rsidRPr="00A141D2">
        <w:rPr>
          <w:lang w:val="en-GB"/>
        </w:rPr>
        <w:t xml:space="preserve"> </w:t>
      </w:r>
      <w:r w:rsidR="006758D0" w:rsidRPr="00A141D2">
        <w:rPr>
          <w:lang w:val="en-GB"/>
        </w:rPr>
        <w:t xml:space="preserve">ERA5 data </w:t>
      </w:r>
      <w:r w:rsidR="006758D0" w:rsidRPr="00A141D2">
        <w:rPr>
          <w:lang w:val="en-GB"/>
        </w:rPr>
        <w:fldChar w:fldCharType="begin"/>
      </w:r>
      <w:r w:rsidR="006758D0" w:rsidRPr="00A141D2">
        <w:rPr>
          <w:lang w:val="en-GB"/>
        </w:rPr>
        <w:instrText xml:space="preserve"> ADDIN ZOTERO_ITEM CSL_CITATION {"citationID":"faKzrTOY","properties":{"formattedCitation":"(Hersbach et al., 2023)","plainCitation":"(Hersbach et al., 2023)","noteIndex":0},"citationItems":[{"id":2345,"uris":["http://zotero.org/users/11212985/items/KWGKRE4W"],"itemData":{"id":2345,"type":"dataset","DOI":"10.24381/cds.bd0915c6","publisher":"Copernicus Climate Change Service (C3S) Climate Data Store (CDS)","title":"ERA5 hourly data on pressure levels from 1940 to present","author":[{"family":"Hersbach","given":"H."},{"family":"Bell","given":"B."},{"family":"Berrisford","given":"P."},{"family":"Biavati","given":"G."},{"family":"Horányi","given":"A."},{"family":"Sabater","given":"J. Muñoz"},{"family":"Nicolas","given":"J."},{"family":"Peubey","given":"C."},{"family":"Radu","given":"R."},{"family":"Rozum","given":"I."},{"family":"Schepers","given":"D."},{"family":"Simmons","given":"A."},{"family":"Soci","given":"C."},{"family":"Dee","given":"D."},{"family":"Thépaut","given":"J-N."}],"issued":{"date-parts":[["2023"]]},"citation-key":"hersbachERA5HourlyData2023"}}],"schema":"https://github.com/citation-style-language/schema/raw/master/csl-citation.json"} </w:instrText>
      </w:r>
      <w:r w:rsidR="006758D0" w:rsidRPr="00A141D2">
        <w:rPr>
          <w:lang w:val="en-GB"/>
        </w:rPr>
        <w:fldChar w:fldCharType="separate"/>
      </w:r>
      <w:r w:rsidR="006758D0" w:rsidRPr="00A141D2">
        <w:rPr>
          <w:lang w:val="en-GB"/>
        </w:rPr>
        <w:t>(Hersbach et al., 2023)</w:t>
      </w:r>
      <w:r w:rsidR="006758D0" w:rsidRPr="00A141D2">
        <w:rPr>
          <w:lang w:val="en-GB"/>
        </w:rPr>
        <w:fldChar w:fldCharType="end"/>
      </w:r>
      <w:r w:rsidR="006758D0" w:rsidRPr="00A141D2">
        <w:rPr>
          <w:lang w:val="en-GB"/>
        </w:rPr>
        <w:t xml:space="preserve"> informs the weather generator to create a 100-year-long synthetic baseline time series of temperature and precipitation in the region. Alternative climat</w:t>
      </w:r>
      <w:r w:rsidR="00BD2432" w:rsidRPr="00A141D2">
        <w:rPr>
          <w:lang w:val="en-GB"/>
        </w:rPr>
        <w:t>ological</w:t>
      </w:r>
      <w:r w:rsidR="006758D0" w:rsidRPr="00A141D2">
        <w:rPr>
          <w:lang w:val="en-GB"/>
        </w:rPr>
        <w:t xml:space="preserve"> </w:t>
      </w:r>
      <w:r w:rsidR="008651F0" w:rsidRPr="00A141D2">
        <w:rPr>
          <w:lang w:val="en-GB"/>
        </w:rPr>
        <w:t>forcing conditions</w:t>
      </w:r>
      <w:r w:rsidR="006758D0" w:rsidRPr="00A141D2">
        <w:rPr>
          <w:lang w:val="en-GB"/>
        </w:rPr>
        <w:t xml:space="preserve"> are </w:t>
      </w:r>
      <w:r w:rsidR="008651F0" w:rsidRPr="00A141D2">
        <w:rPr>
          <w:lang w:val="en-GB"/>
        </w:rPr>
        <w:t xml:space="preserve">created by </w:t>
      </w:r>
      <w:r w:rsidR="006758D0" w:rsidRPr="00A141D2">
        <w:rPr>
          <w:lang w:val="en-GB"/>
        </w:rPr>
        <w:t>modifying</w:t>
      </w:r>
      <w:r w:rsidR="004A60C0" w:rsidRPr="00A141D2">
        <w:rPr>
          <w:lang w:val="en-GB"/>
        </w:rPr>
        <w:t xml:space="preserve"> </w:t>
      </w:r>
      <w:r w:rsidR="008651F0" w:rsidRPr="00A141D2">
        <w:rPr>
          <w:lang w:val="en-GB"/>
        </w:rPr>
        <w:t>the baseline time</w:t>
      </w:r>
      <w:r w:rsidR="003A5B9F" w:rsidRPr="00A141D2">
        <w:rPr>
          <w:lang w:val="en-GB"/>
        </w:rPr>
        <w:t xml:space="preserve"> series</w:t>
      </w:r>
      <w:r w:rsidR="008651F0" w:rsidRPr="00A141D2">
        <w:rPr>
          <w:lang w:val="en-GB"/>
        </w:rPr>
        <w:t xml:space="preserve"> </w:t>
      </w:r>
      <w:r w:rsidR="006758D0" w:rsidRPr="00A141D2">
        <w:rPr>
          <w:lang w:val="en-GB"/>
        </w:rPr>
        <w:t xml:space="preserve">seasonal mean temperature (∆T), mean rainfall (∆P) and the coefficient of variation (∆CV) of that rainfall. These changes are informed by </w:t>
      </w:r>
      <w:r w:rsidR="001D0629" w:rsidRPr="00A141D2">
        <w:rPr>
          <w:lang w:val="en-GB"/>
        </w:rPr>
        <w:t xml:space="preserve">CMIP6 </w:t>
      </w:r>
      <w:r w:rsidR="006758D0" w:rsidRPr="00A141D2">
        <w:rPr>
          <w:lang w:val="en-GB"/>
        </w:rPr>
        <w:t>GCM projections</w:t>
      </w:r>
      <w:r w:rsidR="001D0629" w:rsidRPr="00A141D2">
        <w:rPr>
          <w:lang w:val="en-GB"/>
        </w:rPr>
        <w:t xml:space="preserve"> available at </w:t>
      </w:r>
      <w:r w:rsidR="00A32CA5" w:rsidRPr="00A141D2">
        <w:rPr>
          <w:lang w:val="en-GB"/>
        </w:rPr>
        <w:t xml:space="preserve">the </w:t>
      </w:r>
      <w:r w:rsidR="00EA580C" w:rsidRPr="00A141D2">
        <w:rPr>
          <w:lang w:val="en-GB"/>
        </w:rPr>
        <w:t>Copernicus</w:t>
      </w:r>
      <w:r w:rsidR="00A32CA5" w:rsidRPr="00A141D2">
        <w:rPr>
          <w:lang w:val="en-GB"/>
        </w:rPr>
        <w:t xml:space="preserve"> Climate Data Store </w:t>
      </w:r>
      <w:r w:rsidR="00A32CA5" w:rsidRPr="00A141D2">
        <w:rPr>
          <w:lang w:val="en-GB"/>
        </w:rPr>
        <w:fldChar w:fldCharType="begin"/>
      </w:r>
      <w:r w:rsidR="00A32CA5" w:rsidRPr="00A141D2">
        <w:rPr>
          <w:lang w:val="en-GB"/>
        </w:rPr>
        <w:instrText xml:space="preserve"> ADDIN ZOTERO_ITEM CSL_CITATION {"citationID":"ZPqIM2bx","properties":{"formattedCitation":"(Copernicus Climate Change Service, 2021)","plainCitation":"(Copernicus Climate Change Service, 2021)","noteIndex":0},"citationItems":[{"id":2346,"uris":["http://zotero.org/users/11212985/items/BC4N3GDG"],"itemData":{"id":2346,"type":"dataset","DOI":"10.24381/CDS.C866074C","publisher":"ECMWF","source":"DOI.org (Datacite)","title":"CMIP6 predictions underpinning the C3S decadal prediction prototypes","URL":"https://cds.climate.copernicus.eu/doi/10.24381/cds.c866074c","author":[{"literal":"Copernicus Climate Change Service"}],"accessed":{"date-parts":[["2024",2,13]]},"issued":{"date-parts":[["2021"]]},"citation-key":"copernicusclimatechangeserviceCMIP6PredictionsUnderpinning2021"}}],"schema":"https://github.com/citation-style-language/schema/raw/master/csl-citation.json"} </w:instrText>
      </w:r>
      <w:r w:rsidR="00A32CA5" w:rsidRPr="00A141D2">
        <w:rPr>
          <w:lang w:val="en-GB"/>
        </w:rPr>
        <w:fldChar w:fldCharType="separate"/>
      </w:r>
      <w:r w:rsidR="00A32CA5" w:rsidRPr="00A141D2">
        <w:rPr>
          <w:lang w:val="en-GB"/>
        </w:rPr>
        <w:t>(Copernicus Climate Change Service, 2021)</w:t>
      </w:r>
      <w:r w:rsidR="00A32CA5" w:rsidRPr="00A141D2">
        <w:rPr>
          <w:lang w:val="en-GB"/>
        </w:rPr>
        <w:fldChar w:fldCharType="end"/>
      </w:r>
      <w:r w:rsidR="004D4419" w:rsidRPr="00A141D2">
        <w:rPr>
          <w:lang w:val="en-GB"/>
        </w:rPr>
        <w:t xml:space="preserve">, also see Appendix </w:t>
      </w:r>
      <w:r w:rsidR="00EA580C" w:rsidRPr="00A141D2">
        <w:rPr>
          <w:lang w:val="en-GB"/>
        </w:rPr>
        <w:t>A</w:t>
      </w:r>
      <w:r w:rsidR="00D62EAD" w:rsidRPr="00A141D2">
        <w:rPr>
          <w:lang w:val="en-GB"/>
        </w:rPr>
        <w:t>. Change signals for the mid-century</w:t>
      </w:r>
      <w:r w:rsidR="003A61EC" w:rsidRPr="00A141D2">
        <w:rPr>
          <w:lang w:val="en-GB"/>
        </w:rPr>
        <w:t xml:space="preserve"> as defined in the IPCC atlas</w:t>
      </w:r>
      <w:r w:rsidR="001D7102" w:rsidRPr="00A141D2">
        <w:rPr>
          <w:lang w:val="en-GB"/>
        </w:rPr>
        <w:t xml:space="preserve">, </w:t>
      </w:r>
      <w:r w:rsidR="00415509" w:rsidRPr="00A141D2">
        <w:rPr>
          <w:lang w:val="en-GB"/>
        </w:rPr>
        <w:t>2041-2060</w:t>
      </w:r>
      <w:r w:rsidR="001D7102" w:rsidRPr="00A141D2">
        <w:rPr>
          <w:lang w:val="en-GB"/>
        </w:rPr>
        <w:t xml:space="preserve"> </w:t>
      </w:r>
      <w:r w:rsidR="001D7102" w:rsidRPr="00A141D2">
        <w:rPr>
          <w:lang w:val="en-GB"/>
        </w:rPr>
        <w:fldChar w:fldCharType="begin"/>
      </w:r>
      <w:r w:rsidR="001D7102" w:rsidRPr="00A141D2">
        <w:rPr>
          <w:lang w:val="en-GB"/>
        </w:rPr>
        <w:instrText xml:space="preserve"> ADDIN ZOTERO_ITEM CSL_CITATION {"citationID":"1uO92Umn","properties":{"formattedCitation":"(Guti\\uc0\\u233{}rrez et al., 2021)","plainCitation":"(Gutiérrez et al., 2021)","noteIndex":0},"citationItems":[{"id":2376,"uris":["http://zotero.org/users/11212985/items/VVT49JII"],"itemData":{"id":2376,"type":"chapter","container-title":"Climate Change 2021: The Physical Science Basis. Contribution of Working Group I to the Sixth Assessment Report of the Intergovernmental Panel on Climate Change","ISBN":"978-1-00-915788-9","note":"DOI: 10.1017/9781009157896.021","page":"1927-2058","source":"Cambridge University Press","title":"Atlas","URL":"https://www.cambridge.org/core/books/climate-change-2021-the-physical-science-basis/atlas/24E1C016DBBE4725BDFBC343695DE7DB","author":[{"family":"Gutiérrez","given":"J.M."},{"literal":"R.G. Jones"},{"literal":"G.T. Narisma"},{"literal":"L.M. Alves"},{"literal":"M. Amjad"},{"literal":"I.V. Gorodetskaya"},{"literal":"M. Grose"},{"literal":"N.A.B. Klutse"},{"literal":"S. Krakovska"},{"literal":"J. Li"},{"literal":"D. Martínez-Castro"},{"literal":"L.O. Mearns"},{"literal":"S.H. Mernild"},{"literal":"T. Ngo-Duc"},{"literal":"B. van den Hurk"},{"literal":"J.-H. Yoon"}],"accessed":{"date-parts":[["2024",2,19]]},"issued":{"date-parts":[["2021"]]},"citation-key":"gutierrezAtlas2021"}}],"schema":"https://github.com/citation-style-language/schema/raw/master/csl-citation.json"} </w:instrText>
      </w:r>
      <w:r w:rsidR="001D7102" w:rsidRPr="00A141D2">
        <w:rPr>
          <w:lang w:val="en-GB"/>
        </w:rPr>
        <w:fldChar w:fldCharType="separate"/>
      </w:r>
      <w:r w:rsidR="001D7102" w:rsidRPr="00A141D2">
        <w:rPr>
          <w:lang w:val="en-GB"/>
        </w:rPr>
        <w:t>(Gutiérrez et al., 2021)</w:t>
      </w:r>
      <w:r w:rsidR="001D7102" w:rsidRPr="00A141D2">
        <w:rPr>
          <w:lang w:val="en-GB"/>
        </w:rPr>
        <w:fldChar w:fldCharType="end"/>
      </w:r>
      <w:r w:rsidR="001D7102" w:rsidRPr="00A141D2">
        <w:rPr>
          <w:lang w:val="en-GB"/>
        </w:rPr>
        <w:t>,</w:t>
      </w:r>
      <w:r w:rsidR="00415509" w:rsidRPr="00A141D2">
        <w:rPr>
          <w:lang w:val="en-GB"/>
        </w:rPr>
        <w:t xml:space="preserve"> </w:t>
      </w:r>
      <w:r w:rsidR="003A61EC" w:rsidRPr="00A141D2">
        <w:rPr>
          <w:lang w:val="en-GB"/>
        </w:rPr>
        <w:t>are retrieved</w:t>
      </w:r>
      <w:r w:rsidR="006758D0" w:rsidRPr="00A141D2">
        <w:rPr>
          <w:lang w:val="en-GB"/>
        </w:rPr>
        <w:t xml:space="preserve"> across four seasons: winter (December-January-February), spring (March-April-May), summer (June-July-August) and autumn (September-October-November).</w:t>
      </w:r>
      <w:r w:rsidR="00CD3B4B" w:rsidRPr="00A141D2">
        <w:rPr>
          <w:lang w:val="en-GB"/>
        </w:rPr>
        <w:t xml:space="preserve"> </w:t>
      </w:r>
      <w:r w:rsidR="00782B10" w:rsidRPr="00A141D2">
        <w:rPr>
          <w:lang w:val="en-GB" w:eastAsia="ja-JP"/>
        </w:rPr>
        <w:t>The</w:t>
      </w:r>
      <w:r w:rsidR="00116E74" w:rsidRPr="00A141D2">
        <w:rPr>
          <w:lang w:val="en-GB"/>
        </w:rPr>
        <w:t xml:space="preserve"> hydrological model Wflow_sbm </w:t>
      </w:r>
      <w:r w:rsidR="00116E74" w:rsidRPr="00A141D2">
        <w:rPr>
          <w:lang w:val="en-GB"/>
        </w:rPr>
        <w:fldChar w:fldCharType="begin"/>
      </w:r>
      <w:r w:rsidR="00116E74" w:rsidRPr="00A141D2">
        <w:rPr>
          <w:lang w:val="en-GB"/>
        </w:rPr>
        <w:instrText xml:space="preserve"> ADDIN ZOTERO_ITEM CSL_CITATION {"citationID":"U9PJITNl","properties":{"formattedCitation":"(van Verseveld et al., 2024)","plainCitation":"(van Verseveld et al., 2024)","noteIndex":0},"citationItems":[{"id":2612,"uris":["http://zotero.org/users/11212985/items/2Z8DECV2"],"itemData":{"id":2612,"type":"article-journal","abstract":"The wflow_sbm hydrological model, recently released by Deltares, as part of the Wflow.jl (v0.7.3) modelling framework, is being used to better understand and potentially address multiple operational and water resource planning challenges from a catchment scale to national scale to continental and global scale. Wflow.jl is a free and open-source distributed hydrological modelling framework written in the Julia programming language. The development of wflow_sbm, the model structure, equations and functionalities are described in detail, including example applications of wflow_sbm. The wflow_sbm model aims to strike a balance between low-resolution, low-complexity and high-resolution, high-complexity hydrological models. Most wflow_sbm parameters are based on physical characteristics or processes, and at the same time wflow_sbm has a runtime performance well suited for large-scale high-resolution model applications. Wflow_sbm models can be set a priori for any catchment with the Python tool HydroMT-Wflow based on globally available datasets and through the use of point-scale (pedo)transfer functions and suitable upscaling rules and generally result in a satisfactory (0.4 ≥ Kling–Gupta efficiency (KGE) &amp;lt; 0.7) to good (KGE ≥ 0.7) performance for discharge a priori (without further tuning). Wflow_sbm includes relevant hydrological processes such as glacier and snow processes, evapotranspiration processes, unsaturated zone dynamics, (shallow) groundwater, and surface flow routing including lakes and reservoirs. Further planned developments include improvements on the computational efficiency and flexibility of the routing scheme, implementation of a water demand and allocation module for water resource modelling, the addition of a deep groundwater concept, and computational efficiency improvements through for example distributed computing and graphics processing unit (GPU) acceleration.","container-title":"Geoscientific Model Development","DOI":"10.5194/gmd-17-3199-2024","ISSN":"1991-959X","issue":"8","language":"English","note":"publisher: Copernicus GmbH","page":"3199-3234","source":"Copernicus Online Journals","title":"Wflow_sbm v0.7.3, a spatially distributed hydrological model: from global data to local applications","title-short":"Wflow_sbm v0.7.3, a spatially distributed hydrological model","volume":"17","author":[{"family":"Verseveld","given":"Willem","non-dropping-particle":"van"},{"family":"Weerts","given":"Albrecht H."},{"family":"Visser","given":"Martijn"},{"family":"Buitink","given":"Joost"},{"family":"Imhoff","given":"Ruben O."},{"family":"Boisgontier","given":"Hélène"},{"family":"Bouaziz","given":"Laurène"},{"family":"Eilander","given":"Dirk"},{"family":"Hegnauer","given":"Mark"},{"family":"Velden","given":"Corine","non-dropping-particle":"ten"},{"family":"Russell","given":"Bobby"}],"issued":{"date-parts":[["2024",4,25]]},"citation-key":"vanverseveldWflow_sbmV0Spatially2024"},"label":"page"}],"schema":"https://github.com/citation-style-language/schema/raw/master/csl-citation.json"} </w:instrText>
      </w:r>
      <w:r w:rsidR="00116E74" w:rsidRPr="00A141D2">
        <w:rPr>
          <w:lang w:val="en-GB"/>
        </w:rPr>
        <w:fldChar w:fldCharType="separate"/>
      </w:r>
      <w:r w:rsidR="00116E74" w:rsidRPr="00A141D2">
        <w:rPr>
          <w:lang w:val="en-GB"/>
        </w:rPr>
        <w:t>(van Verseveld et al., 2024)</w:t>
      </w:r>
      <w:r w:rsidR="00116E74" w:rsidRPr="00A141D2">
        <w:rPr>
          <w:lang w:val="en-GB"/>
        </w:rPr>
        <w:fldChar w:fldCharType="end"/>
      </w:r>
      <w:r w:rsidR="00116E74" w:rsidRPr="00A141D2">
        <w:rPr>
          <w:lang w:val="en-GB"/>
        </w:rPr>
        <w:t xml:space="preserve"> </w:t>
      </w:r>
      <w:r w:rsidR="003A5B9F" w:rsidRPr="00A141D2">
        <w:rPr>
          <w:lang w:val="en-GB"/>
        </w:rPr>
        <w:t xml:space="preserve">is configured using </w:t>
      </w:r>
      <w:r w:rsidR="00116E74" w:rsidRPr="00A141D2">
        <w:rPr>
          <w:lang w:val="en-GB"/>
        </w:rPr>
        <w:t xml:space="preserve">model builder HydroMT </w:t>
      </w:r>
      <w:r w:rsidR="00116E74" w:rsidRPr="00A141D2">
        <w:rPr>
          <w:lang w:val="en-GB"/>
        </w:rPr>
        <w:fldChar w:fldCharType="begin"/>
      </w:r>
      <w:r w:rsidR="00116E74" w:rsidRPr="00A141D2">
        <w:rPr>
          <w:lang w:val="en-GB"/>
        </w:rPr>
        <w:instrText xml:space="preserve"> ADDIN ZOTERO_ITEM CSL_CITATION {"citationID":"RXD7Somf","properties":{"formattedCitation":"(Eilander et al., 2023)","plainCitation":"(Eilander et al., 2023)","noteIndex":0},"citationItems":[{"id":1886,"uris":["http://zotero.org/users/11212985/items/BKUJ84NW"],"itemData":{"id":1886,"type":"article-journal","abstract":"Eilander et al., (2023). HydroMT: Automated and reproducible model building and analysis. Journal of Open Source Software, 8(83), 4897, https://doi.org/10.21105/joss.04897","container-title":"Journal of Open Source Software","DOI":"10.21105/joss.04897","ISSN":"2475-9066","issue":"83","language":"en","page":"4897","source":"joss.theoj.org","title":"HydroMT: Automated and reproducible model building and analysis","title-short":"HydroMT","volume":"8","author":[{"family":"Eilander","given":"Dirk"},{"family":"Boisgontier","given":"Hélène"},{"family":"Bouaziz","given":"Laurène J.","dropping-particle":"e"},{"family":"Buitink","given":"Joost"},{"family":"Couasnon","given":"Anaïs"},{"family":"Dalmijn","given":"Brendan"},{"family":"Hegnauer","given":"Mark"},{"family":"Jong","given":"Tjalling","dropping-particle":"de"},{"family":"Loos","given":"Sibren"},{"family":"Marth","given":"Indra"},{"family":"Verseveld","given":"Willem","non-dropping-particle":"van"}],"issued":{"date-parts":[["2023",3,7]]},"citation-key":"eilanderHydroMTAutomatedReproducible2023"},"label":"page"}],"schema":"https://github.com/citation-style-language/schema/raw/master/csl-citation.json"} </w:instrText>
      </w:r>
      <w:r w:rsidR="00116E74" w:rsidRPr="00A141D2">
        <w:rPr>
          <w:lang w:val="en-GB"/>
        </w:rPr>
        <w:fldChar w:fldCharType="separate"/>
      </w:r>
      <w:r w:rsidR="00116E74" w:rsidRPr="00A141D2">
        <w:rPr>
          <w:lang w:val="en-GB"/>
        </w:rPr>
        <w:t>(Eilander et al., 2023)</w:t>
      </w:r>
      <w:r w:rsidR="00116E74" w:rsidRPr="00A141D2">
        <w:rPr>
          <w:lang w:val="en-GB"/>
        </w:rPr>
        <w:fldChar w:fldCharType="end"/>
      </w:r>
      <w:r w:rsidR="00116E74" w:rsidRPr="00A141D2">
        <w:rPr>
          <w:lang w:val="en-GB"/>
        </w:rPr>
        <w:t xml:space="preserve">. </w:t>
      </w:r>
      <w:r w:rsidR="00922140" w:rsidRPr="00A141D2">
        <w:rPr>
          <w:lang w:val="en-GB"/>
        </w:rPr>
        <w:t xml:space="preserve">Using the </w:t>
      </w:r>
      <w:r w:rsidR="00983391" w:rsidRPr="00A141D2">
        <w:rPr>
          <w:lang w:val="en-GB"/>
        </w:rPr>
        <w:t>alternative forcing time series</w:t>
      </w:r>
      <w:r w:rsidR="00922140" w:rsidRPr="00A141D2">
        <w:rPr>
          <w:lang w:val="en-GB"/>
        </w:rPr>
        <w:t xml:space="preserve"> </w:t>
      </w:r>
      <w:r w:rsidR="001050C2" w:rsidRPr="00A141D2">
        <w:rPr>
          <w:lang w:val="en-GB"/>
        </w:rPr>
        <w:t>and the hydrological model</w:t>
      </w:r>
      <w:r w:rsidR="00410F4A" w:rsidRPr="00A141D2">
        <w:rPr>
          <w:lang w:val="en-GB"/>
        </w:rPr>
        <w:t>,</w:t>
      </w:r>
      <w:r w:rsidR="001050C2" w:rsidRPr="00A141D2">
        <w:rPr>
          <w:lang w:val="en-GB"/>
        </w:rPr>
        <w:t xml:space="preserve"> d</w:t>
      </w:r>
      <w:r w:rsidR="00CF5517" w:rsidRPr="00A141D2">
        <w:rPr>
          <w:lang w:val="en-GB"/>
        </w:rPr>
        <w:t>ischarge extremes are calculated</w:t>
      </w:r>
      <w:r w:rsidR="00983391" w:rsidRPr="00A141D2">
        <w:rPr>
          <w:lang w:val="en-GB"/>
        </w:rPr>
        <w:t xml:space="preserve"> for each climate condition</w:t>
      </w:r>
      <w:r w:rsidR="00B86376" w:rsidRPr="00A141D2">
        <w:rPr>
          <w:lang w:val="en-GB"/>
        </w:rPr>
        <w:t>.</w:t>
      </w:r>
      <w:r w:rsidR="00116E74" w:rsidRPr="00A141D2">
        <w:rPr>
          <w:lang w:val="en-GB"/>
        </w:rPr>
        <w:t xml:space="preserve"> </w:t>
      </w:r>
      <w:r w:rsidR="008927D6" w:rsidRPr="00A141D2">
        <w:rPr>
          <w:lang w:val="en-GB"/>
        </w:rPr>
        <w:t xml:space="preserve">The Extra Trees feature scoring algorithm </w:t>
      </w:r>
      <w:r w:rsidR="00357BE4" w:rsidRPr="00A141D2">
        <w:rPr>
          <w:lang w:val="en-GB"/>
        </w:rPr>
        <w:fldChar w:fldCharType="begin"/>
      </w:r>
      <w:r w:rsidR="00357BE4" w:rsidRPr="00A141D2">
        <w:rPr>
          <w:lang w:val="en-GB"/>
        </w:rPr>
        <w:instrText xml:space="preserve"> ADDIN ZOTERO_ITEM CSL_CITATION {"citationID":"X5QgaYdi","properties":{"formattedCitation":"(Geurts et al., 2006)","plainCitation":"(Geurts et al., 2006)","noteIndex":0},"citationItems":[{"id":2347,"uris":["http://zotero.org/users/11212985/items/KJF9WHAB"],"itemData":{"id":2347,"type":"article-journal","abstract":"This paper proposes a new tree-based ensemble method for supervised classification and regression problems. It essentially consists of randomizing strongly both attribute and cut-point choice while splitting a tree node. In the extreme case, it builds totally randomized trees whose structures are independent of the output values of the learning sample. The strength of the randomization can be tuned to problem specifics by the appropriate choice of a parameter. We evaluate the robustness of the default choice of this parameter, and we also provide insight on how to adjust it in particular situations. Besides accuracy, the main strength of the resulting algorithm is computational efficiency. A bias/variance analysis of the Extra-Trees algorithm is also provided as well as a geometrical and a kernel characterization of the models induced.","container-title":"Machine Learning","DOI":"10.1007/s10994-006-6226-1","ISSN":"1573-0565","issue":"1","journalAbbreviation":"Mach Learn","language":"en","page":"3-42","source":"Springer Link","title":"Extremely randomized trees","volume":"63","author":[{"family":"Geurts","given":"Pierre"},{"family":"Ernst","given":"Damien"},{"family":"Wehenkel","given":"Louis"}],"issued":{"date-parts":[["2006",4,1]]},"citation-key":"geurtsExtremelyRandomizedTrees2006"}}],"schema":"https://github.com/citation-style-language/schema/raw/master/csl-citation.json"} </w:instrText>
      </w:r>
      <w:r w:rsidR="00357BE4" w:rsidRPr="00A141D2">
        <w:rPr>
          <w:lang w:val="en-GB"/>
        </w:rPr>
        <w:fldChar w:fldCharType="separate"/>
      </w:r>
      <w:r w:rsidR="00357BE4" w:rsidRPr="00A141D2">
        <w:rPr>
          <w:lang w:val="en-GB"/>
        </w:rPr>
        <w:t>(Geurts et al., 2006)</w:t>
      </w:r>
      <w:r w:rsidR="00357BE4" w:rsidRPr="00A141D2">
        <w:rPr>
          <w:lang w:val="en-GB"/>
        </w:rPr>
        <w:fldChar w:fldCharType="end"/>
      </w:r>
      <w:r w:rsidR="00357BE4" w:rsidRPr="00A141D2">
        <w:rPr>
          <w:lang w:val="en-GB"/>
        </w:rPr>
        <w:t xml:space="preserve"> </w:t>
      </w:r>
      <w:r w:rsidR="008927D6" w:rsidRPr="00A141D2">
        <w:rPr>
          <w:lang w:val="en-GB"/>
        </w:rPr>
        <w:t xml:space="preserve">is </w:t>
      </w:r>
      <w:r w:rsidR="0046027F" w:rsidRPr="00A141D2">
        <w:rPr>
          <w:lang w:val="en-GB"/>
        </w:rPr>
        <w:t xml:space="preserve">applied </w:t>
      </w:r>
      <w:r w:rsidR="008927D6" w:rsidRPr="00A141D2">
        <w:rPr>
          <w:lang w:val="en-GB"/>
        </w:rPr>
        <w:t>to link simulated changes in extreme discharge to associated changes in CIDs, identifying the most influential CIDs in determining these discharge variations.</w:t>
      </w:r>
    </w:p>
    <w:p w14:paraId="31F6A89F" w14:textId="6D580A95" w:rsidR="00116E74" w:rsidRPr="00A141D2" w:rsidRDefault="00116E74" w:rsidP="008927D6">
      <w:pPr>
        <w:rPr>
          <w:lang w:val="en-GB"/>
        </w:rPr>
      </w:pPr>
      <w:r w:rsidRPr="00A141D2">
        <w:rPr>
          <w:lang w:val="en-GB"/>
        </w:rPr>
        <w:t xml:space="preserve">To create climate scenarios that are relevant across the basin, it is necessary to know which combination of CIDs </w:t>
      </w:r>
      <w:r w:rsidR="00983391" w:rsidRPr="00A141D2">
        <w:rPr>
          <w:lang w:val="en-GB"/>
        </w:rPr>
        <w:t>changes</w:t>
      </w:r>
      <w:r w:rsidRPr="00A141D2">
        <w:rPr>
          <w:lang w:val="en-GB"/>
        </w:rPr>
        <w:t xml:space="preserve"> flood risk at a variety of locations. For this</w:t>
      </w:r>
      <w:r w:rsidR="00CD3B4B" w:rsidRPr="00A141D2">
        <w:rPr>
          <w:lang w:val="en-GB"/>
        </w:rPr>
        <w:t>,</w:t>
      </w:r>
      <w:r w:rsidRPr="00A141D2">
        <w:rPr>
          <w:lang w:val="en-GB"/>
        </w:rPr>
        <w:t xml:space="preserve"> we extended the </w:t>
      </w:r>
      <w:r w:rsidRPr="00A141D2">
        <w:rPr>
          <w:lang w:val="en-GB"/>
        </w:rPr>
        <w:lastRenderedPageBreak/>
        <w:t xml:space="preserve">approach of Buskop et al. </w:t>
      </w:r>
      <w:r w:rsidRPr="00A141D2">
        <w:rPr>
          <w:lang w:val="en-GB"/>
        </w:rPr>
        <w:fldChar w:fldCharType="begin"/>
      </w:r>
      <w:r w:rsidR="003730AA">
        <w:rPr>
          <w:lang w:val="en-GB"/>
        </w:rPr>
        <w:instrText xml:space="preserve"> ADDIN ZOTERO_ITEM CSL_CITATION {"citationID":"LX5oc8cI","properties":{"formattedCitation":"(2024)","plainCitation":"(2024)","noteIndex":0},"citationItems":[{"id":3231,"uris":["http://zotero.org/users/11212985/items/CX67MHDG","http://zotero.org/users/11212985/items/9J33P84S"],"itemData":{"id":3231,"type":"article-journal","abstract":"Climate impacts will continue to evolve over the coming decades, requiring regions worldwide to obtain actionable climate information. Global Climate Models (GCMs) are often used to explore future conditions, but the variability of projections among GCMs complicates regional climate risk assessments. This variability in future projections is only partly explained by the often-used emission scenarios. Model uncertainty and internal variability play a major role in the outcomes of projected meteorological conditions, especially for local precipitation patterns. As precipitation is a key driver for hazards such as floods, droughts, and wildfires, local assessment of resulting risks using emission-based multi-model means probably leads to limited impact exploration. This study proposes a method to select more impact-relevant scenarios by determining regionally relevant climatic impact drivers and clustering GCMs on their projected changes in these drivers. We quantify the effectiveness of our approach by comparing future impacts covered by multi-model means per emission scenario with our approach, expressed as an “exploratory amplification” factor. We illustrate the method for flood risk in the Latvian Lielupe basin and find the novel method has an exploratory amplification up to a factor of eight for the mid-century. We conclude that our method results in locally relevant climate scenarios that significantly improve regional exploration of future climate impacts. Such scenarios provide targeted risk information that can be used in adaptation planning.","container-title":"Environmental Research: Climate","DOI":"10.1088/2752-5295/ad9f8f","ISSN":"2752-5295","journalAbbreviation":"Environ. Res.: Climate","language":"en","source":"Institute of Physics","title":"Amplifying exploration of regional climate risks: clustering future projections on regionally relevant impact drivers instead of emission scenarios","title-short":"Amplifying exploration of regional climate risks","URL":"http://iopscience.iop.org/article/10.1088/2752-5295/ad9f8f","author":[{"family":"Buskop","given":"Franciscus Eduard"},{"family":"Sperna-Weiland","given":"Frederiek"},{"family":"Hurk","given":"Bart","non-dropping-particle":"van den"}],"accessed":{"date-parts":[["2024",12,17]]},"issued":{"date-parts":[["2024"]]},"citation-key":"buskopAmplifyingExplorationRegional2024"},"label":"page","suppress-author":true}],"schema":"https://github.com/citation-style-language/schema/raw/master/csl-citation.json"} </w:instrText>
      </w:r>
      <w:r w:rsidRPr="00A141D2">
        <w:rPr>
          <w:lang w:val="en-GB"/>
        </w:rPr>
        <w:fldChar w:fldCharType="separate"/>
      </w:r>
      <w:r w:rsidRPr="00A141D2">
        <w:rPr>
          <w:lang w:val="en-GB"/>
        </w:rPr>
        <w:t>(2024)</w:t>
      </w:r>
      <w:r w:rsidRPr="00A141D2">
        <w:rPr>
          <w:lang w:val="en-GB"/>
        </w:rPr>
        <w:fldChar w:fldCharType="end"/>
      </w:r>
      <w:r w:rsidRPr="00A141D2">
        <w:rPr>
          <w:lang w:val="en-GB"/>
        </w:rPr>
        <w:t xml:space="preserve"> from a single-point location analysis of discharge change to a spatial, basin-wide application. Discharge changes are collected at observation stations, where the hydrological model fairly replicates historical discharge (KGE =&gt; 0.5). For each of these stations</w:t>
      </w:r>
      <w:r w:rsidR="0046027F" w:rsidRPr="00A141D2">
        <w:rPr>
          <w:lang w:val="en-GB"/>
        </w:rPr>
        <w:t>,</w:t>
      </w:r>
      <w:r w:rsidRPr="00A141D2">
        <w:rPr>
          <w:lang w:val="en-GB"/>
        </w:rPr>
        <w:t xml:space="preserve"> the two most influential CIDs that alter extreme discharge are determined as described by Buskop et al</w:t>
      </w:r>
      <w:r w:rsidR="00414735" w:rsidRPr="00A141D2">
        <w:rPr>
          <w:lang w:val="en-GB"/>
        </w:rPr>
        <w:t xml:space="preserve">. </w:t>
      </w:r>
      <w:r w:rsidR="00414735" w:rsidRPr="00A141D2">
        <w:rPr>
          <w:lang w:val="en-GB"/>
        </w:rPr>
        <w:fldChar w:fldCharType="begin"/>
      </w:r>
      <w:r w:rsidR="003730AA">
        <w:rPr>
          <w:lang w:val="en-GB"/>
        </w:rPr>
        <w:instrText xml:space="preserve"> ADDIN ZOTERO_ITEM CSL_CITATION {"citationID":"zFx2TifS","properties":{"formattedCitation":"(2024)","plainCitation":"(2024)","noteIndex":0},"citationItems":[{"id":3231,"uris":["http://zotero.org/users/11212985/items/CX67MHDG","http://zotero.org/users/11212985/items/9J33P84S"],"itemData":{"id":3231,"type":"article-journal","abstract":"Climate impacts will continue to evolve over the coming decades, requiring regions worldwide to obtain actionable climate information. Global Climate Models (GCMs) are often used to explore future conditions, but the variability of projections among GCMs complicates regional climate risk assessments. This variability in future projections is only partly explained by the often-used emission scenarios. Model uncertainty and internal variability play a major role in the outcomes of projected meteorological conditions, especially for local precipitation patterns. As precipitation is a key driver for hazards such as floods, droughts, and wildfires, local assessment of resulting risks using emission-based multi-model means probably leads to limited impact exploration. This study proposes a method to select more impact-relevant scenarios by determining regionally relevant climatic impact drivers and clustering GCMs on their projected changes in these drivers. We quantify the effectiveness of our approach by comparing future impacts covered by multi-model means per emission scenario with our approach, expressed as an “exploratory amplification” factor. We illustrate the method for flood risk in the Latvian Lielupe basin and find the novel method has an exploratory amplification up to a factor of eight for the mid-century. We conclude that our method results in locally relevant climate scenarios that significantly improve regional exploration of future climate impacts. Such scenarios provide targeted risk information that can be used in adaptation planning.","container-title":"Environmental Research: Climate","DOI":"10.1088/2752-5295/ad9f8f","ISSN":"2752-5295","journalAbbreviation":"Environ. Res.: Climate","language":"en","source":"Institute of Physics","title":"Amplifying exploration of regional climate risks: clustering future projections on regionally relevant impact drivers instead of emission scenarios","title-short":"Amplifying exploration of regional climate risks","URL":"http://iopscience.iop.org/article/10.1088/2752-5295/ad9f8f","author":[{"family":"Buskop","given":"Franciscus Eduard"},{"family":"Sperna-Weiland","given":"Frederiek"},{"family":"Hurk","given":"Bart","non-dropping-particle":"van den"}],"accessed":{"date-parts":[["2024",12,17]]},"issued":{"date-parts":[["2024"]]},"citation-key":"buskopAmplifyingExplorationRegional2024"},"label":"page","suppress-author":true}],"schema":"https://github.com/citation-style-language/schema/raw/master/csl-citation.json"} </w:instrText>
      </w:r>
      <w:r w:rsidR="00414735" w:rsidRPr="00A141D2">
        <w:rPr>
          <w:lang w:val="en-GB"/>
        </w:rPr>
        <w:fldChar w:fldCharType="separate"/>
      </w:r>
      <w:r w:rsidR="00414735" w:rsidRPr="00A141D2">
        <w:rPr>
          <w:lang w:val="en-GB"/>
        </w:rPr>
        <w:t>(2024)</w:t>
      </w:r>
      <w:r w:rsidR="00414735" w:rsidRPr="00A141D2">
        <w:rPr>
          <w:lang w:val="en-GB"/>
        </w:rPr>
        <w:fldChar w:fldCharType="end"/>
      </w:r>
      <w:r w:rsidRPr="00A141D2">
        <w:rPr>
          <w:lang w:val="en-GB"/>
        </w:rPr>
        <w:t>. This results in a list of CIDs that influence flood risk across the basin. After removing duplicates from the list, we cluster the GCMs into four clusters based on the projected changes for each CID in the list.</w:t>
      </w:r>
    </w:p>
    <w:p w14:paraId="5EAF9A53" w14:textId="77777777" w:rsidR="00116E74" w:rsidRPr="00A141D2" w:rsidRDefault="00116E74" w:rsidP="00775CD3">
      <w:pPr>
        <w:pStyle w:val="subheading"/>
      </w:pPr>
      <w:r w:rsidRPr="00A141D2">
        <w:t>2.2.2 Climate scenario storylines and their conditional probabilistic extreme discharges</w:t>
      </w:r>
    </w:p>
    <w:p w14:paraId="11C055B2" w14:textId="425C1683" w:rsidR="00116E74" w:rsidRPr="00A141D2" w:rsidRDefault="00116E74" w:rsidP="00116E74">
      <w:pPr>
        <w:rPr>
          <w:lang w:val="en-GB"/>
        </w:rPr>
      </w:pPr>
      <w:r w:rsidRPr="00A141D2">
        <w:rPr>
          <w:lang w:val="en-GB"/>
        </w:rPr>
        <w:t>Each GCM cluster is transformed into climate scenario storylines by calculating the cluster’s multi-model average climate change signal for the sampled climate variables (∆T, ∆P, ∆CV) in each season. The four distinct climate storylines are then used to discover future discharge changes across the basin. For each constructed climate storyline, new 100-year-long stochastic weather time series are created. This is done by modifying</w:t>
      </w:r>
      <w:r w:rsidR="0038221A" w:rsidRPr="00A141D2">
        <w:rPr>
          <w:lang w:val="en-GB"/>
        </w:rPr>
        <w:t xml:space="preserve"> the</w:t>
      </w:r>
      <w:r w:rsidRPr="00A141D2">
        <w:rPr>
          <w:lang w:val="en-GB"/>
        </w:rPr>
        <w:t xml:space="preserve"> baseline time series by </w:t>
      </w:r>
      <w:r w:rsidR="0038221A" w:rsidRPr="00A141D2">
        <w:rPr>
          <w:lang w:val="en-GB"/>
        </w:rPr>
        <w:t>each climate storyline's precipitation and temperature change signals</w:t>
      </w:r>
      <w:r w:rsidRPr="00A141D2">
        <w:rPr>
          <w:lang w:val="en-GB"/>
        </w:rPr>
        <w:t xml:space="preserve">. Since weather generators are subject to sampling uncertainty </w:t>
      </w:r>
      <w:r w:rsidRPr="00A141D2">
        <w:rPr>
          <w:lang w:val="en-GB"/>
        </w:rPr>
        <w:fldChar w:fldCharType="begin"/>
      </w:r>
      <w:r w:rsidRPr="00A141D2">
        <w:rPr>
          <w:lang w:val="en-GB"/>
        </w:rPr>
        <w:instrText xml:space="preserve"> ADDIN ZOTERO_ITEM CSL_CITATION {"citationID":"ace0UrAB","properties":{"formattedCitation":"(Alodah &amp; Seidou, 2020)","plainCitation":"(Alodah &amp; Seidou, 2020)","noteIndex":0},"citationItems":[{"id":2508,"uris":["http://zotero.org/users/11212985/items/CZVR8AGK"],"itemData":{"id":2508,"type":"article-journal","abstract":"While Stochastic Weather Generators (SWGs) are used intensively in climate and hydrological applications to simulate hydroclimatic time series and estimate risks and performance measures linked to climate variability, there have been few investigations into how many realizations are required for a robust estimation of these measures. Given the computational cost and time necessary to force climate-sensitive systems with multiple realizations, the estimation of the optimal number of synthetic time series to generate with a particular SWG for a predefined accuracy when estimating a particular risk or performance measure is particularly important. In this paper, the required number of realizations of five SWGs coupled with a SWAT model (the Soil and Water Assessment Tool) needed in order to achieve a predefined Relative Root Mean Square Error is investigated. The statistical indices used are the mean, standard deviation, skewness, and kurtosis of four hydroclimatic variables: precipitation, maximum and minimum temperature, and annual streamflow obtained for each observed and model-generated time series. While the results vary somewhat across SWGs, variables and indicators, they overall show that the marginal improvement decreases dramatically after 25 realizations. The results also indicate that the benefit of generating more than 100 realizations of climate and streamflow data is very minimal. The methodology presented herein can be applied in further investigations of other set of risk indicators, SWGs, hydrological models, and watersheds to minimize the required workload. © 2020, Springer-Verlag GmbH Germany, part of Springer Nature.","archive":"Scopus","container-title":"Stochastic Environmental Research and Risk Assessment","DOI":"10.1007/s00477-020-01825-w","ISSN":"1436-3240","issue":"7","language":"English","page":"993-1021","source":"Scopus","title":"Influence of output size of stochastic weather generators on common climate and hydrological statistical indices","volume":"34","author":[{"family":"Alodah","given":"A."},{"family":"Seidou","given":"O."}],"issued":{"date-parts":[["2020"]]},"citation-key":"alodahInfluenceOutputSize2020"}}],"schema":"https://github.com/citation-style-language/schema/raw/master/csl-citation.json"} </w:instrText>
      </w:r>
      <w:r w:rsidRPr="00A141D2">
        <w:rPr>
          <w:lang w:val="en-GB"/>
        </w:rPr>
        <w:fldChar w:fldCharType="separate"/>
      </w:r>
      <w:r w:rsidRPr="00A141D2">
        <w:rPr>
          <w:lang w:val="en-GB"/>
        </w:rPr>
        <w:t>(Alodah &amp; Seidou, 2020)</w:t>
      </w:r>
      <w:r w:rsidRPr="00A141D2">
        <w:rPr>
          <w:lang w:val="en-GB"/>
        </w:rPr>
        <w:fldChar w:fldCharType="end"/>
      </w:r>
      <w:r w:rsidRPr="00A141D2">
        <w:rPr>
          <w:lang w:val="en-GB"/>
        </w:rPr>
        <w:t xml:space="preserve">, five alternative realisations have been created and used as forcing to the hydrological model. For each realisation of a climate storyline, the fractional change in the </w:t>
      </w:r>
      <w:r w:rsidR="0038221A" w:rsidRPr="00A141D2">
        <w:rPr>
          <w:lang w:val="en-GB"/>
        </w:rPr>
        <w:t>1/100-year</w:t>
      </w:r>
      <w:r w:rsidRPr="00A141D2">
        <w:rPr>
          <w:lang w:val="en-GB"/>
        </w:rPr>
        <w:t xml:space="preserve"> return period discharge relative to the control baseline</w:t>
      </w:r>
      <w:r w:rsidR="007F1769" w:rsidRPr="00A141D2">
        <w:rPr>
          <w:lang w:val="en-GB"/>
        </w:rPr>
        <w:t xml:space="preserve"> is </w:t>
      </w:r>
      <w:r w:rsidR="000B0DD2" w:rsidRPr="00A141D2">
        <w:rPr>
          <w:lang w:val="en-GB"/>
        </w:rPr>
        <w:t>calculated</w:t>
      </w:r>
      <w:r w:rsidRPr="00A141D2">
        <w:rPr>
          <w:lang w:val="en-GB"/>
        </w:rPr>
        <w:t>. These change values are averaged across realisations to obtain the discharge change in the storylines to be used in further analysis.</w:t>
      </w:r>
    </w:p>
    <w:p w14:paraId="1AA44497" w14:textId="24D2C6BB" w:rsidR="00116E74" w:rsidRPr="00A141D2" w:rsidRDefault="00116E74" w:rsidP="00116E74">
      <w:pPr>
        <w:rPr>
          <w:lang w:val="en-GB"/>
        </w:rPr>
      </w:pPr>
      <w:r w:rsidRPr="00A141D2">
        <w:rPr>
          <w:lang w:val="en-GB"/>
        </w:rPr>
        <w:t xml:space="preserve">For each climate storyline, basin-wide probabilistic discharge changes are calculated and mapped using the HydroSheds classification of sub-catchments </w:t>
      </w:r>
      <w:r w:rsidRPr="00A141D2">
        <w:rPr>
          <w:lang w:val="en-GB"/>
        </w:rPr>
        <w:fldChar w:fldCharType="begin"/>
      </w:r>
      <w:r w:rsidRPr="00A141D2">
        <w:rPr>
          <w:lang w:val="en-GB"/>
        </w:rPr>
        <w:instrText xml:space="preserve"> ADDIN ZOTERO_ITEM CSL_CITATION {"citationID":"MpQkBmN8","properties":{"formattedCitation":"(B. Lehner &amp; Grill, 2013)","plainCitation":"(B. Lehner &amp; Grill, 2013)","noteIndex":0},"citationItems":[{"id":2887,"uris":["http://zotero.org/users/11212985/items/87MV5LBM"],"itemData":{"id":2887,"type":"article-journal","abstract":"Despite significant recent advancements, global hydrological models and their input databases still show limited capabilities in supporting many spatially detailed research questions and integrated assessments, such as required in freshwater ecology or applied water resources management. In order to address these challenges, the scientific community needs to create improved large-scale datasets and more flexible data structures that enable the integration of information across and within spatial scales; develop new and advanced models that support the assessment of longitudinal and lateral hydrological connectivity; and provide an accessible modeling environment for researchers, decision makers, and practitioners. As a contribution, we here present a new modeling framework that integrates hydrographic baseline data at a global scale (enhanced HydroSHEDS layers and coupled datasets) with new modeling tools, specifically a river network routing model (HydroROUT) that is currently under development. The resulting ‘hydro-spatial fabric’ is designed to provide an avenue for advanced hydro-ecological applications at large scales in a consistent and highly versatile way. Preliminary results from case studies to assess human impacts on water quality and the effects of dams on river fragmentation and downstream flow regulation illustrate the potential of this combined data-and-modeling framework to conduct novel research in the fields of aquatic ecology, biogeochemistry, geo-statistical modeling, or pollution and health risk assessments. The global scale outcomes are at a previously unachieved spatial resolution of 500 m and can thus support local planning and decision making in many of the world's large river basins. Copyright © 2013 John Wiley &amp; Sons, Ltd.","container-title":"Hydrological Processes","DOI":"10.1002/hyp.9740","ISSN":"1099-1085","issue":"15","language":"en","license":"Copyright © 2013 John Wiley &amp; Sons, Ltd.","note":"_eprint: https://onlinelibrary.wiley.com/doi/pdf/10.1002/hyp.9740","page":"2171-2186","source":"Wiley Online Library","title":"Global river hydrography and network routing: baseline data and new approaches to study the world's large river systems","title-short":"Global river hydrography and network routing","volume":"27","author":[{"family":"Lehner","given":"Bernhard"},{"family":"Grill","given":"Günther"}],"issued":{"date-parts":[["2013"]]},"citation-key":"lehnerGlobalRiverHydrography2013"}}],"schema":"https://github.com/citation-style-language/schema/raw/master/csl-citation.json"} </w:instrText>
      </w:r>
      <w:r w:rsidRPr="00A141D2">
        <w:rPr>
          <w:lang w:val="en-GB"/>
        </w:rPr>
        <w:fldChar w:fldCharType="separate"/>
      </w:r>
      <w:r w:rsidRPr="00A141D2">
        <w:rPr>
          <w:lang w:val="en-GB"/>
        </w:rPr>
        <w:t>(B. Lehner &amp; Grill, 2013)</w:t>
      </w:r>
      <w:r w:rsidRPr="00A141D2">
        <w:rPr>
          <w:lang w:val="en-GB"/>
        </w:rPr>
        <w:fldChar w:fldCharType="end"/>
      </w:r>
      <w:r w:rsidRPr="00A141D2">
        <w:rPr>
          <w:lang w:val="en-GB"/>
        </w:rPr>
        <w:t>. The resulting map provides a spatial representation of hazard intensity changes per hydrological run, revealing potential differences across catchments. We call this set of discharge event changes ‘plausibilistic storylines of extreme discharge’ that span a range of GCM projections and resulting impacts.</w:t>
      </w:r>
    </w:p>
    <w:p w14:paraId="6888D1AF" w14:textId="69E35C77" w:rsidR="00D92A0B" w:rsidRPr="00A141D2" w:rsidRDefault="00195670" w:rsidP="00775CD3">
      <w:pPr>
        <w:pStyle w:val="subheading"/>
        <w:rPr>
          <w:lang w:eastAsia="ja-JP"/>
        </w:rPr>
      </w:pPr>
      <w:r w:rsidRPr="00A141D2">
        <w:rPr>
          <w:lang w:eastAsia="ja-JP"/>
        </w:rPr>
        <w:t>2.3 Socio</w:t>
      </w:r>
      <w:r w:rsidR="00985DCF" w:rsidRPr="00A141D2">
        <w:rPr>
          <w:lang w:eastAsia="ja-JP"/>
        </w:rPr>
        <w:t>-</w:t>
      </w:r>
      <w:r w:rsidRPr="00A141D2">
        <w:rPr>
          <w:lang w:eastAsia="ja-JP"/>
        </w:rPr>
        <w:t>economic trends</w:t>
      </w:r>
    </w:p>
    <w:p w14:paraId="21C986C3" w14:textId="2A15366C" w:rsidR="00157D7F" w:rsidRPr="00A141D2" w:rsidRDefault="00157D7F" w:rsidP="00157D7F">
      <w:pPr>
        <w:rPr>
          <w:szCs w:val="24"/>
          <w:lang w:val="en-GB"/>
        </w:rPr>
      </w:pPr>
      <w:r w:rsidRPr="00A141D2">
        <w:rPr>
          <w:szCs w:val="24"/>
          <w:lang w:val="en-GB"/>
        </w:rPr>
        <w:t xml:space="preserve">Socio-economic changes in a region significantly contribute to changes in overall climate risk </w:t>
      </w:r>
      <w:r w:rsidRPr="00A141D2">
        <w:rPr>
          <w:szCs w:val="24"/>
          <w:lang w:val="en-GB"/>
        </w:rPr>
        <w:fldChar w:fldCharType="begin"/>
      </w:r>
      <w:r w:rsidRPr="00A141D2">
        <w:rPr>
          <w:szCs w:val="24"/>
          <w:lang w:val="en-GB"/>
        </w:rPr>
        <w:instrText xml:space="preserve"> ADDIN ZOTERO_ITEM CSL_CITATION {"citationID":"NqSZeQ80","properties":{"formattedCitation":"(Dottori et al., 2018; Steinhausen et al., 2022)","plainCitation":"(Dottori et al., 2018; Steinhausen et al., 2022)","noteIndex":0},"citationItems":[{"id":2677,"uris":["http://zotero.org/users/11212985/items/Z5ATMVCZ"],"itemData":{"id":2677,"type":"article-journal","abstract":"River floods are among some of the costliest natural disasters1, but their socio-economic impacts under contrasting warming levels remain little explored2. Here, using a multi-model framework, we estimate human losses, direct economic damage and subsequent indirect impacts (welfare losses) under a range of temperature (1.5 °C, 2 °C and 3 °C warming)3 and socio-economic scenarios, assuming current vulnerability levels and in the absence of future adaptation. With temperature increases of 1.5 °C, depending on the socio-economic scenario, it is found that human losses from flooding could rise by 70–83%, direct flood damage by 160–240%, with a relative welfare reduction between 0.23 and 0.29%. In a 2 °C world, by contrast, the death toll is 50% higher, direct economic damage doubles and welfare losses grow to 0.4%. Impacts are notably higher under 3 C warming, but at the same time, variability between ensemble members also increases, leading to greater uncertainty regarding flood impacts at higher warming levels. Flood impacts are further shown to have an uneven regional distribution, with the greatest losses observed in the Asian continent at all analysed warming levels. It is clear that increased adaptation and mitigation efforts—perhaps through infrastructural investment4—are needed to offset increasing risk of river floods in the future.","container-title":"Nature Climate Change","DOI":"10.1038/s41558-018-0257-z","ISSN":"1758-6798","issue":"9","journalAbbreviation":"Nature Clim Change","language":"en","license":"2018 The Author(s)","note":"publisher: Nature Publishing Group","page":"781-786","source":"www-nature-com.vu-nl.idm.oclc.org","title":"Increased human and economic losses from river flooding with anthropogenic warming","volume":"8","author":[{"family":"Dottori","given":"Francesco"},{"family":"Szewczyk","given":"Wojciech"},{"family":"Ciscar","given":"Juan-Carlos"},{"family":"Zhao","given":"Fang"},{"family":"Alfieri","given":"Lorenzo"},{"family":"Hirabayashi","given":"Yukiko"},{"family":"Bianchi","given":"Alessandra"},{"family":"Mongelli","given":"Ignazio"},{"family":"Frieler","given":"Katja"},{"family":"Betts","given":"Richard A."},{"family":"Feyen","given":"Luc"}],"issued":{"date-parts":[["2018",9]]},"citation-key":"dottoriIncreasedHumanEconomic2018"}},{"id":2075,"uris":["http://zotero.org/users/11212985/items/VJPVPBR8"],"itemData":{"id":2075,"type":"article-journal","abstract":"Flooding is the most costly natural hazard in Europe. Climatic and socioeconomic change are expected to further increase the amount of loss in the future. To counteract this development, policymaking, and adaptation planning need reliable large-scale risk assessments and an improved understanding of potential risk drivers. In this study, recent datasets for hazard and flood protection standards are combined with high resolution exposure projections and attributes of vulnerability derived from open data sources. The independent and combined influence of exposure change and climate scenarios rcp45 and rcp85 on fluvial flood risk are evaluated for three future periods centered around 2025, 2055 and 2085. Scenarios with improved and neglected private precaution are examined for their influence on flood risk using a probabilistic, multivariable flood loss model — BN-FLEMOps — to estimate fluvial flood losses for residential buildings in Europe. The results on NUTS-3 level reveal that urban centers and their surrounding regions are the hotspots of flood risk in Europe. Flood risk is projected to increase in the British Isles and Central Europe throughout the 21st century, while risk in many regions of Scandinavia and the Mediterranean will stagnate or decline. Under the combined effects of exposure change and climate scenarios rcp45, rcp85, fluvial flood risk in Europe is estimated to increase seven-fold and ten-fold respectively until the end of the century. Our results confirm the dominance of socioeconomic change over climate change on increasing risk. Improved private precautionary measures would reduce flood risk in Europe on an average by 15%. The quantification of future flood risk in Europe by integrating climate, socioeconomic and private precaution scenarios provides an overview of risk drivers, trends, and hotspots. This large-scale comprehensive assessment at a regional level resolution is valuable for multi-scale risk-based adaptation planning.","container-title":"Global Environmental Change","DOI":"10.1016/j.gloenvcha.2022.102559","ISSN":"0959-3780","journalAbbreviation":"Global Environmental Change","language":"en","page":"102559","source":"ScienceDirect","title":"Drivers of future fluvial flood risk change for residential buildings in Europe","volume":"76","author":[{"family":"Steinhausen","given":"Max"},{"family":"Paprotny","given":"Dominik"},{"family":"Dottori","given":"Francesco"},{"family":"Sairam","given":"Nivedita"},{"family":"Mentaschi","given":"Lorenzo"},{"family":"Alfieri","given":"Lorenzo"},{"family":"Lüdtke","given":"Stefan"},{"family":"Kreibich","given":"Heidi"},{"family":"Schröter","given":"Kai"}],"issued":{"date-parts":[["2022",9,1]]},"citation-key":"steinhausenDriversFutureFluvial2022"}}],"schema":"https://github.com/citation-style-language/schema/raw/master/csl-citation.json"} </w:instrText>
      </w:r>
      <w:r w:rsidRPr="00A141D2">
        <w:rPr>
          <w:szCs w:val="24"/>
          <w:lang w:val="en-GB"/>
        </w:rPr>
        <w:fldChar w:fldCharType="separate"/>
      </w:r>
      <w:r w:rsidRPr="00A141D2">
        <w:rPr>
          <w:szCs w:val="24"/>
          <w:lang w:val="en-GB"/>
        </w:rPr>
        <w:t>(Dottori et al., 2018; Steinhausen et al., 2022)</w:t>
      </w:r>
      <w:r w:rsidRPr="00A141D2">
        <w:rPr>
          <w:szCs w:val="24"/>
          <w:lang w:val="en-GB"/>
        </w:rPr>
        <w:fldChar w:fldCharType="end"/>
      </w:r>
      <w:r w:rsidRPr="00A141D2">
        <w:rPr>
          <w:szCs w:val="24"/>
          <w:lang w:val="en-GB"/>
        </w:rPr>
        <w:t xml:space="preserve"> as they alter regional exposure and vulnerability and should be included in regional climate risk assessments. For direct risks, we explore how</w:t>
      </w:r>
      <w:r w:rsidR="004E0086" w:rsidRPr="00A141D2">
        <w:rPr>
          <w:szCs w:val="24"/>
          <w:lang w:val="en-GB"/>
        </w:rPr>
        <w:t xml:space="preserve"> </w:t>
      </w:r>
      <w:r w:rsidRPr="00A141D2">
        <w:rPr>
          <w:szCs w:val="24"/>
          <w:lang w:val="en-GB"/>
        </w:rPr>
        <w:t>exposure</w:t>
      </w:r>
      <w:r w:rsidR="0035457F" w:rsidRPr="00A141D2">
        <w:rPr>
          <w:szCs w:val="24"/>
          <w:lang w:val="en-GB"/>
        </w:rPr>
        <w:t xml:space="preserve"> </w:t>
      </w:r>
      <w:r w:rsidRPr="00A141D2">
        <w:rPr>
          <w:szCs w:val="24"/>
          <w:lang w:val="en-GB"/>
        </w:rPr>
        <w:t>and, therefore, the impact potential in each sub-catchment develops into the future.</w:t>
      </w:r>
      <w:r w:rsidR="00141AA7" w:rsidRPr="00A141D2">
        <w:rPr>
          <w:szCs w:val="24"/>
          <w:lang w:val="en-GB"/>
        </w:rPr>
        <w:t xml:space="preserve"> </w:t>
      </w:r>
      <w:r w:rsidR="00517C88" w:rsidRPr="00A141D2">
        <w:rPr>
          <w:szCs w:val="24"/>
          <w:lang w:val="en-GB"/>
        </w:rPr>
        <w:t>Specificall</w:t>
      </w:r>
      <w:r w:rsidR="00AA6344" w:rsidRPr="00A141D2">
        <w:rPr>
          <w:szCs w:val="24"/>
          <w:lang w:val="en-GB"/>
        </w:rPr>
        <w:t>y</w:t>
      </w:r>
      <w:r w:rsidR="00400A9A" w:rsidRPr="00A141D2">
        <w:rPr>
          <w:szCs w:val="24"/>
          <w:lang w:val="en-GB"/>
        </w:rPr>
        <w:t>,</w:t>
      </w:r>
      <w:r w:rsidR="00AA6344" w:rsidRPr="00A141D2">
        <w:rPr>
          <w:szCs w:val="24"/>
          <w:lang w:val="en-GB"/>
        </w:rPr>
        <w:t xml:space="preserve"> this study</w:t>
      </w:r>
      <w:r w:rsidR="00141AA7" w:rsidRPr="00A141D2">
        <w:rPr>
          <w:szCs w:val="24"/>
          <w:lang w:val="en-GB"/>
        </w:rPr>
        <w:t xml:space="preserve"> </w:t>
      </w:r>
      <w:r w:rsidR="00AA6344" w:rsidRPr="00A141D2">
        <w:rPr>
          <w:szCs w:val="24"/>
          <w:lang w:val="en-GB"/>
        </w:rPr>
        <w:t>focuses on building</w:t>
      </w:r>
      <w:r w:rsidR="00C267C1" w:rsidRPr="00A141D2">
        <w:rPr>
          <w:szCs w:val="24"/>
          <w:lang w:val="en-GB"/>
        </w:rPr>
        <w:t xml:space="preserve"> exposure</w:t>
      </w:r>
      <w:r w:rsidR="00AA6344" w:rsidRPr="00A141D2">
        <w:rPr>
          <w:szCs w:val="24"/>
          <w:lang w:val="en-GB"/>
        </w:rPr>
        <w:t xml:space="preserve"> value</w:t>
      </w:r>
      <w:r w:rsidR="00400A9A" w:rsidRPr="00A141D2">
        <w:rPr>
          <w:szCs w:val="24"/>
          <w:lang w:val="en-GB"/>
        </w:rPr>
        <w:t>s</w:t>
      </w:r>
      <w:r w:rsidR="00DC7C47" w:rsidRPr="00A141D2">
        <w:rPr>
          <w:szCs w:val="24"/>
          <w:lang w:val="en-GB"/>
        </w:rPr>
        <w:t xml:space="preserve"> (Section 2.31)</w:t>
      </w:r>
      <w:r w:rsidR="00C267C1" w:rsidRPr="00A141D2">
        <w:rPr>
          <w:szCs w:val="24"/>
          <w:lang w:val="en-GB"/>
        </w:rPr>
        <w:t>.</w:t>
      </w:r>
      <w:r w:rsidRPr="00A141D2">
        <w:rPr>
          <w:szCs w:val="24"/>
          <w:lang w:val="en-GB"/>
        </w:rPr>
        <w:t xml:space="preserve"> For cascading effects throughout the economic network, </w:t>
      </w:r>
      <w:r w:rsidR="00361DC3" w:rsidRPr="00A141D2">
        <w:rPr>
          <w:szCs w:val="24"/>
          <w:lang w:val="en-GB"/>
        </w:rPr>
        <w:t xml:space="preserve">we construct </w:t>
      </w:r>
      <w:r w:rsidRPr="00A141D2">
        <w:rPr>
          <w:szCs w:val="24"/>
          <w:lang w:val="en-GB"/>
        </w:rPr>
        <w:t xml:space="preserve">perturbed regional economic networks by changing </w:t>
      </w:r>
      <w:r w:rsidR="00A54EA4" w:rsidRPr="00A141D2">
        <w:rPr>
          <w:szCs w:val="24"/>
          <w:lang w:val="en-GB"/>
        </w:rPr>
        <w:t xml:space="preserve">future </w:t>
      </w:r>
      <w:r w:rsidRPr="00A141D2">
        <w:rPr>
          <w:szCs w:val="24"/>
          <w:lang w:val="en-GB"/>
        </w:rPr>
        <w:t>sectoral production</w:t>
      </w:r>
      <w:r w:rsidR="00A426FA" w:rsidRPr="00A141D2">
        <w:rPr>
          <w:szCs w:val="24"/>
          <w:lang w:val="en-GB"/>
        </w:rPr>
        <w:t xml:space="preserve"> and </w:t>
      </w:r>
      <w:r w:rsidRPr="00A141D2">
        <w:rPr>
          <w:szCs w:val="24"/>
          <w:lang w:val="en-GB"/>
        </w:rPr>
        <w:t>consumption volumes and their interdependencies</w:t>
      </w:r>
      <w:r w:rsidR="00B45899" w:rsidRPr="00A141D2">
        <w:rPr>
          <w:szCs w:val="24"/>
          <w:lang w:val="en-GB"/>
        </w:rPr>
        <w:t xml:space="preserve"> (Section 2.3.2)</w:t>
      </w:r>
      <w:r w:rsidR="00A426FA" w:rsidRPr="00A141D2">
        <w:rPr>
          <w:szCs w:val="24"/>
          <w:lang w:val="en-GB"/>
        </w:rPr>
        <w:t xml:space="preserve">. Both developments in the </w:t>
      </w:r>
      <w:r w:rsidR="00EF4F79" w:rsidRPr="00A141D2">
        <w:rPr>
          <w:szCs w:val="24"/>
          <w:lang w:val="en-GB"/>
        </w:rPr>
        <w:t>exposure and economic network are</w:t>
      </w:r>
      <w:r w:rsidRPr="00A141D2">
        <w:rPr>
          <w:szCs w:val="24"/>
          <w:lang w:val="en-GB"/>
        </w:rPr>
        <w:t xml:space="preserve"> guided by the Shared Socio</w:t>
      </w:r>
      <w:r w:rsidR="00661789" w:rsidRPr="00A141D2">
        <w:rPr>
          <w:szCs w:val="24"/>
          <w:lang w:val="en-GB"/>
        </w:rPr>
        <w:t>-</w:t>
      </w:r>
      <w:r w:rsidRPr="00A141D2">
        <w:rPr>
          <w:szCs w:val="24"/>
          <w:lang w:val="en-GB"/>
        </w:rPr>
        <w:t xml:space="preserve">economic Pathways (SSP) framework </w:t>
      </w:r>
      <w:r w:rsidRPr="00A141D2">
        <w:rPr>
          <w:szCs w:val="24"/>
          <w:lang w:val="en-GB"/>
        </w:rPr>
        <w:fldChar w:fldCharType="begin"/>
      </w:r>
      <w:r w:rsidRPr="00A141D2">
        <w:rPr>
          <w:szCs w:val="24"/>
          <w:lang w:val="en-GB"/>
        </w:rPr>
        <w:instrText xml:space="preserve"> ADDIN ZOTERO_ITEM CSL_CITATION {"citationID":"OrZdhw2i","properties":{"formattedCitation":"(O\\uc0\\u8217{}Neill et al., 2014, 2017)","plainCitation":"(O’Neill et al., 2014, 2017)","dontUpdate":true,"noteIndex":0},"citationItems":[{"id":1965,"uris":["http://zotero.org/groups/5015323/items/G36L4MCL"],"itemData":{"id":1965,"type":"article-journal","container-title":"Climatic Change","DOI":"10.1007/s10584-013-0905-2","ISSN":"0165-0009, 1573-1480","issue":"3","journalAbbreviation":"Climatic Change","language":"en","page":"387-400","source":"DOI.org (Crossref)","title":"A new scenario framework for climate change research: the concept of shared socioeconomic pathways","title-short":"A new scenario framework for climate change research","volume":"122","author":[{"family":"O’Neill","given":"Brian C."},{"family":"Kriegler","given":"Elmar"},{"family":"Riahi","given":"Keywan"},{"family":"Ebi","given":"Kristie L."},{"family":"Hallegatte","given":"Stephane"},{"family":"Carter","given":"Timothy R."},{"family":"Mathur","given":"Ritu"},{"family":"Vuuren","given":"Detlef P.","non-dropping-particle":"van"}],"issued":{"date-parts":[["2014",2]]},"citation-key":"oneillNewScenarioFramework2014"}},{"id":2826,"uris":["http://zotero.org/users/11212985/items/M459W25K"],"itemData":{"id":2826,"type":"article-journal","abstract":"Long-term scenarios play an important role in research on global environmental change. The climate change research community is developing new scenarios integrating future changes in climate and society to investigate climate impacts as well as options for mitigation and adaptation. One component of these new scenarios is a set of alternative futures of societal development known as the shared socioeconomic pathways (SSPs). The conceptual framework for the design and use of the SSPs calls for the development of global pathways describing the future evolution of key aspects of society that would together imply a range of challenges for mitigating and adapting to climate change. Here we present one component of these pathways: the SSP narratives, a set of five qualitative descriptions of future changes in demographics, human development, economy and lifestyle, policies and institutions, technology, and environment and natural resources. We describe the methods used to develop the narratives as well as how these pathways are hypothesized to produce particular combinations of challenges to mitigation and adaptation. Development of the narratives drew on expert opinion to (1) identify key determinants of these challenges that were essential to incorporate in the narratives and (2) combine these elements in the narratives in a manner consistent with scholarship on their inter-relationships. The narratives are intended as a description of plausible future conditions at the level of large world regions that can serve as a basis for integrated scenarios of emissions and land use, as well as climate impact, adaptation and vulnerability analyses.","container-title":"Global Environmental Change","DOI":"10.1016/j.gloenvcha.2015.01.004","ISSN":"0959-3780","journalAbbreviation":"Global Environmental Change","page":"169-180","source":"ScienceDirect","title":"The roads ahead: Narratives for shared socioeconomic pathways describing world futures in the 21st century","title-short":"The roads ahead","volume":"42","author":[{"family":"O’Neill","given":"Brian C."},{"family":"Kriegler","given":"Elmar"},{"family":"Ebi","given":"Kristie L."},{"family":"Kemp-Benedict","given":"Eric"},{"family":"Riahi","given":"Keywan"},{"family":"Rothman","given":"Dale S."},{"family":"Ruijven","given":"Bas J.","non-dropping-particle":"van"},{"family":"Vuuren","given":"Detlef P.","non-dropping-particle":"van"},{"family":"Birkmann","given":"Joern"},{"family":"Kok","given":"Kasper"},{"family":"Levy","given":"Marc"},{"family":"Solecki","given":"William"}],"issued":{"date-parts":[["2017",1,1]]},"citation-key":"oneillRoadsAheadNarratives2017"}}],"schema":"https://github.com/citation-style-language/schema/raw/master/csl-citation.json"} </w:instrText>
      </w:r>
      <w:r w:rsidRPr="00A141D2">
        <w:rPr>
          <w:szCs w:val="24"/>
          <w:lang w:val="en-GB"/>
        </w:rPr>
        <w:fldChar w:fldCharType="separate"/>
      </w:r>
      <w:r w:rsidRPr="00A141D2">
        <w:rPr>
          <w:szCs w:val="24"/>
          <w:lang w:val="en-GB"/>
        </w:rPr>
        <w:t>(O'Neill et al., 2014, 2017)</w:t>
      </w:r>
      <w:r w:rsidRPr="00A141D2">
        <w:rPr>
          <w:szCs w:val="24"/>
          <w:lang w:val="en-GB"/>
        </w:rPr>
        <w:fldChar w:fldCharType="end"/>
      </w:r>
      <w:r w:rsidRPr="00A141D2">
        <w:rPr>
          <w:szCs w:val="24"/>
          <w:lang w:val="en-GB"/>
        </w:rPr>
        <w:t xml:space="preserve">. Multiple SSPs are used to explore the uncertainty range in regional socio-economic trends. By using </w:t>
      </w:r>
      <w:r w:rsidR="008D6FF5" w:rsidRPr="00A141D2">
        <w:rPr>
          <w:szCs w:val="24"/>
          <w:lang w:val="en-GB"/>
        </w:rPr>
        <w:t xml:space="preserve">the SSP framework </w:t>
      </w:r>
      <w:r w:rsidR="00D77143" w:rsidRPr="00A141D2">
        <w:rPr>
          <w:szCs w:val="24"/>
          <w:lang w:val="en-GB"/>
        </w:rPr>
        <w:t xml:space="preserve">we </w:t>
      </w:r>
      <w:r w:rsidRPr="00A141D2">
        <w:rPr>
          <w:szCs w:val="24"/>
          <w:lang w:val="en-GB"/>
        </w:rPr>
        <w:t xml:space="preserve">can combine studies </w:t>
      </w:r>
      <w:r w:rsidR="008D6FF5" w:rsidRPr="00A141D2">
        <w:rPr>
          <w:szCs w:val="24"/>
          <w:lang w:val="en-GB"/>
        </w:rPr>
        <w:t xml:space="preserve">that are </w:t>
      </w:r>
      <w:r w:rsidRPr="00A141D2">
        <w:rPr>
          <w:szCs w:val="24"/>
          <w:lang w:val="en-GB"/>
        </w:rPr>
        <w:t>based on the SSPs</w:t>
      </w:r>
      <w:r w:rsidR="009B2308" w:rsidRPr="00A141D2">
        <w:rPr>
          <w:szCs w:val="24"/>
          <w:lang w:val="en-GB"/>
        </w:rPr>
        <w:t xml:space="preserve"> in a way </w:t>
      </w:r>
      <w:r w:rsidR="00FB1878" w:rsidRPr="00A141D2">
        <w:rPr>
          <w:szCs w:val="24"/>
          <w:lang w:val="en-GB"/>
        </w:rPr>
        <w:t xml:space="preserve">that </w:t>
      </w:r>
      <w:r w:rsidR="009B2308" w:rsidRPr="00A141D2">
        <w:rPr>
          <w:szCs w:val="24"/>
          <w:lang w:val="en-GB"/>
        </w:rPr>
        <w:t>projected variables are consistent with each other</w:t>
      </w:r>
      <w:r w:rsidRPr="00A141D2">
        <w:rPr>
          <w:szCs w:val="24"/>
          <w:lang w:val="en-GB"/>
        </w:rPr>
        <w:t>.</w:t>
      </w:r>
      <w:r w:rsidR="00F3385B" w:rsidRPr="00A141D2">
        <w:rPr>
          <w:szCs w:val="24"/>
          <w:lang w:val="en-GB"/>
        </w:rPr>
        <w:t xml:space="preserve"> </w:t>
      </w:r>
      <w:r w:rsidR="00F85896" w:rsidRPr="00A141D2">
        <w:rPr>
          <w:szCs w:val="24"/>
          <w:lang w:val="en-GB"/>
        </w:rPr>
        <w:t>To reflect our localised application</w:t>
      </w:r>
      <w:r w:rsidR="00FD4E81" w:rsidRPr="00A141D2">
        <w:rPr>
          <w:szCs w:val="24"/>
          <w:lang w:val="en-GB"/>
        </w:rPr>
        <w:t>,</w:t>
      </w:r>
      <w:r w:rsidR="00F85896" w:rsidRPr="00A141D2">
        <w:rPr>
          <w:szCs w:val="24"/>
          <w:lang w:val="en-GB"/>
        </w:rPr>
        <w:t xml:space="preserve"> </w:t>
      </w:r>
      <w:r w:rsidR="00FD4E81" w:rsidRPr="00A141D2">
        <w:rPr>
          <w:szCs w:val="24"/>
          <w:lang w:val="en-GB"/>
        </w:rPr>
        <w:t>we</w:t>
      </w:r>
      <w:r w:rsidR="00F3385B" w:rsidRPr="00A141D2">
        <w:rPr>
          <w:szCs w:val="24"/>
          <w:lang w:val="en-GB"/>
        </w:rPr>
        <w:t xml:space="preserve"> further refer to these SSP</w:t>
      </w:r>
      <w:r w:rsidR="00346F1D" w:rsidRPr="00A141D2">
        <w:rPr>
          <w:szCs w:val="24"/>
          <w:lang w:val="en-GB"/>
        </w:rPr>
        <w:t>-</w:t>
      </w:r>
      <w:r w:rsidR="00F3385B" w:rsidRPr="00A141D2">
        <w:rPr>
          <w:szCs w:val="24"/>
          <w:lang w:val="en-GB"/>
        </w:rPr>
        <w:t xml:space="preserve">inspired scenarios as </w:t>
      </w:r>
      <w:r w:rsidR="00346F1D" w:rsidRPr="00A141D2">
        <w:rPr>
          <w:szCs w:val="24"/>
          <w:lang w:val="en-GB"/>
        </w:rPr>
        <w:t>‘regional economic futures’.</w:t>
      </w:r>
    </w:p>
    <w:p w14:paraId="4B439AC4" w14:textId="77777777" w:rsidR="00157D7F" w:rsidRPr="00A141D2" w:rsidRDefault="00157D7F" w:rsidP="00934387">
      <w:pPr>
        <w:pStyle w:val="subheading"/>
      </w:pPr>
      <w:r w:rsidRPr="00A141D2">
        <w:lastRenderedPageBreak/>
        <w:t>2.3.1 Asset development in the region</w:t>
      </w:r>
    </w:p>
    <w:p w14:paraId="7B952651" w14:textId="3D04E5B1" w:rsidR="00157D7F" w:rsidRPr="00A141D2" w:rsidRDefault="00157D7F" w:rsidP="00431384">
      <w:pPr>
        <w:spacing w:line="259" w:lineRule="auto"/>
        <w:rPr>
          <w:lang w:val="en-GB"/>
        </w:rPr>
      </w:pPr>
      <w:r w:rsidRPr="00A141D2">
        <w:rPr>
          <w:lang w:val="en-GB"/>
        </w:rPr>
        <w:t xml:space="preserve">To assess changes in direct impacts, </w:t>
      </w:r>
      <w:r w:rsidR="00431384" w:rsidRPr="00A141D2">
        <w:rPr>
          <w:lang w:val="en-GB"/>
        </w:rPr>
        <w:t xml:space="preserve">we explore the </w:t>
      </w:r>
      <w:r w:rsidRPr="00A141D2">
        <w:rPr>
          <w:lang w:val="en-GB"/>
        </w:rPr>
        <w:t xml:space="preserve">change in </w:t>
      </w:r>
      <w:r w:rsidR="007C2560" w:rsidRPr="00A141D2">
        <w:rPr>
          <w:lang w:val="en-GB"/>
        </w:rPr>
        <w:t xml:space="preserve">building value </w:t>
      </w:r>
      <w:r w:rsidRPr="00A141D2">
        <w:rPr>
          <w:lang w:val="en-GB"/>
        </w:rPr>
        <w:t xml:space="preserve">exposure over time </w:t>
      </w:r>
      <w:r w:rsidR="00431384" w:rsidRPr="00A141D2">
        <w:rPr>
          <w:lang w:val="en-GB"/>
        </w:rPr>
        <w:t xml:space="preserve">as it </w:t>
      </w:r>
      <w:r w:rsidRPr="00A141D2">
        <w:rPr>
          <w:lang w:val="en-GB"/>
        </w:rPr>
        <w:t xml:space="preserve">is a key driver of risk. </w:t>
      </w:r>
      <w:r w:rsidR="002B04FE" w:rsidRPr="00A141D2">
        <w:rPr>
          <w:lang w:val="en-GB"/>
        </w:rPr>
        <w:t>D</w:t>
      </w:r>
      <w:r w:rsidRPr="00A141D2">
        <w:rPr>
          <w:lang w:val="en-GB"/>
        </w:rPr>
        <w:t xml:space="preserve">irect impacts </w:t>
      </w:r>
      <w:r w:rsidR="002B04FE" w:rsidRPr="00A141D2">
        <w:rPr>
          <w:lang w:val="en-GB"/>
        </w:rPr>
        <w:t xml:space="preserve">are modulated </w:t>
      </w:r>
      <w:r w:rsidRPr="00A141D2">
        <w:rPr>
          <w:lang w:val="en-GB"/>
        </w:rPr>
        <w:t xml:space="preserve">by altering </w:t>
      </w:r>
      <w:r w:rsidR="00E4143C" w:rsidRPr="00A141D2">
        <w:rPr>
          <w:lang w:val="en-GB"/>
        </w:rPr>
        <w:t xml:space="preserve">each </w:t>
      </w:r>
      <w:r w:rsidR="00874FD6" w:rsidRPr="00A141D2">
        <w:rPr>
          <w:lang w:val="en-GB"/>
        </w:rPr>
        <w:t>sub-catchment’s</w:t>
      </w:r>
      <w:r w:rsidR="00750353" w:rsidRPr="00A141D2">
        <w:rPr>
          <w:lang w:val="en-GB"/>
        </w:rPr>
        <w:t xml:space="preserve"> total area occupied by building footprints and the cost of rebuilding a structure</w:t>
      </w:r>
      <w:r w:rsidRPr="00A141D2">
        <w:rPr>
          <w:lang w:val="en-GB"/>
        </w:rPr>
        <w:t xml:space="preserve">. We calculate these changes in </w:t>
      </w:r>
      <w:r w:rsidR="00750353" w:rsidRPr="00A141D2">
        <w:rPr>
          <w:lang w:val="en-GB"/>
        </w:rPr>
        <w:t>ex</w:t>
      </w:r>
      <w:r w:rsidR="00A0125F" w:rsidRPr="00A141D2">
        <w:rPr>
          <w:lang w:val="en-GB"/>
        </w:rPr>
        <w:t>po</w:t>
      </w:r>
      <w:r w:rsidR="00750353" w:rsidRPr="00A141D2">
        <w:rPr>
          <w:lang w:val="en-GB"/>
        </w:rPr>
        <w:t xml:space="preserve">sed </w:t>
      </w:r>
      <w:r w:rsidRPr="00A141D2">
        <w:rPr>
          <w:lang w:val="en-GB"/>
        </w:rPr>
        <w:t>asset</w:t>
      </w:r>
      <w:r w:rsidR="00750353" w:rsidRPr="00A141D2">
        <w:rPr>
          <w:lang w:val="en-GB"/>
        </w:rPr>
        <w:t xml:space="preserve"> values</w:t>
      </w:r>
      <w:r w:rsidRPr="00A141D2">
        <w:rPr>
          <w:lang w:val="en-GB"/>
        </w:rPr>
        <w:t xml:space="preserve"> in the regions by using global datasets of downscaled spatial projections of GDP growth </w:t>
      </w:r>
      <w:r w:rsidRPr="00A141D2">
        <w:rPr>
          <w:lang w:val="en-GB"/>
        </w:rPr>
        <w:fldChar w:fldCharType="begin"/>
      </w:r>
      <w:r w:rsidRPr="00A141D2">
        <w:rPr>
          <w:lang w:val="en-GB"/>
        </w:rPr>
        <w:instrText xml:space="preserve"> ADDIN ZOTERO_ITEM CSL_CITATION {"citationID":"DraIDoQo","properties":{"formattedCitation":"(Wang &amp; Sun, 2022)","plainCitation":"(Wang &amp; Sun, 2022)","noteIndex":0},"citationItems":[{"id":2743,"uris":["http://zotero.org/users/11212985/items/CSQDTKQP"],"itemData":{"id":2743,"type":"article-journal","abstract":"The vulnerability, exposure and resilience of socioeconomic activities to future climate extremes call for high-resolution gridded GDP in climate change adaptation and mitigation research. While global socioeconomic projections are provided mainly at the national level, and downscaling approaches using nighttime light (NTL) images or gridded population data can increase the uncertainty due to limitations. Therefore, we adopt an NTL-population-based approach, which exhibits higher accuracy in socioeconomic disaggregation. Gross regional product of over 800 provinces, which covering over 60% of the global land surface and accounted for more than 80% of GDP in 2005, were used as input. We present a first set of comparable spatially explicit global gridded GDP projections with fine spatial resolutions of 30 arc-seconds and 0.25 arc-degrees for the historical period of 2005 and for 2030–2100 at 10-year intervals under the five SSPs, accounting for the two-child policy in China. This gridded GDP projection dataset can broaden the applicability of GDP data, the availability of which is necessary for socioeconomic and climate change research.","container-title":"Scientific Data","DOI":"10.1038/s41597-022-01300-x","ISSN":"2052-4463","issue":"1","journalAbbreviation":"Sci Data","language":"en","license":"2022 The Author(s)","note":"publisher: Nature Publishing Group","page":"221","source":"www-nature-com.vu-nl.idm.oclc.org","title":"Global gridded GDP data set consistent with the shared socioeconomic pathways","volume":"9","author":[{"family":"Wang","given":"Tingting"},{"family":"Sun","given":"Fubao"}],"issued":{"date-parts":[["2022",5,19]]},"citation-key":"wangGlobalGriddedGDP2022"}}],"schema":"https://github.com/citation-style-language/schema/raw/master/csl-citation.json"} </w:instrText>
      </w:r>
      <w:r w:rsidRPr="00A141D2">
        <w:rPr>
          <w:lang w:val="en-GB"/>
        </w:rPr>
        <w:fldChar w:fldCharType="separate"/>
      </w:r>
      <w:r w:rsidRPr="00A141D2">
        <w:rPr>
          <w:lang w:val="en-GB"/>
        </w:rPr>
        <w:t>(Wang &amp; Sun, 2022)</w:t>
      </w:r>
      <w:r w:rsidRPr="00A141D2">
        <w:rPr>
          <w:lang w:val="en-GB"/>
        </w:rPr>
        <w:fldChar w:fldCharType="end"/>
      </w:r>
      <w:r w:rsidRPr="00A141D2">
        <w:rPr>
          <w:lang w:val="en-GB"/>
        </w:rPr>
        <w:t xml:space="preserve">, urban density </w:t>
      </w:r>
      <w:r w:rsidRPr="00A141D2">
        <w:rPr>
          <w:lang w:val="en-GB"/>
        </w:rPr>
        <w:fldChar w:fldCharType="begin"/>
      </w:r>
      <w:r w:rsidRPr="00A141D2">
        <w:rPr>
          <w:lang w:val="en-GB"/>
        </w:rPr>
        <w:instrText xml:space="preserve"> ADDIN ZOTERO_ITEM CSL_CITATION {"citationID":"QnrBWf1r","properties":{"formattedCitation":"(Gao &amp; Pesaresi, 2021)","plainCitation":"(Gao &amp; Pesaresi, 2021)","noteIndex":0},"citationItems":[{"id":2745,"uris":["http://zotero.org/users/11212985/items/G24ABQ2E"],"itemData":{"id":2745,"type":"article-journal","abstract":"Long-term, spatial urban land projections that simultaneously offer global coverage and local-scale empirical accuracy are rare. Recently a set of such projections was produced using data-science-based simulations and the Shared Socioeconomic Pathways (SSPs). These projections update at decadal time intervals from 2000 to 2100 with a spatial resolution of 1/8 degree, while many socio-environmental studies customarily run their analysis and modelling at finer spatial resolutions, e.g. 1-km. Here we develop and validate an algorithm to downscale the 1/8-degree spatial urban land projections to the 1-km resolution. The algorithm uses an iterative process to allocate the decadal amount of urban land expansion originally projected for each 1/8-degree grid to its constituent 1-km grids. The results are a set of global maps showing urban land fractions at the 1-km resolution, updated at decadal intervals from 2000 to 2100, under five different urban land expansion scenarios consistent with the SSPs. The data can support studies of potential interactions between future urbanization and environmental changes across spatial and temporal scales.","container-title":"Scientific Data","DOI":"10.1038/s41597-021-01052-0","ISSN":"2052-4463","issue":"1","journalAbbreviation":"Sci Data","language":"en","license":"2021 The Author(s)","note":"publisher: Nature Publishing Group","page":"281","source":"www-nature-com.vu-nl.idm.oclc.org","title":"Downscaling SSP-consistent global spatial urban land projections from 1/8-degree to 1-km resolution 2000–2100","volume":"8","author":[{"family":"Gao","given":"Jing"},{"family":"Pesaresi","given":"Martino"}],"issued":{"date-parts":[["2021",10,28]]},"citation-key":"gaoDownscalingSSPconsistentGlobal2021"}}],"schema":"https://github.com/citation-style-language/schema/raw/master/csl-citation.json"} </w:instrText>
      </w:r>
      <w:r w:rsidRPr="00A141D2">
        <w:rPr>
          <w:lang w:val="en-GB"/>
        </w:rPr>
        <w:fldChar w:fldCharType="separate"/>
      </w:r>
      <w:r w:rsidRPr="00A141D2">
        <w:rPr>
          <w:lang w:val="en-GB"/>
        </w:rPr>
        <w:t>(Gao &amp; Pesaresi, 2021)</w:t>
      </w:r>
      <w:r w:rsidRPr="00A141D2">
        <w:rPr>
          <w:lang w:val="en-GB"/>
        </w:rPr>
        <w:fldChar w:fldCharType="end"/>
      </w:r>
      <w:r w:rsidRPr="00A141D2">
        <w:rPr>
          <w:lang w:val="en-GB"/>
        </w:rPr>
        <w:t xml:space="preserve">, and urban expansion </w:t>
      </w:r>
      <w:r w:rsidRPr="00A141D2">
        <w:rPr>
          <w:lang w:val="en-GB"/>
        </w:rPr>
        <w:fldChar w:fldCharType="begin"/>
      </w:r>
      <w:r w:rsidRPr="00A141D2">
        <w:rPr>
          <w:lang w:val="en-GB"/>
        </w:rPr>
        <w:instrText xml:space="preserve"> ADDIN ZOTERO_ITEM CSL_CITATION {"citationID":"V40d70Or","properties":{"formattedCitation":"(Chen et al., 2020)","plainCitation":"(Chen et al., 2020)","noteIndex":0},"citationItems":[{"id":2749,"uris":["http://zotero.org/users/11212985/items/4UZFVVUT"],"itemData":{"id":2749,"type":"article-journal","abstract":"Despite its small land coverage, urban land and its expansion have exhibited profound impacts on global environments. Here, we present the scenario projections of global urban land expansion under the framework of the shared socioeconomic pathways (SSPs). Our projections feature a fine spatial resolution of 1 km to preserve spatial details. The projections reveal that although global urban land continues to expand rapidly before the 2040s, China and many other Asian countries are expected to encounter substantial pressure from urban population decline after the 2050s. Approximately 50–63% of the newly expanded urban land is expected to occur on current croplands. Global crop production will decline by approximately 1–4%, corresponding to the annual food needs for a certain crop of 122–1389 million people. These findings stress the importance of governing urban land development as a key measure to mitigate its negative impacts on food production.","container-title":"Nature Communications","DOI":"10.1038/s41467-020-14386-x","ISSN":"2041-1723","issue":"1","journalAbbreviation":"Nat Commun","language":"en","license":"2020 The Author(s)","note":"publisher: Nature Publishing Group","page":"537","source":"www-nature-com.vu-nl.idm.oclc.org","title":"Global projections of future urban land expansion under shared socioeconomic pathways","volume":"11","author":[{"family":"Chen","given":"Guangzhao"},{"family":"Li","given":"Xia"},{"family":"Liu","given":"Xiaoping"},{"family":"Chen","given":"Yimin"},{"family":"Liang","given":"Xun"},{"family":"Leng","given":"Jiye"},{"family":"Xu","given":"Xiaocong"},{"family":"Liao","given":"Weilin"},{"family":"Qiu","given":"Yue’an"},{"family":"Wu","given":"Qianlian"},{"family":"Huang","given":"Kangning"}],"issued":{"date-parts":[["2020",1,27]]},"citation-key":"chenGlobalProjectionsFuture2020"}}],"schema":"https://github.com/citation-style-language/schema/raw/master/csl-citation.json"} </w:instrText>
      </w:r>
      <w:r w:rsidRPr="00A141D2">
        <w:rPr>
          <w:lang w:val="en-GB"/>
        </w:rPr>
        <w:fldChar w:fldCharType="separate"/>
      </w:r>
      <w:r w:rsidRPr="00A141D2">
        <w:rPr>
          <w:lang w:val="en-GB"/>
        </w:rPr>
        <w:t>(Chen et al., 2020)</w:t>
      </w:r>
      <w:r w:rsidRPr="00A141D2">
        <w:rPr>
          <w:lang w:val="en-GB"/>
        </w:rPr>
        <w:fldChar w:fldCharType="end"/>
      </w:r>
      <w:r w:rsidRPr="00A141D2">
        <w:rPr>
          <w:lang w:val="en-GB"/>
        </w:rPr>
        <w:t xml:space="preserve"> at 1 km spatial resolution. These datasets disaggregat</w:t>
      </w:r>
      <w:r w:rsidR="00B26D9F" w:rsidRPr="00A141D2">
        <w:rPr>
          <w:lang w:val="en-GB"/>
        </w:rPr>
        <w:t>e</w:t>
      </w:r>
      <w:r w:rsidRPr="00A141D2">
        <w:rPr>
          <w:lang w:val="en-GB"/>
        </w:rPr>
        <w:t xml:space="preserve"> </w:t>
      </w:r>
      <w:r w:rsidR="00FD2161" w:rsidRPr="00A141D2">
        <w:rPr>
          <w:lang w:val="en-GB"/>
        </w:rPr>
        <w:t>national-level</w:t>
      </w:r>
      <w:r w:rsidRPr="00A141D2">
        <w:rPr>
          <w:lang w:val="en-GB"/>
        </w:rPr>
        <w:t xml:space="preserve"> Gross Domestic Product (GDP), population, and urbanisation based on current population and GDP distributions, where built-up areas aggregate a larger fraction of the projected changes than countryside areas. By multiplying the GDP growth with urban density change and urban expansion in a sub-catchment, we obtain the asset value change factor that is used to </w:t>
      </w:r>
      <w:r w:rsidR="00400A37" w:rsidRPr="00A141D2">
        <w:rPr>
          <w:lang w:val="en-GB"/>
        </w:rPr>
        <w:t>project</w:t>
      </w:r>
      <w:r w:rsidRPr="00A141D2">
        <w:rPr>
          <w:lang w:val="en-GB"/>
        </w:rPr>
        <w:t xml:space="preserve"> the asset values in the floodplains </w:t>
      </w:r>
      <w:r w:rsidR="00DD0E2F" w:rsidRPr="00A141D2">
        <w:rPr>
          <w:lang w:val="en-GB"/>
        </w:rPr>
        <w:t xml:space="preserve">between the 2020 baseline and 2050 </w:t>
      </w:r>
      <w:r w:rsidRPr="00A141D2">
        <w:rPr>
          <w:lang w:val="en-GB"/>
        </w:rPr>
        <w:t>(see Section 2.4.1)</w:t>
      </w:r>
      <w:r w:rsidR="00086D83" w:rsidRPr="00A141D2">
        <w:rPr>
          <w:lang w:val="en-GB"/>
        </w:rPr>
        <w:t>.</w:t>
      </w:r>
    </w:p>
    <w:p w14:paraId="23EBFED1" w14:textId="77777777" w:rsidR="00157D7F" w:rsidRPr="00A141D2" w:rsidRDefault="00157D7F" w:rsidP="00934387">
      <w:pPr>
        <w:pStyle w:val="subheading"/>
      </w:pPr>
      <w:r w:rsidRPr="00A141D2">
        <w:t>2.3.2 Scaling sectors and their interdependencies</w:t>
      </w:r>
    </w:p>
    <w:p w14:paraId="2F9B687A" w14:textId="183B1AFA" w:rsidR="00157D7F" w:rsidRPr="00A141D2" w:rsidRDefault="00157D7F" w:rsidP="00157D7F">
      <w:pPr>
        <w:rPr>
          <w:lang w:val="en-GB"/>
        </w:rPr>
      </w:pPr>
      <w:r w:rsidRPr="00A141D2">
        <w:rPr>
          <w:lang w:val="en-GB"/>
        </w:rPr>
        <w:t xml:space="preserve">Cascading effects in the economic system are influenced by how individual sectors develop and how sectors interact. Changes in </w:t>
      </w:r>
      <w:r w:rsidR="003609FC" w:rsidRPr="00A141D2">
        <w:rPr>
          <w:lang w:val="en-GB"/>
        </w:rPr>
        <w:t xml:space="preserve">cascading </w:t>
      </w:r>
      <w:r w:rsidRPr="00A141D2">
        <w:rPr>
          <w:lang w:val="en-GB"/>
        </w:rPr>
        <w:t xml:space="preserve">effects are assumed to be </w:t>
      </w:r>
      <w:r w:rsidR="003F24FA" w:rsidRPr="00A141D2">
        <w:rPr>
          <w:lang w:val="en-GB"/>
        </w:rPr>
        <w:t>related</w:t>
      </w:r>
      <w:r w:rsidRPr="00A141D2">
        <w:rPr>
          <w:lang w:val="en-GB"/>
        </w:rPr>
        <w:t xml:space="preserve"> to socio-economic trends in GDP and the contribution of individual sectors to that GDP. These factors allow us to analyse changing national economic structure, sectoral dependencies and, consequently, cascading impacts of flood events. </w:t>
      </w:r>
      <w:r w:rsidR="001C4213" w:rsidRPr="00A141D2">
        <w:rPr>
          <w:lang w:val="en-GB"/>
        </w:rPr>
        <w:t xml:space="preserve">National </w:t>
      </w:r>
      <w:r w:rsidRPr="00A141D2">
        <w:rPr>
          <w:lang w:val="en-GB"/>
        </w:rPr>
        <w:t xml:space="preserve">GDP projections under various </w:t>
      </w:r>
      <w:r w:rsidR="001C4213" w:rsidRPr="00A141D2">
        <w:rPr>
          <w:lang w:val="en-GB"/>
        </w:rPr>
        <w:t xml:space="preserve">global </w:t>
      </w:r>
      <w:r w:rsidRPr="00A141D2">
        <w:rPr>
          <w:lang w:val="en-GB"/>
        </w:rPr>
        <w:t xml:space="preserve">SSP scenarios exist for some time </w:t>
      </w:r>
      <w:r w:rsidRPr="00A141D2">
        <w:rPr>
          <w:lang w:val="en-GB"/>
        </w:rPr>
        <w:fldChar w:fldCharType="begin"/>
      </w:r>
      <w:r w:rsidRPr="00A141D2">
        <w:rPr>
          <w:lang w:val="en-GB"/>
        </w:rPr>
        <w:instrText xml:space="preserve"> ADDIN ZOTERO_ITEM CSL_CITATION {"citationID":"eU4oogYv","properties":{"formattedCitation":"(Dellink et al., 2017)","plainCitation":"(Dellink et al., 2017)","noteIndex":0},"citationItems":[{"id":2939,"uris":["http://zotero.org/users/11212985/items/WTGQQB48"],"itemData":{"id":2939,"type":"article-journal","abstract":"Long-term economic scenarios (up to 2100) are needed as a basis to explore possible different futures for major environmental challenges, including climate change. Given the high level of uncertainty involved, such scenarios would need to span a wide range of possible growth trajectories. The recently developed storylines of the Shared Socioeconomic Pathways (SSPs) provide a basis for making such projections. This paper describes a consistent methodology to derive (per capita) GDP trend pathways on a country basis. The methodology is based on a convergence process and places emphasis on the key drivers of economic growth in the long run: population, total factor productivity, physical capital, employment and human capital, and energy and fossil fuel resources (specifically oil and gas). The paper uses this methodology to derive country-level economic growth projections for 184 countries. The paper also investigates the influence of short-term growth rate estimates on the long-term income levels in various countries. It does so by comparing long-term projections based on short-term forecasts from 2011 with the projections based on forecasts from 2013. This highlights the effects of the recent economic crisis and uncertainty in short term developments on longer term growth trends. The projections are subject to large uncertainties, particularly for the later decades, and disregard a wide range of country-specific drivers of economic growth that are outside the narrow economic framework, such as external shocks, governance barriers and feedbacks from environmental damage. Hence, they should be interpreted with sufficient care and not be treated as predictions.","container-title":"Global Environmental Change","DOI":"10.1016/j.gloenvcha.2015.06.004","ISSN":"0959-3780","journalAbbreviation":"Global Environmental Change","page":"200-214","source":"ScienceDirect","title":"Long-term economic growth projections in the Shared Socioeconomic Pathways","volume":"42","author":[{"family":"Dellink","given":"Rob"},{"family":"Chateau","given":"Jean"},{"family":"Lanzi","given":"Elisa"},{"family":"Magné","given":"Bertrand"}],"issued":{"date-parts":[["2017",1,1]]},"citation-key":"dellinkLongtermEconomicGrowth2017"}}],"schema":"https://github.com/citation-style-language/schema/raw/master/csl-citation.json"} </w:instrText>
      </w:r>
      <w:r w:rsidRPr="00A141D2">
        <w:rPr>
          <w:lang w:val="en-GB"/>
        </w:rPr>
        <w:fldChar w:fldCharType="separate"/>
      </w:r>
      <w:r w:rsidRPr="00A141D2">
        <w:rPr>
          <w:lang w:val="en-GB"/>
        </w:rPr>
        <w:t>(Dellink et al., 2017)</w:t>
      </w:r>
      <w:r w:rsidRPr="00A141D2">
        <w:rPr>
          <w:lang w:val="en-GB"/>
        </w:rPr>
        <w:fldChar w:fldCharType="end"/>
      </w:r>
      <w:r w:rsidRPr="00A141D2">
        <w:rPr>
          <w:lang w:val="en-GB"/>
        </w:rPr>
        <w:t xml:space="preserve"> and have been used before to downscale GDP projections </w:t>
      </w:r>
      <w:r w:rsidRPr="00A141D2">
        <w:rPr>
          <w:lang w:val="en-GB"/>
        </w:rPr>
        <w:fldChar w:fldCharType="begin"/>
      </w:r>
      <w:r w:rsidRPr="00A141D2">
        <w:rPr>
          <w:lang w:val="en-GB"/>
        </w:rPr>
        <w:instrText xml:space="preserve"> ADDIN ZOTERO_ITEM CSL_CITATION {"citationID":"oqD3kIwH","properties":{"formattedCitation":"(Wang &amp; Sun, 2022)","plainCitation":"(Wang &amp; Sun, 2022)","noteIndex":0},"citationItems":[{"id":2743,"uris":["http://zotero.org/users/11212985/items/CSQDTKQP"],"itemData":{"id":2743,"type":"article-journal","abstract":"The vulnerability, exposure and resilience of socioeconomic activities to future climate extremes call for high-resolution gridded GDP in climate change adaptation and mitigation research. While global socioeconomic projections are provided mainly at the national level, and downscaling approaches using nighttime light (NTL) images or gridded population data can increase the uncertainty due to limitations. Therefore, we adopt an NTL-population-based approach, which exhibits higher accuracy in socioeconomic disaggregation. Gross regional product of over 800 provinces, which covering over 60% of the global land surface and accounted for more than 80% of GDP in 2005, were used as input. We present a first set of comparable spatially explicit global gridded GDP projections with fine spatial resolutions of 30 arc-seconds and 0.25 arc-degrees for the historical period of 2005 and for 2030–2100 at 10-year intervals under the five SSPs, accounting for the two-child policy in China. This gridded GDP projection dataset can broaden the applicability of GDP data, the availability of which is necessary for socioeconomic and climate change research.","container-title":"Scientific Data","DOI":"10.1038/s41597-022-01300-x","ISSN":"2052-4463","issue":"1","journalAbbreviation":"Sci Data","language":"en","license":"2022 The Author(s)","note":"publisher: Nature Publishing Group","page":"221","source":"www-nature-com.vu-nl.idm.oclc.org","title":"Global gridded GDP data set consistent with the shared socioeconomic pathways","volume":"9","author":[{"family":"Wang","given":"Tingting"},{"family":"Sun","given":"Fubao"}],"issued":{"date-parts":[["2022",5,19]]},"citation-key":"wangGlobalGriddedGDP2022"}}],"schema":"https://github.com/citation-style-language/schema/raw/master/csl-citation.json"} </w:instrText>
      </w:r>
      <w:r w:rsidRPr="00A141D2">
        <w:rPr>
          <w:lang w:val="en-GB"/>
        </w:rPr>
        <w:fldChar w:fldCharType="separate"/>
      </w:r>
      <w:r w:rsidRPr="00A141D2">
        <w:rPr>
          <w:lang w:val="en-GB"/>
        </w:rPr>
        <w:t>(Wang &amp; Sun, 2022)</w:t>
      </w:r>
      <w:r w:rsidRPr="00A141D2">
        <w:rPr>
          <w:lang w:val="en-GB"/>
        </w:rPr>
        <w:fldChar w:fldCharType="end"/>
      </w:r>
      <w:r w:rsidRPr="00A141D2">
        <w:rPr>
          <w:lang w:val="en-GB"/>
        </w:rPr>
        <w:t xml:space="preserve">. However, a decomposition into sectoral contributions has only been introduced recently by Leimbach et al. </w:t>
      </w:r>
      <w:r w:rsidRPr="00A141D2">
        <w:rPr>
          <w:lang w:val="en-GB"/>
        </w:rPr>
        <w:fldChar w:fldCharType="begin"/>
      </w:r>
      <w:r w:rsidRPr="00A141D2">
        <w:rPr>
          <w:lang w:val="en-GB"/>
        </w:rPr>
        <w:instrText xml:space="preserve"> ADDIN ZOTERO_ITEM CSL_CITATION {"citationID":"uHIepSkt","properties":{"formattedCitation":"(2023)","plainCitation":"(2023)","noteIndex":0},"citationItems":[{"id":2716,"uris":["http://zotero.org/users/11212985/items/NXLMLSH3"],"itemData":{"id":2716,"type":"article-journal","abstract":"Shared socio-economic pathway (SSP) scenarios represent a consistent set of socio-economic assumptions and a major input of Integrated Assessment Models on climate change. This study added a driver that is missing so far in the SSP framework - the evolution of the sectoral structure of economies. A newly constructed set of structural change scenarios is presented. These structural change scenarios represent a well-known characteristic that accompanies the process of economic growth and development - the reallocation of economic activity between the three major sectors agriculture, manufacturing and services. While we construct scenarios for the sectoral shares of labor, value-added and energy based on historical data and an econometric approach, which comes with some limitation, these scenarios are linked to the SSP GDP scenarios and hence implicitly capture properties of the narratives underlying them. We find that the pattern and speed of structural change differ under different SSPs. Moreover, while the scenarios for developing countries reproduce structural change patterns (e.g., hump-shape of manufacturing labor share), observed for developed countries in the past, the projected transformation, in particular the reduction of labor shares in the agricultural sector, represents a tremendous challenge.","container-title":"Futures","DOI":"10.1016/j.futures.2023.103156","ISSN":"0016-3287","journalAbbreviation":"Futures","page":"103156","source":"ScienceDirect","title":"Structural change scenarios within the SSP framework","volume":"150","author":[{"family":"Leimbach","given":"Marian"},{"family":"Marcolino","given":"Marcos"},{"family":"Koch","given":"Johannes"}],"issued":{"date-parts":[["2023",6,1]]},"citation-key":"leimbachStructuralChangeScenarios2023"},"label":"page","suppress-author":true}],"schema":"https://github.com/citation-style-language/schema/raw/master/csl-citation.json"} </w:instrText>
      </w:r>
      <w:r w:rsidRPr="00A141D2">
        <w:rPr>
          <w:lang w:val="en-GB"/>
        </w:rPr>
        <w:fldChar w:fldCharType="separate"/>
      </w:r>
      <w:r w:rsidRPr="00A141D2">
        <w:rPr>
          <w:lang w:val="en-GB"/>
        </w:rPr>
        <w:t>(2023)</w:t>
      </w:r>
      <w:r w:rsidRPr="00A141D2">
        <w:rPr>
          <w:lang w:val="en-GB"/>
        </w:rPr>
        <w:fldChar w:fldCharType="end"/>
      </w:r>
      <w:r w:rsidRPr="00A141D2">
        <w:rPr>
          <w:lang w:val="en-GB"/>
        </w:rPr>
        <w:t xml:space="preserve">. </w:t>
      </w:r>
      <w:r w:rsidR="00C56B00" w:rsidRPr="00A141D2">
        <w:rPr>
          <w:lang w:val="en-GB"/>
        </w:rPr>
        <w:t>Figure 4 shows</w:t>
      </w:r>
      <w:r w:rsidRPr="00A141D2">
        <w:rPr>
          <w:lang w:val="en-GB"/>
        </w:rPr>
        <w:t xml:space="preserve"> various pathways of GDP development and sectoral contributions.</w:t>
      </w:r>
      <w:r w:rsidRPr="00A141D2">
        <w:rPr>
          <w:lang w:val="en-GB"/>
        </w:rPr>
        <w:fldChar w:fldCharType="begin"/>
      </w:r>
      <w:r w:rsidRPr="00A141D2">
        <w:rPr>
          <w:lang w:val="en-GB"/>
        </w:rPr>
        <w:instrText xml:space="preserve"> ADDIN ZOTERO_ITEM CSL_CITATION {"citationID":"QGCWZtTv","properties":{"formattedCitation":"(Andrijevic et al., n.d.)","plainCitation":"(Andrijevic et al., n.d.)","dontUpdate":true,"noteIndex":0},"citationItems":[{"id":2964,"uris":["http://zotero.org/users/11212985/items/9GXIQX8F"],"itemData":{"id":2964,"type":"webpage","abstract":"A scenario analysis application in the domain of integrated assessment of climate change and energy systems modeling by IIASA Scenario Services","container-title":"IIASA Scenario Services App","title":"SSP Extensions Explorer","URL":"https://ssp-extensions.apps.ece.iiasa.ac.at/","author":[{"family":"Andrijevic","given":"Marina"},{"family":"Huppmann","given":"Daniel"},{"family":"Shah","given":"Deepak"},{"family":"Werning","given":"Mia"},{"family":"Hooke","given":"Dan"}],"accessed":{"date-parts":[["2024",9,26]]},"citation-key":"andrijevicSSPExtensionsExplorer"}}],"schema":"https://github.com/citation-style-language/schema/raw/master/csl-citation.json"} </w:instrText>
      </w:r>
      <w:r w:rsidRPr="00A141D2">
        <w:rPr>
          <w:lang w:val="en-GB"/>
        </w:rPr>
        <w:fldChar w:fldCharType="separate"/>
      </w:r>
      <w:r w:rsidRPr="00A141D2">
        <w:rPr>
          <w:lang w:val="en-GB"/>
        </w:rPr>
        <w:fldChar w:fldCharType="end"/>
      </w:r>
    </w:p>
    <w:p w14:paraId="7803CDE9" w14:textId="51D1F5BD" w:rsidR="00157D7F" w:rsidRPr="00A141D2" w:rsidRDefault="00157D7F" w:rsidP="00157D7F">
      <w:pPr>
        <w:rPr>
          <w:lang w:val="en-GB"/>
        </w:rPr>
      </w:pPr>
      <w:r w:rsidRPr="00A141D2">
        <w:rPr>
          <w:lang w:val="en-GB"/>
        </w:rPr>
        <w:t xml:space="preserve">To obtain new sectoral interactions and production quantities in 2050, we project national input-output tables for each economic scenario. Input-output tables, introduced by Leontief </w:t>
      </w:r>
      <w:r w:rsidRPr="00A141D2">
        <w:rPr>
          <w:lang w:val="en-GB"/>
        </w:rPr>
        <w:fldChar w:fldCharType="begin"/>
      </w:r>
      <w:r w:rsidRPr="00A141D2">
        <w:rPr>
          <w:lang w:val="en-GB"/>
        </w:rPr>
        <w:instrText xml:space="preserve"> ADDIN ZOTERO_ITEM CSL_CITATION {"citationID":"zlCqVqzB","properties":{"formattedCitation":"(1936)","plainCitation":"(1936)","noteIndex":0},"citationItems":[{"id":2854,"uris":["http://zotero.org/users/11212985/items/3KP7BX7V"],"itemData":{"id":2854,"type":"article-journal","container-title":"The Review of Economics and Statistics","DOI":"10.2307/1927837","ISSN":"0034-6535","issue":"3","note":"publisher: The MIT Press","page":"105-125","source":"JSTOR","title":"Quantitative Input and Output Relations in the Economic Systems of the United States","volume":"18","author":[{"family":"Leontief","given":"Wassily W."}],"issued":{"date-parts":[["1936"]]},"citation-key":"leontiefQuantitativeInputOutput1936"},"label":"page","suppress-author":true}],"schema":"https://github.com/citation-style-language/schema/raw/master/csl-citation.json"} </w:instrText>
      </w:r>
      <w:r w:rsidRPr="00A141D2">
        <w:rPr>
          <w:lang w:val="en-GB"/>
        </w:rPr>
        <w:fldChar w:fldCharType="separate"/>
      </w:r>
      <w:r w:rsidRPr="00A141D2">
        <w:rPr>
          <w:lang w:val="en-GB"/>
        </w:rPr>
        <w:t>(1936)</w:t>
      </w:r>
      <w:r w:rsidRPr="00A141D2">
        <w:rPr>
          <w:lang w:val="en-GB"/>
        </w:rPr>
        <w:fldChar w:fldCharType="end"/>
      </w:r>
      <w:r w:rsidRPr="00A141D2">
        <w:rPr>
          <w:lang w:val="en-GB"/>
        </w:rPr>
        <w:t xml:space="preserve">, are a common way </w:t>
      </w:r>
      <w:r w:rsidR="00BE7F5A" w:rsidRPr="00A141D2">
        <w:rPr>
          <w:lang w:val="en-GB"/>
        </w:rPr>
        <w:t>for</w:t>
      </w:r>
      <w:r w:rsidR="003F24FA" w:rsidRPr="00A141D2">
        <w:rPr>
          <w:lang w:val="en-GB"/>
        </w:rPr>
        <w:t xml:space="preserve"> government</w:t>
      </w:r>
      <w:r w:rsidR="00E37C74" w:rsidRPr="00A141D2">
        <w:rPr>
          <w:lang w:val="en-GB"/>
        </w:rPr>
        <w:t xml:space="preserve"> statistical agencies</w:t>
      </w:r>
      <w:r w:rsidR="003F24FA" w:rsidRPr="00A141D2">
        <w:rPr>
          <w:lang w:val="en-GB"/>
        </w:rPr>
        <w:t xml:space="preserve"> to collect and</w:t>
      </w:r>
      <w:r w:rsidRPr="00A141D2">
        <w:rPr>
          <w:lang w:val="en-GB"/>
        </w:rPr>
        <w:t xml:space="preserve"> describe the relationships between sectors within a country and sectors abroad by documenting the monetary value of the flow of goods between sectors. These tables thus describe how much each sector supplies to and consumes from other sectors</w:t>
      </w:r>
      <w:r w:rsidR="00173288" w:rsidRPr="00A141D2">
        <w:rPr>
          <w:lang w:val="en-GB"/>
        </w:rPr>
        <w:t>. Using these tables</w:t>
      </w:r>
      <w:r w:rsidR="00AF79E4" w:rsidRPr="00A141D2">
        <w:rPr>
          <w:lang w:val="en-GB"/>
        </w:rPr>
        <w:t>, ripple effects from one sector to another</w:t>
      </w:r>
      <w:r w:rsidRPr="00A141D2">
        <w:rPr>
          <w:lang w:val="en-GB"/>
        </w:rPr>
        <w:t xml:space="preserve"> can be tracked. In climate science, input-output tables have been used in a variety of studies covering </w:t>
      </w:r>
      <w:r w:rsidR="002A1DC0" w:rsidRPr="00A141D2">
        <w:rPr>
          <w:lang w:val="en-GB"/>
        </w:rPr>
        <w:t xml:space="preserve">the </w:t>
      </w:r>
      <w:r w:rsidRPr="00A141D2">
        <w:rPr>
          <w:lang w:val="en-GB"/>
        </w:rPr>
        <w:t xml:space="preserve">indirect effects of supply losses after flooding </w:t>
      </w:r>
      <w:r w:rsidRPr="00A141D2">
        <w:rPr>
          <w:lang w:val="en-GB"/>
        </w:rPr>
        <w:fldChar w:fldCharType="begin"/>
      </w:r>
      <w:r w:rsidRPr="00A141D2">
        <w:rPr>
          <w:lang w:val="en-GB"/>
        </w:rPr>
        <w:instrText xml:space="preserve"> ADDIN ZOTERO_ITEM CSL_CITATION {"citationID":"px3tipyp","properties":{"formattedCitation":"(Sieg et al., 2019)","plainCitation":"(Sieg et al., 2019)","noteIndex":0},"citationItems":[{"id":2870,"uris":["http://zotero.org/users/11212985/items/FAMI9X4S"],"itemData":{"id":2870,"type":"article-journal","abstract":"Understanding and quantifying total economic impacts of flood events is essential for flood risk management and adaptation planning. Yet, detailed estimations of joint direct and indirect flood-induced economic impacts are rare. In this study an innovative modeling procedure for the joint assessment of short-term direct and indirect economic flood impacts is introduced. The procedure is applied to 19 economic sectors in eight federal states of Germany after the flood events in 2013. The assessment of the direct economic impacts is object-based and considers uncertainties associated with the hazard, the exposed objects and their vulnerability. The direct economic impacts are then coupled to a supply-side Input-Output-Model to estimate the indirect economic impacts. The procedure provides distributions of direct and indirect economic impacts which capture the associated uncertainties. The distributions of the direct economic impacts in the federal states are plausible when compared to reported values. The ratio between indirect and direct economic impacts shows that the sectors Manufacturing, Financial and Insurance activities suffered the most from indirect economic impacts. These ratios also indicate that indirect economic impacts can be almost as high as direct economic impacts. They differ strongly between the economic sectors indicating that the application of a single factor as a proxy for the indirect impacts of all economic sectors is not appropriate.","container-title":"PLOS ONE","DOI":"10.1371/journal.pone.0212932","ISSN":"1932-6203","issue":"4","journalAbbreviation":"PLOS ONE","language":"en","note":"publisher: Public Library of Science","page":"e0212932","source":"PLoS Journals","title":"Integrated assessment of short-term direct and indirect economic flood impacts including uncertainty quantification","volume":"14","author":[{"family":"Sieg","given":"Tobias"},{"family":"Schinko","given":"Thomas"},{"family":"Vogel","given":"Kristin"},{"family":"Mechler","given":"Reinhard"},{"family":"Merz","given":"Bruno"},{"family":"Kreibich","given":"Heidi"}],"issued":{"date-parts":[["2019",4,4]]},"citation-key":"siegIntegratedAssessmentShortterm2019"}}],"schema":"https://github.com/citation-style-language/schema/raw/master/csl-citation.json"} </w:instrText>
      </w:r>
      <w:r w:rsidRPr="00A141D2">
        <w:rPr>
          <w:lang w:val="en-GB"/>
        </w:rPr>
        <w:fldChar w:fldCharType="separate"/>
      </w:r>
      <w:r w:rsidRPr="00A141D2">
        <w:rPr>
          <w:lang w:val="en-GB"/>
        </w:rPr>
        <w:t>(Sieg et al., 2019)</w:t>
      </w:r>
      <w:r w:rsidRPr="00A141D2">
        <w:rPr>
          <w:lang w:val="en-GB"/>
        </w:rPr>
        <w:fldChar w:fldCharType="end"/>
      </w:r>
      <w:r w:rsidRPr="00A141D2">
        <w:rPr>
          <w:lang w:val="en-GB"/>
        </w:rPr>
        <w:t>, accounting of environmental footprints</w:t>
      </w:r>
      <w:r w:rsidR="003609FC" w:rsidRPr="00A141D2">
        <w:rPr>
          <w:lang w:val="en-GB"/>
        </w:rPr>
        <w:t>,</w:t>
      </w:r>
      <w:r w:rsidRPr="00A141D2">
        <w:rPr>
          <w:lang w:val="en-GB"/>
        </w:rPr>
        <w:t xml:space="preserve"> including global trade </w:t>
      </w:r>
      <w:r w:rsidRPr="00A141D2">
        <w:rPr>
          <w:lang w:val="en-GB"/>
        </w:rPr>
        <w:fldChar w:fldCharType="begin"/>
      </w:r>
      <w:r w:rsidRPr="00A141D2">
        <w:rPr>
          <w:lang w:val="en-GB"/>
        </w:rPr>
        <w:instrText xml:space="preserve"> ADDIN ZOTERO_ITEM CSL_CITATION {"citationID":"nP9gORji","properties":{"formattedCitation":"(Tukker et al., 2016)","plainCitation":"(Tukker et al., 2016)","noteIndex":0},"citationItems":[{"id":3059,"uris":["http://zotero.org/users/11212985/items/JHG7YZYP"],"itemData":{"id":3059,"type":"article-journal","abstract":"The European Union (EU) has proposed in its Resource-efficiency roadmap a ‘dashboard of indicators’ consisting of four headline indicators for carbon, water, land and materials. The EU recognizes the need to use a consumption-based (or ‘footprint’) perspective to capture the global dimension of resources and their impacts. In this paper, we analyse how the EU’s footprints compare to those of other nations, to what extent the EU and other major economies of the world rely on embodied resource imports, and what the implications are for policy making based on this comparison. This study is the first comprehensive multi-indicator comparison of all four policy relevant indicators, and uses a single consistent global Multi-Regional Input Output (MRIO) database with a unique and high level of product detail across countries. We find that Europe is the only region in the world that relies on net embodied imports for all indicators considered. We further find that the powerful economies of China and others in the Asia-Pacific already dominate global resource consumption from a footprint perspective, while they still haven’t reached the prosperity of developed countries. Competition for resources is hence likely to increase, making Europe even more vulnerable. A hot spot analysis suggests that final consumption of food, transport and housing are priorities for reduction efforts along the life cycle. Further, countries with a similar Human Development Index can have very different footprints, pointing at societal organisation at macro-level as option for improvement. This points at options for countries for lowering their footprint, becoming less dependent on embodied imports, while maintaining a high quality of life.","container-title":"Global Environmental Change","DOI":"10.1016/j.gloenvcha.2016.07.002","ISSN":"0959-3780","journalAbbreviation":"Global Environmental Change","page":"171-181","source":"ScienceDirect","title":"Environmental and resource footprints in a global context: Europe’s structural deficit in resource endowments","title-short":"Environmental and resource footprints in a global context","volume":"40","author":[{"family":"Tukker","given":"Arnold"},{"family":"Bulavskaya","given":"Tanya"},{"family":"Giljum","given":"Stefan"},{"family":"Koning","given":"Arjan","non-dropping-particle":"de"},{"family":"Lutter","given":"Stephan"},{"family":"Simas","given":"Moana"},{"family":"Stadler","given":"Konstantin"},{"family":"Wood","given":"Richard"}],"issued":{"date-parts":[["2016",9,1]]},"citation-key":"tukkerEnvironmentalResourceFootprints2016"}}],"schema":"https://github.com/citation-style-language/schema/raw/master/csl-citation.json"} </w:instrText>
      </w:r>
      <w:r w:rsidRPr="00A141D2">
        <w:rPr>
          <w:lang w:val="en-GB"/>
        </w:rPr>
        <w:fldChar w:fldCharType="separate"/>
      </w:r>
      <w:r w:rsidRPr="00A141D2">
        <w:rPr>
          <w:lang w:val="en-GB"/>
        </w:rPr>
        <w:t>(Tukker et al., 2016)</w:t>
      </w:r>
      <w:r w:rsidRPr="00A141D2">
        <w:rPr>
          <w:lang w:val="en-GB"/>
        </w:rPr>
        <w:fldChar w:fldCharType="end"/>
      </w:r>
      <w:r w:rsidRPr="00A141D2">
        <w:rPr>
          <w:lang w:val="en-GB"/>
        </w:rPr>
        <w:t xml:space="preserve">, and post-disaster dynamics in the economy </w:t>
      </w:r>
      <w:r w:rsidRPr="00A141D2">
        <w:rPr>
          <w:lang w:val="en-GB"/>
        </w:rPr>
        <w:fldChar w:fldCharType="begin"/>
      </w:r>
      <w:r w:rsidR="00622320" w:rsidRPr="00A141D2">
        <w:rPr>
          <w:lang w:val="en-GB"/>
        </w:rPr>
        <w:instrText xml:space="preserve"> ADDIN ZOTERO_ITEM CSL_CITATION {"citationID":"X4Ja90fJ","properties":{"formattedCitation":"(Koks &amp; Thissen, 2016; Middelanis et al., 2021)","plainCitation":"(Koks &amp; Thissen, 2016; Middelanis et al., 2021)","noteIndex":0},"citationItems":[{"id":3061,"uris":["http://zotero.org/users/11212985/items/SH47XV3W"],"itemData":{"id":3061,"type":"article-journal","abstract":"This paper presents a recursive dynamic multiregional supply-use model, combining linear programming and input–output (I–O) modeling to assess the economy-wide consequences of a natural disaster on a pan-European scale. It is a supply-use model which considers production technologies and allows for supply side constraints. The model has been illustrated for three floods in Rotterdam, The Netherlands. Results show that most of the neighboring regions gain from the flood due to increased demand for reconstruction and production capacity constraints in the affected region. Regions located further away or neighboring regions without a direct export link to the affected region mostly suffered small losses. These losses are due to the costs of increased inefficiencies in the production process that have to be paid for by all (indirectly) consuming regions. In the end, the floods cause regionally differentiated welfare effects.","container-title":"Economic Systems Research","DOI":"10.1080/09535314.2016.1232701","ISSN":"0953-5314","issue":"4","note":"publisher: Routledge\n_eprint: https://doi.org/10.1080/09535314.2016.1232701","page":"429-449","source":"Taylor and Francis+NEJM","title":"A Multiregional Impact Assessment Model for disaster analysis","volume":"28","author":[{"family":"Koks","given":"Elco E."},{"family":"Thissen","given":"Mark"}],"issued":{"date-parts":[["2016",10,1]]},"citation-key":"koksMultiregionalImpactAssessment2016"}},{"id":2959,"uris":["http://zotero.org/users/11212985/items/ITDYL9L8"],"itemData":{"id":2959,"type":"article-journal","abstract":"Tropical cyclones range among the costliest disasters on Earth. Their economic repercussions along the supply and trade network also affect remote economies that are not directly affected. We here simulate possible global repercussions on consumption for the example case of Hurricane Sandy in the US (2012) using the shock-propagation model Acclimate. The modeled shock yields a global three-phase ripple: an initial production demand reduction and associated consumption price decrease, followed by a supply shortage with increasing prices, and finally a recovery phase. Regions with strong trade relations to the US experience strong magnitudes of the ripple. A dominating demand reduction or supply shortage leads to overall consumption gains or losses of a region, respectively. While finding these repercussions in historic data is challenging due to strong volatility of economic interactions, numerical models like ours can help to identify them by approaching the problem from an exploratory angle, isolating the effect of interest. For this, our model simulates the economic interactions of over 7000 regional economic sectors, interlinked through about 1.8 million trade relations. Under global warming, the wave-like structures of the economic response to major hurricanes like the one simulated here are likely to intensify and potentially overlap with other weather extremes.","container-title":"Environmental Research Letters","DOI":"10.1088/1748-9326/ac39c0","ISSN":"1748-9326","issue":"12","journalAbbreviation":"Environ. Res. Lett.","language":"en","note":"publisher: IOP Publishing","page":"124049","source":"Institute of Physics","title":"Wave-like global economic ripple response to Hurricane Sandy","volume":"16","author":[{"family":"Middelanis","given":"Robin"},{"family":"Willner","given":"Sven N."},{"family":"Otto","given":"Christian"},{"family":"Kuhla","given":"Kilian"},{"family":"Quante","given":"Lennart"},{"family":"Levermann","given":"Anders"}],"issued":{"date-parts":[["2021",12]]},"citation-key":"middelanisWavelikeGlobalEconomic2021"}}],"schema":"https://github.com/citation-style-language/schema/raw/master/csl-citation.json"} </w:instrText>
      </w:r>
      <w:r w:rsidRPr="00A141D2">
        <w:rPr>
          <w:lang w:val="en-GB"/>
        </w:rPr>
        <w:fldChar w:fldCharType="separate"/>
      </w:r>
      <w:r w:rsidR="00622320" w:rsidRPr="00A141D2">
        <w:rPr>
          <w:lang w:val="en-GB"/>
        </w:rPr>
        <w:t>(Koks &amp; Thissen, 2016; Middelanis et al., 2021)</w:t>
      </w:r>
      <w:r w:rsidRPr="00A141D2">
        <w:rPr>
          <w:lang w:val="en-GB"/>
        </w:rPr>
        <w:fldChar w:fldCharType="end"/>
      </w:r>
      <w:r w:rsidRPr="00A141D2">
        <w:rPr>
          <w:lang w:val="en-GB"/>
        </w:rPr>
        <w:t>.</w:t>
      </w:r>
    </w:p>
    <w:p w14:paraId="44FF4952" w14:textId="2E998878" w:rsidR="00157D7F" w:rsidRPr="00A141D2" w:rsidRDefault="00157D7F" w:rsidP="00157D7F">
      <w:pPr>
        <w:rPr>
          <w:rFonts w:eastAsia="Times New Roman"/>
          <w:lang w:val="en-GB"/>
        </w:rPr>
      </w:pPr>
      <w:r w:rsidRPr="00A141D2">
        <w:rPr>
          <w:lang w:val="en-GB"/>
        </w:rPr>
        <w:t>We project national input-output tables using socio-economic trends and sectoral shifts depicted in the SSPs. Starting with the 2020 Latvian input-output table containing 64 NACE sectors</w:t>
      </w:r>
      <w:r w:rsidR="00C60F9B" w:rsidRPr="00A141D2">
        <w:rPr>
          <w:lang w:val="en-GB"/>
        </w:rPr>
        <w:t>,</w:t>
      </w:r>
      <w:r w:rsidRPr="00A141D2">
        <w:rPr>
          <w:lang w:val="en-GB"/>
        </w:rPr>
        <w:t xml:space="preserve"> we aggregate these into three NACE3 sectors (Agriculture, Manufacturing, and Services)</w:t>
      </w:r>
      <w:r w:rsidR="006A43F5" w:rsidRPr="00A141D2">
        <w:rPr>
          <w:lang w:val="en-GB"/>
        </w:rPr>
        <w:t xml:space="preserve"> to align with </w:t>
      </w:r>
      <w:r w:rsidR="006A43F5" w:rsidRPr="00A141D2">
        <w:rPr>
          <w:szCs w:val="24"/>
          <w:lang w:val="en-GB"/>
        </w:rPr>
        <w:t>Leimbach et al.</w:t>
      </w:r>
      <w:r w:rsidR="006A43F5" w:rsidRPr="00A141D2">
        <w:rPr>
          <w:lang w:val="en-GB"/>
        </w:rPr>
        <w:t>’s</w:t>
      </w:r>
      <w:r w:rsidR="006A43F5" w:rsidRPr="00A141D2">
        <w:rPr>
          <w:szCs w:val="24"/>
          <w:lang w:val="en-GB"/>
        </w:rPr>
        <w:t xml:space="preserve"> </w:t>
      </w:r>
      <w:r w:rsidR="006A43F5" w:rsidRPr="00A141D2">
        <w:rPr>
          <w:szCs w:val="24"/>
          <w:lang w:val="en-GB"/>
        </w:rPr>
        <w:fldChar w:fldCharType="begin"/>
      </w:r>
      <w:r w:rsidR="006A43F5" w:rsidRPr="00A141D2">
        <w:rPr>
          <w:szCs w:val="24"/>
          <w:lang w:val="en-GB"/>
        </w:rPr>
        <w:instrText xml:space="preserve"> ADDIN ZOTERO_ITEM CSL_CITATION {"citationID":"vVtTUAaw","properties":{"formattedCitation":"(2023)","plainCitation":"(2023)","noteIndex":0},"citationItems":[{"id":2716,"uris":["http://zotero.org/users/11212985/items/NXLMLSH3"],"itemData":{"id":2716,"type":"article-journal","abstract":"Shared socio-economic pathway (SSP) scenarios represent a consistent set of socio-economic assumptions and a major input of Integrated Assessment Models on climate change. This study added a driver that is missing so far in the SSP framework - the evolution of the sectoral structure of economies. A newly constructed set of structural change scenarios is presented. These structural change scenarios represent a well-known characteristic that accompanies the process of economic growth and development - the reallocation of economic activity between the three major sectors agriculture, manufacturing and services. While we construct scenarios for the sectoral shares of labor, value-added and energy based on historical data and an econometric approach, which comes with some limitation, these scenarios are linked to the SSP GDP scenarios and hence implicitly capture properties of the narratives underlying them. We find that the pattern and speed of structural change differ under different SSPs. Moreover, while the scenarios for developing countries reproduce structural change patterns (e.g., hump-shape of manufacturing labor share), observed for developed countries in the past, the projected transformation, in particular the reduction of labor shares in the agricultural sector, represents a tremendous challenge.","container-title":"Futures","DOI":"10.1016/j.futures.2023.103156","ISSN":"0016-3287","journalAbbreviation":"Futures","page":"103156","source":"ScienceDirect","title":"Structural change scenarios within the SSP framework","volume":"150","author":[{"family":"Leimbach","given":"Marian"},{"family":"Marcolino","given":"Marcos"},{"family":"Koch","given":"Johannes"}],"issued":{"date-parts":[["2023",6,1]]},"citation-key":"leimbachStructuralChangeScenarios2023"},"label":"page","suppress-author":true}],"schema":"https://github.com/citation-style-language/schema/raw/master/csl-citation.json"} </w:instrText>
      </w:r>
      <w:r w:rsidR="006A43F5" w:rsidRPr="00A141D2">
        <w:rPr>
          <w:szCs w:val="24"/>
          <w:lang w:val="en-GB"/>
        </w:rPr>
        <w:fldChar w:fldCharType="separate"/>
      </w:r>
      <w:r w:rsidR="006A43F5" w:rsidRPr="00A141D2">
        <w:rPr>
          <w:szCs w:val="24"/>
          <w:lang w:val="en-GB"/>
        </w:rPr>
        <w:t>(2023)</w:t>
      </w:r>
      <w:r w:rsidR="006A43F5" w:rsidRPr="00A141D2">
        <w:rPr>
          <w:szCs w:val="24"/>
          <w:lang w:val="en-GB"/>
        </w:rPr>
        <w:fldChar w:fldCharType="end"/>
      </w:r>
      <w:r w:rsidR="006A43F5" w:rsidRPr="00A141D2">
        <w:rPr>
          <w:lang w:val="en-GB"/>
        </w:rPr>
        <w:t xml:space="preserve"> projections. The NACE nomenclature is a standardi</w:t>
      </w:r>
      <w:r w:rsidR="00F02FE9" w:rsidRPr="00A141D2">
        <w:rPr>
          <w:lang w:val="en-GB"/>
        </w:rPr>
        <w:t>s</w:t>
      </w:r>
      <w:r w:rsidR="006A43F5" w:rsidRPr="00A141D2">
        <w:rPr>
          <w:lang w:val="en-GB"/>
        </w:rPr>
        <w:t xml:space="preserve">ed </w:t>
      </w:r>
      <w:r w:rsidR="005E51E3" w:rsidRPr="00A141D2">
        <w:rPr>
          <w:lang w:val="en-GB"/>
        </w:rPr>
        <w:t xml:space="preserve">system in the European Union </w:t>
      </w:r>
      <w:r w:rsidR="006A43F5" w:rsidRPr="00A141D2">
        <w:rPr>
          <w:lang w:val="en-GB"/>
        </w:rPr>
        <w:t xml:space="preserve">to </w:t>
      </w:r>
      <w:r w:rsidR="005E51E3" w:rsidRPr="00A141D2">
        <w:rPr>
          <w:lang w:val="en-GB"/>
        </w:rPr>
        <w:t>classify and aggregate</w:t>
      </w:r>
      <w:r w:rsidR="006A43F5" w:rsidRPr="00A141D2">
        <w:rPr>
          <w:lang w:val="en-GB"/>
        </w:rPr>
        <w:t xml:space="preserve"> </w:t>
      </w:r>
      <w:r w:rsidR="00C33F7B" w:rsidRPr="00A141D2">
        <w:rPr>
          <w:lang w:val="en-GB"/>
        </w:rPr>
        <w:t>economic activities</w:t>
      </w:r>
      <w:r w:rsidR="006A43F5" w:rsidRPr="00A141D2">
        <w:rPr>
          <w:lang w:val="en-GB"/>
        </w:rPr>
        <w:t xml:space="preserve"> </w:t>
      </w:r>
      <w:r w:rsidR="006A43F5" w:rsidRPr="00A141D2">
        <w:rPr>
          <w:szCs w:val="24"/>
          <w:lang w:val="en-GB"/>
        </w:rPr>
        <w:fldChar w:fldCharType="begin"/>
      </w:r>
      <w:r w:rsidR="006A43F5" w:rsidRPr="00A141D2">
        <w:rPr>
          <w:szCs w:val="24"/>
          <w:lang w:val="en-GB"/>
        </w:rPr>
        <w:instrText xml:space="preserve"> ADDIN ZOTERO_ITEM CSL_CITATION {"citationID":"05fQHrZI","properties":{"formattedCitation":"(Eurostat, 2008)","plainCitation":"(Eurostat, 2008)","noteIndex":0},"citationItems":[{"id":2933,"uris":["http://zotero.org/users/11212985/items/A4NHP9UD"],"itemData":{"id":2933,"type":"book","abstract":"The publication contains the structure of the classification, the introductory guidelines containing the main concepts, a historical background and the methodological guidelines for understanding and applying the classification as well as a detailed description of the different items of NACE Rev. 2.","event-place":"Luxembourg","ISBN":"978-92-79-04741-1","language":"en-GB","publisher":"Office for Official Publications of the European Communities","publisher-place":"Luxembourg","title":"NACE Rev. 2 - Statistical classification of economic activities","URL":"https://ec.europa.eu/eurostat/web/products-manuals-and-guidelines/-/ks-ra-07-015","author":[{"family":"Eurostat","given":""}],"accessed":{"date-parts":[["2024",9,13]]},"issued":{"date-parts":[["2008"]]},"citation-key":"eurostatNACERevStatistical2008"}}],"schema":"https://github.com/citation-style-language/schema/raw/master/csl-citation.json"} </w:instrText>
      </w:r>
      <w:r w:rsidR="006A43F5" w:rsidRPr="00A141D2">
        <w:rPr>
          <w:szCs w:val="24"/>
          <w:lang w:val="en-GB"/>
        </w:rPr>
        <w:fldChar w:fldCharType="separate"/>
      </w:r>
      <w:r w:rsidR="006A43F5" w:rsidRPr="00A141D2">
        <w:rPr>
          <w:szCs w:val="24"/>
          <w:lang w:val="en-GB"/>
        </w:rPr>
        <w:t>(Eurostat, 2008)</w:t>
      </w:r>
      <w:r w:rsidR="006A43F5" w:rsidRPr="00A141D2">
        <w:rPr>
          <w:szCs w:val="24"/>
          <w:lang w:val="en-GB"/>
        </w:rPr>
        <w:fldChar w:fldCharType="end"/>
      </w:r>
      <w:r w:rsidR="00C33F7B" w:rsidRPr="00A141D2">
        <w:rPr>
          <w:lang w:val="en-GB"/>
        </w:rPr>
        <w:t>.</w:t>
      </w:r>
      <w:r w:rsidRPr="00A141D2">
        <w:rPr>
          <w:lang w:val="en-GB"/>
        </w:rPr>
        <w:t xml:space="preserve"> The projection calculation starts by scaling the 2020 national value added to 2050 GDP levels and allocating it to sectors proportional to projected contributions shown in Figure 4. We then disaggregate back to </w:t>
      </w:r>
      <w:r w:rsidRPr="00A141D2">
        <w:rPr>
          <w:lang w:val="en-GB"/>
        </w:rPr>
        <w:lastRenderedPageBreak/>
        <w:t>NACE64 sectors using 2020 ratios, calculate required input goods, and scale final demands with GDP growth.</w:t>
      </w:r>
    </w:p>
    <w:p w14:paraId="10ACBB5D" w14:textId="33D95941" w:rsidR="00157D7F" w:rsidRPr="00A141D2" w:rsidRDefault="00157D7F" w:rsidP="00157D7F">
      <w:pPr>
        <w:rPr>
          <w:lang w:val="en-GB"/>
        </w:rPr>
      </w:pPr>
      <w:r w:rsidRPr="00A141D2">
        <w:rPr>
          <w:lang w:val="en-GB"/>
        </w:rPr>
        <w:t>To address imbalances between growing and shrinking sectors, we implement a balancing mechanism within the input-output framework. When domestic sectors cannot meet increased demand, we introduce additional imports distributed according to current-day usage shares. Conversely, when local production exceeds demand, we reduce imports according to usage shares with a minimum of zero imports. We convert the surplus production into exports. This balancing process ensures that sectoral inputs and outputs align. The end result</w:t>
      </w:r>
      <w:r w:rsidR="00352B6C" w:rsidRPr="00A141D2">
        <w:rPr>
          <w:lang w:val="en-GB"/>
        </w:rPr>
        <w:t>s</w:t>
      </w:r>
      <w:r w:rsidRPr="00A141D2">
        <w:rPr>
          <w:lang w:val="en-GB"/>
        </w:rPr>
        <w:t xml:space="preserve"> </w:t>
      </w:r>
      <w:r w:rsidR="00352B6C" w:rsidRPr="00A141D2">
        <w:rPr>
          <w:lang w:val="en-GB"/>
        </w:rPr>
        <w:t>are</w:t>
      </w:r>
      <w:r w:rsidRPr="00A141D2">
        <w:rPr>
          <w:lang w:val="en-GB"/>
        </w:rPr>
        <w:t xml:space="preserve"> input-output</w:t>
      </w:r>
      <w:r w:rsidR="00352B6C" w:rsidRPr="00A141D2">
        <w:rPr>
          <w:lang w:val="en-GB"/>
        </w:rPr>
        <w:t xml:space="preserve"> projections per regional economic future</w:t>
      </w:r>
      <w:r w:rsidRPr="00A141D2">
        <w:rPr>
          <w:lang w:val="en-GB"/>
        </w:rPr>
        <w:t xml:space="preserve"> suitable for analysing </w:t>
      </w:r>
      <w:r w:rsidR="00E577E7" w:rsidRPr="00A141D2">
        <w:rPr>
          <w:lang w:val="en-GB"/>
        </w:rPr>
        <w:t xml:space="preserve">the </w:t>
      </w:r>
      <w:r w:rsidRPr="00A141D2">
        <w:rPr>
          <w:lang w:val="en-GB"/>
        </w:rPr>
        <w:t xml:space="preserve">cascading effects of flood events. See Appendix </w:t>
      </w:r>
      <w:r w:rsidR="00E577E7" w:rsidRPr="00A141D2">
        <w:rPr>
          <w:lang w:val="en-GB"/>
        </w:rPr>
        <w:t>B</w:t>
      </w:r>
      <w:r w:rsidRPr="00A141D2">
        <w:rPr>
          <w:lang w:val="en-GB"/>
        </w:rPr>
        <w:t xml:space="preserve"> for detailed explanations and formulas describing the calculations.</w:t>
      </w:r>
    </w:p>
    <w:p w14:paraId="6C644555" w14:textId="3B0240BF" w:rsidR="00C5388A" w:rsidRPr="00A141D2" w:rsidRDefault="00C5388A" w:rsidP="00C5388A">
      <w:pPr>
        <w:jc w:val="center"/>
        <w:rPr>
          <w:sz w:val="22"/>
          <w:szCs w:val="22"/>
          <w:lang w:val="en-GB"/>
        </w:rPr>
      </w:pPr>
    </w:p>
    <w:p w14:paraId="5A95E75C" w14:textId="6BB1C6E4" w:rsidR="005E7C79" w:rsidRPr="00A141D2" w:rsidRDefault="005E7C79" w:rsidP="00C5388A">
      <w:pPr>
        <w:jc w:val="center"/>
        <w:rPr>
          <w:sz w:val="22"/>
          <w:szCs w:val="22"/>
          <w:lang w:val="en-GB"/>
        </w:rPr>
      </w:pPr>
      <w:r w:rsidRPr="00A141D2">
        <w:rPr>
          <w:noProof/>
          <w:sz w:val="22"/>
          <w:szCs w:val="22"/>
          <w:lang w:val="en-GB"/>
        </w:rPr>
        <w:drawing>
          <wp:inline distT="0" distB="0" distL="0" distR="0" wp14:anchorId="1E281AD5" wp14:editId="00E82F3B">
            <wp:extent cx="4798771" cy="4784416"/>
            <wp:effectExtent l="0" t="0" r="1905" b="0"/>
            <wp:docPr id="113951955" name="Picture 1" descr="A graph of growth of gdp and sector contribu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1955" name="Picture 1" descr="A graph of growth of gdp and sector contributions&#10;&#10;Description automatically generated with medium confidence"/>
                    <pic:cNvPicPr/>
                  </pic:nvPicPr>
                  <pic:blipFill>
                    <a:blip r:embed="rId13"/>
                    <a:stretch>
                      <a:fillRect/>
                    </a:stretch>
                  </pic:blipFill>
                  <pic:spPr>
                    <a:xfrm>
                      <a:off x="0" y="0"/>
                      <a:ext cx="4803844" cy="4789473"/>
                    </a:xfrm>
                    <a:prstGeom prst="rect">
                      <a:avLst/>
                    </a:prstGeom>
                  </pic:spPr>
                </pic:pic>
              </a:graphicData>
            </a:graphic>
          </wp:inline>
        </w:drawing>
      </w:r>
    </w:p>
    <w:p w14:paraId="5DC4C2FE" w14:textId="7668B18F" w:rsidR="00C5388A" w:rsidRPr="00A141D2" w:rsidRDefault="00C5388A" w:rsidP="00C5388A">
      <w:pPr>
        <w:pStyle w:val="Caption"/>
        <w:rPr>
          <w:sz w:val="18"/>
          <w:szCs w:val="16"/>
          <w:lang w:val="en-GB"/>
        </w:rPr>
      </w:pPr>
      <w:r w:rsidRPr="00A141D2">
        <w:rPr>
          <w:b/>
          <w:bCs/>
          <w:lang w:val="en-GB"/>
        </w:rPr>
        <w:t>Figure 4</w:t>
      </w:r>
      <w:r w:rsidRPr="00A141D2">
        <w:rPr>
          <w:lang w:val="en-GB"/>
        </w:rPr>
        <w:t>: GDP development and sectoral contributions. Top left panel: GDP development index across various</w:t>
      </w:r>
      <w:r w:rsidR="00352B6C" w:rsidRPr="00A141D2">
        <w:rPr>
          <w:lang w:val="en-GB"/>
        </w:rPr>
        <w:t xml:space="preserve"> global</w:t>
      </w:r>
      <w:r w:rsidRPr="00A141D2">
        <w:rPr>
          <w:lang w:val="en-GB"/>
        </w:rPr>
        <w:t xml:space="preserve"> SSPs (100 = GDP in base year 2020). Other panels show changes in the composition of the Latvian economy. Each plot shows the change in </w:t>
      </w:r>
      <w:r w:rsidR="00060BE1" w:rsidRPr="00A141D2">
        <w:rPr>
          <w:lang w:val="en-GB"/>
        </w:rPr>
        <w:t xml:space="preserve">the </w:t>
      </w:r>
      <w:r w:rsidRPr="00A141D2">
        <w:rPr>
          <w:lang w:val="en-GB"/>
        </w:rPr>
        <w:t xml:space="preserve">contribution of a specific sector to Latvian </w:t>
      </w:r>
      <w:r w:rsidR="00C6063C" w:rsidRPr="00A141D2">
        <w:rPr>
          <w:lang w:val="en-GB"/>
        </w:rPr>
        <w:t>GDP</w:t>
      </w:r>
      <w:r w:rsidRPr="00A141D2">
        <w:rPr>
          <w:lang w:val="en-GB"/>
        </w:rPr>
        <w:t xml:space="preserve">. Data obtained from the IIASA SSP Extensions Explorer </w:t>
      </w:r>
      <w:r w:rsidRPr="00A141D2">
        <w:rPr>
          <w:lang w:val="en-GB"/>
        </w:rPr>
        <w:fldChar w:fldCharType="begin"/>
      </w:r>
      <w:r w:rsidRPr="00A141D2">
        <w:rPr>
          <w:lang w:val="en-GB"/>
        </w:rPr>
        <w:instrText xml:space="preserve"> ADDIN ZOTERO_ITEM CSL_CITATION {"citationID":"J9sXDJbk","properties":{"formattedCitation":"(Andrijevic et al., n.d.)","plainCitation":"(Andrijevic et al., n.d.)","noteIndex":0},"citationItems":[{"id":2964,"uris":["http://zotero.org/users/11212985/items/9GXIQX8F"],"itemData":{"id":2964,"type":"webpage","abstract":"A scenario analysis application in the domain of integrated assessment of climate change and energy systems modeling by IIASA Scenario Services","container-title":"IIASA Scenario Services App","title":"SSP Extensions Explorer","URL":"https://ssp-extensions.apps.ece.iiasa.ac.at/","author":[{"family":"Andrijevic","given":"Marina"},{"family":"Huppmann","given":"Daniel"},{"family":"Shah","given":"Deepak"},{"family":"Werning","given":"Mia"},{"family":"Hooke","given":"Dan"}],"accessed":{"date-parts":[["2024",9,26]]},"citation-key":"andrijevicSSPExtensionsExplorer"}}],"schema":"https://github.com/citation-style-language/schema/raw/master/csl-citation.json"} </w:instrText>
      </w:r>
      <w:r w:rsidRPr="00A141D2">
        <w:rPr>
          <w:lang w:val="en-GB"/>
        </w:rPr>
        <w:fldChar w:fldCharType="separate"/>
      </w:r>
      <w:r w:rsidRPr="00A141D2">
        <w:rPr>
          <w:lang w:val="en-GB"/>
        </w:rPr>
        <w:t>(Andrijevic et al., n.d.)</w:t>
      </w:r>
      <w:r w:rsidRPr="00A141D2">
        <w:rPr>
          <w:lang w:val="en-GB"/>
        </w:rPr>
        <w:fldChar w:fldCharType="end"/>
      </w:r>
      <w:r w:rsidRPr="00A141D2">
        <w:rPr>
          <w:lang w:val="en-GB"/>
        </w:rPr>
        <w:t xml:space="preserve"> and IIASA SSP Scenario Explorer (https://data.ece.iiasa.ac.at/ssp)</w:t>
      </w:r>
    </w:p>
    <w:p w14:paraId="61BE3AB9" w14:textId="60796084" w:rsidR="00D66AD2" w:rsidRPr="00A141D2" w:rsidRDefault="00B64B52" w:rsidP="00934387">
      <w:pPr>
        <w:pStyle w:val="subheading"/>
      </w:pPr>
      <w:r w:rsidRPr="00A141D2">
        <w:lastRenderedPageBreak/>
        <w:t xml:space="preserve">2.4 </w:t>
      </w:r>
      <w:r w:rsidR="00D66AD2" w:rsidRPr="00A141D2">
        <w:t xml:space="preserve">Impact </w:t>
      </w:r>
      <w:r w:rsidRPr="00A141D2">
        <w:t>potential</w:t>
      </w:r>
    </w:p>
    <w:p w14:paraId="178C3B3C" w14:textId="77777777" w:rsidR="008F3441" w:rsidRPr="00A141D2" w:rsidRDefault="008F3441" w:rsidP="00934387">
      <w:pPr>
        <w:pStyle w:val="subheading"/>
      </w:pPr>
      <w:r w:rsidRPr="00A141D2">
        <w:t>2.4.1 Exposed assets in the floodplain</w:t>
      </w:r>
    </w:p>
    <w:p w14:paraId="79C939E5" w14:textId="2F642524" w:rsidR="008F3441" w:rsidRPr="00A141D2" w:rsidRDefault="008F3441" w:rsidP="008F3441">
      <w:pPr>
        <w:rPr>
          <w:lang w:val="en-GB"/>
        </w:rPr>
      </w:pPr>
      <w:r w:rsidRPr="00A141D2">
        <w:rPr>
          <w:lang w:val="en-GB"/>
        </w:rPr>
        <w:t>Direct flood impact potential is estimated by evaluating asset values within the floodplains. To identify the floodplain for each sub-catchment, we use 50-meter resolution historical flood extent maps created by local authorities. The flood extent for the highest available return period under current climate conditions is used. Since the basin covers two countries, we had to harmoni</w:t>
      </w:r>
      <w:r w:rsidR="00F02FE9" w:rsidRPr="00A141D2">
        <w:rPr>
          <w:lang w:val="en-GB"/>
        </w:rPr>
        <w:t>s</w:t>
      </w:r>
      <w:r w:rsidRPr="00A141D2">
        <w:rPr>
          <w:lang w:val="en-GB"/>
        </w:rPr>
        <w:t xml:space="preserve">e </w:t>
      </w:r>
      <w:r w:rsidR="00BD3370" w:rsidRPr="00A141D2">
        <w:rPr>
          <w:lang w:val="en-GB"/>
        </w:rPr>
        <w:t xml:space="preserve">the 200-year return period flood map for Latvia and the </w:t>
      </w:r>
      <w:r w:rsidRPr="00A141D2">
        <w:rPr>
          <w:lang w:val="en-GB"/>
        </w:rPr>
        <w:t>1000-year return period</w:t>
      </w:r>
      <w:r w:rsidR="00BD3370" w:rsidRPr="00A141D2">
        <w:rPr>
          <w:lang w:val="en-GB"/>
        </w:rPr>
        <w:t xml:space="preserve"> map</w:t>
      </w:r>
      <w:r w:rsidRPr="00A141D2">
        <w:rPr>
          <w:lang w:val="en-GB"/>
        </w:rPr>
        <w:t xml:space="preserve"> for Lithuania to a regional product. This leads to better agreement with local maps than utili</w:t>
      </w:r>
      <w:r w:rsidR="00F02FE9" w:rsidRPr="00A141D2">
        <w:rPr>
          <w:lang w:val="en-GB"/>
        </w:rPr>
        <w:t>s</w:t>
      </w:r>
      <w:r w:rsidRPr="00A141D2">
        <w:rPr>
          <w:lang w:val="en-GB"/>
        </w:rPr>
        <w:t>ing harmonised European or global datasets for multiple low-probability return periods (e.g. Dottori et al.</w:t>
      </w:r>
      <w:r w:rsidRPr="00A141D2">
        <w:rPr>
          <w:lang w:val="en-GB"/>
        </w:rPr>
        <w:fldChar w:fldCharType="begin"/>
      </w:r>
      <w:r w:rsidRPr="00A141D2">
        <w:rPr>
          <w:lang w:val="en-GB"/>
        </w:rPr>
        <w:instrText xml:space="preserve"> ADDIN ZOTERO_ITEM CSL_CITATION {"citationID":"gZNLua5K","properties":{"formattedCitation":"(2022)","plainCitation":"(2022)","dontUpdate":true,"noteIndex":0},"citationItems":[{"id":2898,"uris":["http://zotero.org/users/11212985/items/4QKGZW7H"],"itemData":{"id":2898,"type":"article-journal","abstract":"In recent years, the importance of continental-scale hazard maps for riverine floods has grown. Nowadays, such maps are used for a variety of research and commercial activities, such as evaluating present and future risk scenarios and adaptation strategies, as well as supporting management plans for national and local flood risk. In this paper we present a new set of high-resolution (100 m) hazard maps for river flooding that covers most European countries, as well as all of the river basins entering the Mediterranean and Black Sea in the Caucasus, the Middle East and northern Africa. The new river flood hazard maps represent inundation along 329 000 km of the river network, for six different flood return periods, expanding on the datasets previously available for the region. The input river flow data for the new maps are produced by means of the hydrological model LISFLOOD using new calibration and meteorological data, while inundation simulations are performed with the hydrodynamic model LISFLOOD-FP. In addition, we present here a detailed validation exercise using official hazard maps for Hungary, Italy, Norway, Spain and the UK, which provides a more detailed evaluation of the new dataset compared with previous works in the region. We find that the modelled maps can identify on average two-thirds of reference flood extent, but they also overestimate flood-prone areas with below 1-in-100-year flood probabilities, while for return periods equal to or above 500 years, the maps can correctly identify more than half of flooded areas. Further verification is required in the northern African and eastern Mediterranean regions, in order to better understand the performance of the flood maps in arid areas outside Europe. We attribute the observed skill to a number of shortcomings of the modelling framework, such as the absence of flood protections and rivers with an upstream area below 500 km2 and the limitations in representing river channels and the topography of lowland areas. In addition, the different designs of reference maps (e.g. extent of areas included) affect the correct identification of the areas for the validation, thus penalizing the scores. However, modelled maps achieve comparable results to existing large-scale flood models when using similar parameters for the validation. We conclude that recently released high-resolution elevation datasets, combined with reliable data of river channel geometry, may greatly contribute to improving future versions of continental-scale river flood hazard maps. The new high-resolution database of river flood hazard maps is available for download at https://doi.org/10.2905/1D128B6C-A4EE-4858-9E34-6210707F3C81 (Dottori et al., 2020a).","container-title":"Earth System Science Data","DOI":"10.5194/essd-14-1549-2022","ISSN":"1866-3508","issue":"4","language":"English","note":"publisher: Copernicus GmbH","page":"1549-1569","source":"Copernicus Online Journals","title":"A new dataset of river flood hazard maps for Europe and the Mediterranean Basin","volume":"14","author":[{"family":"Dottori","given":"Francesco"},{"family":"Alfieri","given":"Lorenzo"},{"family":"Bianchi","given":"Alessandra"},{"family":"Skoien","given":"Jon"},{"family":"Salamon","given":"Peter"}],"issued":{"date-parts":[["2022",4,7]]},"citation-key":"dottoriNewDatasetRiver2022"},"label":"page","suppress-author":true}],"schema":"https://github.com/citation-style-language/schema/raw/master/csl-citation.json"} </w:instrText>
      </w:r>
      <w:r w:rsidRPr="00A141D2">
        <w:rPr>
          <w:lang w:val="en-GB"/>
        </w:rPr>
        <w:fldChar w:fldCharType="separate"/>
      </w:r>
      <w:r w:rsidRPr="00A141D2">
        <w:rPr>
          <w:lang w:val="en-GB"/>
        </w:rPr>
        <w:t xml:space="preserve"> (2022)</w:t>
      </w:r>
      <w:r w:rsidRPr="00A141D2">
        <w:rPr>
          <w:lang w:val="en-GB"/>
        </w:rPr>
        <w:fldChar w:fldCharType="end"/>
      </w:r>
      <w:r w:rsidRPr="00A141D2">
        <w:rPr>
          <w:lang w:val="en-GB"/>
        </w:rPr>
        <w:t xml:space="preserve"> or Aqueduct </w:t>
      </w:r>
      <w:r w:rsidRPr="00A141D2">
        <w:rPr>
          <w:lang w:val="en-GB"/>
        </w:rPr>
        <w:fldChar w:fldCharType="begin"/>
      </w:r>
      <w:r w:rsidRPr="00A141D2">
        <w:rPr>
          <w:lang w:val="en-GB"/>
        </w:rPr>
        <w:instrText xml:space="preserve"> ADDIN ZOTERO_ITEM CSL_CITATION {"citationID":"0FivPJdV","properties":{"formattedCitation":"(Ward et al., 2020)","plainCitation":"(Ward et al., 2020)","noteIndex":0},"citationItems":[{"id":2897,"uris":["http://zotero.org/users/11212985/items/SU8HKZ9A"],"itemData":{"id":2897,"type":"article-journal","container-title":"World Resources Institute","note":"Citation Key: ward2020aqueduct","page":"1–28","title":"Aqueduct floods methodology","author":[{"family":"Ward","given":"Philip J"},{"family":"Winsemius","given":"Hessel C"},{"family":"Kuzma","given":"Samantha"},{"family":"Bierkens","given":"Marc FP"},{"family":"Bouwman","given":"Arno"},{"family":"De Moel","given":"Hans"},{"family":"Loaiza","given":"Andrés Dı́az"},{"family":"Eilander","given":"Dirk"},{"family":"Englhardt","given":"Johanna"},{"family":"Erkens","given":"Gilles"},{"literal":"others"}],"issued":{"date-parts":[["2020"]]},"citation-key":"ward2020aqueduct"}}],"schema":"https://github.com/citation-style-language/schema/raw/master/csl-citation.json"} </w:instrText>
      </w:r>
      <w:r w:rsidRPr="00A141D2">
        <w:rPr>
          <w:lang w:val="en-GB"/>
        </w:rPr>
        <w:fldChar w:fldCharType="separate"/>
      </w:r>
      <w:r w:rsidRPr="00A141D2">
        <w:rPr>
          <w:lang w:val="en-GB"/>
        </w:rPr>
        <w:t>(Ward et al., 2020)</w:t>
      </w:r>
      <w:r w:rsidRPr="00A141D2">
        <w:rPr>
          <w:lang w:val="en-GB"/>
        </w:rPr>
        <w:fldChar w:fldCharType="end"/>
      </w:r>
      <w:r w:rsidRPr="00A141D2">
        <w:rPr>
          <w:lang w:val="en-GB"/>
        </w:rPr>
        <w:t xml:space="preserve">), which may let water reach locations that are inaccessible in reality leading to misrepresented areas at risk. We attribute this low agreement to the fact that the Lielupe basin contains levees and weirs to control floods. These structures are likely to be too small to be picked up by coarse large-scale flood modelling efforts. </w:t>
      </w:r>
    </w:p>
    <w:p w14:paraId="37BF02DF" w14:textId="1722FF5B" w:rsidR="008F3441" w:rsidRPr="00A141D2" w:rsidRDefault="008F3441" w:rsidP="008F3441">
      <w:pPr>
        <w:rPr>
          <w:lang w:val="en-GB"/>
        </w:rPr>
      </w:pPr>
      <w:r w:rsidRPr="00A141D2">
        <w:rPr>
          <w:lang w:val="en-GB"/>
        </w:rPr>
        <w:t xml:space="preserve">Current-day exposure values in the floodplains are estimated using empirical estimates of reconstruction costs per square meter identified by Huizinga et al. </w:t>
      </w:r>
      <w:r w:rsidRPr="00A141D2">
        <w:rPr>
          <w:lang w:val="en-GB"/>
        </w:rPr>
        <w:fldChar w:fldCharType="begin"/>
      </w:r>
      <w:r w:rsidRPr="00A141D2">
        <w:rPr>
          <w:lang w:val="en-GB"/>
        </w:rPr>
        <w:instrText xml:space="preserve"> ADDIN ZOTERO_ITEM CSL_CITATION {"citationID":"XtbioEok","properties":{"formattedCitation":"(2016)","plainCitation":"(2016)","noteIndex":0},"citationItems":[{"id":2846,"uris":["http://zotero.org/users/11212985/items/HDLUBPNQ"],"itemData":{"id":2846,"type":"book","abstract":"Assessing potential damage of flood events is an important component in flood risk management. Determining direct flood damage is commonly done using depth-damage curves, which denote the flood damage that would occur at specific water depths per asset or per land-use class. Many countries have developed flood damage models using depth-damage curves based on analysis of past flood events and on expert judgement. However, the fact that such damage curves are not available for all regions hampers damage assessments in some areas. Moreover, due to different methodologies employed for various damage models in different countries, damage assessments cannot be directly compared with each other, obstructing also supra-national flood damage assessments. To address these problems a globally consistent database of depth-damage curves has been developed. This dataset contains damage curves depicting fractional damage as a function of water depth as well as the relevant maximum damage values for a variety of assets and land use classes. Based on an extensive literature survey normalised damage curves have been developed for each continent, while differentiation in flood damage between countries is established by determining maximum damage values at the country scale. These maximum damage values are based on construction cost surveys from multinational construction companies, which provide a coherent set of detailed building cost data across dozens of countries. A consistent set of maximum flood damage values for all countries was computed using statistical regressions with socio-economic World Development Indicators. Further, based on insights from the literature survey, guidance is also given on how the damage curves and maximum damage values can be adjusted for specific local circumstances, such as urban vs. rural locations or use of specific building material. This dataset can be used for consistent supra-national scale flood damage assessments, and guide assessment in countries where no damage model is currently available.","call-number":"KJ-NA-28-552-EN-N","ISBN":"978-92-79-67781-6","language":"eng","publisher":"Publications Office of the European Union","source":"Publications Office of the European Union","title":"Global flood depth-damage functions: methodology and the database with guidelines","title-short":"Global flood depth-damage functions","URL":"https://data.europa.eu/doi/10.2760/16510","author":[{"family":"Huizinga","given":"Jan"},{"family":"Moel","given":"Hans","non-dropping-particle":"de"},{"family":"Szewczyk","given":"Wojciech"}],"accessed":{"date-parts":[["2024",9,5]]},"issued":{"date-parts":[["2016"]]},"citation-key":"huizingaGlobalFloodDepthdamage2016"},"label":"page","suppress-author":true}],"schema":"https://github.com/citation-style-language/schema/raw/master/csl-citation.json"} </w:instrText>
      </w:r>
      <w:r w:rsidRPr="00A141D2">
        <w:rPr>
          <w:lang w:val="en-GB"/>
        </w:rPr>
        <w:fldChar w:fldCharType="separate"/>
      </w:r>
      <w:r w:rsidRPr="00A141D2">
        <w:rPr>
          <w:lang w:val="en-GB"/>
        </w:rPr>
        <w:t>(2016)</w:t>
      </w:r>
      <w:r w:rsidRPr="00A141D2">
        <w:rPr>
          <w:lang w:val="en-GB"/>
        </w:rPr>
        <w:fldChar w:fldCharType="end"/>
      </w:r>
      <w:r w:rsidRPr="00A141D2">
        <w:rPr>
          <w:lang w:val="en-GB"/>
        </w:rPr>
        <w:t xml:space="preserve">. The reconstruction costs need to be defined per building and its use class, since each use class has a different associated cost. Using OpenStreetMap (OSM) </w:t>
      </w:r>
      <w:r w:rsidRPr="00A141D2">
        <w:rPr>
          <w:lang w:val="en-GB"/>
        </w:rPr>
        <w:fldChar w:fldCharType="begin"/>
      </w:r>
      <w:r w:rsidRPr="00A141D2">
        <w:rPr>
          <w:lang w:val="en-GB"/>
        </w:rPr>
        <w:instrText xml:space="preserve"> ADDIN ZOTERO_ITEM CSL_CITATION {"citationID":"Fjnklcdc","properties":{"formattedCitation":"(Haklay &amp; Weber, 2008)","plainCitation":"(Haklay &amp; Weber, 2008)","noteIndex":0},"citationItems":[{"id":2843,"uris":["http://zotero.org/users/11212985/items/DG29VB2W"],"itemData":{"id":2843,"type":"article-journal","abstract":"The OpenStreetMap project is a knowledge collective that provides user-generated street maps. OSM follows the peer production model that created Wikipedia; its aim is to create a set of map data that's free to use, editable, and licensed under new copyright schemes. A considerable number of contributors edit the world map collaboratively using the OSM technical infrastructure, and a core group, estimated at approximately 40 volunteers, dedicate their time to creating and improving OSM's infrastructure, including maintaining the server, writing the core software that handles the transactions with the server, and creating cartographical outputs. There's also a growing community of software developers who develop software tools to make OSM data available for further use across different application domains, software platforms, and hardware devices. The OSM project's hub is the main OSM Web site.","container-title":"IEEE Pervasive Computing","DOI":"10.1109/MPRV.2008.80","ISSN":"1558-2590","issue":"4","note":"event-title: IEEE Pervasive Computing","page":"12-18","source":"IEEE Xplore","title":"OpenStreetMap: User-Generated Street Maps","title-short":"OpenStreetMap","volume":"7","author":[{"family":"Haklay","given":"Mordechai"},{"family":"Weber","given":"Patrick"}],"issued":{"date-parts":[["2008",10]]},"citation-key":"haklayOpenStreetMapUserGeneratedStreet2008"}}],"schema":"https://github.com/citation-style-language/schema/raw/master/csl-citation.json"} </w:instrText>
      </w:r>
      <w:r w:rsidRPr="00A141D2">
        <w:rPr>
          <w:lang w:val="en-GB"/>
        </w:rPr>
        <w:fldChar w:fldCharType="separate"/>
      </w:r>
      <w:r w:rsidRPr="00A141D2">
        <w:rPr>
          <w:lang w:val="en-GB"/>
        </w:rPr>
        <w:t>(Haklay &amp; Weber, 2008)</w:t>
      </w:r>
      <w:r w:rsidRPr="00A141D2">
        <w:rPr>
          <w:lang w:val="en-GB"/>
        </w:rPr>
        <w:fldChar w:fldCharType="end"/>
      </w:r>
      <w:r w:rsidRPr="00A141D2">
        <w:rPr>
          <w:lang w:val="en-GB"/>
        </w:rPr>
        <w:t xml:space="preserve">, flooded building footprints are obtained and assigned a use class. First, we classify all footprints as residential, refine them using </w:t>
      </w:r>
      <w:r w:rsidR="000A7FA6" w:rsidRPr="00A141D2">
        <w:rPr>
          <w:lang w:val="en-GB"/>
        </w:rPr>
        <w:t xml:space="preserve">the 50x50m </w:t>
      </w:r>
      <w:r w:rsidRPr="00A141D2">
        <w:rPr>
          <w:lang w:val="en-GB"/>
        </w:rPr>
        <w:t>LUISA land use data</w:t>
      </w:r>
      <w:r w:rsidR="000A7FA6" w:rsidRPr="00A141D2">
        <w:rPr>
          <w:lang w:val="en-GB"/>
        </w:rPr>
        <w:t>set</w:t>
      </w:r>
      <w:r w:rsidRPr="00A141D2">
        <w:rPr>
          <w:lang w:val="en-GB"/>
        </w:rPr>
        <w:t xml:space="preserve"> </w:t>
      </w:r>
      <w:r w:rsidRPr="00A141D2">
        <w:rPr>
          <w:lang w:val="en-GB"/>
        </w:rPr>
        <w:fldChar w:fldCharType="begin"/>
      </w:r>
      <w:r w:rsidRPr="00A141D2">
        <w:rPr>
          <w:lang w:val="en-GB"/>
        </w:rPr>
        <w:instrText xml:space="preserve"> ADDIN ZOTERO_ITEM CSL_CITATION {"citationID":"OQrI3Gfa","properties":{"formattedCitation":"(Pigaiani &amp; Batista e Silva, 2021)","plainCitation":"(Pigaiani &amp; Batista e Silva, 2021)","noteIndex":0},"citationItems":[{"id":2892,"uris":["http://zotero.org/users/11212985/items/W4EU9TZB"],"itemData":{"id":2892,"type":"book","abstract":"The LUISA Base Map 2018 is a land use/land cover map of Europe compatible with the CORINE Land Cover nomenclature, but offering a considerable higher spatial and thematic detail. It was produced by employing an automated, reproducible and structured geographical data fusion approach, integrating land use data from diverse, trusted, off-the-shelf geospatial data sources. It is a key input to the European Commission Joint Research Centre LUISA territorial model. Because it is publicly available, it can be used in many other applications requiring fine spatial and/or thematic detail of land use/land cover consistently for Europe. This technical report describes the background and specifications of the LUISA Base Map 2018, documents the materials and methods employed in its production, and discussed its main strengths and limitations.","call-number":"KJ-NA-30663-EN-N","ISBN":"978-92-76-34207-6","language":"eng","publisher":"Publications Office of the European Union","source":"Publications Office of the European Union","title":"The LUISA base map 2018: a geospatial data fusion approach to increase the detail of European land use/land cover data","title-short":"The LUISA base map 2018","URL":"https://data.europa.eu/doi/10.2760/503006","author":[{"family":"Pigaiani","given":"Cristian"},{"family":"Batista e Silva","given":"Filipe"}],"accessed":{"date-parts":[["2024",9,10]]},"issued":{"date-parts":[["2021"]]},"citation-key":"pigaianiLUISABaseMap2021"}}],"schema":"https://github.com/citation-style-language/schema/raw/master/csl-citation.json"} </w:instrText>
      </w:r>
      <w:r w:rsidRPr="00A141D2">
        <w:rPr>
          <w:lang w:val="en-GB"/>
        </w:rPr>
        <w:fldChar w:fldCharType="separate"/>
      </w:r>
      <w:r w:rsidRPr="00A141D2">
        <w:rPr>
          <w:lang w:val="en-GB"/>
        </w:rPr>
        <w:t>(Pigaiani &amp; Batista e Silva, 2021)</w:t>
      </w:r>
      <w:r w:rsidRPr="00A141D2">
        <w:rPr>
          <w:lang w:val="en-GB"/>
        </w:rPr>
        <w:fldChar w:fldCharType="end"/>
      </w:r>
      <w:r w:rsidRPr="00A141D2">
        <w:rPr>
          <w:lang w:val="en-GB"/>
        </w:rPr>
        <w:t xml:space="preserve"> and refine further with OSM land use and amenity information (see Appendix C Table C.1 and C.2 for the classifications). Lastly, the </w:t>
      </w:r>
      <w:r w:rsidR="008B2A92" w:rsidRPr="00A141D2">
        <w:rPr>
          <w:lang w:val="en-GB"/>
        </w:rPr>
        <w:t xml:space="preserve">total </w:t>
      </w:r>
      <w:r w:rsidRPr="00A141D2">
        <w:rPr>
          <w:lang w:val="en-GB"/>
        </w:rPr>
        <w:t>footprint areas are calculated and multiplied by the reconstruction costs per square meter</w:t>
      </w:r>
      <w:r w:rsidR="008B2A92" w:rsidRPr="00A141D2">
        <w:rPr>
          <w:lang w:val="en-GB"/>
        </w:rPr>
        <w:t xml:space="preserve"> to obtain exposed asset values in the floodplain</w:t>
      </w:r>
      <w:r w:rsidRPr="00A141D2">
        <w:rPr>
          <w:lang w:val="en-GB"/>
        </w:rPr>
        <w:t>. Content losses are not considered since our focus is on reconstruction.</w:t>
      </w:r>
    </w:p>
    <w:p w14:paraId="0FD5C610" w14:textId="42B1000A" w:rsidR="00D90A58" w:rsidRPr="00A141D2" w:rsidRDefault="008F3441" w:rsidP="00934387">
      <w:pPr>
        <w:ind w:firstLine="170"/>
        <w:rPr>
          <w:lang w:val="en-GB"/>
        </w:rPr>
      </w:pPr>
      <w:r w:rsidRPr="00A141D2">
        <w:rPr>
          <w:lang w:val="en-GB"/>
        </w:rPr>
        <w:t>To incorporate socio-economic trends in the assessment, current exposure</w:t>
      </w:r>
      <w:r w:rsidR="00B152CF" w:rsidRPr="00A141D2">
        <w:rPr>
          <w:lang w:val="en-GB"/>
        </w:rPr>
        <w:t xml:space="preserve"> values</w:t>
      </w:r>
      <w:r w:rsidR="008B2A92" w:rsidRPr="00A141D2">
        <w:rPr>
          <w:lang w:val="en-GB"/>
        </w:rPr>
        <w:t xml:space="preserve"> per sub-catchment are</w:t>
      </w:r>
      <w:r w:rsidRPr="00A141D2">
        <w:rPr>
          <w:lang w:val="en-GB"/>
        </w:rPr>
        <w:t xml:space="preserve"> adjusted to future values</w:t>
      </w:r>
      <w:r w:rsidR="008429FF" w:rsidRPr="00A141D2">
        <w:rPr>
          <w:lang w:val="en-GB"/>
        </w:rPr>
        <w:t xml:space="preserve">. </w:t>
      </w:r>
      <w:r w:rsidR="005C0871" w:rsidRPr="00A141D2">
        <w:rPr>
          <w:lang w:val="en-GB"/>
        </w:rPr>
        <w:t>We incorporated urban growth and property value growth by multiplying current exposure in the sub-catchment with their projected change factor, found in Section 2.3.1</w:t>
      </w:r>
      <w:r w:rsidRPr="00A141D2">
        <w:rPr>
          <w:lang w:val="en-GB"/>
        </w:rPr>
        <w:t xml:space="preserve">. </w:t>
      </w:r>
    </w:p>
    <w:p w14:paraId="2F98CE0A" w14:textId="3E103BE0" w:rsidR="008477ED" w:rsidRPr="00A141D2" w:rsidRDefault="008477ED" w:rsidP="00934387">
      <w:pPr>
        <w:pStyle w:val="subheading"/>
      </w:pPr>
      <w:r w:rsidRPr="00A141D2">
        <w:t>2.</w:t>
      </w:r>
      <w:r w:rsidR="00B64B52" w:rsidRPr="00A141D2">
        <w:t>4.2</w:t>
      </w:r>
      <w:r w:rsidRPr="00A141D2">
        <w:t xml:space="preserve"> Indirect </w:t>
      </w:r>
      <w:r w:rsidR="00844321" w:rsidRPr="00A141D2">
        <w:t>effects</w:t>
      </w:r>
    </w:p>
    <w:p w14:paraId="5A51A3BB" w14:textId="52F85BB0" w:rsidR="00D67376" w:rsidRPr="00A141D2" w:rsidRDefault="00D67376" w:rsidP="00D67376">
      <w:pPr>
        <w:rPr>
          <w:lang w:val="en-GB"/>
        </w:rPr>
      </w:pPr>
      <w:r w:rsidRPr="00A141D2">
        <w:rPr>
          <w:lang w:val="en-GB"/>
        </w:rPr>
        <w:t>A relevant indirect impact of flood risk is the pressure on sectors to substitute what was lost. If these sectors are overwhelmed by the extent of the event</w:t>
      </w:r>
      <w:r w:rsidR="00E3140C" w:rsidRPr="00A141D2">
        <w:rPr>
          <w:lang w:val="en-GB"/>
        </w:rPr>
        <w:t xml:space="preserve"> and </w:t>
      </w:r>
      <w:r w:rsidR="00FA6343" w:rsidRPr="00A141D2">
        <w:rPr>
          <w:lang w:val="en-GB"/>
        </w:rPr>
        <w:t xml:space="preserve">the </w:t>
      </w:r>
      <w:r w:rsidR="00E3140C" w:rsidRPr="00A141D2">
        <w:rPr>
          <w:lang w:val="en-GB"/>
        </w:rPr>
        <w:t>resulting increased demand</w:t>
      </w:r>
      <w:r w:rsidRPr="00A141D2">
        <w:rPr>
          <w:lang w:val="en-GB"/>
        </w:rPr>
        <w:t xml:space="preserve">, this can lead to enhanced and prolonged impacts </w:t>
      </w:r>
      <w:r w:rsidRPr="00A141D2">
        <w:rPr>
          <w:lang w:val="en-GB"/>
        </w:rPr>
        <w:fldChar w:fldCharType="begin"/>
      </w:r>
      <w:r w:rsidRPr="00A141D2">
        <w:rPr>
          <w:lang w:val="en-GB"/>
        </w:rPr>
        <w:instrText xml:space="preserve"> ADDIN ZOTERO_ITEM CSL_CITATION {"citationID":"csARl1si","properties":{"formattedCitation":"(Hallegatte et al., 2024)","plainCitation":"(Hallegatte et al., 2024)","noteIndex":0},"citationItems":[{"id":2725,"uris":["http://zotero.org/users/11212985/items/339HR8FJ"],"itemData":{"id":2725,"type":"article-journal","abstract":"Natural disasters can cause substantial damage to public and private sector infrastructure capital, generating macroeconomic losses through complex channels. These shocks must be managed and accounted for with macrofiscal and monetary policy to minimize their welfare impacts. To support this process, we adapt the World Bank Macrostructural Model to capture key transmission channels of natural (geophysical or climate-related) disasters and their immediate aftermath. The macroeconomic model is extended on several fronts: (1) a distinction is made between infrastructure and noninfrastructure capital; (2) the production function is adjusted to account for short-term complementarity across capital assets; (3) the reconstruction process is modeled to consider postdisaster constraints, with distinct processes for the reconstruction of public and private assets. Destroyed infrastructure capital makes the remaining noninfrastructure capital less productive, which means that disasters reduce the total stock of capital and its marginal productivity. Upon applying the model to Türkiye data, the welfare impact of a disaster — proxied by the discounted consumption loss — is found to increase nonlinearly with direct asset losses. Macroeconomic responses reduce the welfare impact of minor disasters but magnify it when direct asset losses exceed the economy’s absorption capacity. The welfare impact also depends on the preexisting economic situation, the ability of the economy to reallocate resources toward reconstruction, and the response of monetary policy. Appropriate macrofiscal and monetary policies offer cost-effective opportunities to mitigate the welfare impact of major disasters.","container-title":"Economic Modelling","DOI":"10.1016/j.econmod.2024.106787","ISSN":"0264-9993","journalAbbreviation":"Economic Modelling","page":"106787","source":"ScienceDirect","title":"Modeling the macroeconomic consequences of natural disasters: Capital stock, recovery dynamics, and monetary policy","title-short":"Modeling the macroeconomic consequences of natural disasters","volume":"139","author":[{"family":"Hallegatte","given":"Stéphane"},{"family":"Jooste","given":"Charl"},{"family":"McIsaac","given":"Florent"}],"issued":{"date-parts":[["2024",10,1]]},"citation-key":"hallegatteModelingMacroeconomicConsequences2024"}}],"schema":"https://github.com/citation-style-language/schema/raw/master/csl-citation.json"} </w:instrText>
      </w:r>
      <w:r w:rsidRPr="00A141D2">
        <w:rPr>
          <w:lang w:val="en-GB"/>
        </w:rPr>
        <w:fldChar w:fldCharType="separate"/>
      </w:r>
      <w:r w:rsidRPr="00A141D2">
        <w:rPr>
          <w:lang w:val="en-GB"/>
        </w:rPr>
        <w:t>(Hallegatte et al., 2024)</w:t>
      </w:r>
      <w:r w:rsidRPr="00A141D2">
        <w:rPr>
          <w:lang w:val="en-GB"/>
        </w:rPr>
        <w:fldChar w:fldCharType="end"/>
      </w:r>
      <w:r w:rsidRPr="00A141D2">
        <w:rPr>
          <w:lang w:val="en-GB"/>
        </w:rPr>
        <w:t>. To highlight potential reconstruction issues in the recovery phase</w:t>
      </w:r>
      <w:r w:rsidR="00735733" w:rsidRPr="00A141D2">
        <w:rPr>
          <w:lang w:val="en-GB"/>
        </w:rPr>
        <w:t>,</w:t>
      </w:r>
      <w:r w:rsidRPr="00A141D2">
        <w:rPr>
          <w:lang w:val="en-GB"/>
        </w:rPr>
        <w:t xml:space="preserve"> this study analyses cascading sectoral pressures directly after an applied shock for the 2020 baseline and </w:t>
      </w:r>
      <w:r w:rsidR="00187493" w:rsidRPr="00A141D2">
        <w:rPr>
          <w:lang w:val="en-GB"/>
        </w:rPr>
        <w:t>the various regional economic futures</w:t>
      </w:r>
      <w:r w:rsidRPr="00A141D2">
        <w:rPr>
          <w:lang w:val="en-GB"/>
        </w:rPr>
        <w:t>.</w:t>
      </w:r>
      <w:r w:rsidR="00C06C51" w:rsidRPr="00A141D2">
        <w:rPr>
          <w:lang w:val="en-GB"/>
        </w:rPr>
        <w:t xml:space="preserve"> </w:t>
      </w:r>
      <w:r w:rsidR="000E185D" w:rsidRPr="00A141D2">
        <w:rPr>
          <w:lang w:val="en-GB"/>
        </w:rPr>
        <w:t xml:space="preserve">We </w:t>
      </w:r>
      <w:r w:rsidR="008847A7" w:rsidRPr="00A141D2">
        <w:rPr>
          <w:lang w:val="en-GB"/>
        </w:rPr>
        <w:t>use</w:t>
      </w:r>
      <w:r w:rsidR="000E185D" w:rsidRPr="00A141D2">
        <w:rPr>
          <w:lang w:val="en-GB"/>
        </w:rPr>
        <w:t xml:space="preserve"> </w:t>
      </w:r>
      <w:r w:rsidR="008847A7" w:rsidRPr="00A141D2">
        <w:rPr>
          <w:lang w:val="en-GB"/>
        </w:rPr>
        <w:t>‘</w:t>
      </w:r>
      <w:r w:rsidR="000E185D" w:rsidRPr="00A141D2">
        <w:rPr>
          <w:lang w:val="en-GB"/>
        </w:rPr>
        <w:t>stress</w:t>
      </w:r>
      <w:r w:rsidR="008847A7" w:rsidRPr="00A141D2">
        <w:rPr>
          <w:lang w:val="en-GB"/>
        </w:rPr>
        <w:t>’</w:t>
      </w:r>
      <w:r w:rsidR="000E185D" w:rsidRPr="00A141D2">
        <w:rPr>
          <w:lang w:val="en-GB"/>
        </w:rPr>
        <w:t xml:space="preserve"> to indicate </w:t>
      </w:r>
      <w:r w:rsidR="00867368" w:rsidRPr="00A141D2">
        <w:rPr>
          <w:lang w:val="en-GB"/>
        </w:rPr>
        <w:t>demand</w:t>
      </w:r>
      <w:r w:rsidR="00683103" w:rsidRPr="00A141D2">
        <w:rPr>
          <w:lang w:val="en-GB"/>
        </w:rPr>
        <w:t xml:space="preserve"> pressures</w:t>
      </w:r>
      <w:r w:rsidR="00C57EC3" w:rsidRPr="00A141D2">
        <w:rPr>
          <w:lang w:val="en-GB"/>
        </w:rPr>
        <w:t xml:space="preserve"> due to the event</w:t>
      </w:r>
      <w:r w:rsidR="00867368" w:rsidRPr="00A141D2">
        <w:rPr>
          <w:lang w:val="en-GB"/>
        </w:rPr>
        <w:t xml:space="preserve"> relative to the pre-event demand</w:t>
      </w:r>
      <w:r w:rsidR="002E3872" w:rsidRPr="00A141D2">
        <w:rPr>
          <w:lang w:val="en-GB"/>
        </w:rPr>
        <w:t xml:space="preserve"> for a sector</w:t>
      </w:r>
      <w:r w:rsidR="00867368" w:rsidRPr="00A141D2">
        <w:rPr>
          <w:lang w:val="en-GB"/>
        </w:rPr>
        <w:t>.</w:t>
      </w:r>
      <w:r w:rsidRPr="00A141D2">
        <w:rPr>
          <w:lang w:val="en-GB"/>
        </w:rPr>
        <w:t xml:space="preserve"> </w:t>
      </w:r>
      <w:r w:rsidR="002E3872" w:rsidRPr="00A141D2">
        <w:rPr>
          <w:lang w:val="en-GB"/>
        </w:rPr>
        <w:t>Sectors are ranked</w:t>
      </w:r>
      <w:r w:rsidRPr="00A141D2">
        <w:rPr>
          <w:lang w:val="en-GB"/>
        </w:rPr>
        <w:t xml:space="preserve"> by their demand stresses in 2020 conditions</w:t>
      </w:r>
      <w:r w:rsidR="00A83445" w:rsidRPr="00A141D2">
        <w:rPr>
          <w:lang w:val="en-GB"/>
        </w:rPr>
        <w:t>,</w:t>
      </w:r>
      <w:r w:rsidRPr="00A141D2">
        <w:rPr>
          <w:lang w:val="en-GB"/>
        </w:rPr>
        <w:t xml:space="preserve"> and</w:t>
      </w:r>
      <w:r w:rsidR="00A83445" w:rsidRPr="00A141D2">
        <w:rPr>
          <w:lang w:val="en-GB"/>
        </w:rPr>
        <w:t xml:space="preserve"> we</w:t>
      </w:r>
      <w:r w:rsidRPr="00A141D2">
        <w:rPr>
          <w:lang w:val="en-GB"/>
        </w:rPr>
        <w:t xml:space="preserve"> explore how these stresses develop</w:t>
      </w:r>
      <w:r w:rsidR="006673D8" w:rsidRPr="00A141D2">
        <w:rPr>
          <w:lang w:val="en-GB"/>
        </w:rPr>
        <w:t xml:space="preserve"> across scenarios</w:t>
      </w:r>
      <w:r w:rsidRPr="00A141D2">
        <w:rPr>
          <w:lang w:val="en-GB"/>
        </w:rPr>
        <w:t xml:space="preserve">. </w:t>
      </w:r>
    </w:p>
    <w:p w14:paraId="090319D9" w14:textId="2348E62C" w:rsidR="00D67376" w:rsidRPr="00A141D2" w:rsidRDefault="00D67376" w:rsidP="00D67376">
      <w:pPr>
        <w:rPr>
          <w:lang w:val="en-GB"/>
        </w:rPr>
      </w:pPr>
      <w:r w:rsidRPr="00A141D2">
        <w:rPr>
          <w:lang w:val="en-GB"/>
        </w:rPr>
        <w:t xml:space="preserve">Input-output tables are used to explore sectoral demand change effects throughout the economy </w:t>
      </w:r>
      <w:r w:rsidRPr="00A141D2">
        <w:rPr>
          <w:lang w:val="en-GB"/>
        </w:rPr>
        <w:fldChar w:fldCharType="begin"/>
      </w:r>
      <w:r w:rsidRPr="00A141D2">
        <w:rPr>
          <w:lang w:val="en-GB"/>
        </w:rPr>
        <w:instrText xml:space="preserve"> ADDIN ZOTERO_ITEM CSL_CITATION {"citationID":"yvBvkA7z","properties":{"formattedCitation":"(Miller &amp; Blair, 2009)","plainCitation":"(Miller &amp; Blair, 2009)","noteIndex":0},"citationItems":[{"id":2858,"uris":["http://zotero.org/users/11212985/items/KIIEKXAH"],"itemData":{"id":2858,"type":"book","abstract":"This edition of Ronald Miller and Peter Blair's classic textbook is an essential reference for students and scholars in the input-output research and applications community. The book has been fully revised and updated to reflect important developments in the field since its original publication. New topics covered include SAMs (and extended input-output models) and their connection to input-output data, structural decomposition analysis (SDA), multiplier decompositions, identifying important coefficients, and international input-output models. A major new feature of this edition is that it is also supported by an accompanying website with solutions to all problems, wide-ranging real-world data sets, and appendices with further information for more advanced readers. Input-Output Analysis is an ideal introduction to the subject for advanced undergraduate and graduate students in a wide variety of fields, including economics, regional science, regional economics, city, regional and urban planning, environmental planning, public policy analysis and public management.","edition":"2","event-place":"Cambridge","note":"DOI: 10.1017/CBO9780511626982","publisher":"Cambridge University Press","publisher-place":"Cambridge","source":"Cambridge University Press","title":"Input-Output Analysis: Foundations and Extensions","title-short":"Input-Output Analysis","URL":"https://www.cambridge.org/core/books/inputoutput-analysis/69827DA658E766CD1E17B1A47BA2B9C3","author":[{"family":"Miller","given":"Ronald E."},{"family":"Blair","given":"Peter D."}],"accessed":{"date-parts":[["2024",9,5]]},"issued":{"date-parts":[["2009"]]},"citation-key":"millerInputOutputAnalysisFoundations2009"}}],"schema":"https://github.com/citation-style-language/schema/raw/master/csl-citation.json"} </w:instrText>
      </w:r>
      <w:r w:rsidRPr="00A141D2">
        <w:rPr>
          <w:lang w:val="en-GB"/>
        </w:rPr>
        <w:fldChar w:fldCharType="separate"/>
      </w:r>
      <w:r w:rsidRPr="00A141D2">
        <w:rPr>
          <w:lang w:val="en-GB"/>
        </w:rPr>
        <w:t>(Miller &amp; Blair, 2009)</w:t>
      </w:r>
      <w:r w:rsidRPr="00A141D2">
        <w:rPr>
          <w:lang w:val="en-GB"/>
        </w:rPr>
        <w:fldChar w:fldCharType="end"/>
      </w:r>
      <w:r w:rsidRPr="00A141D2">
        <w:rPr>
          <w:lang w:val="en-GB"/>
        </w:rPr>
        <w:t xml:space="preserve">. The </w:t>
      </w:r>
      <w:r w:rsidR="00882737" w:rsidRPr="00A141D2">
        <w:rPr>
          <w:lang w:val="en-GB"/>
        </w:rPr>
        <w:t xml:space="preserve">monetary </w:t>
      </w:r>
      <w:r w:rsidRPr="00A141D2">
        <w:rPr>
          <w:lang w:val="en-GB"/>
        </w:rPr>
        <w:t xml:space="preserve">interconnections between sectors in these tables are manipulated to show economy wide effects of a demand shock in the construction sector after a </w:t>
      </w:r>
      <w:r w:rsidRPr="00A141D2">
        <w:rPr>
          <w:lang w:val="en-GB"/>
        </w:rPr>
        <w:lastRenderedPageBreak/>
        <w:t xml:space="preserve">flood. We implemented this manipulation </w:t>
      </w:r>
      <w:r w:rsidR="005A2B71" w:rsidRPr="00A141D2">
        <w:rPr>
          <w:lang w:val="en-GB"/>
        </w:rPr>
        <w:t>by calculating</w:t>
      </w:r>
      <w:r w:rsidRPr="00A141D2">
        <w:rPr>
          <w:lang w:val="en-GB"/>
        </w:rPr>
        <w:t xml:space="preserve"> the Leontief inverse matrix </w:t>
      </w:r>
      <w:r w:rsidRPr="00A141D2">
        <w:rPr>
          <w:lang w:val="en-GB"/>
        </w:rPr>
        <w:fldChar w:fldCharType="begin"/>
      </w:r>
      <w:r w:rsidRPr="00A141D2">
        <w:rPr>
          <w:lang w:val="en-GB"/>
        </w:rPr>
        <w:instrText xml:space="preserve"> ADDIN ZOTERO_ITEM CSL_CITATION {"citationID":"6BYxc5Cc","properties":{"formattedCitation":"(Leontief, 1936)","plainCitation":"(Leontief, 1936)","noteIndex":0},"citationItems":[{"id":2854,"uris":["http://zotero.org/users/11212985/items/3KP7BX7V"],"itemData":{"id":2854,"type":"article-journal","container-title":"The Review of Economics and Statistics","DOI":"10.2307/1927837","ISSN":"0034-6535","issue":"3","note":"publisher: The MIT Press","page":"105-125","source":"JSTOR","title":"Quantitative Input and Output Relations in the Economic Systems of the United States","volume":"18","author":[{"family":"Leontief","given":"Wassily W."}],"issued":{"date-parts":[["1936"]]},"citation-key":"leontiefQuantitativeInputOutput1936"}}],"schema":"https://github.com/citation-style-language/schema/raw/master/csl-citation.json"} </w:instrText>
      </w:r>
      <w:r w:rsidRPr="00A141D2">
        <w:rPr>
          <w:lang w:val="en-GB"/>
        </w:rPr>
        <w:fldChar w:fldCharType="separate"/>
      </w:r>
      <w:r w:rsidRPr="00A141D2">
        <w:rPr>
          <w:lang w:val="en-GB"/>
        </w:rPr>
        <w:t>(Leontief, 1936)</w:t>
      </w:r>
      <w:r w:rsidRPr="00A141D2">
        <w:rPr>
          <w:lang w:val="en-GB"/>
        </w:rPr>
        <w:fldChar w:fldCharType="end"/>
      </w:r>
      <w:r w:rsidRPr="00A141D2">
        <w:rPr>
          <w:lang w:val="en-GB"/>
        </w:rPr>
        <w:t xml:space="preserve">, which formulates </w:t>
      </w:r>
      <w:r w:rsidR="00CF295C" w:rsidRPr="00A141D2">
        <w:rPr>
          <w:lang w:val="en-GB"/>
        </w:rPr>
        <w:t>the economy-wide input requirements for each sector</w:t>
      </w:r>
      <w:r w:rsidRPr="00A141D2">
        <w:rPr>
          <w:lang w:val="en-GB"/>
        </w:rPr>
        <w:t xml:space="preserve"> to produce one output unit of the sector, including cascading demand effects from suppliers. For a formulaic representation of the demand changes, see Appendix D.</w:t>
      </w:r>
    </w:p>
    <w:p w14:paraId="5703564C" w14:textId="23BFC6BE" w:rsidR="00D67376" w:rsidRPr="00A141D2" w:rsidRDefault="00D67376" w:rsidP="00D67376">
      <w:pPr>
        <w:rPr>
          <w:lang w:val="en-GB"/>
        </w:rPr>
      </w:pPr>
      <w:r w:rsidRPr="00A141D2">
        <w:rPr>
          <w:lang w:val="en-GB"/>
        </w:rPr>
        <w:t xml:space="preserve">We find stresses across the Latvian economy by applying an arbitrary demand on the construction sector resulting from direct losses. Using the Leontief inverse, we find how much pressure occurs in the construction sector and its supply chain. Instead of absolute demand increases, relative demand increases are explored as they signal stresses </w:t>
      </w:r>
      <w:r w:rsidR="00C5385C" w:rsidRPr="00A141D2">
        <w:rPr>
          <w:lang w:val="en-GB"/>
        </w:rPr>
        <w:t>on the</w:t>
      </w:r>
      <w:r w:rsidRPr="00A141D2">
        <w:rPr>
          <w:lang w:val="en-GB"/>
        </w:rPr>
        <w:t xml:space="preserve"> sectors. </w:t>
      </w:r>
      <w:r w:rsidR="00EB7927" w:rsidRPr="00A141D2">
        <w:rPr>
          <w:lang w:val="en-GB"/>
        </w:rPr>
        <w:t>Those s</w:t>
      </w:r>
      <w:r w:rsidRPr="00A141D2">
        <w:rPr>
          <w:lang w:val="en-GB"/>
        </w:rPr>
        <w:t>ectors</w:t>
      </w:r>
      <w:r w:rsidR="00E7024C" w:rsidRPr="00A141D2">
        <w:rPr>
          <w:lang w:val="en-GB"/>
        </w:rPr>
        <w:t xml:space="preserve"> that</w:t>
      </w:r>
      <w:r w:rsidRPr="00A141D2">
        <w:rPr>
          <w:lang w:val="en-GB"/>
        </w:rPr>
        <w:t xml:space="preserve"> </w:t>
      </w:r>
      <w:r w:rsidR="00FF5C2A" w:rsidRPr="00A141D2">
        <w:rPr>
          <w:lang w:val="en-GB"/>
        </w:rPr>
        <w:t xml:space="preserve">need to upscale production most </w:t>
      </w:r>
      <w:r w:rsidRPr="00A141D2">
        <w:rPr>
          <w:lang w:val="en-GB"/>
        </w:rPr>
        <w:t xml:space="preserve">are particularly vulnerable to indirect flood impacts. </w:t>
      </w:r>
    </w:p>
    <w:p w14:paraId="361291DA" w14:textId="01A424FD" w:rsidR="00D67376" w:rsidRPr="00A141D2" w:rsidRDefault="00D67376" w:rsidP="00AC4297">
      <w:pPr>
        <w:spacing w:line="259" w:lineRule="auto"/>
        <w:rPr>
          <w:lang w:val="en-GB"/>
        </w:rPr>
      </w:pPr>
      <w:r w:rsidRPr="00A141D2">
        <w:rPr>
          <w:lang w:val="en-GB"/>
        </w:rPr>
        <w:t xml:space="preserve">To compare baseline conditions with future scenarios, we perform the analysis for the base year 2020 and all </w:t>
      </w:r>
      <w:r w:rsidR="006673D8" w:rsidRPr="00A141D2">
        <w:rPr>
          <w:lang w:val="en-GB"/>
        </w:rPr>
        <w:t>regional economic futures</w:t>
      </w:r>
      <w:r w:rsidRPr="00A141D2">
        <w:rPr>
          <w:lang w:val="en-GB"/>
        </w:rPr>
        <w:t xml:space="preserve"> in 2050 using associated input-output tables (see Section 2.3.2) and the growth of asset values in the floodplain (see Section 2.4.1). The set of input-output tables provides estimates of sectoral interactions and the relative size of sectors in the regional economy. The asset value growth in the floodplain is used to compare how a single unit of loss in 2020 is expected to grow in the future. </w:t>
      </w:r>
    </w:p>
    <w:p w14:paraId="04A4B6BA" w14:textId="77777777" w:rsidR="00B67AE3" w:rsidRPr="00A141D2" w:rsidRDefault="00B67AE3" w:rsidP="00934387">
      <w:pPr>
        <w:pStyle w:val="subheading"/>
      </w:pPr>
      <w:r w:rsidRPr="00A141D2">
        <w:t>2.5 Compounding Impact Drivers</w:t>
      </w:r>
    </w:p>
    <w:p w14:paraId="3E02B910" w14:textId="18706DA1" w:rsidR="00B67AE3" w:rsidRPr="00A141D2" w:rsidRDefault="00B67AE3" w:rsidP="00B67AE3">
      <w:pPr>
        <w:rPr>
          <w:lang w:val="en-GB"/>
        </w:rPr>
      </w:pPr>
      <w:r w:rsidRPr="00A141D2">
        <w:rPr>
          <w:lang w:val="en-GB"/>
        </w:rPr>
        <w:t xml:space="preserve">The identified plausibilistic extreme discharge storylines and socio-economic developments can be integrated to find those regions most vulnerable to future climate impacts. Using the </w:t>
      </w:r>
      <w:r w:rsidR="00E61995" w:rsidRPr="00A141D2">
        <w:rPr>
          <w:lang w:val="en-GB"/>
        </w:rPr>
        <w:t xml:space="preserve">exposure to </w:t>
      </w:r>
      <w:r w:rsidRPr="00A141D2">
        <w:rPr>
          <w:lang w:val="en-GB"/>
        </w:rPr>
        <w:t>direct impact</w:t>
      </w:r>
      <w:r w:rsidR="00E61995" w:rsidRPr="00A141D2">
        <w:rPr>
          <w:lang w:val="en-GB"/>
        </w:rPr>
        <w:t xml:space="preserve">s </w:t>
      </w:r>
      <w:r w:rsidRPr="00A141D2">
        <w:rPr>
          <w:lang w:val="en-GB"/>
        </w:rPr>
        <w:t>and discharge change for each sub-catchment, a</w:t>
      </w:r>
      <w:r w:rsidR="00FA1A77" w:rsidRPr="00A141D2">
        <w:rPr>
          <w:lang w:val="en-GB"/>
        </w:rPr>
        <w:t xml:space="preserve"> climate</w:t>
      </w:r>
      <w:r w:rsidR="0025455B" w:rsidRPr="00A141D2">
        <w:rPr>
          <w:lang w:val="en-GB"/>
        </w:rPr>
        <w:t xml:space="preserve"> risk mapping</w:t>
      </w:r>
      <w:r w:rsidRPr="00A141D2">
        <w:rPr>
          <w:lang w:val="en-GB"/>
        </w:rPr>
        <w:t xml:space="preserve"> can be </w:t>
      </w:r>
      <w:r w:rsidR="0025455B" w:rsidRPr="00A141D2">
        <w:rPr>
          <w:lang w:val="en-GB"/>
        </w:rPr>
        <w:t>performed</w:t>
      </w:r>
      <w:r w:rsidRPr="00A141D2">
        <w:rPr>
          <w:lang w:val="en-GB"/>
        </w:rPr>
        <w:t>. Sub-catchments</w:t>
      </w:r>
      <w:r w:rsidR="0056435F" w:rsidRPr="00A141D2">
        <w:rPr>
          <w:lang w:val="en-GB"/>
        </w:rPr>
        <w:t>, where both impact potential and extreme discharge increases,</w:t>
      </w:r>
      <w:r w:rsidRPr="00A141D2">
        <w:rPr>
          <w:lang w:val="en-GB"/>
        </w:rPr>
        <w:t xml:space="preserve"> are highest are assigned the highest risk level. A comprehensive overview of potential future risks can be made by making combinations of the plausibilistic discharge storylines with socio-economic developments.</w:t>
      </w:r>
    </w:p>
    <w:p w14:paraId="09827D32" w14:textId="7BF673A6" w:rsidR="00B67AE3" w:rsidRPr="00A141D2" w:rsidRDefault="00B67AE3" w:rsidP="00B67AE3">
      <w:pPr>
        <w:rPr>
          <w:lang w:val="en-GB"/>
        </w:rPr>
      </w:pPr>
      <w:r w:rsidRPr="00A141D2">
        <w:rPr>
          <w:lang w:val="en-GB"/>
        </w:rPr>
        <w:t xml:space="preserve">Whereas global and continental scale risk assessments often couple RCPs and SSPs, we choose to </w:t>
      </w:r>
      <w:r w:rsidR="0013269D" w:rsidRPr="00A141D2">
        <w:rPr>
          <w:lang w:val="en-GB"/>
        </w:rPr>
        <w:t>let</w:t>
      </w:r>
      <w:r w:rsidRPr="00A141D2">
        <w:rPr>
          <w:lang w:val="en-GB"/>
        </w:rPr>
        <w:t xml:space="preserve"> climate and socio-economic scenarios </w:t>
      </w:r>
      <w:r w:rsidR="0023513F" w:rsidRPr="00A141D2">
        <w:rPr>
          <w:lang w:val="en-GB"/>
        </w:rPr>
        <w:t xml:space="preserve">vary independently of each other for </w:t>
      </w:r>
      <w:r w:rsidRPr="00A141D2">
        <w:rPr>
          <w:lang w:val="en-GB"/>
        </w:rPr>
        <w:t xml:space="preserve">this regional study. For large-scale risk assessments, coupling is intuitive since a specific global emissions level can only occur when there is a specific global socio-economic development </w:t>
      </w:r>
      <w:r w:rsidRPr="00A141D2">
        <w:rPr>
          <w:lang w:val="en-GB"/>
        </w:rPr>
        <w:fldChar w:fldCharType="begin"/>
      </w:r>
      <w:r w:rsidRPr="00A141D2">
        <w:rPr>
          <w:lang w:val="en-GB"/>
        </w:rPr>
        <w:instrText xml:space="preserve"> ADDIN ZOTERO_ITEM CSL_CITATION {"citationID":"7Ka2siVF","properties":{"formattedCitation":"(van Vuuren et al., 2014)","plainCitation":"(van Vuuren et al., 2014)","noteIndex":0},"citationItems":[{"id":2829,"uris":["http://zotero.org/users/11212985/items/KLDAFS2X"],"itemData":{"id":2829,"type":"article-journal","abstract":"This paper describes the scenario matrix architecture that underlies a framework for developing new scenarios for climate change research. The matrix architecture facilitates addressing key questions related to current climate research and policy-making: identifying the effectiveness of different adaptation and mitigation strategies (in terms of their costs, risks and other consequences) and the possible trade-offs and synergies. The two main axes of the matrix are: 1) the level of radiative forcing of the climate system (as characterised by the representative concentration pathways) and 2) a set of alternative plausible trajectories of future global development (described as shared socio-economic pathways). The matrix can be used to guide scenario development at different scales. It can also be used as a heuristic tool for classifying new and existing scenarios for assessment. Key elements of the architecture, in particular the shared socio-economic pathways and shared policy assumptions (devices for incorporating explicit mitigation and adaptation policies), are elaborated in other papers in this special issue.","container-title":"Climatic Change","DOI":"10.1007/s10584-013-0906-1","ISSN":"1573-1480","issue":"3","journalAbbreviation":"Climatic Change","language":"en","page":"373-386","source":"Springer Link","title":"A new scenario framework for Climate Change Research: scenario matrix architecture","title-short":"A new scenario framework for Climate Change Research","volume":"122","author":[{"family":"Vuuren","given":"Detlef P.","non-dropping-particle":"van"},{"family":"Kriegler","given":"Elmar"},{"family":"O’Neill","given":"Brian C."},{"family":"Ebi","given":"Kristie L."},{"family":"Riahi","given":"Keywan"},{"family":"Carter","given":"Timothy R."},{"family":"Edmonds","given":"Jae"},{"family":"Hallegatte","given":"Stephane"},{"family":"Kram","given":"Tom"},{"family":"Mathur","given":"Ritu"},{"family":"Winkler","given":"Harald"}],"issued":{"date-parts":[["2014",2,1]]},"citation-key":"vanvuurenNewScenarioFramework2014"}}],"schema":"https://github.com/citation-style-language/schema/raw/master/csl-citation.json"} </w:instrText>
      </w:r>
      <w:r w:rsidRPr="00A141D2">
        <w:rPr>
          <w:lang w:val="en-GB"/>
        </w:rPr>
        <w:fldChar w:fldCharType="separate"/>
      </w:r>
      <w:r w:rsidRPr="00A141D2">
        <w:rPr>
          <w:lang w:val="en-GB"/>
        </w:rPr>
        <w:t>(van Vuuren et al., 2014)</w:t>
      </w:r>
      <w:r w:rsidRPr="00A141D2">
        <w:rPr>
          <w:lang w:val="en-GB"/>
        </w:rPr>
        <w:fldChar w:fldCharType="end"/>
      </w:r>
      <w:r w:rsidRPr="00A141D2">
        <w:rPr>
          <w:lang w:val="en-GB"/>
        </w:rPr>
        <w:t>. However, local socio-economic developments can diverge substantially from global trends governing climate change processes, driven by local policies and economic conditions. In addition, our scenario framework does not scale with global greenhouse gas emissions (also read Section 2.2). Therefore, we allow regional climate and socio-economic condition</w:t>
      </w:r>
      <w:r w:rsidR="00827B82" w:rsidRPr="00A141D2">
        <w:rPr>
          <w:lang w:val="en-GB"/>
        </w:rPr>
        <w:t>s</w:t>
      </w:r>
      <w:r w:rsidRPr="00A141D2">
        <w:rPr>
          <w:lang w:val="en-GB"/>
        </w:rPr>
        <w:t xml:space="preserve"> to vary independently.</w:t>
      </w:r>
    </w:p>
    <w:p w14:paraId="207F91E9" w14:textId="5E60763D" w:rsidR="0025062B" w:rsidRPr="00A141D2" w:rsidRDefault="00B67AE3" w:rsidP="0025062B">
      <w:pPr>
        <w:rPr>
          <w:szCs w:val="24"/>
          <w:lang w:val="en-GB"/>
        </w:rPr>
      </w:pPr>
      <w:r w:rsidRPr="00A141D2">
        <w:rPr>
          <w:szCs w:val="24"/>
          <w:lang w:val="en-GB"/>
        </w:rPr>
        <w:t xml:space="preserve">As the complete combinatory set of storylines might overwhelm the decision-maker, we use the scenario-axis technique </w:t>
      </w:r>
      <w:r w:rsidRPr="00A141D2">
        <w:rPr>
          <w:szCs w:val="24"/>
          <w:lang w:val="en-GB"/>
        </w:rPr>
        <w:fldChar w:fldCharType="begin"/>
      </w:r>
      <w:r w:rsidRPr="00A141D2">
        <w:rPr>
          <w:szCs w:val="24"/>
          <w:lang w:val="en-GB"/>
        </w:rPr>
        <w:instrText xml:space="preserve"> ADDIN ZOTERO_ITEM CSL_CITATION {"citationID":"VZIHNHBa","properties":{"formattedCitation":"(van \\uc0\\u8217{}t Klooster &amp; van Asselt, 2006)","plainCitation":"(van ’t Klooster &amp; van Asselt, 2006)","noteIndex":0},"citationItems":[{"id":3020,"uris":["http://zotero.org/users/11212985/items/SS4FBDLR"],"itemData":{"id":3020,"type":"article-journal","abstract":"Studying the future seems a mission impossible, since both the appearance of the future and its underlying dynamics are unknown and unknowable. Nevertheless, the future is being studied by professional futurists. So, professional futurists seem to have found ways to structure ‘the unknown’. The question is, then, how do they do this? Over the years, professional futurists have developed several types of techniques and methods to structure thinking and discussing the future. The scenario-axes technique, which aims to align divergent perspectives on how the future may unfold, is one such structuring device. In the past 2 years, we did ethnographic research at the Netherlands Institute for Spatial Research (RPB) and followed professional futurists constructing and applying scenario axes in their scenario projects. Our observations illustrate how the scenario axes are practised by professional futurists and show that the scenario axes do not function as a unifying structure fostering alignment of different perspectives in the way that scenario theorists and practitioners often suggest. Instead, not one, but three different applications and interpretations of functional meaning of the scenario axes co-existed: the scenario axes as a ‘backbone’, as a ‘building scaffold’ and as ‘foundation’.","container-title":"Futures","DOI":"10.1016/j.futures.2005.04.019","ISSN":"0016-3287","issue":"1","journalAbbreviation":"Futures","page":"15-30","source":"ScienceDirect","title":"Practising the scenario-axes technique","volume":"38","author":[{"family":"Klooster","given":"Susan A.","non-dropping-particle":"van 't"},{"family":"Asselt","given":"Marjolein B. A.","non-dropping-particle":"van"}],"issued":{"date-parts":[["2006",2,1]]},"citation-key":"vantkloosterPractisingScenarioaxesTechnique2006"}}],"schema":"https://github.com/citation-style-language/schema/raw/master/csl-citation.json"} </w:instrText>
      </w:r>
      <w:r w:rsidRPr="00A141D2">
        <w:rPr>
          <w:szCs w:val="24"/>
          <w:lang w:val="en-GB"/>
        </w:rPr>
        <w:fldChar w:fldCharType="separate"/>
      </w:r>
      <w:r w:rsidRPr="00A141D2">
        <w:rPr>
          <w:lang w:val="en-GB"/>
        </w:rPr>
        <w:t>(van ’t Klooster &amp; van Asselt, 2006)</w:t>
      </w:r>
      <w:r w:rsidRPr="00A141D2">
        <w:rPr>
          <w:szCs w:val="24"/>
          <w:lang w:val="en-GB"/>
        </w:rPr>
        <w:fldChar w:fldCharType="end"/>
      </w:r>
      <w:r w:rsidRPr="00A141D2">
        <w:rPr>
          <w:szCs w:val="24"/>
          <w:lang w:val="en-GB"/>
        </w:rPr>
        <w:t>. We define climate uncertainty on one axis and socio-economic uncertainty on the other. Two climate storylines are integrated with two socio-economic scenarios. On each axis, the two most divergent scenarios are chosen to highlight the spread in outcomes.</w:t>
      </w:r>
    </w:p>
    <w:p w14:paraId="6EB77176" w14:textId="3A59C24B" w:rsidR="002F3B11" w:rsidRPr="00A141D2" w:rsidRDefault="003C22B8" w:rsidP="003855D5">
      <w:pPr>
        <w:pStyle w:val="Heading-Secondary"/>
        <w:rPr>
          <w:lang w:val="en-GB"/>
        </w:rPr>
      </w:pPr>
      <w:r w:rsidRPr="00A141D2">
        <w:rPr>
          <w:lang w:val="en-GB"/>
        </w:rPr>
        <w:lastRenderedPageBreak/>
        <w:t>3</w:t>
      </w:r>
      <w:r w:rsidR="002F3B11" w:rsidRPr="00A141D2">
        <w:rPr>
          <w:lang w:val="en-GB"/>
        </w:rPr>
        <w:t xml:space="preserve"> Results</w:t>
      </w:r>
    </w:p>
    <w:p w14:paraId="07089D35" w14:textId="1849264E" w:rsidR="00342BFD" w:rsidRPr="00A141D2" w:rsidRDefault="003C22B8" w:rsidP="00934387">
      <w:pPr>
        <w:pStyle w:val="subheading"/>
      </w:pPr>
      <w:r w:rsidRPr="00A141D2">
        <w:t>3</w:t>
      </w:r>
      <w:r w:rsidR="00342BFD" w:rsidRPr="00A141D2">
        <w:t>.1 Future</w:t>
      </w:r>
      <w:r w:rsidR="00A9697A" w:rsidRPr="00A141D2">
        <w:t xml:space="preserve"> </w:t>
      </w:r>
      <w:r w:rsidR="008917A9" w:rsidRPr="00A141D2">
        <w:t>discharge</w:t>
      </w:r>
      <w:r w:rsidR="00A9697A" w:rsidRPr="00A141D2">
        <w:t xml:space="preserve"> changes</w:t>
      </w:r>
    </w:p>
    <w:p w14:paraId="46538D39" w14:textId="12C01279" w:rsidR="00E375AB" w:rsidRPr="00A141D2" w:rsidRDefault="00E375AB" w:rsidP="00E375AB">
      <w:pPr>
        <w:rPr>
          <w:lang w:val="en-GB"/>
        </w:rPr>
      </w:pPr>
      <w:r w:rsidRPr="00A141D2">
        <w:rPr>
          <w:lang w:val="en-GB"/>
        </w:rPr>
        <w:t>After generating various weather time series of future climate scenarios and analysing the resulting conditional 1/100-year return period discharge changes across CIDs, we find six unique CIDs most relevant for the eight selected stations in the basin. Three of these are the average rainfall in winter, spring and summer, causing soil saturation to rise, leading to higher runoffs. Additionally, changes in the coefficient of variation (CV) of precipitation in spring and summer are found to be important. Increases in CV correspond to more intense rainfall patterns, intensifying floods. Lastly, temperature in winter is a driver of discharge change due to the influence on snow accumulation and melt. While sudden snowmelt is currently a large driver of floods, this effect decreases when average temperatures rise and snow volume is reduced. See Appendix A Figure A.2 for the effects of the individual drivers on discharges across stations.</w:t>
      </w:r>
    </w:p>
    <w:p w14:paraId="0E5D95C2" w14:textId="768FEA97" w:rsidR="00E375AB" w:rsidRPr="00A141D2" w:rsidRDefault="00E375AB" w:rsidP="00E375AB">
      <w:pPr>
        <w:rPr>
          <w:lang w:val="en-GB"/>
        </w:rPr>
      </w:pPr>
      <w:r w:rsidRPr="00A141D2">
        <w:rPr>
          <w:lang w:val="en-GB"/>
        </w:rPr>
        <w:t>GCM projections are clustered into four climate scenario storylines based on the associated regional response of the six selected CIDs. For each cluster, the multi-model average climate signal for the seasonal climate indicators is calculated. Figure 5 plots the storyline signals for seasonal precipitation, temperature, and precipitation CV changes. Larger changes in rainfall roughly coincide with larger temperature changes. Climate scenario storylines 1, 2, and 4 show similar trends with increasing monthly precipitation except in the summer months, where there is limited change. In contrast, storyline 3 shows less pronounced precipitation changes except for the summer months, which show a drying trend. For the CV values, we can see a large variability of potential changes in the full set of GCM signals.</w:t>
      </w:r>
    </w:p>
    <w:p w14:paraId="2D812998" w14:textId="77CA93D8" w:rsidR="004664D1" w:rsidRPr="00A141D2" w:rsidRDefault="00E375AB" w:rsidP="006532EE">
      <w:pPr>
        <w:rPr>
          <w:lang w:val="en-GB"/>
        </w:rPr>
      </w:pPr>
      <w:r w:rsidRPr="00A141D2">
        <w:rPr>
          <w:lang w:val="en-GB"/>
        </w:rPr>
        <w:t xml:space="preserve">Figure </w:t>
      </w:r>
      <w:r w:rsidR="0092078C" w:rsidRPr="00A141D2">
        <w:rPr>
          <w:lang w:val="en-GB"/>
        </w:rPr>
        <w:t>5 also</w:t>
      </w:r>
      <w:r w:rsidRPr="00A141D2">
        <w:rPr>
          <w:lang w:val="en-GB"/>
        </w:rPr>
        <w:t xml:space="preserve"> shows changes in the 100-year return period extreme discharge for the different climate storylines across the basin. Storyline 1 has the largest changes in the region. This is expected as the storyline is projected to have the most exacerbating changes of relevant CIDs</w:t>
      </w:r>
      <w:r w:rsidR="008E37D9" w:rsidRPr="00A141D2">
        <w:rPr>
          <w:lang w:val="en-GB"/>
        </w:rPr>
        <w:t xml:space="preserve">, such as </w:t>
      </w:r>
      <w:r w:rsidR="0000609E" w:rsidRPr="00A141D2">
        <w:rPr>
          <w:lang w:val="en-GB"/>
        </w:rPr>
        <w:t xml:space="preserve">high increases in precipitation amounts during the winter and </w:t>
      </w:r>
      <w:r w:rsidR="00A059AA" w:rsidRPr="00A141D2">
        <w:rPr>
          <w:lang w:val="en-GB"/>
        </w:rPr>
        <w:t>spring and increased rainfall variability in summer</w:t>
      </w:r>
      <w:r w:rsidRPr="00A141D2">
        <w:rPr>
          <w:lang w:val="en-GB"/>
        </w:rPr>
        <w:t xml:space="preserve">. Climate storylines 2 and 4 are similar to storyline 1 but with smaller changes. In climate storyline 3, many regions experience a decrease in extreme discharge. </w:t>
      </w:r>
      <w:r w:rsidR="00C215B4" w:rsidRPr="00A141D2">
        <w:rPr>
          <w:lang w:val="en-GB"/>
        </w:rPr>
        <w:t>This reduction is tied</w:t>
      </w:r>
      <w:r w:rsidRPr="00A141D2">
        <w:rPr>
          <w:lang w:val="en-GB"/>
        </w:rPr>
        <w:t xml:space="preserve"> to a combination of CIDs</w:t>
      </w:r>
      <w:r w:rsidR="00F734C3" w:rsidRPr="00A141D2">
        <w:rPr>
          <w:lang w:val="en-GB"/>
        </w:rPr>
        <w:t xml:space="preserve">, rainfall decrease in summer and </w:t>
      </w:r>
      <w:r w:rsidR="005F5143" w:rsidRPr="00A141D2">
        <w:rPr>
          <w:lang w:val="en-GB"/>
        </w:rPr>
        <w:t>high winter temperatures,</w:t>
      </w:r>
      <w:r w:rsidRPr="00A141D2">
        <w:rPr>
          <w:lang w:val="en-GB"/>
        </w:rPr>
        <w:t xml:space="preserve"> favouring lower flood peaks. Drying in the summer desaturates soils, with relatively limited recharge in the remaining months and low snow accumulation due to high temperatures. In general, a similar spatial pattern can be seen across the climate storylines, where the west of the basin is expected to have lower peak discharges in all climate storylines. These locations have smaller streams that are particularly sensitive to snow melt-induced extreme discharges. Since all climate storylines indicate a temperature increase, extreme snow melt occurs less frequently and less intensely.</w:t>
      </w:r>
    </w:p>
    <w:p w14:paraId="3078C780" w14:textId="23DD1446" w:rsidR="00881500" w:rsidRPr="00A141D2" w:rsidRDefault="00881500" w:rsidP="004664D1">
      <w:pPr>
        <w:keepNext/>
        <w:rPr>
          <w:sz w:val="22"/>
          <w:szCs w:val="18"/>
          <w:lang w:val="en-GB"/>
        </w:rPr>
      </w:pPr>
    </w:p>
    <w:p w14:paraId="14AB3B19" w14:textId="4642D683" w:rsidR="00344B2D" w:rsidRPr="00A141D2" w:rsidRDefault="00E6238F" w:rsidP="003C7D35">
      <w:pPr>
        <w:pStyle w:val="Caption"/>
        <w:rPr>
          <w:b/>
          <w:bCs/>
          <w:szCs w:val="20"/>
          <w:lang w:val="en-GB"/>
        </w:rPr>
      </w:pPr>
      <w:bookmarkStart w:id="2" w:name="_Ref178238310"/>
      <w:r w:rsidRPr="00A141D2">
        <w:rPr>
          <w:noProof/>
          <w:lang w:val="en-GB"/>
        </w:rPr>
        <w:drawing>
          <wp:inline distT="0" distB="0" distL="0" distR="0" wp14:anchorId="3659B076" wp14:editId="4D6DF4CF">
            <wp:extent cx="5100452" cy="5443206"/>
            <wp:effectExtent l="0" t="0" r="5080" b="5715"/>
            <wp:docPr id="99793043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30434" name="Picture 1" descr="A screenshot of a graph&#10;&#10;Description automatically generated"/>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122458" cy="5466691"/>
                    </a:xfrm>
                    <a:prstGeom prst="rect">
                      <a:avLst/>
                    </a:prstGeom>
                    <a:noFill/>
                    <a:ln>
                      <a:noFill/>
                    </a:ln>
                  </pic:spPr>
                </pic:pic>
              </a:graphicData>
            </a:graphic>
          </wp:inline>
        </w:drawing>
      </w:r>
    </w:p>
    <w:p w14:paraId="1BCEF66D" w14:textId="39952B86" w:rsidR="004546F8" w:rsidRPr="00A141D2" w:rsidRDefault="00881500" w:rsidP="00E6238F">
      <w:pPr>
        <w:pStyle w:val="Caption"/>
        <w:rPr>
          <w:szCs w:val="20"/>
          <w:lang w:val="en-GB"/>
        </w:rPr>
      </w:pPr>
      <w:r w:rsidRPr="00A141D2">
        <w:rPr>
          <w:b/>
          <w:bCs/>
          <w:szCs w:val="20"/>
          <w:lang w:val="en-GB"/>
        </w:rPr>
        <w:t>Figure</w:t>
      </w:r>
      <w:bookmarkEnd w:id="2"/>
      <w:r w:rsidR="00590EED" w:rsidRPr="00A141D2">
        <w:rPr>
          <w:b/>
          <w:bCs/>
          <w:szCs w:val="20"/>
          <w:lang w:val="en-GB"/>
        </w:rPr>
        <w:t xml:space="preserve"> </w:t>
      </w:r>
      <w:r w:rsidRPr="00A141D2">
        <w:rPr>
          <w:b/>
          <w:bCs/>
          <w:szCs w:val="20"/>
          <w:lang w:val="en-GB"/>
        </w:rPr>
        <w:t>5</w:t>
      </w:r>
      <w:r w:rsidRPr="00A141D2">
        <w:rPr>
          <w:szCs w:val="20"/>
          <w:lang w:val="en-GB"/>
        </w:rPr>
        <w:t xml:space="preserve">: </w:t>
      </w:r>
      <w:r w:rsidR="006532EE" w:rsidRPr="00A141D2">
        <w:rPr>
          <w:szCs w:val="20"/>
          <w:lang w:val="en-GB"/>
        </w:rPr>
        <w:t>The t</w:t>
      </w:r>
      <w:r w:rsidR="00C50A3C" w:rsidRPr="00A141D2">
        <w:rPr>
          <w:i w:val="0"/>
          <w:iCs w:val="0"/>
          <w:szCs w:val="20"/>
          <w:lang w:val="en-GB"/>
        </w:rPr>
        <w:t>op panel</w:t>
      </w:r>
      <w:r w:rsidR="006532EE" w:rsidRPr="00A141D2">
        <w:rPr>
          <w:szCs w:val="20"/>
          <w:lang w:val="en-GB"/>
        </w:rPr>
        <w:t xml:space="preserve"> shows</w:t>
      </w:r>
      <w:r w:rsidR="00C50A3C" w:rsidRPr="00A141D2">
        <w:rPr>
          <w:szCs w:val="20"/>
          <w:lang w:val="en-GB"/>
        </w:rPr>
        <w:t xml:space="preserve"> </w:t>
      </w:r>
      <w:r w:rsidR="006532EE" w:rsidRPr="00A141D2">
        <w:rPr>
          <w:szCs w:val="20"/>
          <w:lang w:val="en-GB"/>
        </w:rPr>
        <w:t>s</w:t>
      </w:r>
      <w:r w:rsidRPr="00A141D2">
        <w:rPr>
          <w:szCs w:val="20"/>
          <w:lang w:val="en-GB"/>
        </w:rPr>
        <w:t xml:space="preserve">easonal patterns of mean precipitation, temperature and precipitation variability for four climate </w:t>
      </w:r>
      <w:r w:rsidR="006532EE" w:rsidRPr="00A141D2">
        <w:rPr>
          <w:szCs w:val="20"/>
          <w:lang w:val="en-GB"/>
        </w:rPr>
        <w:t xml:space="preserve">scenario </w:t>
      </w:r>
      <w:r w:rsidRPr="00A141D2">
        <w:rPr>
          <w:szCs w:val="20"/>
          <w:lang w:val="en-GB"/>
        </w:rPr>
        <w:t>storylines derived to asse</w:t>
      </w:r>
      <w:r w:rsidR="00AC07FC" w:rsidRPr="00A141D2">
        <w:rPr>
          <w:szCs w:val="20"/>
          <w:lang w:val="en-GB"/>
        </w:rPr>
        <w:t>s</w:t>
      </w:r>
      <w:r w:rsidRPr="00A141D2">
        <w:rPr>
          <w:szCs w:val="20"/>
          <w:lang w:val="en-GB"/>
        </w:rPr>
        <w:t xml:space="preserve">s ranges in regional discharge response to global warming. </w:t>
      </w:r>
      <w:r w:rsidR="008F47B0" w:rsidRPr="00A141D2">
        <w:rPr>
          <w:szCs w:val="20"/>
          <w:lang w:val="en-GB"/>
        </w:rPr>
        <w:t>Thick c</w:t>
      </w:r>
      <w:r w:rsidRPr="00A141D2">
        <w:rPr>
          <w:szCs w:val="20"/>
          <w:lang w:val="en-GB"/>
        </w:rPr>
        <w:t>olo</w:t>
      </w:r>
      <w:r w:rsidR="00866B13" w:rsidRPr="00A141D2">
        <w:rPr>
          <w:szCs w:val="20"/>
          <w:lang w:val="en-GB"/>
        </w:rPr>
        <w:t>u</w:t>
      </w:r>
      <w:r w:rsidRPr="00A141D2">
        <w:rPr>
          <w:szCs w:val="20"/>
          <w:lang w:val="en-GB"/>
        </w:rPr>
        <w:t>red lines represent the storyline</w:t>
      </w:r>
      <w:r w:rsidR="008F47B0" w:rsidRPr="00A141D2">
        <w:rPr>
          <w:szCs w:val="20"/>
          <w:lang w:val="en-GB"/>
        </w:rPr>
        <w:t>’s</w:t>
      </w:r>
      <w:r w:rsidRPr="00A141D2">
        <w:rPr>
          <w:szCs w:val="20"/>
          <w:lang w:val="en-GB"/>
        </w:rPr>
        <w:t xml:space="preserve"> mean projections</w:t>
      </w:r>
      <w:r w:rsidR="008F47B0" w:rsidRPr="00A141D2">
        <w:rPr>
          <w:szCs w:val="20"/>
          <w:lang w:val="en-GB"/>
        </w:rPr>
        <w:t>.</w:t>
      </w:r>
      <w:r w:rsidRPr="00A141D2">
        <w:rPr>
          <w:szCs w:val="20"/>
          <w:lang w:val="en-GB"/>
        </w:rPr>
        <w:t xml:space="preserve"> </w:t>
      </w:r>
      <w:r w:rsidR="008F47B0" w:rsidRPr="00A141D2">
        <w:rPr>
          <w:szCs w:val="20"/>
          <w:lang w:val="en-GB"/>
        </w:rPr>
        <w:t>T</w:t>
      </w:r>
      <w:r w:rsidRPr="00A141D2">
        <w:rPr>
          <w:szCs w:val="20"/>
          <w:lang w:val="en-GB"/>
        </w:rPr>
        <w:t>hin lines represent individual model projections</w:t>
      </w:r>
      <w:r w:rsidR="008F47B0" w:rsidRPr="00A141D2">
        <w:rPr>
          <w:szCs w:val="20"/>
          <w:lang w:val="en-GB"/>
        </w:rPr>
        <w:t xml:space="preserve"> colour-coded according to the storyline cluster</w:t>
      </w:r>
      <w:r w:rsidRPr="00A141D2">
        <w:rPr>
          <w:szCs w:val="20"/>
          <w:lang w:val="en-GB"/>
        </w:rPr>
        <w:t>.</w:t>
      </w:r>
      <w:r w:rsidR="00E6238F" w:rsidRPr="00A141D2">
        <w:rPr>
          <w:szCs w:val="20"/>
          <w:lang w:val="en-GB"/>
        </w:rPr>
        <w:t xml:space="preserve"> In the legend</w:t>
      </w:r>
      <w:r w:rsidR="007C7E28" w:rsidRPr="00A141D2">
        <w:rPr>
          <w:szCs w:val="20"/>
          <w:lang w:val="en-GB"/>
        </w:rPr>
        <w:t>, ‘n=#’ signifies the number of GCMs</w:t>
      </w:r>
      <w:r w:rsidR="00543E10" w:rsidRPr="00A141D2">
        <w:rPr>
          <w:szCs w:val="20"/>
          <w:lang w:val="en-GB"/>
        </w:rPr>
        <w:t xml:space="preserve"> assigned to the cluster.</w:t>
      </w:r>
      <w:r w:rsidR="00F35F31" w:rsidRPr="00A141D2">
        <w:rPr>
          <w:szCs w:val="20"/>
          <w:lang w:val="en-GB"/>
        </w:rPr>
        <w:t xml:space="preserve"> </w:t>
      </w:r>
      <w:r w:rsidR="006532EE" w:rsidRPr="00A141D2">
        <w:rPr>
          <w:szCs w:val="20"/>
          <w:lang w:val="en-GB"/>
        </w:rPr>
        <w:t>The b</w:t>
      </w:r>
      <w:r w:rsidR="00C50A3C" w:rsidRPr="00A141D2">
        <w:rPr>
          <w:i w:val="0"/>
          <w:iCs w:val="0"/>
          <w:szCs w:val="20"/>
          <w:lang w:val="en-GB"/>
        </w:rPr>
        <w:t>ottom panel</w:t>
      </w:r>
      <w:r w:rsidR="006532EE" w:rsidRPr="00A141D2">
        <w:rPr>
          <w:szCs w:val="20"/>
          <w:lang w:val="en-GB"/>
        </w:rPr>
        <w:t xml:space="preserve"> shows</w:t>
      </w:r>
      <w:r w:rsidR="000A024D" w:rsidRPr="00A141D2">
        <w:rPr>
          <w:szCs w:val="20"/>
          <w:lang w:val="en-GB"/>
        </w:rPr>
        <w:t xml:space="preserve"> </w:t>
      </w:r>
      <w:r w:rsidR="006532EE" w:rsidRPr="00A141D2">
        <w:rPr>
          <w:szCs w:val="20"/>
          <w:lang w:val="en-GB"/>
        </w:rPr>
        <w:t>the c</w:t>
      </w:r>
      <w:r w:rsidR="000A024D" w:rsidRPr="00A141D2">
        <w:rPr>
          <w:szCs w:val="20"/>
          <w:lang w:val="en-GB"/>
        </w:rPr>
        <w:t>hange in 1/100-year probability discharge across the sub-catchments in the basin for each climate storyline.</w:t>
      </w:r>
    </w:p>
    <w:p w14:paraId="7E348295" w14:textId="5E55CC44" w:rsidR="00A9697A" w:rsidRPr="00A141D2" w:rsidRDefault="003C22B8" w:rsidP="00934387">
      <w:pPr>
        <w:pStyle w:val="subheading"/>
      </w:pPr>
      <w:r w:rsidRPr="00A141D2">
        <w:t>3</w:t>
      </w:r>
      <w:r w:rsidR="00A9697A" w:rsidRPr="00A141D2">
        <w:t xml:space="preserve">.2 </w:t>
      </w:r>
      <w:r w:rsidR="00B20FD2" w:rsidRPr="00A141D2">
        <w:t>socio</w:t>
      </w:r>
      <w:r w:rsidR="00985DCF" w:rsidRPr="00A141D2">
        <w:t>-</w:t>
      </w:r>
      <w:r w:rsidR="00B20FD2" w:rsidRPr="00A141D2">
        <w:t xml:space="preserve">economic trends </w:t>
      </w:r>
      <w:r w:rsidR="00667774" w:rsidRPr="00A141D2">
        <w:t>on exposure</w:t>
      </w:r>
    </w:p>
    <w:p w14:paraId="77E63143" w14:textId="6D4EAC57" w:rsidR="00FC2C70" w:rsidRPr="00A141D2" w:rsidRDefault="00FC2C70" w:rsidP="0092078C">
      <w:pPr>
        <w:spacing w:line="259" w:lineRule="auto"/>
        <w:rPr>
          <w:lang w:val="en-GB"/>
        </w:rPr>
      </w:pPr>
      <w:r w:rsidRPr="00A141D2">
        <w:rPr>
          <w:lang w:val="en-GB"/>
        </w:rPr>
        <w:t xml:space="preserve">The basin aggregated asset value in Latvian floodplains is shown in Figure </w:t>
      </w:r>
      <w:r w:rsidR="002B0550" w:rsidRPr="00A141D2">
        <w:rPr>
          <w:lang w:val="en-GB"/>
        </w:rPr>
        <w:t>6</w:t>
      </w:r>
      <w:r w:rsidRPr="00A141D2">
        <w:rPr>
          <w:lang w:val="en-GB"/>
        </w:rPr>
        <w:t xml:space="preserve"> for each socio-economic scenario</w:t>
      </w:r>
      <w:r w:rsidR="00FB15EF" w:rsidRPr="00A141D2">
        <w:rPr>
          <w:lang w:val="en-GB"/>
        </w:rPr>
        <w:t>,</w:t>
      </w:r>
      <w:r w:rsidRPr="00A141D2">
        <w:rPr>
          <w:lang w:val="en-GB"/>
        </w:rPr>
        <w:t xml:space="preserve"> together with a spatial distribution of asset values across the basin for selected divergent scenarios. An overall increase in </w:t>
      </w:r>
      <w:r w:rsidR="005B0C0D" w:rsidRPr="00A141D2">
        <w:rPr>
          <w:lang w:val="en-GB"/>
        </w:rPr>
        <w:t>building</w:t>
      </w:r>
      <w:r w:rsidR="00016BA6" w:rsidRPr="00A141D2">
        <w:rPr>
          <w:lang w:val="en-GB"/>
        </w:rPr>
        <w:t xml:space="preserve"> asset</w:t>
      </w:r>
      <w:r w:rsidR="005B0C0D" w:rsidRPr="00A141D2">
        <w:rPr>
          <w:lang w:val="en-GB"/>
        </w:rPr>
        <w:t xml:space="preserve"> reconstruction value</w:t>
      </w:r>
      <w:r w:rsidRPr="00A141D2">
        <w:rPr>
          <w:lang w:val="en-GB"/>
        </w:rPr>
        <w:t xml:space="preserve"> is found, especially in </w:t>
      </w:r>
      <w:r w:rsidR="00B03251" w:rsidRPr="00A141D2">
        <w:rPr>
          <w:lang w:val="en-GB"/>
        </w:rPr>
        <w:t xml:space="preserve">the </w:t>
      </w:r>
      <w:r w:rsidR="00D273C5" w:rsidRPr="00A141D2">
        <w:rPr>
          <w:lang w:val="en-GB"/>
        </w:rPr>
        <w:t xml:space="preserve">regional economic future </w:t>
      </w:r>
      <w:r w:rsidR="00B03251" w:rsidRPr="00A141D2">
        <w:rPr>
          <w:lang w:val="en-GB"/>
        </w:rPr>
        <w:t xml:space="preserve">inspired by </w:t>
      </w:r>
      <w:r w:rsidRPr="00A141D2">
        <w:rPr>
          <w:lang w:val="en-GB"/>
        </w:rPr>
        <w:t xml:space="preserve">SSP5, where </w:t>
      </w:r>
      <w:r w:rsidR="005B0C0D" w:rsidRPr="00A141D2">
        <w:rPr>
          <w:lang w:val="en-GB"/>
        </w:rPr>
        <w:t>values</w:t>
      </w:r>
      <w:r w:rsidRPr="00A141D2">
        <w:rPr>
          <w:lang w:val="en-GB"/>
        </w:rPr>
        <w:t xml:space="preserve"> rise to about 375% </w:t>
      </w:r>
      <w:r w:rsidRPr="00A141D2">
        <w:rPr>
          <w:lang w:val="en-GB"/>
        </w:rPr>
        <w:lastRenderedPageBreak/>
        <w:t xml:space="preserve">compared to the original. Also notable is the doubling of floodplain asset values compared to GPD in SSP5, indicating an increased value accumulation in </w:t>
      </w:r>
      <w:r w:rsidR="00B03251" w:rsidRPr="00A141D2">
        <w:rPr>
          <w:lang w:val="en-GB"/>
        </w:rPr>
        <w:t>floodplains</w:t>
      </w:r>
      <w:r w:rsidRPr="00A141D2">
        <w:rPr>
          <w:lang w:val="en-GB"/>
        </w:rPr>
        <w:t xml:space="preserve"> compared to the 2020 baseline. The largest collection of assets in the floodplain continues to coincide with present-day urban centres. These urban centres also develop faster than the surrounding rural areas.</w:t>
      </w:r>
    </w:p>
    <w:p w14:paraId="12D7200C" w14:textId="77777777" w:rsidR="00170E28" w:rsidRPr="00A141D2" w:rsidRDefault="00170E28" w:rsidP="00170E28">
      <w:pPr>
        <w:spacing w:line="259" w:lineRule="auto"/>
        <w:rPr>
          <w:sz w:val="22"/>
          <w:szCs w:val="22"/>
          <w:lang w:val="en-GB"/>
        </w:rPr>
      </w:pPr>
    </w:p>
    <w:p w14:paraId="090703BD" w14:textId="425B25BB" w:rsidR="006E073B" w:rsidRPr="00A141D2" w:rsidRDefault="00F750DE" w:rsidP="006E073B">
      <w:pPr>
        <w:jc w:val="center"/>
        <w:rPr>
          <w:sz w:val="22"/>
          <w:szCs w:val="18"/>
          <w:lang w:val="en-GB"/>
        </w:rPr>
      </w:pPr>
      <w:r w:rsidRPr="00A141D2">
        <w:rPr>
          <w:noProof/>
          <w:sz w:val="22"/>
          <w:szCs w:val="18"/>
          <w:lang w:val="en-GB"/>
        </w:rPr>
        <w:drawing>
          <wp:inline distT="0" distB="0" distL="0" distR="0" wp14:anchorId="3DC3502C" wp14:editId="19673964">
            <wp:extent cx="5943600" cy="5165557"/>
            <wp:effectExtent l="0" t="0" r="0" b="0"/>
            <wp:docPr id="728716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716537" name="Picture 1"/>
                    <pic:cNvPicPr/>
                  </pic:nvPicPr>
                  <pic:blipFill>
                    <a:blip r:embed="rId15"/>
                    <a:stretch>
                      <a:fillRect/>
                    </a:stretch>
                  </pic:blipFill>
                  <pic:spPr>
                    <a:xfrm>
                      <a:off x="0" y="0"/>
                      <a:ext cx="5943600" cy="5165557"/>
                    </a:xfrm>
                    <a:prstGeom prst="rect">
                      <a:avLst/>
                    </a:prstGeom>
                  </pic:spPr>
                </pic:pic>
              </a:graphicData>
            </a:graphic>
          </wp:inline>
        </w:drawing>
      </w:r>
    </w:p>
    <w:p w14:paraId="1262D7FD" w14:textId="77200924" w:rsidR="00B0765D" w:rsidRPr="00A141D2" w:rsidRDefault="00B0765D" w:rsidP="00B0765D">
      <w:pPr>
        <w:pStyle w:val="Caption"/>
        <w:rPr>
          <w:lang w:val="en-GB"/>
        </w:rPr>
      </w:pPr>
      <w:r w:rsidRPr="00A141D2">
        <w:rPr>
          <w:b/>
          <w:bCs/>
          <w:lang w:val="en-GB"/>
        </w:rPr>
        <w:t xml:space="preserve">Figure </w:t>
      </w:r>
      <w:r w:rsidR="002B0550" w:rsidRPr="00A141D2">
        <w:rPr>
          <w:b/>
          <w:bCs/>
          <w:lang w:val="en-GB"/>
        </w:rPr>
        <w:t>6</w:t>
      </w:r>
      <w:r w:rsidRPr="00A141D2">
        <w:rPr>
          <w:lang w:val="en-GB"/>
        </w:rPr>
        <w:t xml:space="preserve">: </w:t>
      </w:r>
      <w:r w:rsidR="003D5AC4" w:rsidRPr="00A141D2">
        <w:rPr>
          <w:lang w:val="en-GB"/>
        </w:rPr>
        <w:t>Building a</w:t>
      </w:r>
      <w:r w:rsidRPr="00A141D2">
        <w:rPr>
          <w:lang w:val="en-GB"/>
        </w:rPr>
        <w:t xml:space="preserve">sset values in floodplain across SSPs relative to base year 2020. The top left shows </w:t>
      </w:r>
      <w:r w:rsidR="004A1739" w:rsidRPr="00A141D2">
        <w:rPr>
          <w:lang w:val="en-GB"/>
        </w:rPr>
        <w:t xml:space="preserve">the development of </w:t>
      </w:r>
      <w:r w:rsidRPr="00A141D2">
        <w:rPr>
          <w:lang w:val="en-GB"/>
        </w:rPr>
        <w:t xml:space="preserve">accumulated values in Latvia compared to the base year. In brackets, the asset values in the floodplain are compared to </w:t>
      </w:r>
      <w:r w:rsidR="009E7A93" w:rsidRPr="00A141D2">
        <w:rPr>
          <w:lang w:val="en-GB"/>
        </w:rPr>
        <w:t>the</w:t>
      </w:r>
      <w:r w:rsidR="006532EE" w:rsidRPr="00A141D2">
        <w:rPr>
          <w:lang w:val="en-GB"/>
        </w:rPr>
        <w:t xml:space="preserve"> national</w:t>
      </w:r>
      <w:r w:rsidRPr="00A141D2">
        <w:rPr>
          <w:lang w:val="en-GB"/>
        </w:rPr>
        <w:t xml:space="preserve"> GDP</w:t>
      </w:r>
      <w:r w:rsidR="009E7A93" w:rsidRPr="00A141D2">
        <w:rPr>
          <w:lang w:val="en-GB"/>
        </w:rPr>
        <w:t xml:space="preserve"> in the </w:t>
      </w:r>
      <w:r w:rsidR="00EA18F2" w:rsidRPr="00A141D2">
        <w:rPr>
          <w:lang w:val="en-GB"/>
        </w:rPr>
        <w:t>SSP-inspired</w:t>
      </w:r>
      <w:r w:rsidR="009E7A93" w:rsidRPr="00A141D2">
        <w:rPr>
          <w:lang w:val="en-GB"/>
        </w:rPr>
        <w:t xml:space="preserve"> regional economic future</w:t>
      </w:r>
      <w:r w:rsidRPr="00A141D2">
        <w:rPr>
          <w:lang w:val="en-GB"/>
        </w:rPr>
        <w:t xml:space="preserve">. The remaining plots show the spatial development of </w:t>
      </w:r>
      <w:r w:rsidR="0055759D" w:rsidRPr="00A141D2">
        <w:rPr>
          <w:lang w:val="en-GB"/>
        </w:rPr>
        <w:t>building</w:t>
      </w:r>
      <w:r w:rsidRPr="00A141D2">
        <w:rPr>
          <w:lang w:val="en-GB"/>
        </w:rPr>
        <w:t xml:space="preserve"> asset value for the 2020 baseline and the most divergent future socio-economic scenarios.</w:t>
      </w:r>
    </w:p>
    <w:p w14:paraId="4CF64722" w14:textId="2EB775C0" w:rsidR="002E67E3" w:rsidRPr="00A141D2" w:rsidRDefault="002E67E3" w:rsidP="00934387">
      <w:pPr>
        <w:pStyle w:val="subheading"/>
        <w:rPr>
          <w:lang w:eastAsia="ja-JP"/>
        </w:rPr>
      </w:pPr>
      <w:r w:rsidRPr="00A141D2">
        <w:rPr>
          <w:lang w:eastAsia="ja-JP"/>
        </w:rPr>
        <w:t xml:space="preserve">3.3 </w:t>
      </w:r>
      <w:r w:rsidR="00A83445" w:rsidRPr="00A141D2">
        <w:rPr>
          <w:lang w:eastAsia="ja-JP"/>
        </w:rPr>
        <w:t>Cascading</w:t>
      </w:r>
      <w:r w:rsidRPr="00A141D2">
        <w:rPr>
          <w:lang w:eastAsia="ja-JP"/>
        </w:rPr>
        <w:t xml:space="preserve"> effects</w:t>
      </w:r>
    </w:p>
    <w:p w14:paraId="7EEF5507" w14:textId="23FFDC5D" w:rsidR="00A945D4" w:rsidRPr="00A141D2" w:rsidRDefault="00A945D4" w:rsidP="00A05DDE">
      <w:pPr>
        <w:spacing w:line="259" w:lineRule="auto"/>
        <w:rPr>
          <w:lang w:val="en-GB"/>
        </w:rPr>
      </w:pPr>
      <w:r w:rsidRPr="00A141D2">
        <w:rPr>
          <w:lang w:val="en-GB"/>
        </w:rPr>
        <w:t xml:space="preserve">For the various economic scenarios, the Latvian economy experiences varying sectoral stresses when confronted with a spike in construction demand, as seen in Figure </w:t>
      </w:r>
      <w:r w:rsidR="002B0550" w:rsidRPr="00A141D2">
        <w:rPr>
          <w:lang w:val="en-GB"/>
        </w:rPr>
        <w:t>7</w:t>
      </w:r>
      <w:r w:rsidRPr="00A141D2">
        <w:rPr>
          <w:lang w:val="en-GB"/>
        </w:rPr>
        <w:t xml:space="preserve">. </w:t>
      </w:r>
      <w:r w:rsidR="00A83445" w:rsidRPr="00A141D2">
        <w:rPr>
          <w:lang w:val="en-GB"/>
        </w:rPr>
        <w:t>Stress is defined</w:t>
      </w:r>
      <w:r w:rsidR="00A641EE" w:rsidRPr="00A141D2">
        <w:rPr>
          <w:lang w:val="en-GB"/>
        </w:rPr>
        <w:t xml:space="preserve"> here</w:t>
      </w:r>
      <w:r w:rsidR="00A83445" w:rsidRPr="00A141D2">
        <w:rPr>
          <w:lang w:val="en-GB"/>
        </w:rPr>
        <w:t xml:space="preserve"> </w:t>
      </w:r>
      <w:r w:rsidR="00A83445" w:rsidRPr="00A141D2">
        <w:rPr>
          <w:lang w:val="en-GB"/>
        </w:rPr>
        <w:lastRenderedPageBreak/>
        <w:t>as the</w:t>
      </w:r>
      <w:r w:rsidR="00DB6972" w:rsidRPr="00A141D2">
        <w:rPr>
          <w:lang w:val="en-GB"/>
        </w:rPr>
        <w:t xml:space="preserve"> flood-induced</w:t>
      </w:r>
      <w:r w:rsidR="00A83445" w:rsidRPr="00A141D2">
        <w:rPr>
          <w:lang w:val="en-GB"/>
        </w:rPr>
        <w:t xml:space="preserve"> </w:t>
      </w:r>
      <w:r w:rsidR="00D07813" w:rsidRPr="00A141D2">
        <w:rPr>
          <w:lang w:val="en-GB"/>
        </w:rPr>
        <w:t xml:space="preserve">demand compared to the pre-event demand. </w:t>
      </w:r>
      <w:r w:rsidRPr="00A141D2">
        <w:rPr>
          <w:lang w:val="en-GB"/>
        </w:rPr>
        <w:t xml:space="preserve">Sectors closely related to construction are under </w:t>
      </w:r>
      <w:r w:rsidR="00A65AD6" w:rsidRPr="00A141D2">
        <w:rPr>
          <w:lang w:val="en-GB"/>
        </w:rPr>
        <w:t>the highest stress in the baseline, and in most of these sectors,</w:t>
      </w:r>
      <w:r w:rsidRPr="00A141D2">
        <w:rPr>
          <w:lang w:val="en-GB"/>
        </w:rPr>
        <w:t xml:space="preserve"> stresses rise as asset values in the floodplains increase. At the same time, stresses are compounded by </w:t>
      </w:r>
      <w:r w:rsidR="00355F01" w:rsidRPr="00A141D2">
        <w:rPr>
          <w:lang w:val="en-GB"/>
        </w:rPr>
        <w:t xml:space="preserve">the </w:t>
      </w:r>
      <w:r w:rsidR="00E456F0" w:rsidRPr="00A141D2">
        <w:rPr>
          <w:lang w:val="en-GB"/>
        </w:rPr>
        <w:t>in Leimbach et al.</w:t>
      </w:r>
      <w:r w:rsidR="008441CB" w:rsidRPr="00A141D2">
        <w:rPr>
          <w:lang w:val="en-GB"/>
        </w:rPr>
        <w:t xml:space="preserve"> </w:t>
      </w:r>
      <w:r w:rsidR="008441CB" w:rsidRPr="00A141D2">
        <w:rPr>
          <w:lang w:val="en-GB"/>
        </w:rPr>
        <w:fldChar w:fldCharType="begin"/>
      </w:r>
      <w:r w:rsidR="008441CB" w:rsidRPr="00A141D2">
        <w:rPr>
          <w:lang w:val="en-GB"/>
        </w:rPr>
        <w:instrText xml:space="preserve"> ADDIN ZOTERO_ITEM CSL_CITATION {"citationID":"zY02Z35F","properties":{"formattedCitation":"(2023)","plainCitation":"(2023)","noteIndex":0},"citationItems":[{"id":2716,"uris":["http://zotero.org/users/11212985/items/NXLMLSH3"],"itemData":{"id":2716,"type":"article-journal","abstract":"Shared socio-economic pathway (SSP) scenarios represent a consistent set of socio-economic assumptions and a major input of Integrated Assessment Models on climate change. This study added a driver that is missing so far in the SSP framework - the evolution of the sectoral structure of economies. A newly constructed set of structural change scenarios is presented. These structural change scenarios represent a well-known characteristic that accompanies the process of economic growth and development - the reallocation of economic activity between the three major sectors agriculture, manufacturing and services. While we construct scenarios for the sectoral shares of labor, value-added and energy based on historical data and an econometric approach, which comes with some limitation, these scenarios are linked to the SSP GDP scenarios and hence implicitly capture properties of the narratives underlying them. We find that the pattern and speed of structural change differ under different SSPs. Moreover, while the scenarios for developing countries reproduce structural change patterns (e.g., hump-shape of manufacturing labor share), observed for developed countries in the past, the projected transformation, in particular the reduction of labor shares in the agricultural sector, represents a tremendous challenge.","container-title":"Futures","DOI":"10.1016/j.futures.2023.103156","ISSN":"0016-3287","journalAbbreviation":"Futures","page":"103156","source":"ScienceDirect","title":"Structural change scenarios within the SSP framework","volume":"150","author":[{"family":"Leimbach","given":"Marian"},{"family":"Marcolino","given":"Marcos"},{"family":"Koch","given":"Johannes"}],"issued":{"date-parts":[["2023",6,1]]},"citation-key":"leimbachStructuralChangeScenarios2023"},"label":"page","suppress-author":true}],"schema":"https://github.com/citation-style-language/schema/raw/master/csl-citation.json"} </w:instrText>
      </w:r>
      <w:r w:rsidR="008441CB" w:rsidRPr="00A141D2">
        <w:rPr>
          <w:lang w:val="en-GB"/>
        </w:rPr>
        <w:fldChar w:fldCharType="separate"/>
      </w:r>
      <w:r w:rsidR="008441CB" w:rsidRPr="00A141D2">
        <w:rPr>
          <w:lang w:val="en-GB"/>
        </w:rPr>
        <w:t>(2023)</w:t>
      </w:r>
      <w:r w:rsidR="008441CB" w:rsidRPr="00A141D2">
        <w:rPr>
          <w:lang w:val="en-GB"/>
        </w:rPr>
        <w:fldChar w:fldCharType="end"/>
      </w:r>
      <w:r w:rsidR="00E456F0" w:rsidRPr="00A141D2">
        <w:rPr>
          <w:lang w:val="en-GB"/>
        </w:rPr>
        <w:t xml:space="preserve"> </w:t>
      </w:r>
      <w:r w:rsidR="00B93EAD" w:rsidRPr="00A141D2">
        <w:rPr>
          <w:lang w:val="en-GB"/>
        </w:rPr>
        <w:t>projected</w:t>
      </w:r>
      <w:r w:rsidRPr="00A141D2">
        <w:rPr>
          <w:lang w:val="en-GB"/>
        </w:rPr>
        <w:t xml:space="preserve"> shrinking </w:t>
      </w:r>
      <w:r w:rsidR="00355F01" w:rsidRPr="00A141D2">
        <w:rPr>
          <w:lang w:val="en-GB"/>
        </w:rPr>
        <w:t>of</w:t>
      </w:r>
      <w:r w:rsidR="00B93EAD" w:rsidRPr="00A141D2">
        <w:rPr>
          <w:lang w:val="en-GB"/>
        </w:rPr>
        <w:t xml:space="preserve"> </w:t>
      </w:r>
      <w:r w:rsidRPr="00A141D2">
        <w:rPr>
          <w:lang w:val="en-GB"/>
        </w:rPr>
        <w:t>manufacturing sector</w:t>
      </w:r>
      <w:r w:rsidR="00B93EAD" w:rsidRPr="00A141D2">
        <w:rPr>
          <w:lang w:val="en-GB"/>
        </w:rPr>
        <w:t>s</w:t>
      </w:r>
      <w:r w:rsidR="00355F01" w:rsidRPr="00A141D2">
        <w:rPr>
          <w:lang w:val="en-GB"/>
        </w:rPr>
        <w:t xml:space="preserve"> across all</w:t>
      </w:r>
      <w:r w:rsidR="00E456F0" w:rsidRPr="00A141D2">
        <w:rPr>
          <w:lang w:val="en-GB"/>
        </w:rPr>
        <w:t xml:space="preserve"> </w:t>
      </w:r>
      <w:r w:rsidR="00CC242B" w:rsidRPr="00A141D2">
        <w:rPr>
          <w:lang w:val="en-GB"/>
        </w:rPr>
        <w:t>SSP-inspired regional economic futures</w:t>
      </w:r>
      <w:r w:rsidRPr="00A141D2">
        <w:rPr>
          <w:lang w:val="en-GB"/>
        </w:rPr>
        <w:t>,</w:t>
      </w:r>
      <w:r w:rsidR="008441CB" w:rsidRPr="00A141D2">
        <w:rPr>
          <w:lang w:val="en-GB"/>
        </w:rPr>
        <w:t xml:space="preserve"> </w:t>
      </w:r>
      <w:r w:rsidRPr="00A141D2">
        <w:rPr>
          <w:lang w:val="en-GB"/>
        </w:rPr>
        <w:t xml:space="preserve">leading to higher construction demand shocks and fewer resources to meet them. Stresses in the construction sector can rise from about 12% extra workload in the 2020 baseline situation to 36% in SSP5. Many other sectors can expect a doubling of their stress levels in SSP5 compared to levels in 2020. In their analysis, Koks &amp; Thissen (2016) assume a production absorption capacity of 10% relative to the pre-disaster production levels for industries. Using 10% as </w:t>
      </w:r>
      <w:r w:rsidR="00092D63" w:rsidRPr="00A141D2">
        <w:rPr>
          <w:lang w:val="en-GB"/>
        </w:rPr>
        <w:t xml:space="preserve">a </w:t>
      </w:r>
      <w:r w:rsidRPr="00A141D2">
        <w:rPr>
          <w:lang w:val="en-GB"/>
        </w:rPr>
        <w:t xml:space="preserve">stress threshold, our findings show that when the region is confronted with a 2020 €500 mln. equivalent reconstruction demand shock, sectors </w:t>
      </w:r>
      <w:r w:rsidR="00092D63" w:rsidRPr="00A141D2">
        <w:rPr>
          <w:lang w:val="en-GB"/>
        </w:rPr>
        <w:t xml:space="preserve">can </w:t>
      </w:r>
      <w:r w:rsidR="00101800" w:rsidRPr="00A141D2">
        <w:rPr>
          <w:lang w:val="en-GB"/>
        </w:rPr>
        <w:t xml:space="preserve">cross </w:t>
      </w:r>
      <w:r w:rsidR="0028302C" w:rsidRPr="00A141D2">
        <w:rPr>
          <w:lang w:val="en-GB"/>
        </w:rPr>
        <w:t xml:space="preserve">the </w:t>
      </w:r>
      <w:r w:rsidR="00101800" w:rsidRPr="00A141D2">
        <w:rPr>
          <w:lang w:val="en-GB"/>
        </w:rPr>
        <w:t xml:space="preserve">stress </w:t>
      </w:r>
      <w:r w:rsidR="0028302C" w:rsidRPr="00A141D2">
        <w:rPr>
          <w:lang w:val="en-GB"/>
        </w:rPr>
        <w:t>tipping point</w:t>
      </w:r>
      <w:r w:rsidR="000473A9" w:rsidRPr="00A141D2">
        <w:rPr>
          <w:lang w:val="en-GB"/>
        </w:rPr>
        <w:t xml:space="preserve"> for some regional economic futures</w:t>
      </w:r>
      <w:r w:rsidR="009E674D" w:rsidRPr="00A141D2">
        <w:rPr>
          <w:lang w:val="en-GB"/>
        </w:rPr>
        <w:t>,</w:t>
      </w:r>
      <w:r w:rsidR="000473A9" w:rsidRPr="00A141D2">
        <w:rPr>
          <w:lang w:val="en-GB"/>
        </w:rPr>
        <w:t xml:space="preserve"> meaning</w:t>
      </w:r>
      <w:r w:rsidR="0028302C" w:rsidRPr="00A141D2">
        <w:rPr>
          <w:lang w:val="en-GB"/>
        </w:rPr>
        <w:t xml:space="preserve"> </w:t>
      </w:r>
      <w:r w:rsidR="00BB34B2" w:rsidRPr="00A141D2">
        <w:rPr>
          <w:lang w:val="en-GB"/>
        </w:rPr>
        <w:t xml:space="preserve">the </w:t>
      </w:r>
      <w:r w:rsidR="00092D63" w:rsidRPr="00A141D2">
        <w:rPr>
          <w:lang w:val="en-GB"/>
        </w:rPr>
        <w:t xml:space="preserve">increased </w:t>
      </w:r>
      <w:r w:rsidR="00594F58" w:rsidRPr="00A141D2">
        <w:rPr>
          <w:lang w:val="en-GB"/>
        </w:rPr>
        <w:t>demand cannot be absorbed</w:t>
      </w:r>
      <w:r w:rsidRPr="00A141D2">
        <w:rPr>
          <w:lang w:val="en-GB"/>
        </w:rPr>
        <w:t>. Socio-economic developments can thus be a key driver in defining whether sectors will be overwhelmed and unable to meet additional demands induced by floods.</w:t>
      </w:r>
    </w:p>
    <w:p w14:paraId="6330C1BD" w14:textId="0779CA39" w:rsidR="000C13B5" w:rsidRPr="00A141D2" w:rsidRDefault="00A945D4" w:rsidP="002E67E3">
      <w:pPr>
        <w:rPr>
          <w:lang w:val="en-GB"/>
        </w:rPr>
      </w:pPr>
      <w:r w:rsidRPr="00A141D2">
        <w:rPr>
          <w:lang w:val="en-GB"/>
        </w:rPr>
        <w:t xml:space="preserve">Rankings of those sectors under the most stress also shift. For example, domestic architectural services experience increased stress, while imports by the same sector decrease in stress. As more service work is performed domestically, the demand and stresses shift from import sectors to domestic ones. Meanwhile, the stress ranking of construction imports decreases because this sector has grown significantly compared to its domestic counterpart; as more processes are offshored, import sectors become </w:t>
      </w:r>
      <w:r w:rsidR="00A74F52" w:rsidRPr="00A141D2">
        <w:rPr>
          <w:lang w:val="en-GB"/>
        </w:rPr>
        <w:t xml:space="preserve">more capable </w:t>
      </w:r>
      <w:r w:rsidR="00677EA1" w:rsidRPr="00A141D2">
        <w:rPr>
          <w:lang w:val="en-GB"/>
        </w:rPr>
        <w:t>of handling</w:t>
      </w:r>
      <w:r w:rsidRPr="00A141D2">
        <w:rPr>
          <w:lang w:val="en-GB"/>
        </w:rPr>
        <w:t xml:space="preserve"> the demand shock, increasing the capabilities of absorbing increased demands.</w:t>
      </w:r>
    </w:p>
    <w:p w14:paraId="664F98FD" w14:textId="77777777" w:rsidR="000C13B5" w:rsidRPr="00A141D2" w:rsidRDefault="000C13B5">
      <w:pPr>
        <w:spacing w:before="0" w:after="0"/>
        <w:jc w:val="left"/>
        <w:rPr>
          <w:lang w:val="en-GB"/>
        </w:rPr>
      </w:pPr>
      <w:r w:rsidRPr="00A141D2">
        <w:rPr>
          <w:lang w:val="en-GB"/>
        </w:rPr>
        <w:br w:type="page"/>
      </w:r>
    </w:p>
    <w:p w14:paraId="7F19C8E9" w14:textId="36EB854E" w:rsidR="002E67E3" w:rsidRPr="00A141D2" w:rsidRDefault="002E67E3" w:rsidP="00B24B61">
      <w:pPr>
        <w:jc w:val="center"/>
        <w:rPr>
          <w:sz w:val="22"/>
          <w:szCs w:val="18"/>
          <w:lang w:val="en-GB"/>
        </w:rPr>
      </w:pPr>
      <w:r w:rsidRPr="00A141D2">
        <w:rPr>
          <w:noProof/>
          <w:sz w:val="22"/>
          <w:szCs w:val="18"/>
          <w:lang w:val="en-GB"/>
        </w:rPr>
        <w:lastRenderedPageBreak/>
        <w:drawing>
          <wp:inline distT="0" distB="0" distL="0" distR="0" wp14:anchorId="7C3B297F" wp14:editId="4789432C">
            <wp:extent cx="5957098" cy="3383150"/>
            <wp:effectExtent l="0" t="0" r="5715" b="8255"/>
            <wp:docPr id="1891011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11133" name="Picture 1"/>
                    <pic:cNvPicPr>
                      <a:picLocks noChangeAspect="1" noChangeArrowheads="1"/>
                    </pic:cNvPicPr>
                  </pic:nvPicPr>
                  <pic:blipFill>
                    <a:blip r:embed="rId16"/>
                    <a:stretch>
                      <a:fillRect/>
                    </a:stretch>
                  </pic:blipFill>
                  <pic:spPr bwMode="auto">
                    <a:xfrm>
                      <a:off x="0" y="0"/>
                      <a:ext cx="5957098" cy="3383150"/>
                    </a:xfrm>
                    <a:prstGeom prst="rect">
                      <a:avLst/>
                    </a:prstGeom>
                    <a:noFill/>
                    <a:ln>
                      <a:noFill/>
                    </a:ln>
                  </pic:spPr>
                </pic:pic>
              </a:graphicData>
            </a:graphic>
          </wp:inline>
        </w:drawing>
      </w:r>
      <w:r w:rsidR="00E6572B" w:rsidRPr="00A141D2">
        <w:rPr>
          <w:rFonts w:eastAsiaTheme="minorHAnsi" w:cstheme="minorBidi"/>
          <w:b/>
          <w:bCs/>
          <w:i/>
          <w:iCs/>
          <w:color w:val="000000" w:themeColor="text1"/>
          <w:sz w:val="20"/>
          <w:szCs w:val="18"/>
          <w:lang w:val="en-GB" w:eastAsia="ja-JP"/>
        </w:rPr>
        <w:t xml:space="preserve">Figure </w:t>
      </w:r>
      <w:r w:rsidR="002B0550" w:rsidRPr="00A141D2">
        <w:rPr>
          <w:rFonts w:eastAsiaTheme="minorHAnsi" w:cstheme="minorBidi"/>
          <w:b/>
          <w:bCs/>
          <w:i/>
          <w:iCs/>
          <w:color w:val="000000" w:themeColor="text1"/>
          <w:sz w:val="20"/>
          <w:szCs w:val="18"/>
          <w:lang w:val="en-GB" w:eastAsia="ja-JP"/>
        </w:rPr>
        <w:t>7</w:t>
      </w:r>
      <w:r w:rsidR="00E6572B" w:rsidRPr="00A141D2">
        <w:rPr>
          <w:rFonts w:eastAsiaTheme="minorHAnsi" w:cstheme="minorBidi"/>
          <w:b/>
          <w:bCs/>
          <w:i/>
          <w:iCs/>
          <w:color w:val="000000" w:themeColor="text1"/>
          <w:sz w:val="20"/>
          <w:szCs w:val="18"/>
          <w:lang w:val="en-GB" w:eastAsia="ja-JP"/>
        </w:rPr>
        <w:t xml:space="preserve">: </w:t>
      </w:r>
      <w:r w:rsidR="00E6572B" w:rsidRPr="00A141D2">
        <w:rPr>
          <w:rFonts w:eastAsiaTheme="minorHAnsi" w:cstheme="minorBidi"/>
          <w:i/>
          <w:iCs/>
          <w:color w:val="000000" w:themeColor="text1"/>
          <w:sz w:val="20"/>
          <w:szCs w:val="18"/>
          <w:lang w:val="en-GB" w:eastAsia="ja-JP"/>
        </w:rPr>
        <w:t>Sectoral stress levels in response to a €500 million</w:t>
      </w:r>
      <w:r w:rsidR="00E23969" w:rsidRPr="00A141D2">
        <w:rPr>
          <w:rFonts w:eastAsiaTheme="minorHAnsi" w:cstheme="minorBidi"/>
          <w:i/>
          <w:iCs/>
          <w:color w:val="000000" w:themeColor="text1"/>
          <w:sz w:val="20"/>
          <w:szCs w:val="18"/>
          <w:lang w:val="en-GB" w:eastAsia="ja-JP"/>
        </w:rPr>
        <w:t xml:space="preserve"> (in 2020 and projected for each SSP)</w:t>
      </w:r>
      <w:r w:rsidR="00E6572B" w:rsidRPr="00A141D2">
        <w:rPr>
          <w:rFonts w:eastAsiaTheme="minorHAnsi" w:cstheme="minorBidi"/>
          <w:i/>
          <w:iCs/>
          <w:color w:val="000000" w:themeColor="text1"/>
          <w:sz w:val="20"/>
          <w:szCs w:val="18"/>
          <w:lang w:val="en-GB" w:eastAsia="ja-JP"/>
        </w:rPr>
        <w:t xml:space="preserve"> construction demand shock across different scenarios, displayed as a bar chart (left) and a bump plot (right). The bar chart illustrates the percentual stress levels</w:t>
      </w:r>
      <w:r w:rsidR="00D77DA3" w:rsidRPr="00A141D2">
        <w:rPr>
          <w:rFonts w:eastAsiaTheme="minorHAnsi" w:cstheme="minorBidi"/>
          <w:i/>
          <w:iCs/>
          <w:color w:val="000000" w:themeColor="text1"/>
          <w:sz w:val="20"/>
          <w:szCs w:val="18"/>
          <w:lang w:val="en-GB" w:eastAsia="ja-JP"/>
        </w:rPr>
        <w:t xml:space="preserve"> across scenarios</w:t>
      </w:r>
      <w:r w:rsidR="00E6572B" w:rsidRPr="00A141D2">
        <w:rPr>
          <w:rFonts w:eastAsiaTheme="minorHAnsi" w:cstheme="minorBidi"/>
          <w:i/>
          <w:iCs/>
          <w:color w:val="000000" w:themeColor="text1"/>
          <w:sz w:val="20"/>
          <w:szCs w:val="18"/>
          <w:lang w:val="en-GB" w:eastAsia="ja-JP"/>
        </w:rPr>
        <w:t xml:space="preserve"> in various sectors due to the shock. The bump plot ranks sectors by stress level across scenarios, with the vertical position of each line indicating each sector’s rank</w:t>
      </w:r>
      <w:r w:rsidR="00501367" w:rsidRPr="00A141D2">
        <w:rPr>
          <w:rFonts w:eastAsiaTheme="minorHAnsi" w:cstheme="minorBidi"/>
          <w:i/>
          <w:iCs/>
          <w:color w:val="000000" w:themeColor="text1"/>
          <w:sz w:val="20"/>
          <w:szCs w:val="18"/>
          <w:lang w:val="en-GB" w:eastAsia="ja-JP"/>
        </w:rPr>
        <w:t>, with the</w:t>
      </w:r>
      <w:r w:rsidR="00795F2C" w:rsidRPr="00A141D2">
        <w:rPr>
          <w:rFonts w:eastAsiaTheme="minorHAnsi" w:cstheme="minorBidi"/>
          <w:i/>
          <w:iCs/>
          <w:color w:val="000000" w:themeColor="text1"/>
          <w:sz w:val="20"/>
          <w:szCs w:val="18"/>
          <w:lang w:val="en-GB" w:eastAsia="ja-JP"/>
        </w:rPr>
        <w:t xml:space="preserve"> sector under</w:t>
      </w:r>
      <w:r w:rsidR="00501367" w:rsidRPr="00A141D2">
        <w:rPr>
          <w:rFonts w:eastAsiaTheme="minorHAnsi" w:cstheme="minorBidi"/>
          <w:i/>
          <w:iCs/>
          <w:color w:val="000000" w:themeColor="text1"/>
          <w:sz w:val="20"/>
          <w:szCs w:val="18"/>
          <w:lang w:val="en-GB" w:eastAsia="ja-JP"/>
        </w:rPr>
        <w:t xml:space="preserve"> </w:t>
      </w:r>
      <w:r w:rsidR="00D12070" w:rsidRPr="00A141D2">
        <w:rPr>
          <w:rFonts w:eastAsiaTheme="minorHAnsi" w:cstheme="minorBidi"/>
          <w:i/>
          <w:iCs/>
          <w:color w:val="000000" w:themeColor="text1"/>
          <w:sz w:val="20"/>
          <w:szCs w:val="18"/>
          <w:lang w:val="en-GB" w:eastAsia="ja-JP"/>
        </w:rPr>
        <w:t xml:space="preserve">the </w:t>
      </w:r>
      <w:r w:rsidR="00B07F2F" w:rsidRPr="00A141D2">
        <w:rPr>
          <w:rFonts w:eastAsiaTheme="minorHAnsi" w:cstheme="minorBidi"/>
          <w:i/>
          <w:iCs/>
          <w:color w:val="000000" w:themeColor="text1"/>
          <w:sz w:val="20"/>
          <w:szCs w:val="18"/>
          <w:lang w:val="en-GB" w:eastAsia="ja-JP"/>
        </w:rPr>
        <w:t xml:space="preserve">most stress </w:t>
      </w:r>
      <w:r w:rsidR="00795F2C" w:rsidRPr="00A141D2">
        <w:rPr>
          <w:rFonts w:eastAsiaTheme="minorHAnsi" w:cstheme="minorBidi"/>
          <w:i/>
          <w:iCs/>
          <w:color w:val="000000" w:themeColor="text1"/>
          <w:sz w:val="20"/>
          <w:szCs w:val="18"/>
          <w:lang w:val="en-GB" w:eastAsia="ja-JP"/>
        </w:rPr>
        <w:t>at the top</w:t>
      </w:r>
      <w:r w:rsidR="00E6572B" w:rsidRPr="00A141D2">
        <w:rPr>
          <w:rFonts w:eastAsiaTheme="minorHAnsi" w:cstheme="minorBidi"/>
          <w:i/>
          <w:iCs/>
          <w:color w:val="000000" w:themeColor="text1"/>
          <w:sz w:val="20"/>
          <w:szCs w:val="18"/>
          <w:lang w:val="en-GB" w:eastAsia="ja-JP"/>
        </w:rPr>
        <w:t>.</w:t>
      </w:r>
      <w:r w:rsidR="00795F2C" w:rsidRPr="00A141D2">
        <w:rPr>
          <w:rFonts w:eastAsiaTheme="minorHAnsi" w:cstheme="minorBidi"/>
          <w:i/>
          <w:iCs/>
          <w:color w:val="000000" w:themeColor="text1"/>
          <w:sz w:val="20"/>
          <w:szCs w:val="18"/>
          <w:lang w:val="en-GB" w:eastAsia="ja-JP"/>
        </w:rPr>
        <w:t xml:space="preserve"> Each line is colour</w:t>
      </w:r>
      <w:r w:rsidR="00D12070" w:rsidRPr="00A141D2">
        <w:rPr>
          <w:rFonts w:eastAsiaTheme="minorHAnsi" w:cstheme="minorBidi"/>
          <w:i/>
          <w:iCs/>
          <w:color w:val="000000" w:themeColor="text1"/>
          <w:sz w:val="20"/>
          <w:szCs w:val="18"/>
          <w:lang w:val="en-GB" w:eastAsia="ja-JP"/>
        </w:rPr>
        <w:t>-</w:t>
      </w:r>
      <w:r w:rsidR="00C93CD1" w:rsidRPr="00A141D2">
        <w:rPr>
          <w:rFonts w:eastAsiaTheme="minorHAnsi" w:cstheme="minorBidi"/>
          <w:i/>
          <w:iCs/>
          <w:color w:val="000000" w:themeColor="text1"/>
          <w:sz w:val="20"/>
          <w:szCs w:val="18"/>
          <w:lang w:val="en-GB" w:eastAsia="ja-JP"/>
        </w:rPr>
        <w:t>coded from most stress (dark red) to least stress (light red)</w:t>
      </w:r>
      <w:r w:rsidR="00795F2C" w:rsidRPr="00A141D2">
        <w:rPr>
          <w:rFonts w:eastAsiaTheme="minorHAnsi" w:cstheme="minorBidi"/>
          <w:i/>
          <w:iCs/>
          <w:color w:val="000000" w:themeColor="text1"/>
          <w:sz w:val="20"/>
          <w:szCs w:val="18"/>
          <w:lang w:val="en-GB" w:eastAsia="ja-JP"/>
        </w:rPr>
        <w:t xml:space="preserve"> according to </w:t>
      </w:r>
      <w:r w:rsidR="00C93CD1" w:rsidRPr="00A141D2">
        <w:rPr>
          <w:rFonts w:eastAsiaTheme="minorHAnsi" w:cstheme="minorBidi"/>
          <w:i/>
          <w:iCs/>
          <w:color w:val="000000" w:themeColor="text1"/>
          <w:sz w:val="20"/>
          <w:szCs w:val="18"/>
          <w:lang w:val="en-GB" w:eastAsia="ja-JP"/>
        </w:rPr>
        <w:t>2020 ranks.</w:t>
      </w:r>
      <w:r w:rsidR="00E6572B" w:rsidRPr="00A141D2">
        <w:rPr>
          <w:rFonts w:eastAsiaTheme="minorHAnsi" w:cstheme="minorBidi"/>
          <w:i/>
          <w:iCs/>
          <w:color w:val="000000" w:themeColor="text1"/>
          <w:sz w:val="20"/>
          <w:szCs w:val="18"/>
          <w:lang w:val="en-GB" w:eastAsia="ja-JP"/>
        </w:rPr>
        <w:t xml:space="preserve"> "DOM" </w:t>
      </w:r>
      <w:r w:rsidR="00D77DA3" w:rsidRPr="00A141D2">
        <w:rPr>
          <w:rFonts w:eastAsiaTheme="minorHAnsi" w:cstheme="minorBidi"/>
          <w:i/>
          <w:iCs/>
          <w:color w:val="000000" w:themeColor="text1"/>
          <w:sz w:val="20"/>
          <w:szCs w:val="18"/>
          <w:lang w:val="en-GB" w:eastAsia="ja-JP"/>
        </w:rPr>
        <w:t>indicates</w:t>
      </w:r>
      <w:r w:rsidR="00E6572B" w:rsidRPr="00A141D2">
        <w:rPr>
          <w:rFonts w:eastAsiaTheme="minorHAnsi" w:cstheme="minorBidi"/>
          <w:i/>
          <w:iCs/>
          <w:color w:val="000000" w:themeColor="text1"/>
          <w:sz w:val="20"/>
          <w:szCs w:val="18"/>
          <w:lang w:val="en-GB" w:eastAsia="ja-JP"/>
        </w:rPr>
        <w:t xml:space="preserve"> domestic sectors, while "IMP" represents imported products, highlighting the distinction between locally produced and imported sectoral impacts.</w:t>
      </w:r>
    </w:p>
    <w:p w14:paraId="2B2745DF" w14:textId="38CB2D1F" w:rsidR="009465D9" w:rsidRPr="00A141D2" w:rsidRDefault="000B0FE6" w:rsidP="00934387">
      <w:pPr>
        <w:pStyle w:val="subheading"/>
        <w:rPr>
          <w:lang w:eastAsia="ja-JP"/>
        </w:rPr>
      </w:pPr>
      <w:r w:rsidRPr="00A141D2">
        <w:rPr>
          <w:lang w:eastAsia="ja-JP"/>
        </w:rPr>
        <w:t xml:space="preserve">3.4 </w:t>
      </w:r>
      <w:r w:rsidR="008917A9" w:rsidRPr="00A141D2">
        <w:rPr>
          <w:lang w:eastAsia="ja-JP"/>
        </w:rPr>
        <w:t>Compounding effects</w:t>
      </w:r>
    </w:p>
    <w:p w14:paraId="5AF0FC84" w14:textId="6A190D91" w:rsidR="00812371" w:rsidRPr="00A141D2" w:rsidRDefault="00364416" w:rsidP="005B4F1D">
      <w:pPr>
        <w:rPr>
          <w:lang w:val="en-GB"/>
        </w:rPr>
      </w:pPr>
      <w:r w:rsidRPr="00A141D2">
        <w:rPr>
          <w:lang w:val="en-GB"/>
        </w:rPr>
        <w:t xml:space="preserve">Figure </w:t>
      </w:r>
      <w:r w:rsidR="00497670" w:rsidRPr="00A141D2">
        <w:rPr>
          <w:lang w:val="en-GB"/>
        </w:rPr>
        <w:t>8</w:t>
      </w:r>
      <w:r w:rsidRPr="00A141D2">
        <w:rPr>
          <w:lang w:val="en-GB"/>
        </w:rPr>
        <w:t xml:space="preserve"> integrates the most divergent socio-economic and climate storylines to detect patterns of compounding risk drivers. The underlying data are already shown in Figures </w:t>
      </w:r>
      <w:r w:rsidR="00497670" w:rsidRPr="00A141D2">
        <w:rPr>
          <w:lang w:val="en-GB"/>
        </w:rPr>
        <w:t>5</w:t>
      </w:r>
      <w:r w:rsidRPr="00A141D2">
        <w:rPr>
          <w:lang w:val="en-GB"/>
        </w:rPr>
        <w:t xml:space="preserve"> and 6.</w:t>
      </w:r>
      <w:r w:rsidR="00DE73A3" w:rsidRPr="00A141D2">
        <w:rPr>
          <w:lang w:val="en-GB"/>
        </w:rPr>
        <w:t xml:space="preserve"> </w:t>
      </w:r>
      <w:r w:rsidR="002E2152" w:rsidRPr="00A141D2">
        <w:rPr>
          <w:lang w:val="en-GB"/>
        </w:rPr>
        <w:t>Noticeably</w:t>
      </w:r>
      <w:r w:rsidR="00DE73A3" w:rsidRPr="00A141D2">
        <w:rPr>
          <w:lang w:val="en-GB"/>
        </w:rPr>
        <w:t xml:space="preserve">, </w:t>
      </w:r>
      <w:r w:rsidR="002E2152" w:rsidRPr="00A141D2">
        <w:rPr>
          <w:lang w:val="en-GB"/>
        </w:rPr>
        <w:t>entirely new high-risk areas emerge alongside risk intensification in already high-risk sub-catchments</w:t>
      </w:r>
      <w:r w:rsidR="00235B2D" w:rsidRPr="00A141D2">
        <w:rPr>
          <w:lang w:val="en-GB"/>
        </w:rPr>
        <w:t>. The scenario with the highest risk levels is a combination of Climate 1 and SSP 5. More asset values are situated in the floodplains</w:t>
      </w:r>
      <w:r w:rsidR="00E948E1" w:rsidRPr="00A141D2">
        <w:rPr>
          <w:lang w:val="en-GB"/>
        </w:rPr>
        <w:t xml:space="preserve"> due to high urban development</w:t>
      </w:r>
      <w:r w:rsidR="00235B2D" w:rsidRPr="00A141D2">
        <w:rPr>
          <w:lang w:val="en-GB"/>
        </w:rPr>
        <w:t xml:space="preserve">, while the wetting of the climate causes more antecedent soil moisture, leading to increased discharges. The lowest risk scenario is the combination of Climate 3 and SSP 3. In this case, the floodplain has low urban development, leading to fewer losses when an event occurs. Meanwhile, extreme discharges mainly </w:t>
      </w:r>
      <w:r w:rsidR="009738F6" w:rsidRPr="00A141D2">
        <w:rPr>
          <w:lang w:val="en-GB"/>
        </w:rPr>
        <w:t xml:space="preserve">decrease </w:t>
      </w:r>
      <w:r w:rsidR="00235B2D" w:rsidRPr="00A141D2">
        <w:rPr>
          <w:lang w:val="en-GB"/>
        </w:rPr>
        <w:t xml:space="preserve">throughout the region due to reduced antecedent soil moisture and snowpack volumes. </w:t>
      </w:r>
      <w:r w:rsidR="0096018F" w:rsidRPr="00A141D2">
        <w:rPr>
          <w:lang w:val="en-GB"/>
        </w:rPr>
        <w:t xml:space="preserve">Although there is </w:t>
      </w:r>
      <w:r w:rsidR="00DF5252" w:rsidRPr="00A141D2">
        <w:rPr>
          <w:lang w:val="en-GB"/>
        </w:rPr>
        <w:t xml:space="preserve">significant </w:t>
      </w:r>
      <w:r w:rsidR="0096018F" w:rsidRPr="00A141D2">
        <w:rPr>
          <w:lang w:val="en-GB"/>
        </w:rPr>
        <w:t>variability across scenarios, sub-catchments that always face relatively high-risk levels can be identified.</w:t>
      </w:r>
    </w:p>
    <w:p w14:paraId="27BF5239" w14:textId="36DCA181" w:rsidR="004D6519" w:rsidRPr="00A141D2" w:rsidRDefault="00CE546D" w:rsidP="004D6519">
      <w:pPr>
        <w:keepNext/>
        <w:jc w:val="center"/>
        <w:rPr>
          <w:sz w:val="22"/>
          <w:szCs w:val="18"/>
          <w:lang w:val="en-GB"/>
        </w:rPr>
      </w:pPr>
      <w:r w:rsidRPr="00A141D2">
        <w:rPr>
          <w:noProof/>
          <w:sz w:val="22"/>
          <w:szCs w:val="18"/>
          <w:lang w:val="en-GB"/>
        </w:rPr>
        <w:lastRenderedPageBreak/>
        <w:drawing>
          <wp:inline distT="0" distB="0" distL="0" distR="0" wp14:anchorId="492CB4FE" wp14:editId="10BFCAD0">
            <wp:extent cx="5943394" cy="5321300"/>
            <wp:effectExtent l="0" t="0" r="635" b="0"/>
            <wp:docPr id="2105087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87526" name="Picture 1"/>
                    <pic:cNvPicPr/>
                  </pic:nvPicPr>
                  <pic:blipFill>
                    <a:blip r:embed="rId17"/>
                    <a:stretch>
                      <a:fillRect/>
                    </a:stretch>
                  </pic:blipFill>
                  <pic:spPr>
                    <a:xfrm>
                      <a:off x="0" y="0"/>
                      <a:ext cx="5943394" cy="5321300"/>
                    </a:xfrm>
                    <a:prstGeom prst="rect">
                      <a:avLst/>
                    </a:prstGeom>
                  </pic:spPr>
                </pic:pic>
              </a:graphicData>
            </a:graphic>
          </wp:inline>
        </w:drawing>
      </w:r>
    </w:p>
    <w:p w14:paraId="67B0CD98" w14:textId="48D6C10C" w:rsidR="00737973" w:rsidRPr="00A141D2" w:rsidRDefault="004D6519" w:rsidP="0024321A">
      <w:pPr>
        <w:pStyle w:val="Caption"/>
        <w:rPr>
          <w:lang w:val="en-GB"/>
        </w:rPr>
      </w:pPr>
      <w:r w:rsidRPr="00A141D2">
        <w:rPr>
          <w:b/>
          <w:bCs/>
          <w:lang w:val="en-GB"/>
        </w:rPr>
        <w:t xml:space="preserve">Figure </w:t>
      </w:r>
      <w:r w:rsidR="00497670" w:rsidRPr="00A141D2">
        <w:rPr>
          <w:b/>
          <w:bCs/>
          <w:lang w:val="en-GB"/>
        </w:rPr>
        <w:t>8</w:t>
      </w:r>
      <w:r w:rsidRPr="00A141D2">
        <w:rPr>
          <w:b/>
          <w:bCs/>
          <w:lang w:val="en-GB"/>
        </w:rPr>
        <w:t>:</w:t>
      </w:r>
      <w:r w:rsidRPr="00A141D2">
        <w:rPr>
          <w:lang w:val="en-GB"/>
        </w:rPr>
        <w:t xml:space="preserve"> </w:t>
      </w:r>
      <w:r w:rsidR="00587955" w:rsidRPr="00A141D2">
        <w:rPr>
          <w:lang w:val="en-GB"/>
        </w:rPr>
        <w:t xml:space="preserve">Spatial </w:t>
      </w:r>
      <w:r w:rsidR="001444D4" w:rsidRPr="00A141D2">
        <w:rPr>
          <w:lang w:val="en-GB"/>
        </w:rPr>
        <w:t xml:space="preserve">reconstruction </w:t>
      </w:r>
      <w:r w:rsidR="008D286E" w:rsidRPr="00A141D2">
        <w:rPr>
          <w:lang w:val="en-GB"/>
        </w:rPr>
        <w:t>risk mapping</w:t>
      </w:r>
      <w:r w:rsidR="00085ADD" w:rsidRPr="00A141D2">
        <w:rPr>
          <w:lang w:val="en-GB"/>
        </w:rPr>
        <w:t xml:space="preserve"> under s</w:t>
      </w:r>
      <w:r w:rsidR="009065E7" w:rsidRPr="00A141D2">
        <w:rPr>
          <w:lang w:val="en-GB"/>
        </w:rPr>
        <w:t xml:space="preserve">elected storylines </w:t>
      </w:r>
      <w:r w:rsidR="00E711BD" w:rsidRPr="00A141D2">
        <w:rPr>
          <w:lang w:val="en-GB"/>
        </w:rPr>
        <w:t>highlighting</w:t>
      </w:r>
      <w:r w:rsidR="006F42B2" w:rsidRPr="00A141D2">
        <w:rPr>
          <w:lang w:val="en-GB"/>
        </w:rPr>
        <w:t xml:space="preserve"> </w:t>
      </w:r>
      <w:r w:rsidR="00F70EE2" w:rsidRPr="00A141D2">
        <w:rPr>
          <w:lang w:val="en-GB"/>
        </w:rPr>
        <w:t xml:space="preserve">potential </w:t>
      </w:r>
      <w:r w:rsidR="00CA57E9" w:rsidRPr="00A141D2">
        <w:rPr>
          <w:lang w:val="en-GB"/>
        </w:rPr>
        <w:t xml:space="preserve">regional </w:t>
      </w:r>
      <w:r w:rsidR="006F42B2" w:rsidRPr="00A141D2">
        <w:rPr>
          <w:lang w:val="en-GB"/>
        </w:rPr>
        <w:t>climate and socio-economic development</w:t>
      </w:r>
      <w:r w:rsidR="00E711BD" w:rsidRPr="00A141D2">
        <w:rPr>
          <w:lang w:val="en-GB"/>
        </w:rPr>
        <w:t>s</w:t>
      </w:r>
      <w:r w:rsidR="006F42B2" w:rsidRPr="00A141D2">
        <w:rPr>
          <w:lang w:val="en-GB"/>
        </w:rPr>
        <w:t>. Each map highlight</w:t>
      </w:r>
      <w:r w:rsidR="00D268BC" w:rsidRPr="00A141D2">
        <w:rPr>
          <w:lang w:val="en-GB"/>
        </w:rPr>
        <w:t>s</w:t>
      </w:r>
      <w:r w:rsidR="006F42B2" w:rsidRPr="00A141D2">
        <w:rPr>
          <w:lang w:val="en-GB"/>
        </w:rPr>
        <w:t xml:space="preserve"> </w:t>
      </w:r>
      <w:r w:rsidR="00393962" w:rsidRPr="00A141D2">
        <w:rPr>
          <w:lang w:val="en-GB"/>
        </w:rPr>
        <w:t>hazard changes and exposure levels using a bivariate colo</w:t>
      </w:r>
      <w:r w:rsidR="00F11BBE" w:rsidRPr="00A141D2">
        <w:rPr>
          <w:lang w:val="en-GB"/>
        </w:rPr>
        <w:t>u</w:t>
      </w:r>
      <w:r w:rsidR="00393962" w:rsidRPr="00A141D2">
        <w:rPr>
          <w:lang w:val="en-GB"/>
        </w:rPr>
        <w:t>r map</w:t>
      </w:r>
      <w:r w:rsidR="00D268BC" w:rsidRPr="00A141D2">
        <w:rPr>
          <w:lang w:val="en-GB"/>
        </w:rPr>
        <w:t>,</w:t>
      </w:r>
      <w:r w:rsidR="00393962" w:rsidRPr="00A141D2">
        <w:rPr>
          <w:lang w:val="en-GB"/>
        </w:rPr>
        <w:t xml:space="preserve"> </w:t>
      </w:r>
      <w:r w:rsidR="00D268BC" w:rsidRPr="00A141D2">
        <w:rPr>
          <w:lang w:val="en-GB"/>
        </w:rPr>
        <w:t>providing a measure of compounding risk drivers.</w:t>
      </w:r>
    </w:p>
    <w:p w14:paraId="1BE67D1D" w14:textId="5D922F14" w:rsidR="0066325B" w:rsidRPr="00A141D2" w:rsidRDefault="003C22B8" w:rsidP="003855D5">
      <w:pPr>
        <w:pStyle w:val="Heading-Secondary"/>
        <w:rPr>
          <w:lang w:val="en-GB"/>
        </w:rPr>
      </w:pPr>
      <w:r w:rsidRPr="00A141D2">
        <w:rPr>
          <w:lang w:val="en-GB"/>
        </w:rPr>
        <w:t>4 Discussion</w:t>
      </w:r>
    </w:p>
    <w:p w14:paraId="05F587DE" w14:textId="11597A1F" w:rsidR="0066325B" w:rsidRPr="00A141D2" w:rsidRDefault="00AA44EC" w:rsidP="00934387">
      <w:pPr>
        <w:pStyle w:val="subheading"/>
      </w:pPr>
      <w:r w:rsidRPr="00A141D2">
        <w:t xml:space="preserve">4.1 </w:t>
      </w:r>
      <w:r w:rsidR="0033308F" w:rsidRPr="00A141D2">
        <w:t xml:space="preserve">The consequences of </w:t>
      </w:r>
      <w:r w:rsidRPr="00A141D2">
        <w:t>uncertainties and the importance of exploration</w:t>
      </w:r>
    </w:p>
    <w:p w14:paraId="1945DE80" w14:textId="398C5C40" w:rsidR="0058238D" w:rsidRPr="00A141D2" w:rsidRDefault="0058238D" w:rsidP="0058238D">
      <w:pPr>
        <w:rPr>
          <w:lang w:val="en-GB"/>
        </w:rPr>
      </w:pPr>
      <w:r w:rsidRPr="00A141D2">
        <w:rPr>
          <w:lang w:val="en-GB"/>
        </w:rPr>
        <w:t xml:space="preserve">Results highlight the importance of using multiple climate storylines to robustly assess future discharge extremes. Flood patterns vary significantly across storylines; while some indicate 10% regional reductions in the 1-in-100 return period discharge, others indicate increases up to 20%. The storylines also reveal spatial heterogeneity: in some storylines and regions flood preconditions such as snow melt are dampened, whereas other preconditions (such as soil moisture volume) are amplified. </w:t>
      </w:r>
    </w:p>
    <w:p w14:paraId="28759BC2" w14:textId="06DD0EFA" w:rsidR="0058238D" w:rsidRPr="00A141D2" w:rsidRDefault="0058238D" w:rsidP="0058238D">
      <w:pPr>
        <w:rPr>
          <w:lang w:val="en-GB"/>
        </w:rPr>
      </w:pPr>
      <w:r w:rsidRPr="00A141D2">
        <w:rPr>
          <w:lang w:val="en-GB"/>
        </w:rPr>
        <w:lastRenderedPageBreak/>
        <w:t xml:space="preserve">Projected socio-economic changes can further compound these risks. As exposed asset values in the Latvian basin almost quadruple compared to the 2020 baseline, sectors are confronted with heightened flood-induced demand shocks related to reconstruction. Simultaneously, a trend of declining domestic manufacturing capacity doubles or triples most sectoral stresses relative to the 2020 baseline. In some scenarios, </w:t>
      </w:r>
      <w:r w:rsidR="005B509C" w:rsidRPr="00A141D2">
        <w:rPr>
          <w:lang w:val="en-GB"/>
        </w:rPr>
        <w:t>the</w:t>
      </w:r>
      <w:r w:rsidR="00D3082A" w:rsidRPr="00A141D2">
        <w:rPr>
          <w:lang w:val="en-GB"/>
        </w:rPr>
        <w:t xml:space="preserve"> demand</w:t>
      </w:r>
      <w:r w:rsidR="005B509C" w:rsidRPr="00A141D2">
        <w:rPr>
          <w:lang w:val="en-GB"/>
        </w:rPr>
        <w:t xml:space="preserve"> shock</w:t>
      </w:r>
      <w:r w:rsidR="00D3082A" w:rsidRPr="00A141D2">
        <w:rPr>
          <w:lang w:val="en-GB"/>
        </w:rPr>
        <w:t xml:space="preserve"> exceed</w:t>
      </w:r>
      <w:r w:rsidR="005B509C" w:rsidRPr="00A141D2">
        <w:rPr>
          <w:lang w:val="en-GB"/>
        </w:rPr>
        <w:t>s</w:t>
      </w:r>
      <w:r w:rsidR="00D3082A" w:rsidRPr="00A141D2">
        <w:rPr>
          <w:lang w:val="en-GB"/>
        </w:rPr>
        <w:t xml:space="preserve"> </w:t>
      </w:r>
      <w:r w:rsidRPr="00A141D2">
        <w:rPr>
          <w:lang w:val="en-GB"/>
        </w:rPr>
        <w:t xml:space="preserve">sectors their absorptive capacity, amplifying and prolonging indirect impacts </w:t>
      </w:r>
      <w:r w:rsidRPr="00A141D2">
        <w:rPr>
          <w:lang w:val="en-GB"/>
        </w:rPr>
        <w:fldChar w:fldCharType="begin"/>
      </w:r>
      <w:r w:rsidRPr="00A141D2">
        <w:rPr>
          <w:lang w:val="en-GB"/>
        </w:rPr>
        <w:instrText xml:space="preserve"> ADDIN ZOTERO_ITEM CSL_CITATION {"citationID":"bv8uyNjk","properties":{"formattedCitation":"(Hallegatte et al., 2024)","plainCitation":"(Hallegatte et al., 2024)","noteIndex":0},"citationItems":[{"id":2725,"uris":["http://zotero.org/users/11212985/items/339HR8FJ"],"itemData":{"id":2725,"type":"article-journal","abstract":"Natural disasters can cause substantial damage to public and private sector infrastructure capital, generating macroeconomic losses through complex channels. These shocks must be managed and accounted for with macrofiscal and monetary policy to minimize their welfare impacts. To support this process, we adapt the World Bank Macrostructural Model to capture key transmission channels of natural (geophysical or climate-related) disasters and their immediate aftermath. The macroeconomic model is extended on several fronts: (1) a distinction is made between infrastructure and noninfrastructure capital; (2) the production function is adjusted to account for short-term complementarity across capital assets; (3) the reconstruction process is modeled to consider postdisaster constraints, with distinct processes for the reconstruction of public and private assets. Destroyed infrastructure capital makes the remaining noninfrastructure capital less productive, which means that disasters reduce the total stock of capital and its marginal productivity. Upon applying the model to Türkiye data, the welfare impact of a disaster — proxied by the discounted consumption loss — is found to increase nonlinearly with direct asset losses. Macroeconomic responses reduce the welfare impact of minor disasters but magnify it when direct asset losses exceed the economy’s absorption capacity. The welfare impact also depends on the preexisting economic situation, the ability of the economy to reallocate resources toward reconstruction, and the response of monetary policy. Appropriate macrofiscal and monetary policies offer cost-effective opportunities to mitigate the welfare impact of major disasters.","container-title":"Economic Modelling","DOI":"10.1016/j.econmod.2024.106787","ISSN":"0264-9993","journalAbbreviation":"Economic Modelling","page":"106787","source":"ScienceDirect","title":"Modeling the macroeconomic consequences of natural disasters: Capital stock, recovery dynamics, and monetary policy","title-short":"Modeling the macroeconomic consequences of natural disasters","volume":"139","author":[{"family":"Hallegatte","given":"Stéphane"},{"family":"Jooste","given":"Charl"},{"family":"McIsaac","given":"Florent"}],"issued":{"date-parts":[["2024",10,1]]},"citation-key":"hallegatteModelingMacroeconomicConsequences2024"}}],"schema":"https://github.com/citation-style-language/schema/raw/master/csl-citation.json"} </w:instrText>
      </w:r>
      <w:r w:rsidRPr="00A141D2">
        <w:rPr>
          <w:lang w:val="en-GB"/>
        </w:rPr>
        <w:fldChar w:fldCharType="separate"/>
      </w:r>
      <w:r w:rsidRPr="00A141D2">
        <w:rPr>
          <w:lang w:val="en-GB"/>
        </w:rPr>
        <w:t>(Hallegatte et al., 2024)</w:t>
      </w:r>
      <w:r w:rsidRPr="00A141D2">
        <w:rPr>
          <w:lang w:val="en-GB"/>
        </w:rPr>
        <w:fldChar w:fldCharType="end"/>
      </w:r>
      <w:r w:rsidRPr="00A141D2">
        <w:rPr>
          <w:lang w:val="en-GB"/>
        </w:rPr>
        <w:t xml:space="preserve">. Furthermore, increased dependency on imports due to the offshoring of the manufacturing sectors may create new vulnerabilities to foreign supply disruptions </w:t>
      </w:r>
      <w:r w:rsidRPr="00A141D2">
        <w:rPr>
          <w:lang w:val="en-GB"/>
        </w:rPr>
        <w:fldChar w:fldCharType="begin"/>
      </w:r>
      <w:r w:rsidRPr="00A141D2">
        <w:rPr>
          <w:lang w:val="en-GB"/>
        </w:rPr>
        <w:instrText xml:space="preserve"> ADDIN ZOTERO_ITEM CSL_CITATION {"citationID":"5irI8MhB","properties":{"formattedCitation":"(Ercin et al., 2021)","plainCitation":"(Ercin et al., 2021)","noteIndex":0},"citationItems":[{"id":2951,"uris":["http://zotero.org/users/11212985/items/SN88KZKH"],"itemData":{"id":2951,"type":"article-journal","abstract":"European Union’s vulnerability to climate change stretches far beyond its borders because many of its economic sectors, such as meat and dairy, use raw materials sourced from far afield. Cross-border climate vulnerability is a relatively new subject in scientific literature, while of high societal and economic relevance. We quantify these climate vulnerabilities with a focus on drought risk and assessed them for 2030, 2050, 2085 and for RCP 2.6 and 6.0 climate scenarios. Here we find that more than 44% of the EU agricultural imports will become highly vulnerable to drought in future because of climate change. The drought severity in production locations of the agricultural imports in 2050 will increase by 35% compared to current levels of drought severity. This is particularly valid for imports that originate from Brazil, Indonesia, Vietnam, Thailand, India and Turkey. At the same time, imports from Russia, Nigeria, Peru, Ecuador, Uganda and Kenya will be less vulnerable in future. We also report that the climate vulnerabilities of meat and dairy, chocolate (cocoa), coffee, palm oil-based food and cosmetic sectors mainly lie outside the EU borders rather than inside.","container-title":"Nature Communications","DOI":"10.1038/s41467-021-23584-0","ISSN":"2041-1723","issue":"1","journalAbbreviation":"Nat Commun","language":"en","license":"2021 The Author(s)","note":"publisher: Nature Publishing Group","page":"3322","source":"www-nature-com.vu-nl.idm.oclc.org","title":"Cross-border climate vulnerabilities of the European Union to drought","volume":"12","author":[{"family":"Ercin","given":"Ertug"},{"family":"Veldkamp","given":"Ted I. E."},{"family":"Hunink","given":"Johannes"}],"issued":{"date-parts":[["2021",6,15]]},"citation-key":"ercinCrossborderClimateVulnerabilities2021"}}],"schema":"https://github.com/citation-style-language/schema/raw/master/csl-citation.json"} </w:instrText>
      </w:r>
      <w:r w:rsidRPr="00A141D2">
        <w:rPr>
          <w:lang w:val="en-GB"/>
        </w:rPr>
        <w:fldChar w:fldCharType="separate"/>
      </w:r>
      <w:r w:rsidRPr="00A141D2">
        <w:rPr>
          <w:lang w:val="en-GB"/>
        </w:rPr>
        <w:t>(Ercin et al., 2021)</w:t>
      </w:r>
      <w:r w:rsidRPr="00A141D2">
        <w:rPr>
          <w:lang w:val="en-GB"/>
        </w:rPr>
        <w:fldChar w:fldCharType="end"/>
      </w:r>
      <w:r w:rsidRPr="00A141D2">
        <w:rPr>
          <w:lang w:val="en-GB"/>
        </w:rPr>
        <w:t xml:space="preserve">. </w:t>
      </w:r>
      <w:r w:rsidR="002532C4" w:rsidRPr="00A141D2">
        <w:rPr>
          <w:lang w:val="en-GB"/>
        </w:rPr>
        <w:t>Conversely, t</w:t>
      </w:r>
      <w:r w:rsidRPr="00A141D2">
        <w:rPr>
          <w:lang w:val="en-GB"/>
        </w:rPr>
        <w:t xml:space="preserve">his may lead to enhanced regional resilience through import diversification </w:t>
      </w:r>
      <w:r w:rsidRPr="00A141D2">
        <w:rPr>
          <w:lang w:val="en-GB"/>
        </w:rPr>
        <w:fldChar w:fldCharType="begin"/>
      </w:r>
      <w:r w:rsidRPr="00A141D2">
        <w:rPr>
          <w:lang w:val="en-GB"/>
        </w:rPr>
        <w:instrText xml:space="preserve"> ADDIN ZOTERO_ITEM CSL_CITATION {"citationID":"E2FT0xrP","properties":{"formattedCitation":"(Willner et al., 2018)","plainCitation":"(Willner et al., 2018)","noteIndex":0},"citationItems":[{"id":2841,"uris":["http://zotero.org/users/11212985/items/PZ9MM7V3"],"itemData":{"id":2841,"type":"article-journal","abstract":"Increasing Earth’s surface air temperature yields an intensification of its hydrological cycle1. As a consequence, the risk of river floods will increase regionally within the next two decades due to the atmospheric warming caused by past anthropogenic greenhouse gas emissions2–4. The direct economic losses5,6 caused by these floods can yield regionally heterogeneous losses and gains by propagation within the global trade and supply network7. Here we show that, in the absence of large-scale structural adaptation, the total economic losses due to fluvial floods will increase in the next 20 years globally by 17% despite partial compensation through market adjustment within the global trade network. China will suffer the strongest direct losses, with an increase of 82%. The United States is mostly affected indirectly through its trade relations. By contrast to the United States, recent intensification of the trade relations with China leaves the European Union better prepared for the import of production losses in the future.","container-title":"Nature Climate Change","DOI":"10.1038/s41558-018-0173-2","ISSN":"1758-6798","issue":"7","journalAbbreviation":"Nature Clim Change","language":"en","license":"2018 The Author(s)","note":"publisher: Nature Publishing Group","page":"594-598","source":"www.nature.com","title":"Global economic response to river floods","volume":"8","author":[{"family":"Willner","given":"Sven Norman"},{"family":"Otto","given":"Christian"},{"family":"Levermann","given":"Anders"}],"issued":{"date-parts":[["2018",7]]},"citation-key":"willnerGlobalEconomicResponse2018"}}],"schema":"https://github.com/citation-style-language/schema/raw/master/csl-citation.json"} </w:instrText>
      </w:r>
      <w:r w:rsidRPr="00A141D2">
        <w:rPr>
          <w:lang w:val="en-GB"/>
        </w:rPr>
        <w:fldChar w:fldCharType="separate"/>
      </w:r>
      <w:r w:rsidRPr="00A141D2">
        <w:rPr>
          <w:lang w:val="en-GB"/>
        </w:rPr>
        <w:t>(Willner et al., 2018)</w:t>
      </w:r>
      <w:r w:rsidRPr="00A141D2">
        <w:rPr>
          <w:lang w:val="en-GB"/>
        </w:rPr>
        <w:fldChar w:fldCharType="end"/>
      </w:r>
      <w:r w:rsidRPr="00A141D2">
        <w:rPr>
          <w:lang w:val="en-GB"/>
        </w:rPr>
        <w:t xml:space="preserve">. </w:t>
      </w:r>
    </w:p>
    <w:p w14:paraId="42E5315A" w14:textId="3EB144CE" w:rsidR="0058238D" w:rsidRPr="00A141D2" w:rsidRDefault="00040889" w:rsidP="0058238D">
      <w:pPr>
        <w:rPr>
          <w:szCs w:val="22"/>
          <w:lang w:val="en-GB"/>
        </w:rPr>
      </w:pPr>
      <w:r w:rsidRPr="00A141D2">
        <w:rPr>
          <w:szCs w:val="22"/>
          <w:lang w:val="en-GB"/>
        </w:rPr>
        <w:t>Th</w:t>
      </w:r>
      <w:r w:rsidR="0058238D" w:rsidRPr="00A141D2">
        <w:rPr>
          <w:szCs w:val="22"/>
          <w:lang w:val="en-GB"/>
        </w:rPr>
        <w:t>is methodology is designed to create a diverse yet analytically affordable set of risk scenarios. To do so, certain choices were made that limited the uncertainty exploration.</w:t>
      </w:r>
      <w:r w:rsidR="007816A7" w:rsidRPr="00A141D2">
        <w:rPr>
          <w:szCs w:val="22"/>
          <w:lang w:val="en-GB"/>
        </w:rPr>
        <w:t xml:space="preserve"> </w:t>
      </w:r>
      <w:r w:rsidR="00C60602" w:rsidRPr="00A141D2">
        <w:rPr>
          <w:szCs w:val="22"/>
          <w:lang w:val="en-GB"/>
        </w:rPr>
        <w:t>While</w:t>
      </w:r>
      <w:r w:rsidR="00DB3A52" w:rsidRPr="00A141D2">
        <w:rPr>
          <w:szCs w:val="22"/>
          <w:lang w:val="en-GB"/>
        </w:rPr>
        <w:t xml:space="preserve"> our</w:t>
      </w:r>
      <w:r w:rsidR="00781C0C" w:rsidRPr="00A141D2">
        <w:rPr>
          <w:szCs w:val="22"/>
          <w:lang w:val="en-GB"/>
        </w:rPr>
        <w:t xml:space="preserve"> climate storylines</w:t>
      </w:r>
      <w:r w:rsidR="00DB3A52" w:rsidRPr="00A141D2">
        <w:rPr>
          <w:szCs w:val="22"/>
          <w:lang w:val="en-GB"/>
        </w:rPr>
        <w:t xml:space="preserve"> </w:t>
      </w:r>
      <w:r w:rsidR="00781C0C" w:rsidRPr="00A141D2">
        <w:rPr>
          <w:szCs w:val="22"/>
          <w:lang w:val="en-GB"/>
        </w:rPr>
        <w:t xml:space="preserve">selection </w:t>
      </w:r>
      <w:r w:rsidR="00DB3A52" w:rsidRPr="00A141D2">
        <w:rPr>
          <w:szCs w:val="22"/>
          <w:lang w:val="en-GB"/>
        </w:rPr>
        <w:t xml:space="preserve">method </w:t>
      </w:r>
      <w:r w:rsidR="006726E9" w:rsidRPr="00A141D2">
        <w:rPr>
          <w:szCs w:val="22"/>
          <w:lang w:val="en-GB"/>
        </w:rPr>
        <w:t>enhances</w:t>
      </w:r>
      <w:r w:rsidR="00DB3A52" w:rsidRPr="00A141D2">
        <w:rPr>
          <w:szCs w:val="22"/>
          <w:lang w:val="en-GB"/>
        </w:rPr>
        <w:t xml:space="preserve"> impact exploration </w:t>
      </w:r>
      <w:r w:rsidR="006726E9" w:rsidRPr="00A141D2">
        <w:rPr>
          <w:szCs w:val="22"/>
          <w:lang w:val="en-GB"/>
        </w:rPr>
        <w:t>compared to</w:t>
      </w:r>
      <w:r w:rsidR="00DB3A52" w:rsidRPr="00A141D2">
        <w:rPr>
          <w:szCs w:val="22"/>
          <w:lang w:val="en-GB"/>
        </w:rPr>
        <w:t xml:space="preserve"> emission scenario-based clustering of GCM projections </w:t>
      </w:r>
      <w:r w:rsidR="00DB3A52" w:rsidRPr="00A141D2">
        <w:rPr>
          <w:szCs w:val="22"/>
          <w:lang w:val="en-GB"/>
        </w:rPr>
        <w:fldChar w:fldCharType="begin"/>
      </w:r>
      <w:r w:rsidR="003730AA">
        <w:rPr>
          <w:szCs w:val="22"/>
          <w:lang w:val="en-GB"/>
        </w:rPr>
        <w:instrText xml:space="preserve"> ADDIN ZOTERO_ITEM CSL_CITATION {"citationID":"w4Kfg8oR","properties":{"formattedCitation":"(Buskop et al., 2024)","plainCitation":"(Buskop et al., 2024)","noteIndex":0},"citationItems":[{"id":3231,"uris":["http://zotero.org/users/11212985/items/CX67MHDG","http://zotero.org/users/11212985/items/9J33P84S"],"itemData":{"id":3231,"type":"article-journal","abstract":"Climate impacts will continue to evolve over the coming decades, requiring regions worldwide to obtain actionable climate information. Global Climate Models (GCMs) are often used to explore future conditions, but the variability of projections among GCMs complicates regional climate risk assessments. This variability in future projections is only partly explained by the often-used emission scenarios. Model uncertainty and internal variability play a major role in the outcomes of projected meteorological conditions, especially for local precipitation patterns. As precipitation is a key driver for hazards such as floods, droughts, and wildfires, local assessment of resulting risks using emission-based multi-model means probably leads to limited impact exploration. This study proposes a method to select more impact-relevant scenarios by determining regionally relevant climatic impact drivers and clustering GCMs on their projected changes in these drivers. We quantify the effectiveness of our approach by comparing future impacts covered by multi-model means per emission scenario with our approach, expressed as an “exploratory amplification” factor. We illustrate the method for flood risk in the Latvian Lielupe basin and find the novel method has an exploratory amplification up to a factor of eight for the mid-century. We conclude that our method results in locally relevant climate scenarios that significantly improve regional exploration of future climate impacts. Such scenarios provide targeted risk information that can be used in adaptation planning.","container-title":"Environmental Research: Climate","DOI":"10.1088/2752-5295/ad9f8f","ISSN":"2752-5295","journalAbbreviation":"Environ. Res.: Climate","language":"en","source":"Institute of Physics","title":"Amplifying exploration of regional climate risks: clustering future projections on regionally relevant impact drivers instead of emission scenarios","title-short":"Amplifying exploration of regional climate risks","URL":"http://iopscience.iop.org/article/10.1088/2752-5295/ad9f8f","author":[{"family":"Buskop","given":"Franciscus Eduard"},{"family":"Sperna-Weiland","given":"Frederiek"},{"family":"Hurk","given":"Bart","non-dropping-particle":"van den"}],"accessed":{"date-parts":[["2024",12,17]]},"issued":{"date-parts":[["2024"]]},"citation-key":"buskopAmplifyingExplorationRegional2024"}}],"schema":"https://github.com/citation-style-language/schema/raw/master/csl-citation.json"} </w:instrText>
      </w:r>
      <w:r w:rsidR="00DB3A52" w:rsidRPr="00A141D2">
        <w:rPr>
          <w:szCs w:val="22"/>
          <w:lang w:val="en-GB"/>
        </w:rPr>
        <w:fldChar w:fldCharType="separate"/>
      </w:r>
      <w:r w:rsidR="00DB3A52" w:rsidRPr="00A141D2">
        <w:rPr>
          <w:rFonts w:ascii="Calibri" w:hAnsi="Calibri" w:cs="Calibri"/>
          <w:lang w:val="en-GB"/>
        </w:rPr>
        <w:t>(Buskop et al., 2024)</w:t>
      </w:r>
      <w:r w:rsidR="00DB3A52" w:rsidRPr="00A141D2">
        <w:rPr>
          <w:szCs w:val="22"/>
          <w:lang w:val="en-GB"/>
        </w:rPr>
        <w:fldChar w:fldCharType="end"/>
      </w:r>
      <w:r w:rsidR="00DB3A52" w:rsidRPr="00A141D2">
        <w:rPr>
          <w:szCs w:val="22"/>
          <w:lang w:val="en-GB"/>
        </w:rPr>
        <w:t>, it</w:t>
      </w:r>
      <w:r w:rsidR="007816A7" w:rsidRPr="00A141D2">
        <w:rPr>
          <w:szCs w:val="22"/>
          <w:lang w:val="en-GB"/>
        </w:rPr>
        <w:t xml:space="preserve"> reduce</w:t>
      </w:r>
      <w:r w:rsidR="00781C0C" w:rsidRPr="00A141D2">
        <w:rPr>
          <w:szCs w:val="22"/>
          <w:lang w:val="en-GB"/>
        </w:rPr>
        <w:t>s</w:t>
      </w:r>
      <w:r w:rsidR="007816A7" w:rsidRPr="00A141D2">
        <w:rPr>
          <w:szCs w:val="22"/>
          <w:lang w:val="en-GB"/>
        </w:rPr>
        <w:t xml:space="preserve"> the explored </w:t>
      </w:r>
      <w:r w:rsidR="00781C0C" w:rsidRPr="00A141D2">
        <w:rPr>
          <w:szCs w:val="22"/>
          <w:lang w:val="en-GB"/>
        </w:rPr>
        <w:t>impact range</w:t>
      </w:r>
      <w:r w:rsidR="007816A7" w:rsidRPr="00A141D2">
        <w:rPr>
          <w:szCs w:val="22"/>
          <w:lang w:val="en-GB"/>
        </w:rPr>
        <w:t xml:space="preserve"> relative to the full ensemble of model outputs. </w:t>
      </w:r>
      <w:r w:rsidR="0058238D" w:rsidRPr="00A141D2">
        <w:rPr>
          <w:szCs w:val="22"/>
          <w:lang w:val="en-GB"/>
        </w:rPr>
        <w:t xml:space="preserve"> </w:t>
      </w:r>
      <w:r w:rsidR="007D5807" w:rsidRPr="00A141D2">
        <w:rPr>
          <w:lang w:val="en-GB"/>
        </w:rPr>
        <w:t>Similarly, averaging discharge change results across multiple stochastic weather realizations reduced the variability in outcomes</w:t>
      </w:r>
      <w:r w:rsidR="0058238D" w:rsidRPr="00A141D2">
        <w:rPr>
          <w:szCs w:val="22"/>
          <w:lang w:val="en-GB"/>
        </w:rPr>
        <w:t xml:space="preserve">. </w:t>
      </w:r>
      <w:r w:rsidR="005F2121" w:rsidRPr="00A141D2">
        <w:rPr>
          <w:szCs w:val="22"/>
          <w:lang w:val="en-GB"/>
        </w:rPr>
        <w:t>B</w:t>
      </w:r>
      <w:r w:rsidR="0058238D" w:rsidRPr="00A141D2">
        <w:rPr>
          <w:szCs w:val="22"/>
          <w:lang w:val="en-GB"/>
        </w:rPr>
        <w:t>oth steps</w:t>
      </w:r>
      <w:r w:rsidR="001D75A3" w:rsidRPr="00A141D2">
        <w:rPr>
          <w:szCs w:val="22"/>
          <w:lang w:val="en-GB"/>
        </w:rPr>
        <w:t xml:space="preserve"> involved a trade-off between sampling robustness and </w:t>
      </w:r>
      <w:r w:rsidR="00E03381" w:rsidRPr="00A141D2">
        <w:rPr>
          <w:szCs w:val="22"/>
          <w:lang w:val="en-GB"/>
        </w:rPr>
        <w:t>exploration</w:t>
      </w:r>
      <w:r w:rsidR="0075372F" w:rsidRPr="00A141D2">
        <w:rPr>
          <w:szCs w:val="22"/>
          <w:lang w:val="en-GB"/>
        </w:rPr>
        <w:t>.</w:t>
      </w:r>
      <w:r w:rsidR="0058238D" w:rsidRPr="00A141D2">
        <w:rPr>
          <w:szCs w:val="22"/>
          <w:lang w:val="en-GB"/>
        </w:rPr>
        <w:t xml:space="preserve"> </w:t>
      </w:r>
      <w:r w:rsidR="00C00F8A" w:rsidRPr="00A141D2">
        <w:rPr>
          <w:szCs w:val="22"/>
          <w:lang w:val="en-GB"/>
        </w:rPr>
        <w:t xml:space="preserve">Other </w:t>
      </w:r>
      <w:r w:rsidR="00E03381" w:rsidRPr="00A141D2">
        <w:rPr>
          <w:szCs w:val="22"/>
          <w:lang w:val="en-GB"/>
        </w:rPr>
        <w:t xml:space="preserve">aggregation </w:t>
      </w:r>
      <w:r w:rsidR="0058238D" w:rsidRPr="00A141D2">
        <w:rPr>
          <w:szCs w:val="22"/>
          <w:lang w:val="en-GB"/>
        </w:rPr>
        <w:t xml:space="preserve">choices could have been made </w:t>
      </w:r>
      <w:r w:rsidR="00C00F8A" w:rsidRPr="00A141D2">
        <w:rPr>
          <w:szCs w:val="22"/>
          <w:lang w:val="en-GB"/>
        </w:rPr>
        <w:t>and is a topic of further discussion in the literature</w:t>
      </w:r>
      <w:r w:rsidR="0058238D" w:rsidRPr="00A141D2">
        <w:rPr>
          <w:szCs w:val="22"/>
          <w:lang w:val="en-GB"/>
        </w:rPr>
        <w:t>.</w:t>
      </w:r>
    </w:p>
    <w:p w14:paraId="367C7AB7" w14:textId="0BB0A6D0" w:rsidR="00900FFD" w:rsidRPr="00A141D2" w:rsidRDefault="00006F32" w:rsidP="00934387">
      <w:pPr>
        <w:pStyle w:val="subheading"/>
      </w:pPr>
      <w:r w:rsidRPr="00A141D2">
        <w:t>4.</w:t>
      </w:r>
      <w:r w:rsidR="0011534E" w:rsidRPr="00A141D2">
        <w:t>2</w:t>
      </w:r>
      <w:r w:rsidRPr="00A141D2">
        <w:t xml:space="preserve"> </w:t>
      </w:r>
      <w:r w:rsidR="00984A64" w:rsidRPr="00A141D2">
        <w:t>Global projections for the local context</w:t>
      </w:r>
    </w:p>
    <w:p w14:paraId="2D662309" w14:textId="4E428616" w:rsidR="00C322AC" w:rsidRPr="00A141D2" w:rsidRDefault="00C322AC" w:rsidP="00C322AC">
      <w:pPr>
        <w:rPr>
          <w:lang w:val="en-GB"/>
        </w:rPr>
      </w:pPr>
      <w:r w:rsidRPr="00A141D2">
        <w:rPr>
          <w:lang w:val="en-GB"/>
        </w:rPr>
        <w:t>Our methodology uses freely available global data and tools, making it flexible to apply to a diverse set of regions for which climate risks need to be mapped. Our methodology for selecting climate scenario storylines could also be applied to other hazards by changing the CIDs of interest, such as those relevant to drought impacts. Additionally, the projected macro-economic input-output tables provide versatility to analyse cascading effects arising from impacts in a variety of sectors. For instance, the preliminary analysis for this study also addressed agricultural impacts and cascading disruptions within the region. However, for Latvia these were minor compared to the (in)direct impacts on the reconstruction sector and have therefore not been considered in detail.</w:t>
      </w:r>
    </w:p>
    <w:p w14:paraId="425AE7F0" w14:textId="69FCDECF" w:rsidR="00C322AC" w:rsidRPr="00A141D2" w:rsidRDefault="000A794E" w:rsidP="00C322AC">
      <w:pPr>
        <w:rPr>
          <w:lang w:val="en-GB"/>
        </w:rPr>
      </w:pPr>
      <w:r w:rsidRPr="00A141D2">
        <w:rPr>
          <w:lang w:val="en-GB"/>
        </w:rPr>
        <w:t>The</w:t>
      </w:r>
      <w:r w:rsidR="00C322AC" w:rsidRPr="00A141D2">
        <w:rPr>
          <w:lang w:val="en-GB"/>
        </w:rPr>
        <w:t xml:space="preserve"> geographical and sectoral flexibility comes with its limitations. Although the risk scoping was guided by (grey) literature specifically targeting regional issues, the used socio-economic projections are derived from downscaled global datasets. Consequently, these projections may not fully capture local socio-economic developments, as global studies do not capture regional nuances and policies </w:t>
      </w:r>
      <w:r w:rsidR="00C322AC" w:rsidRPr="00A141D2">
        <w:rPr>
          <w:lang w:val="en-GB"/>
        </w:rPr>
        <w:fldChar w:fldCharType="begin"/>
      </w:r>
      <w:r w:rsidR="00C322AC" w:rsidRPr="00A141D2">
        <w:rPr>
          <w:lang w:val="en-GB"/>
        </w:rPr>
        <w:instrText xml:space="preserve"> ADDIN ZOTERO_ITEM CSL_CITATION {"citationID":"q2Cd8gUq","properties":{"formattedCitation":"(Blankespoor et al., 2023)","plainCitation":"(Blankespoor et al., 2023)","noteIndex":0},"citationItems":[{"id":2209,"uris":["http://zotero.org/users/11212985/items/NSUSERPX"],"itemData":{"id":2209,"type":"article-journal","abstract":"Studies on sea-level rise often claim to be useful for local decision-makers and adaptation planning. We asked researchers and practitioners to discuss the different ways in which science can inform local to global decision-making and what researchers can do to improve the utility of their findings.","container-title":"Nature Climate Change","DOI":"10.1038/s41558-023-01749-7","ISSN":"1758-6798","issue":"8","journalAbbreviation":"Nat. Clim. Chang.","language":"en","license":"2023 World Bank and The Author(s), under exclusive licence to Springer Nature Limited 2023","note":"number: 8\npublisher: Nature Publishing Group","page":"760-763","source":"www-nature-com.vu-nl.idm.oclc.org","title":"Linking sea-level research with local planning and adaptation needs","volume":"13","author":[{"family":"Blankespoor","given":"Brian"},{"family":"Dasgupta","given":"Susmita"},{"family":"Wheeler","given":"David"},{"family":"Jeuken","given":"Ad"},{"family":"Ginkel","given":"Kees","non-dropping-particle":"van"},{"family":"Hill","given":"Kristina"},{"family":"Hirschfeld","given":"Daniella"}],"issued":{"date-parts":[["2023",8]]},"citation-key":"LinkingSealevelResearch"}}],"schema":"https://github.com/citation-style-language/schema/raw/master/csl-citation.json"} </w:instrText>
      </w:r>
      <w:r w:rsidR="00C322AC" w:rsidRPr="00A141D2">
        <w:rPr>
          <w:lang w:val="en-GB"/>
        </w:rPr>
        <w:fldChar w:fldCharType="separate"/>
      </w:r>
      <w:r w:rsidR="00C322AC" w:rsidRPr="00A141D2">
        <w:rPr>
          <w:lang w:val="en-GB"/>
        </w:rPr>
        <w:t>(Blankespoor et al., 2023)</w:t>
      </w:r>
      <w:r w:rsidR="00C322AC" w:rsidRPr="00A141D2">
        <w:rPr>
          <w:lang w:val="en-GB"/>
        </w:rPr>
        <w:fldChar w:fldCharType="end"/>
      </w:r>
      <w:r w:rsidR="00C322AC" w:rsidRPr="00A141D2">
        <w:rPr>
          <w:lang w:val="en-GB"/>
        </w:rPr>
        <w:t xml:space="preserve">. Therefore, </w:t>
      </w:r>
      <w:r w:rsidR="00B16395" w:rsidRPr="00A141D2">
        <w:rPr>
          <w:lang w:val="en-GB"/>
        </w:rPr>
        <w:t xml:space="preserve">the accuracy of </w:t>
      </w:r>
      <w:r w:rsidR="00C322AC" w:rsidRPr="00A141D2">
        <w:rPr>
          <w:lang w:val="en-GB"/>
        </w:rPr>
        <w:t xml:space="preserve">risk information from our methodology should be verified with regional stakeholders and adjusted if needed. </w:t>
      </w:r>
    </w:p>
    <w:p w14:paraId="3480A998" w14:textId="1BBD64B7" w:rsidR="00C322AC" w:rsidRPr="00A141D2" w:rsidRDefault="00C322AC" w:rsidP="00C322AC">
      <w:pPr>
        <w:rPr>
          <w:lang w:val="en-GB"/>
        </w:rPr>
      </w:pPr>
      <w:r w:rsidRPr="00A141D2">
        <w:rPr>
          <w:lang w:val="en-GB"/>
        </w:rPr>
        <w:t xml:space="preserve">This study could benefit from localising the global SSPs </w:t>
      </w:r>
      <w:r w:rsidRPr="00A141D2">
        <w:rPr>
          <w:lang w:val="en-GB"/>
        </w:rPr>
        <w:fldChar w:fldCharType="begin"/>
      </w:r>
      <w:r w:rsidR="003237A4" w:rsidRPr="00A141D2">
        <w:rPr>
          <w:lang w:val="en-GB"/>
        </w:rPr>
        <w:instrText xml:space="preserve"> ADDIN ZOTERO_ITEM CSL_CITATION {"citationID":"5MieZGjE","properties":{"formattedCitation":"(Alizadeh et al., 2022; Reimann et al., 2021)","plainCitation":"(Alizadeh et al., 2022; Reimann et al., 2021)","noteIndex":0},"citationItems":[{"id":3100,"uris":["http://zotero.org/users/11212985/items/DYH5QDMS"],"itemData":{"id":3100,"type":"article-journal","abstract":"The assessment of climate change impacts requires downscaled climate projections and context-specific socioeconomic scenarios. The development of practical climate change adaptation for environmental sustainability at regional and local scales is predicated on a strong understanding of future socio-economic dynamics under a range of potential climate projections. We have addressed this need using integrated assessment of a localized hybrid Shared Socio-economic Pathway - Representative Concentration Pathway (SSP-RCP) framework, through an interdisciplinary and participatory storyline development process that integrates bottom-up local expert-stakeholder knowledge with top-down insights from global SSPs. We use the global SSPs (SSP1 to SSP5) as boundary conditions in conjunction with climate change pathways (RCP4.5, RCP8.5) to create localized SSP narratives in an iterative participatory process, using a storytelling method. By using an integrated socio-economic and environmental system dynamics model developed in collaboration with local stakeholders, we explore the potential impacts of plausible local SSP-RCP narratives and quantify important socio-environmental vulnerabilities of a human-water system (e.g., crop yields, farm income, water security and groundwater depletion) by the mid-century period (i.e., by 2050). The framework is developed to inform climate adaptation for Pakistan's Rechna Doab region, which serves as a representative case of a multi-stakeholder coupled human-water system operating in a developing country. Our results suggest that even under limited socio-economic improvements (e.g., technology, policies, institutions, environmental awareness) water security would be expected to decline and environmental degradation (e.g., groundwater depletion) to worsen. Under RCP 4.5, the average projected increase in water demand in 2030 will be about 7.32% for all SSP scenario narratives, and 10.82% by mid-century. Groundwater use varies significantly across SSPs which results in an average increase of about 29.06% for all SSPs. The proposed framework facilitates the development of future adaptation policies that should consider regional and local planning as well as socio-economic conditions.","container-title":"Science of The Total Environment","DOI":"10.1016/j.scitotenv.2022.153660","ISSN":"0048-9697","journalAbbreviation":"Science of The Total Environment","page":"153660","source":"ScienceDirect","title":"Integrated assessment of localized SSP–RCP narratives for climate change adaptation in coupled human-water systems","volume":"823","author":[{"family":"Alizadeh","given":"Mohammad Reza"},{"family":"Adamowski","given":"Jan"},{"family":"Inam","given":"Azhar"}],"issued":{"date-parts":[["2022",6,1]]},"citation-key":"alizadehIntegratedAssessmentLocalized2022"},"label":"page"},{"id":2054,"uris":["http://zotero.org/users/11212985/items/ILJ6XGU3"],"itemData":{"id":2054,"type":"article-journal","abstract":"In this study, we extend the global-scale Shared Socioeconomic Pathways (SSPs) to develop local SSPs as a tool to inform adaptation decisions (a so-called ‘climate service’) for the city of Flensburg, Germany. Flensburg experiences regular coastal flooding during storm events, which is expected to increase with sea-level rise (SLR). To develop robust adaptation strategies under the uncertainties of future SLR and socioeconomic development in the city, local socioeconomic scenarios can help explore plausible future socioeconomic conditions and how these conditions drive adaptation strategies. We employ a multi-scale co-production approach for developing such local scenarios. Using the global SSPs as boundary conditions, we construct local SSP narratives based on local SSP elements that we compile during the process. We integrate local stakeholder knowledge into the local SSPs in an iterative manner with the help of focus group discussions, a scenario workshop, and email feedback. This process results in four local SSP narratives that explore alternative trends in socioeconomic development in Flensburg and are embedded in developments at national to global scales. Due to their local relevance, the extended local SSPs can serve as a climate service to support Flensburg in developing adaptation plans to cope with the future impacts of SLR.","container-title":"Futures","DOI":"10.1016/j.futures.2020.102691","ISSN":"0016-3287","journalAbbreviation":"Futures","language":"en","page":"102691","source":"ScienceDirect","title":"Extending the Shared Socioeconomic Pathways (SSPs) to support local adaptation planning—A climate service for Flensburg, Germany","volume":"127","author":[{"family":"Reimann","given":"Lena"},{"family":"Vollstedt","given":"Bente"},{"family":"Koerth","given":"Jana"},{"family":"Tsakiris","given":"Maureen"},{"family":"Beer","given":"Martin"},{"family":"Vafeidis","given":"Athanasios T."}],"issued":{"date-parts":[["2021",3,1]]},"citation-key":"reimannExtendingSharedSocioeconomic2021"},"label":"page"}],"schema":"https://github.com/citation-style-language/schema/raw/master/csl-citation.json"} </w:instrText>
      </w:r>
      <w:r w:rsidRPr="00A141D2">
        <w:rPr>
          <w:lang w:val="en-GB"/>
        </w:rPr>
        <w:fldChar w:fldCharType="separate"/>
      </w:r>
      <w:r w:rsidR="003237A4" w:rsidRPr="00A141D2">
        <w:rPr>
          <w:rFonts w:ascii="Calibri" w:hAnsi="Calibri" w:cs="Calibri"/>
          <w:lang w:val="en-GB"/>
        </w:rPr>
        <w:t>(Alizadeh et al., 2022; Reimann et al., 2021)</w:t>
      </w:r>
      <w:r w:rsidRPr="00A141D2">
        <w:rPr>
          <w:lang w:val="en-GB"/>
        </w:rPr>
        <w:fldChar w:fldCharType="end"/>
      </w:r>
      <w:r w:rsidR="00A15E60" w:rsidRPr="00A141D2">
        <w:rPr>
          <w:lang w:val="en-GB"/>
        </w:rPr>
        <w:t xml:space="preserve"> </w:t>
      </w:r>
      <w:r w:rsidRPr="00A141D2">
        <w:rPr>
          <w:lang w:val="en-GB"/>
        </w:rPr>
        <w:t xml:space="preserve">to incorporate policies influencing sectoral changes or add spatial detail to urban developments. Adding local socio-economic information could further specify direct and indirect impacts on specific income groups or businesses and/or sectors, as demonstrated in Bachner et al. </w:t>
      </w:r>
      <w:r w:rsidRPr="00A141D2">
        <w:rPr>
          <w:lang w:val="en-GB"/>
        </w:rPr>
        <w:fldChar w:fldCharType="begin"/>
      </w:r>
      <w:r w:rsidRPr="00A141D2">
        <w:rPr>
          <w:lang w:val="en-GB"/>
        </w:rPr>
        <w:instrText xml:space="preserve"> ADDIN ZOTERO_ITEM CSL_CITATION {"citationID":"84mUyDJf","properties":{"formattedCitation":"(2024)","plainCitation":"(2024)","noteIndex":0},"citationItems":[{"id":3121,"uris":["http://zotero.org/users/11212985/items/KRNFDLNF"],"itemData":{"id":3121,"type":"article-journal","abstract":"Cascading risks that can spread through complex systems have recently gained attention. As it is crucial for decision-makers to put figures on such risks and their interactions, models that explicitly capture such interactions in a realistic manner are needed. Climate related hazards often cascade through different systems, from physical to economic and social systems, causing direct but also indirect risks and losses. Despite their growing importance in the light of ongoing climate change and increasing global connections, such indirect risks are not well understood. Applying two fundamentally different economic models—a computable general equilibrium model and an agent-based model—we reveal indirect risks of flood events. The models are fed with sector-specific capital stock damages, which constitutes a major methodological improvement. We apply these models for Austria, a highly flood exposed country with strong economic linkages. A key finding is that flood damages pose very different indirect risks to different sectors and household groups (distributional effects) in the short and long-term. Our results imply that risk management should focus on specific societal subgroups and sectors. We provide a simple metric for indirect risk, showing how direct and indirect losses are related. This can provide new ways forward in risk management, for example, focusing on interconnectedness of sectors and agents within different risk-layers of indirect risk. Although we offer highly relevant leverage points for indirect risk management in Austria, the methodology of analyzing indirect risks can be transferred to other regions.","container-title":"Risk Analysis","DOI":"10.1111/risa.14144","ISSN":"1539-6924","issue":"1","language":"en","license":"© 2023 The Authors. Risk Analysis published by Wiley Periodicals LLC on behalf of Society for Risk Analysis.","note":"_eprint: https://onlinelibrary.wiley.com/doi/pdf/10.1111/risa.14144","page":"229-243","source":"Wiley Online Library","title":"Revealing indirect risks in complex socioeconomic systems: A highly detailed multi-model analysis of flood events in Austria","title-short":"Revealing indirect risks in complex socioeconomic systems","volume":"44","author":[{"family":"Bachner","given":"Gabriel"},{"family":"Knittel","given":"Nina"},{"family":"Poledna","given":"Sebastian"},{"family":"Hochrainer-Stigler","given":"Stefan"},{"family":"Reiter","given":"Karina"}],"issued":{"date-parts":[["2024"]]},"citation-key":"bachnerRevealingIndirectRisks2024"},"label":"page","suppress-author":true}],"schema":"https://github.com/citation-style-language/schema/raw/master/csl-citation.json"} </w:instrText>
      </w:r>
      <w:r w:rsidRPr="00A141D2">
        <w:rPr>
          <w:lang w:val="en-GB"/>
        </w:rPr>
        <w:fldChar w:fldCharType="separate"/>
      </w:r>
      <w:r w:rsidRPr="00A141D2">
        <w:rPr>
          <w:lang w:val="en-GB"/>
        </w:rPr>
        <w:t>(2024)</w:t>
      </w:r>
      <w:r w:rsidRPr="00A141D2">
        <w:rPr>
          <w:lang w:val="en-GB"/>
        </w:rPr>
        <w:fldChar w:fldCharType="end"/>
      </w:r>
      <w:r w:rsidRPr="00A141D2">
        <w:rPr>
          <w:lang w:val="en-GB"/>
        </w:rPr>
        <w:t>. Additionally, with regards to the hazards, local expertise could refine climate scenario selection by assigning higher weights to CIDs relevant to known high-risk areas</w:t>
      </w:r>
      <w:r w:rsidR="004F2EDF" w:rsidRPr="00A141D2">
        <w:rPr>
          <w:lang w:val="en-GB"/>
        </w:rPr>
        <w:t>, steering clustering of climate projections.</w:t>
      </w:r>
      <w:r w:rsidRPr="00A141D2">
        <w:rPr>
          <w:lang w:val="en-GB"/>
        </w:rPr>
        <w:t xml:space="preserve"> Hazard estimation could benefit from spatial flood modelling using local hydrodynamic models.</w:t>
      </w:r>
    </w:p>
    <w:p w14:paraId="61915B2D" w14:textId="16D6A39E" w:rsidR="00B96A9E" w:rsidRPr="00A141D2" w:rsidRDefault="002F6DA9" w:rsidP="00934387">
      <w:pPr>
        <w:pStyle w:val="subheading"/>
      </w:pPr>
      <w:r w:rsidRPr="00A141D2">
        <w:lastRenderedPageBreak/>
        <w:t>4.</w:t>
      </w:r>
      <w:r w:rsidR="00FC4746" w:rsidRPr="00A141D2">
        <w:t>3</w:t>
      </w:r>
      <w:r w:rsidRPr="00A141D2">
        <w:t xml:space="preserve"> Socio-economic and climate developments</w:t>
      </w:r>
      <w:r w:rsidR="001F4AE2" w:rsidRPr="00A141D2">
        <w:t xml:space="preserve"> for impact </w:t>
      </w:r>
      <w:r w:rsidR="00286502" w:rsidRPr="00A141D2">
        <w:t>attribution</w:t>
      </w:r>
    </w:p>
    <w:p w14:paraId="07D3E799" w14:textId="757ADA66" w:rsidR="0023653D" w:rsidRPr="00A141D2" w:rsidRDefault="0023653D" w:rsidP="0023653D">
      <w:pPr>
        <w:rPr>
          <w:lang w:val="en-GB"/>
        </w:rPr>
      </w:pPr>
      <w:r w:rsidRPr="00A141D2">
        <w:rPr>
          <w:lang w:val="en-GB"/>
        </w:rPr>
        <w:t xml:space="preserve">In climate science, attribution often refers to how anthropogenic emissions change the likelihood of extreme meteorological events </w:t>
      </w:r>
      <w:r w:rsidRPr="00A141D2">
        <w:rPr>
          <w:lang w:val="en-GB"/>
        </w:rPr>
        <w:fldChar w:fldCharType="begin"/>
      </w:r>
      <w:r w:rsidRPr="00A141D2">
        <w:rPr>
          <w:lang w:val="en-GB"/>
        </w:rPr>
        <w:instrText xml:space="preserve"> ADDIN ZOTERO_ITEM CSL_CITATION {"citationID":"xqQRhBCn","properties":{"formattedCitation":"(Shepherd, 2016; Stott et al., 2016; van Oldenborgh et al., 2021)","plainCitation":"(Shepherd, 2016; Stott et al., 2016; van Oldenborgh et al., 2021)","noteIndex":0},"citationItems":[{"id":3135,"uris":["http://zotero.org/users/11212985/items/AVMJBUYZ"],"itemData":{"id":3135,"type":"article-journal","abstract":"The extent to which a given extreme weather or climate event is attributable to anthropogenic climate change is a question of considerable public interest. From a scientific perspective, the question can be framed in various ways, and the answer depends very much on the framing. One such framing is a risk-based approach, which answers the question probabilistically, in terms of a change in likelihood of a class of event similar to the one in question, and natural variability is treated as noise. A rather different framing is a storyline approach, which examines the role of the various factors contributing to the event as it unfolded, including the anomalous aspects of natural variability, and answers the question deterministically. It is argued that these two apparently irreconcilable approaches can be viewed within a common framework, where the most useful level of conditioning will depend on the question being asked and the uncertainties involved.","container-title":"Current Climate Change Reports","DOI":"10.1007/s40641-016-0033-y","ISSN":"2198-6061","issue":"1","journalAbbreviation":"Curr Clim Change Rep","language":"en","page":"28-38","source":"Springer Link","title":"A Common Framework for Approaches to Extreme Event Attribution","volume":"2","author":[{"family":"Shepherd","given":"Theodore G."}],"issued":{"date-parts":[["2016",3,1]]},"citation-key":"shepherdCommonFrameworkApproaches2016"}},{"id":3150,"uris":["http://zotero.org/users/11212985/items/GY6BAS2L"],"itemData":{"id":3150,"type":"article-journal","abstract":"Extreme weather and climate-related events occur in a particular place, by definition, infrequently. It is therefore challenging to detect systematic changes in their occurrence given the relative shortness of observational records. However, there is a clear interest from outside the climate science community in the extent to which recent damaging extreme events can be linked to human-induced climate change or natural climate variability. Event attribution studies seek to determine to what extent anthropogenic climate change has altered the probability or magnitude of particular events. They have shown clear evidence for human influence having increased the probability of many extremely warm seasonal temperatures and reduced the probability of extremely cold seasonal temperatures in many parts of the world. The evidence for human influence on the probability of extreme precipitation events, droughts, and storms is more mixed. Although the science of event attribution has developed rapidly in recent years, geographical coverage of events remains patchy and based on the interests and capabilities of individual research groups. The development of operational event attribution would allow a more timely and methodical production of attribution assessments than currently obtained on an ad hoc basis. For event attribution assessments to be most useful, remaining scientific uncertainties need to be robustly assessed and the results clearly communicated. This requires the continuing development of methodologies to assess the reliability of event attribution results and further work to understand the potential utility of event attribution for stakeholder groups and decision makers. WIREs Clim Change 2016, 7:23–41. doi: 10.1002/wcc.380 This article is categorized under: Paleoclimates and Current Trends &gt; Detection and Attribution Climate Models and Modeling &gt; Knowledge Generation with Models","container-title":"WIREs Climate Change","DOI":"10.1002/wcc.380","ISSN":"1757-7799","issue":"1","language":"en","license":"© 2015 The Authors. WIREs Climate Change published by Wiley Periodicals, Inc.","note":"_eprint: https://onlinelibrary.wiley.com/doi/pdf/10.1002/wcc.380","page":"23-41","source":"Wiley Online Library","title":"Attribution of extreme weather and climate-related events","volume":"7","author":[{"family":"Stott","given":"Peter A."},{"family":"Christidis","given":"Nikolaos"},{"family":"Otto","given":"Friederike E. L."},{"family":"Sun","given":"Ying"},{"family":"Vanderlinden","given":"Jean-Paul"},{"family":"Oldenborgh","given":"Geert Jan","non-dropping-particle":"van"},{"family":"Vautard","given":"Robert"},{"family":"Storch","given":"Hans","non-dropping-particle":"von"},{"family":"Walton","given":"Peter"},{"family":"Yiou","given":"Pascal"},{"family":"Zwiers","given":"Francis W."}],"issued":{"date-parts":[["2016"]]},"citation-key":"stottAttributionExtremeWeather2016"}},{"id":2082,"uris":["http://zotero.org/users/11212985/items/7G9URRD3"],"itemData":{"id":2082,"type":"article-journal","abstract":"The last few years have seen an explosion of interest in extreme event attribution, the science of estimating the influence of human activities or other factors on the probability and other characteristics of an observed extreme weather or climate event. This is driven by public interest, but also has practical applications in decision-making after the event and for raising awareness of current and future climate change impacts. The World Weather Attribution (WWA) collaboration has over the last 5 years developed a methodology to answer these questions in a scientifically rigorous way in the immediate wake of the event when the information is most in demand. This methodology has been developed in the practice of investigating the role of climate change in two dozen extreme events world-wide. In this paper, we highlight the lessons learned through this experience. The methodology itself is documented in a more extensive companion paper. It covers all steps in the attribution process: the event choice and definition, collecting and assessing observations and estimating probability and trends from these, climate model evaluation, estimating modelled hazard trends and their significance, synthesis of the attribution of the hazard, assessment of trends in vulnerability and exposure, and communication. Here, we discuss how each of these steps entails choices that may affect the results, the common problems that can occur and how robust conclusions can (or cannot) be derived from the analysis. Some of these developments also apply to other attribution methodologies and indeed to other problems in climate science.","container-title":"Climatic Change","DOI":"10.1007/s10584-021-03071-7","ISSN":"1573-1480","issue":"1","journalAbbreviation":"Climatic Change","language":"en","page":"13","source":"Springer Link","title":"Pathways and pitfalls in extreme event attribution","volume":"166","author":[{"family":"Oldenborgh","given":"Geert Jan","non-dropping-particle":"van"},{"family":"Wiel","given":"Karin","non-dropping-particle":"van der"},{"family":"Kew","given":"Sarah"},{"family":"Philip","given":"Sjoukje"},{"family":"Otto","given":"Friederike"},{"family":"Vautard","given":"Robert"},{"family":"King","given":"Andrew"},{"family":"Lott","given":"Fraser"},{"family":"Arrighi","given":"Julie"},{"family":"Singh","given":"Roop"},{"family":"Aalst","given":"Maarten","non-dropping-particle":"van"}],"issued":{"date-parts":[["2021",5,10]]},"citation-key":"vanoldenborghPathwaysPitfallsExtreme2021"}}],"schema":"https://github.com/citation-style-language/schema/raw/master/csl-citation.json"} </w:instrText>
      </w:r>
      <w:r w:rsidRPr="00A141D2">
        <w:rPr>
          <w:lang w:val="en-GB"/>
        </w:rPr>
        <w:fldChar w:fldCharType="separate"/>
      </w:r>
      <w:r w:rsidRPr="00A141D2">
        <w:rPr>
          <w:lang w:val="en-GB"/>
        </w:rPr>
        <w:t>(Shepherd, 2016; Stott et al., 2016; van Oldenborgh et al., 2021)</w:t>
      </w:r>
      <w:r w:rsidRPr="00A141D2">
        <w:rPr>
          <w:lang w:val="en-GB"/>
        </w:rPr>
        <w:fldChar w:fldCharType="end"/>
      </w:r>
      <w:r w:rsidRPr="00A141D2">
        <w:rPr>
          <w:lang w:val="en-GB"/>
        </w:rPr>
        <w:t>. However, extreme meteorological events</w:t>
      </w:r>
      <w:r w:rsidR="001C12AA" w:rsidRPr="00A141D2">
        <w:rPr>
          <w:lang w:val="en-GB"/>
        </w:rPr>
        <w:t xml:space="preserve"> themselves</w:t>
      </w:r>
      <w:r w:rsidRPr="00A141D2">
        <w:rPr>
          <w:lang w:val="en-GB"/>
        </w:rPr>
        <w:t xml:space="preserve"> </w:t>
      </w:r>
      <w:r w:rsidR="008B5976" w:rsidRPr="00A141D2">
        <w:rPr>
          <w:lang w:val="en-GB"/>
        </w:rPr>
        <w:t>are</w:t>
      </w:r>
      <w:r w:rsidRPr="00A141D2">
        <w:rPr>
          <w:lang w:val="en-GB"/>
        </w:rPr>
        <w:t xml:space="preserve"> not always sufficient to lead to high impacts. These can </w:t>
      </w:r>
      <w:r w:rsidR="001C12AA" w:rsidRPr="00A141D2">
        <w:rPr>
          <w:lang w:val="en-GB"/>
        </w:rPr>
        <w:t xml:space="preserve">also </w:t>
      </w:r>
      <w:r w:rsidRPr="00A141D2">
        <w:rPr>
          <w:lang w:val="en-GB"/>
        </w:rPr>
        <w:t xml:space="preserve">occur from coinciding moderate events </w:t>
      </w:r>
      <w:r w:rsidRPr="00A141D2">
        <w:rPr>
          <w:lang w:val="en-GB"/>
        </w:rPr>
        <w:fldChar w:fldCharType="begin"/>
      </w:r>
      <w:r w:rsidRPr="00A141D2">
        <w:rPr>
          <w:lang w:val="en-GB"/>
        </w:rPr>
        <w:instrText xml:space="preserve"> ADDIN ZOTERO_ITEM CSL_CITATION {"citationID":"Eg0EVYVV","properties":{"formattedCitation":"(van der Wiel et al., 2020)","plainCitation":"(van der Wiel et al., 2020)","noteIndex":0},"citationItems":[{"id":382,"uris":["http://zotero.org/users/11212985/items/M8QYMAXX"],"itemData":{"id":382,"type":"article-journal","abstract":"Abstract\n            The investigation of risk due to weather and climate events is an example of policy relevant science. Risk is the result of complex interactions between the physical environment (geophysical events or conditions, including but not limited to weather and climate events) and societal factors (vulnerability and exposure). The societal impact of two similar meteorological events at different times or different locations may therefore vary widely. Despite the complex relation between meteorological conditions and impacts, most meteorological research is focused on the occurrence or severity of extreme meteorological events, and climate impact research often undersamples climatological natural variability. Here we argue that an approach of ensemble climate-impact modelling is required to adequately investigate the relationship between meteorology and extreme impact events. We demonstrate that extreme weather conditions do not always lead to extreme impacts; in contrast, extreme impacts may result from (coinciding) moderate weather conditions. Explicit modelling of climate impacts, using the complete distribution of weather realisations, is thus necessary to ensure that the most extreme impact events are identified. The approach allows for the investigation of high-impact meteorological conditions and provides higher accuracy for consequent estimates of risk.","container-title":"Environmental Research Letters","DOI":"10.1088/1748-9326/ab7668","ISSN":"1748-9326","issue":"3","journalAbbreviation":"Environ. Res. Lett.","page":"034050","source":"DOI.org (Crossref)","title":"Ensemble climate-impact modelling: extreme impacts from moderate meteorological conditions","title-short":"Ensemble climate-impact modelling","volume":"15","author":[{"family":"Wiel","given":"Karin","non-dropping-particle":"van der"},{"family":"Selten","given":"Frank M"},{"family":"Bintanja","given":"Richard"},{"family":"Blackport","given":"Russell"},{"family":"Screen","given":"James A"}],"issued":{"date-parts":[["2020",3,1]]},"citation-key":"vanderwielEnsembleClimateimpactModelling2020"}}],"schema":"https://github.com/citation-style-language/schema/raw/master/csl-citation.json"} </w:instrText>
      </w:r>
      <w:r w:rsidRPr="00A141D2">
        <w:rPr>
          <w:lang w:val="en-GB"/>
        </w:rPr>
        <w:fldChar w:fldCharType="separate"/>
      </w:r>
      <w:r w:rsidRPr="00A141D2">
        <w:rPr>
          <w:lang w:val="en-GB"/>
        </w:rPr>
        <w:t>(van der Wiel et al., 2020)</w:t>
      </w:r>
      <w:r w:rsidRPr="00A141D2">
        <w:rPr>
          <w:lang w:val="en-GB"/>
        </w:rPr>
        <w:fldChar w:fldCharType="end"/>
      </w:r>
      <w:r w:rsidRPr="00A141D2">
        <w:rPr>
          <w:lang w:val="en-GB"/>
        </w:rPr>
        <w:t xml:space="preserve">, and flood impacts are often enhanced due to socio-economic risk drivers </w:t>
      </w:r>
      <w:r w:rsidRPr="00A141D2">
        <w:rPr>
          <w:lang w:val="en-GB"/>
        </w:rPr>
        <w:fldChar w:fldCharType="begin"/>
      </w:r>
      <w:r w:rsidRPr="00A141D2">
        <w:rPr>
          <w:lang w:val="en-GB"/>
        </w:rPr>
        <w:instrText xml:space="preserve"> ADDIN ZOTERO_ITEM CSL_CITATION {"citationID":"kwG1uOAW","properties":{"formattedCitation":"(Merz et al., 2021; Steinhausen et al., 2022; Winsemius et al., 2016)","plainCitation":"(Merz et al., 2021; Steinhausen et al., 2022; Winsemius et al., 2016)","noteIndex":0},"citationItems":[{"id":1777,"uris":["http://zotero.org/users/11212985/items/939NWG32"],"itemData":{"id":1777,"type":"article-journal","container-title":"Nature Reviews Earth &amp; Environment","DOI":"10.1038/s43017-021-00195-3","ISSN":"2662-138X","issue":"9","journalAbbreviation":"Nat Rev Earth Environ","language":"en","page":"592-609","source":"DOI.org (Crossref)","title":"Causes, impacts and patterns of disastrous river floods","volume":"2","author":[{"family":"Merz","given":"Bruno"},{"family":"Blöschl","given":"Günter"},{"family":"Vorogushyn","given":"Sergiy"},{"family":"Dottori","given":"Francesco"},{"family":"Aerts","given":"Jeroen C. J. H."},{"family":"Bates","given":"Paul"},{"family":"Bertola","given":"Miriam"},{"family":"Kemter","given":"Matthias"},{"family":"Kreibich","given":"Heidi"},{"family":"Lall","given":"Upmanu"},{"family":"Macdonald","given":"Elena"}],"issued":{"date-parts":[["2021",8,10]]},"citation-key":"merzCausesImpactsPatterns2021"}},{"id":2075,"uris":["http://zotero.org/users/11212985/items/VJPVPBR8"],"itemData":{"id":2075,"type":"article-journal","abstract":"Flooding is the most costly natural hazard in Europe. Climatic and socioeconomic change are expected to further increase the amount of loss in the future. To counteract this development, policymaking, and adaptation planning need reliable large-scale risk assessments and an improved understanding of potential risk drivers. In this study, recent datasets for hazard and flood protection standards are combined with high resolution exposure projections and attributes of vulnerability derived from open data sources. The independent and combined influence of exposure change and climate scenarios rcp45 and rcp85 on fluvial flood risk are evaluated for three future periods centered around 2025, 2055 and 2085. Scenarios with improved and neglected private precaution are examined for their influence on flood risk using a probabilistic, multivariable flood loss model — BN-FLEMOps — to estimate fluvial flood losses for residential buildings in Europe. The results on NUTS-3 level reveal that urban centers and their surrounding regions are the hotspots of flood risk in Europe. Flood risk is projected to increase in the British Isles and Central Europe throughout the 21st century, while risk in many regions of Scandinavia and the Mediterranean will stagnate or decline. Under the combined effects of exposure change and climate scenarios rcp45, rcp85, fluvial flood risk in Europe is estimated to increase seven-fold and ten-fold respectively until the end of the century. Our results confirm the dominance of socioeconomic change over climate change on increasing risk. Improved private precautionary measures would reduce flood risk in Europe on an average by 15%. The quantification of future flood risk in Europe by integrating climate, socioeconomic and private precaution scenarios provides an overview of risk drivers, trends, and hotspots. This large-scale comprehensive assessment at a regional level resolution is valuable for multi-scale risk-based adaptation planning.","container-title":"Global Environmental Change","DOI":"10.1016/j.gloenvcha.2022.102559","ISSN":"0959-3780","journalAbbreviation":"Global Environmental Change","language":"en","page":"102559","source":"ScienceDirect","title":"Drivers of future fluvial flood risk change for residential buildings in Europe","volume":"76","author":[{"family":"Steinhausen","given":"Max"},{"family":"Paprotny","given":"Dominik"},{"family":"Dottori","given":"Francesco"},{"family":"Sairam","given":"Nivedita"},{"family":"Mentaschi","given":"Lorenzo"},{"family":"Alfieri","given":"Lorenzo"},{"family":"Lüdtke","given":"Stefan"},{"family":"Kreibich","given":"Heidi"},{"family":"Schröter","given":"Kai"}],"issued":{"date-parts":[["2022",9,1]]},"citation-key":"steinhausenDriversFutureFluvial2022"}},{"id":2956,"uris":["http://zotero.org/users/11212985/items/BBQMIETD"],"itemData":{"id":2956,"type":"article-journal","abstract":"Global river flood risk is expected to increase substantially over coming decades due to both climate change and socioeconomic development. Model-based projections suggest that southeast Asia and Africa are at particular risk, highlighting the need to invest in adaptation measures.","container-title":"Nature Climate Change","DOI":"10.1038/nclimate2893","ISSN":"1758-6798","issue":"4","journalAbbreviation":"Nature Clim Change","language":"en","license":"2015 Springer Nature Limited","note":"publisher: Nature Publishing Group","page":"381-385","source":"www-nature-com.vu-nl.idm.oclc.org","title":"Global drivers of future river flood risk","volume":"6","author":[{"family":"Winsemius","given":"Hessel C."},{"family":"Aerts","given":"Jeroen C. J. H."},{"family":"Beek","given":"Ludovicus P. H.","non-dropping-particle":"van"},{"family":"Bierkens","given":"Marc F. P."},{"family":"Bouwman","given":"Arno"},{"family":"Jongman","given":"Brenden"},{"family":"Kwadijk","given":"Jaap C. J."},{"family":"Ligtvoet","given":"Willem"},{"family":"Lucas","given":"Paul L."},{"family":"Vuuren","given":"Detlef P.","non-dropping-particle":"van"},{"family":"Ward","given":"Philip J."}],"issued":{"date-parts":[["2016",4]]},"citation-key":"winsemiusGlobalDriversFuture2016"}}],"schema":"https://github.com/citation-style-language/schema/raw/master/csl-citation.json"} </w:instrText>
      </w:r>
      <w:r w:rsidRPr="00A141D2">
        <w:rPr>
          <w:lang w:val="en-GB"/>
        </w:rPr>
        <w:fldChar w:fldCharType="separate"/>
      </w:r>
      <w:r w:rsidRPr="00A141D2">
        <w:rPr>
          <w:lang w:val="en-GB"/>
        </w:rPr>
        <w:t>(Merz et al., 2021; Steinhausen et al., 2022; Winsemius et al., 2016)</w:t>
      </w:r>
      <w:r w:rsidRPr="00A141D2">
        <w:rPr>
          <w:lang w:val="en-GB"/>
        </w:rPr>
        <w:fldChar w:fldCharType="end"/>
      </w:r>
      <w:r w:rsidRPr="00A141D2">
        <w:rPr>
          <w:lang w:val="en-GB"/>
        </w:rPr>
        <w:t xml:space="preserve">. Therefore, impact-focused attribution can help to better understand and quantify risk drivers' contribution to future climate risks </w:t>
      </w:r>
      <w:r w:rsidRPr="00A141D2">
        <w:rPr>
          <w:lang w:val="en-GB"/>
        </w:rPr>
        <w:fldChar w:fldCharType="begin"/>
      </w:r>
      <w:r w:rsidRPr="00A141D2">
        <w:rPr>
          <w:lang w:val="en-GB"/>
        </w:rPr>
        <w:instrText xml:space="preserve"> ADDIN ZOTERO_ITEM CSL_CITATION {"citationID":"VW3wruPJ","properties":{"formattedCitation":"(Mengel et al., 2021)","plainCitation":"(Mengel et al., 2021)","noteIndex":0},"citationItems":[{"id":3131,"uris":["http://zotero.org/users/11212985/items/ME8XASZW"],"itemData":{"id":3131,"type":"article-journal","abstract":"Attribution in its general definition aims to quantify drivers of change in a system. According to IPCC Working Group II (WGII) a change in a natural, human or managed system is attributed to climate change by quantifying the difference between the observed state of the system and a counterfactual baseline that characterizes the system's behavior in the absence of climate change, where “climate change refers to any long-term trend in climate, irrespective of its cause” (IPCC, 2014). Impact attribution following this definition remains a challenge because the counterfactual baseline, which characterizes the system behavior in the hypothetical absence of climate change, cannot be observed. Process-based and empirical impact models can fill this gap as they allow us to simulate the counterfactual climate impact baseline. In those simulations, the models are forced by observed direct (human) drivers such as land use changes, changes in water or agricultural management but a counterfactual climate without long-term changes. We here present ATTRICI (ATTRIbuting Climate Impacts), an approach to construct the required counterfactual stationary climate data from observational (factual) climate data. Our method identifies the long-term shifts in the considered daily climate variables that are correlated to global mean temperature change assuming a smooth annual cycle of the associated scaling coefficients for each day of the year. The produced counterfactual climate datasets are used as forcing data within the impact attribution setup of the Inter-Sectoral Impact Model Intercomparison Project (ISIMIP3a). Our method preserves the internal variability of the observed data in the sense that factual and counterfactual data for a given day have the same rank in their respective statistical distributions. The associated impact model simulations allow for quantifying the contribution of climate change to observed long-term changes in impact indicators and for quantifying the contribution of the observed trend in climate to the magnitude of individual impact events. Attribution of climate impacts to anthropogenic forcing would need an additional step separating anthropogenic climate forcing from other sources of climate trends, which is not covered by our method.","container-title":"Geoscientific Model Development","DOI":"10.5194/gmd-14-5269-2021","ISSN":"1991-959X","issue":"8","language":"English","note":"publisher: Copernicus GmbH","page":"5269-5284","source":"Copernicus Online Journals","title":"ATTRICI v1.1 – counterfactual climate for impact attribution","volume":"14","author":[{"family":"Mengel","given":"Matthias"},{"family":"Treu","given":"Simon"},{"family":"Lange","given":"Stefan"},{"family":"Frieler","given":"Katja"}],"issued":{"date-parts":[["2021",8,20]]},"citation-key":"mengelATTRICIV11Counterfactual2021"}}],"schema":"https://github.com/citation-style-language/schema/raw/master/csl-citation.json"} </w:instrText>
      </w:r>
      <w:r w:rsidRPr="00A141D2">
        <w:rPr>
          <w:lang w:val="en-GB"/>
        </w:rPr>
        <w:fldChar w:fldCharType="separate"/>
      </w:r>
      <w:r w:rsidRPr="00A141D2">
        <w:rPr>
          <w:lang w:val="en-GB"/>
        </w:rPr>
        <w:t>(Mengel et al., 2021)</w:t>
      </w:r>
      <w:r w:rsidRPr="00A141D2">
        <w:rPr>
          <w:lang w:val="en-GB"/>
        </w:rPr>
        <w:fldChar w:fldCharType="end"/>
      </w:r>
      <w:r w:rsidRPr="00A141D2">
        <w:rPr>
          <w:lang w:val="en-GB"/>
        </w:rPr>
        <w:t xml:space="preserve">. Under particular conditions socio-economic developments, rather than climate changes, are the main risk drivers </w:t>
      </w:r>
      <w:r w:rsidRPr="00A141D2">
        <w:rPr>
          <w:lang w:val="en-GB"/>
        </w:rPr>
        <w:fldChar w:fldCharType="begin"/>
      </w:r>
      <w:r w:rsidRPr="00A141D2">
        <w:rPr>
          <w:lang w:val="en-GB"/>
        </w:rPr>
        <w:instrText xml:space="preserve"> ADDIN ZOTERO_ITEM CSL_CITATION {"citationID":"BYBnFcgz","properties":{"formattedCitation":"(Barnes et al., 2023)","plainCitation":"(Barnes et al., 2023)","noteIndex":0},"citationItems":[{"id":3133,"uris":["http://zotero.org/users/11212985/items/X2PF3LJW"],"itemData":{"id":3133,"type":"report","genre":"Report","language":"en-US-GB","license":"© 2023 The Author(s). This work is licensed under a Creative Commons Attribution-NonCommerical-No-Derivatives 4.0 International License.","note":"Accepted: 2023-05-30T16:02:38Z\nDOI: 10.25561/104550","source":"spiral.imperial.ac.uk","title":"Limited net role for climate change in heavy spring rainfall in Emilia-Romagna","URL":"http://spiral.imperial.ac.uk/handle/10044/1/104550","author":[{"family":"Barnes","given":"C."},{"family":"Faranda","given":"D."},{"family":"Coppola","given":"E."},{"family":"Grazzini","given":"F."},{"family":"Zachariah","given":"M."},{"family":"Lu","given":"C."},{"family":"Kimutai","given":"J."},{"family":"Pinto","given":"I."},{"family":"Pereira","given":"C. M."},{"family":"Sengupta","given":"S."},{"family":"Vahlberg","given":"M."},{"family":"Singh","given":"R."},{"family":"Heinrich","given":"D."},{"family":"Otto","given":"F."}],"accessed":{"date-parts":[["2024",11,29]]},"issued":{"date-parts":[["2023",5,31]]},"citation-key":"barnesLimitedNetRole2023"}}],"schema":"https://github.com/citation-style-language/schema/raw/master/csl-citation.json"} </w:instrText>
      </w:r>
      <w:r w:rsidRPr="00A141D2">
        <w:rPr>
          <w:lang w:val="en-GB"/>
        </w:rPr>
        <w:fldChar w:fldCharType="separate"/>
      </w:r>
      <w:r w:rsidRPr="00A141D2">
        <w:rPr>
          <w:lang w:val="en-GB"/>
        </w:rPr>
        <w:t>(Barnes et al., 2023)</w:t>
      </w:r>
      <w:r w:rsidRPr="00A141D2">
        <w:rPr>
          <w:lang w:val="en-GB"/>
        </w:rPr>
        <w:fldChar w:fldCharType="end"/>
      </w:r>
      <w:r w:rsidRPr="00A141D2">
        <w:rPr>
          <w:lang w:val="en-GB"/>
        </w:rPr>
        <w:t xml:space="preserve">.  Identifying the ‘differences that make a difference’ enables risk managers to take targeted actions on the </w:t>
      </w:r>
      <w:r w:rsidR="00AC1D33" w:rsidRPr="00A141D2">
        <w:rPr>
          <w:lang w:val="en-GB"/>
        </w:rPr>
        <w:t>most impactful risk</w:t>
      </w:r>
      <w:r w:rsidRPr="00A141D2">
        <w:rPr>
          <w:lang w:val="en-GB"/>
        </w:rPr>
        <w:t xml:space="preserve"> drivers </w:t>
      </w:r>
      <w:r w:rsidR="00AC1D33" w:rsidRPr="00A141D2">
        <w:rPr>
          <w:lang w:val="en-GB"/>
        </w:rPr>
        <w:t>within their control</w:t>
      </w:r>
      <w:r w:rsidRPr="00A141D2">
        <w:rPr>
          <w:lang w:val="en-GB"/>
        </w:rPr>
        <w:t xml:space="preserve">. </w:t>
      </w:r>
    </w:p>
    <w:p w14:paraId="676894D3" w14:textId="6B4CC229" w:rsidR="0023653D" w:rsidRPr="00A141D2" w:rsidRDefault="0023653D" w:rsidP="0023653D">
      <w:pPr>
        <w:rPr>
          <w:lang w:val="en-GB"/>
        </w:rPr>
      </w:pPr>
      <w:r w:rsidRPr="00A141D2">
        <w:rPr>
          <w:lang w:val="en-GB"/>
        </w:rPr>
        <w:t xml:space="preserve">Our applied methodology aligns well with an impact attribution framework but is not fully comprehensive. While we analysed how socio-economic changes and how a changing climate drive risk, we were not able to quantify their comparative effects in the absence of detailed flood modelling. Future studies could extend our model chain to include flood maps under climate change, enabling risk attribution to specific drivers. </w:t>
      </w:r>
    </w:p>
    <w:p w14:paraId="731B97D2" w14:textId="65BDE023" w:rsidR="00A37591" w:rsidRPr="00A141D2" w:rsidRDefault="00A37591" w:rsidP="00934387">
      <w:pPr>
        <w:pStyle w:val="subheading"/>
      </w:pPr>
      <w:r w:rsidRPr="00A141D2">
        <w:t>4.</w:t>
      </w:r>
      <w:r w:rsidR="00FC4746" w:rsidRPr="00A141D2">
        <w:t>4</w:t>
      </w:r>
      <w:r w:rsidRPr="00A141D2">
        <w:t xml:space="preserve"> </w:t>
      </w:r>
      <w:r w:rsidR="004D3FA2" w:rsidRPr="00A141D2">
        <w:t>System boundaries and their effects</w:t>
      </w:r>
    </w:p>
    <w:p w14:paraId="5A73CD92" w14:textId="0C095F11" w:rsidR="00402B4B" w:rsidRPr="00A141D2" w:rsidRDefault="00402B4B" w:rsidP="00402B4B">
      <w:pPr>
        <w:rPr>
          <w:lang w:val="en-GB"/>
        </w:rPr>
      </w:pPr>
      <w:r w:rsidRPr="00A141D2">
        <w:rPr>
          <w:lang w:val="en-GB"/>
        </w:rPr>
        <w:t xml:space="preserve">As with many studies, the problem scoping and system boundary definition can significantly influence outcomes and recommendations. Our research confined the problem boundary to Latvia and specifically focused on the adverse stress effects. Expanding the scope to intra-regional </w:t>
      </w:r>
      <w:r w:rsidR="00B674D8" w:rsidRPr="00A141D2">
        <w:rPr>
          <w:lang w:val="en-GB"/>
        </w:rPr>
        <w:t>effects</w:t>
      </w:r>
      <w:r w:rsidR="00AE4704" w:rsidRPr="00A141D2">
        <w:rPr>
          <w:lang w:val="en-GB"/>
        </w:rPr>
        <w:t>,</w:t>
      </w:r>
      <w:r w:rsidRPr="00A141D2">
        <w:rPr>
          <w:lang w:val="en-GB"/>
        </w:rPr>
        <w:t xml:space="preserve"> using a similar economic input-output method could highlight positive spillover effects as production is shifted to unaffected areas </w:t>
      </w:r>
      <w:r w:rsidRPr="00A141D2">
        <w:rPr>
          <w:lang w:val="en-GB"/>
        </w:rPr>
        <w:fldChar w:fldCharType="begin"/>
      </w:r>
      <w:r w:rsidRPr="00A141D2">
        <w:rPr>
          <w:lang w:val="en-GB"/>
        </w:rPr>
        <w:instrText xml:space="preserve"> ADDIN ZOTERO_ITEM CSL_CITATION {"citationID":"K6r5MJzN","properties":{"formattedCitation":"(Middelanis et al., 2022)","plainCitation":"(Middelanis et al., 2022)","noteIndex":0},"citationItems":[{"id":3157,"uris":["http://zotero.org/users/11212985/items/7ZB6Z8G6"],"itemData":{"id":3157,"type":"article-journal","abstract":"Tropical cyclones range among the costliest of all meteorological events worldwide and planetary scale warming provides more energy and moisture to these storms. Modelling the national and global economic repercussions of 2017’s Hurricane Harvey, we find a qualitative change in the global economic response in an increasingly warmer world. While the United States were able to balance regional production failures by the original 2017 hurricane, this option becomes less viable under future warming. In our simulations of over 7000 regional economic sectors with more than 1.8 million supply chain connections, the US are not able to offset the losses by use of national efforts with intensifying hurricanes under unabated warming. At a certain warming level other countries have to step in to supply the necessary goods for production, which gives US economic sectors a competitive disadvantage. In the highly localized mining and quarrying sector—which here also comprises the oil and gas production industry—this disadvantage emerges already with the original Hurricane Harvey and intensifies under warming. Eventually, also other regions reach their limit of what they can offset. While we chose the example of a specific hurricane impacting a specific region, the mechanism is likely applicable to other climate-related events in other regions and other sectors. It is thus likely that the regional economic sectors that are best adapted to climate change gain significant advantage over their competitors under future warming.","container-title":"Environmental Research Letters","DOI":"10.1088/1748-9326/ac90d8","ISSN":"1748-9326","issue":"10","journalAbbreviation":"Environ. Res. Lett.","language":"en","note":"publisher: IOP Publishing","page":"104013","source":"Institute of Physics","title":"Economic losses from hurricanes cannot be nationally offset under unabated warming","volume":"17","author":[{"family":"Middelanis","given":"Robin"},{"family":"Willner","given":"Sven N."},{"family":"Otto","given":"Christian"},{"family":"Levermann","given":"Anders"}],"issued":{"date-parts":[["2022",10]]},"citation-key":"middelanisEconomicLossesHurricanes2022"},"label":"page"}],"schema":"https://github.com/citation-style-language/schema/raw/master/csl-citation.json"} </w:instrText>
      </w:r>
      <w:r w:rsidRPr="00A141D2">
        <w:rPr>
          <w:lang w:val="en-GB"/>
        </w:rPr>
        <w:fldChar w:fldCharType="separate"/>
      </w:r>
      <w:r w:rsidRPr="00A141D2">
        <w:rPr>
          <w:lang w:val="en-GB"/>
        </w:rPr>
        <w:t>(Middelanis et al., 2022)</w:t>
      </w:r>
      <w:r w:rsidRPr="00A141D2">
        <w:rPr>
          <w:lang w:val="en-GB"/>
        </w:rPr>
        <w:fldChar w:fldCharType="end"/>
      </w:r>
      <w:r w:rsidRPr="00A141D2">
        <w:rPr>
          <w:lang w:val="en-GB"/>
        </w:rPr>
        <w:t xml:space="preserve">. Even </w:t>
      </w:r>
      <w:r w:rsidR="00987429" w:rsidRPr="00A141D2">
        <w:rPr>
          <w:lang w:val="en-GB"/>
        </w:rPr>
        <w:t>within Latvia</w:t>
      </w:r>
      <w:r w:rsidRPr="00A141D2">
        <w:rPr>
          <w:lang w:val="en-GB"/>
        </w:rPr>
        <w:t xml:space="preserve">, positive effects can occur. The disaster event might act as an ‘opportunity tipping point’ </w:t>
      </w:r>
      <w:r w:rsidRPr="00A141D2">
        <w:rPr>
          <w:lang w:val="en-GB"/>
        </w:rPr>
        <w:fldChar w:fldCharType="begin"/>
      </w:r>
      <w:r w:rsidRPr="00A141D2">
        <w:rPr>
          <w:lang w:val="en-GB"/>
        </w:rPr>
        <w:instrText xml:space="preserve"> ADDIN ZOTERO_ITEM CSL_CITATION {"citationID":"W0uPNwyV","properties":{"formattedCitation":"(Haasnoot et al., 2019)","plainCitation":"(Haasnoot et al., 2019)","noteIndex":0},"citationItems":[{"id":2714,"uris":["http://zotero.org/users/11212985/items/S449YD2Y"],"itemData":{"id":2714,"type":"chapter","abstract":"Dynamic Adaptive Policy Pathways (DAPP) is a DMDU approach that explicitly includes decision making over time. The essence is proactive and dynamic planning in response to how the future actually unfolds.DAPP explores alternative sequences of decisions (adaptation pathways) for multiple futures and illuminates the path dependency of alternative strategies. It opens the decision space and helps to overcome policy paralysis due to deep uncertainty. There are different routes that can achieve the objectives under changing conditions (like ‘different roads leading to Rome’).Policy actions have an uncertain design life and might fail sooner or later to continue achieving objectives as the operating conditions change (i.e. they reach an adaptation tipping point (ATP)). Similarly, opportunity tipping points may occur.Multiple pathways are typically visualized in a metro map or decision tree, with time or changing conditions on one of the axes.DAPP supports the design of a dynamic adaptive strategy that includes initial actions, long-term options, and adaptation signals to identify when to implement the long-term options or revisit decisions.","container-title":"Decision Making under Deep Uncertainty: From Theory to Practice","event-place":"Cham","ISBN":"978-3-030-05252-2","language":"en","note":"DOI: 10.1007/978-3-030-05252-2_4","page":"71-92","publisher":"Springer International Publishing","publisher-place":"Cham","source":"Springer Link","title":"Dynamic Adaptive Policy Pathways (DAPP)","URL":"https://doi.org/10.1007/978-3-030-05252-2_4","author":[{"family":"Haasnoot","given":"Marjolijn"},{"family":"Warren","given":"Andrew"},{"family":"Kwakkel","given":"Jan H."}],"editor":[{"family":"Marchau","given":"Vincent A. W. J."},{"family":"Walker","given":"Warren E."},{"family":"Bloemen","given":"Pieter J. T. M."},{"family":"Popper","given":"Steven W."}],"accessed":{"date-parts":[["2024",7,8]]},"issued":{"date-parts":[["2019"]]},"citation-key":"haasnootDynamicAdaptivePolicy2019"}}],"schema":"https://github.com/citation-style-language/schema/raw/master/csl-citation.json"} </w:instrText>
      </w:r>
      <w:r w:rsidRPr="00A141D2">
        <w:rPr>
          <w:lang w:val="en-GB"/>
        </w:rPr>
        <w:fldChar w:fldCharType="separate"/>
      </w:r>
      <w:r w:rsidRPr="00A141D2">
        <w:rPr>
          <w:lang w:val="en-GB"/>
        </w:rPr>
        <w:t>(Haasnoot et al., 2019)</w:t>
      </w:r>
      <w:r w:rsidRPr="00A141D2">
        <w:rPr>
          <w:lang w:val="en-GB"/>
        </w:rPr>
        <w:fldChar w:fldCharType="end"/>
      </w:r>
      <w:r w:rsidRPr="00A141D2">
        <w:rPr>
          <w:lang w:val="en-GB"/>
        </w:rPr>
        <w:t>, opening a window</w:t>
      </w:r>
      <w:r w:rsidR="00987429" w:rsidRPr="00A141D2">
        <w:rPr>
          <w:lang w:val="en-GB"/>
        </w:rPr>
        <w:t xml:space="preserve"> of opportunity</w:t>
      </w:r>
      <w:r w:rsidRPr="00A141D2">
        <w:rPr>
          <w:lang w:val="en-GB"/>
        </w:rPr>
        <w:t xml:space="preserve"> to increase adaptation efforts and ‘build back better’, as seen in New York after Hurricane Sandy </w:t>
      </w:r>
      <w:r w:rsidRPr="00A141D2">
        <w:rPr>
          <w:lang w:val="en-GB"/>
        </w:rPr>
        <w:fldChar w:fldCharType="begin"/>
      </w:r>
      <w:r w:rsidRPr="00A141D2">
        <w:rPr>
          <w:lang w:val="en-GB"/>
        </w:rPr>
        <w:instrText xml:space="preserve"> ADDIN ZOTERO_ITEM CSL_CITATION {"citationID":"3ISPMRKg","properties":{"formattedCitation":"(Rosenzweig &amp; Solecki, 2014)","plainCitation":"(Rosenzweig &amp; Solecki, 2014)","noteIndex":0},"citationItems":[{"id":3215,"uris":["http://zotero.org/users/11212985/items/SK2IPBSD"],"itemData":{"id":3215,"type":"article-journal","abstract":"Two central issues of climate change have become increasingly evident: Climate change will significantly affect cities; and rapid global urbanization will increase dramatically the number of individuals, amount of critical infrastructure, and means of economic production that are exposed and vulnerable to dynamic climate risks. Simultaneously, cities in many settings have begun to emerge as early adopters of climate change action strategies including greenhouse gas mitigation and adaptation. The objective of this paper is to examine and analyze how officials of one city – the City of New York – have integrated a flexible adaptation pathways approach into the municipality's climate action strategy. This approach has been connected with the City's ongoing response to Hurricane Sandy, which struck in the October 2012 and resulted in damages worth more than US$19 billion. A case study narrative methodology utilizing the Wise et al. conceptual framework (see this volume) is used to evaluate the effectiveness of the flexible adaptation pathways approach in New York City. The paper finds that Hurricane Sandy serves as a “tipping point” leading to transformative adaptation due to the explicit inclusion of increasing climate change risks in the rebuilding effort. The potential for transferability of the approach to cities varying in size and development stage is discussed, with elements useful across cities including the overall concept of flexible adaptation pathways, the inclusion of the full metropolitan region in the planning process, and the co-generation of climate-risk information by stakeholders and scientists.","container-title":"Global Environmental Change","DOI":"10.1016/j.gloenvcha.2014.05.003","ISSN":"0959-3780","journalAbbreviation":"Global Environmental Change","page":"395-408","source":"ScienceDirect","title":"Hurricane Sandy and adaptation pathways in New York: Lessons from a first-responder city","title-short":"Hurricane Sandy and adaptation pathways in New York","volume":"28","author":[{"family":"Rosenzweig","given":"Cynthia"},{"family":"Solecki","given":"William"}],"issued":{"date-parts":[["2014",9,1]]},"citation-key":"rosenzweigHurricaneSandyAdaptation2014"}}],"schema":"https://github.com/citation-style-language/schema/raw/master/csl-citation.json"} </w:instrText>
      </w:r>
      <w:r w:rsidRPr="00A141D2">
        <w:rPr>
          <w:lang w:val="en-GB"/>
        </w:rPr>
        <w:fldChar w:fldCharType="separate"/>
      </w:r>
      <w:r w:rsidRPr="00A141D2">
        <w:rPr>
          <w:lang w:val="en-GB"/>
        </w:rPr>
        <w:t>(Rosenzweig &amp; Solecki, 2014)</w:t>
      </w:r>
      <w:r w:rsidRPr="00A141D2">
        <w:rPr>
          <w:lang w:val="en-GB"/>
        </w:rPr>
        <w:fldChar w:fldCharType="end"/>
      </w:r>
      <w:r w:rsidRPr="00A141D2">
        <w:rPr>
          <w:lang w:val="en-GB"/>
        </w:rPr>
        <w:t xml:space="preserve">. Reconstruction efforts may also boost the local economy. The labour-intensive construction work might lower unemployment in the aftermath of business destruction while at the same time having a positive effect on GDP </w:t>
      </w:r>
      <w:r w:rsidRPr="00A141D2">
        <w:rPr>
          <w:lang w:val="en-GB"/>
        </w:rPr>
        <w:fldChar w:fldCharType="begin"/>
      </w:r>
      <w:r w:rsidRPr="00A141D2">
        <w:rPr>
          <w:lang w:val="en-GB"/>
        </w:rPr>
        <w:instrText xml:space="preserve"> ADDIN ZOTERO_ITEM CSL_CITATION {"citationID":"42OarMCw","properties":{"formattedCitation":"(Vagliasindi &amp; Gorgulu, 2021)","plainCitation":"(Vagliasindi &amp; Gorgulu, 2021)","noteIndex":0},"citationItems":[{"id":3227,"uris":["http://zotero.org/users/11212985/items/3U2P6YNW"],"itemData":{"id":3227,"type":"report","collection-title":"Policy Research Working Papers","language":"en","note":"DOI: 10.1596/1813-9450-9796","publisher":"The World Bank","source":"DOI.org (Crossref)","title":"What have we Learned about the Effectiveness of Infrastructure Investment as a Fiscal Stimulus? A Literature Review","title-short":"What have we Learned about the Effectiveness of Infrastructure Investment as a Fiscal Stimulus?","URL":"https://hdl.handle.net/10986/36347","author":[{"family":"Vagliasindi","given":"Maria"},{"family":"Gorgulu","given":"Nisan"}],"accessed":{"date-parts":[["2024",12,11]]},"issued":{"date-parts":[["2021",10,6]]},"citation-key":"vagliasindiWhatHaveWe2021"}}],"schema":"https://github.com/citation-style-language/schema/raw/master/csl-citation.json"} </w:instrText>
      </w:r>
      <w:r w:rsidRPr="00A141D2">
        <w:rPr>
          <w:lang w:val="en-GB"/>
        </w:rPr>
        <w:fldChar w:fldCharType="separate"/>
      </w:r>
      <w:r w:rsidRPr="00A141D2">
        <w:rPr>
          <w:lang w:val="en-GB"/>
        </w:rPr>
        <w:t>(Vagliasindi &amp; Gorgulu, 2021)</w:t>
      </w:r>
      <w:r w:rsidRPr="00A141D2">
        <w:rPr>
          <w:lang w:val="en-GB"/>
        </w:rPr>
        <w:fldChar w:fldCharType="end"/>
      </w:r>
      <w:r w:rsidRPr="00A141D2">
        <w:rPr>
          <w:lang w:val="en-GB"/>
        </w:rPr>
        <w:t>. However, further extending the system boundary to include macro-level trends in the region, such as an ageing population, can further modulate risks and adaptation opportunities. We, therefore, reiterate that setting the objectives and system boundary remains an important factor in the climate risk analysis.</w:t>
      </w:r>
    </w:p>
    <w:p w14:paraId="1E352C02" w14:textId="44CCC676" w:rsidR="00850691" w:rsidRPr="00A141D2" w:rsidRDefault="007B7F71" w:rsidP="003855D5">
      <w:pPr>
        <w:pStyle w:val="Heading-Secondary"/>
        <w:numPr>
          <w:ilvl w:val="0"/>
          <w:numId w:val="24"/>
        </w:numPr>
        <w:rPr>
          <w:lang w:val="en-GB"/>
        </w:rPr>
      </w:pPr>
      <w:r w:rsidRPr="00A141D2">
        <w:rPr>
          <w:lang w:val="en-GB"/>
        </w:rPr>
        <w:t>Conclusion</w:t>
      </w:r>
    </w:p>
    <w:p w14:paraId="339D216D" w14:textId="690297B4" w:rsidR="00473D5F" w:rsidRPr="00A141D2" w:rsidRDefault="00473D5F" w:rsidP="00473D5F">
      <w:pPr>
        <w:rPr>
          <w:lang w:val="en-GB"/>
        </w:rPr>
      </w:pPr>
      <w:r w:rsidRPr="00A141D2">
        <w:rPr>
          <w:lang w:val="en-GB"/>
        </w:rPr>
        <w:t>Our ability to manage future climate risks is partly determined by our ability to anticipate these risks.</w:t>
      </w:r>
      <w:r w:rsidR="008127A4" w:rsidRPr="00A141D2">
        <w:rPr>
          <w:lang w:val="en-GB"/>
        </w:rPr>
        <w:t xml:space="preserve"> </w:t>
      </w:r>
      <w:r w:rsidRPr="00A141D2">
        <w:rPr>
          <w:lang w:val="en-GB"/>
        </w:rPr>
        <w:t xml:space="preserve">A task which needs to handle uncertainties in both human and natural systems. This requires a comprehensive but comprehensible package of targeted climate risk information to allow for informed adaptation decision-making. To this end, we introduced a novel multi-modal methodology targeting flood risk assessment that explores ‘plausibilistic’ future climate risks by sampling a range of plausible socio-economic developments and climate storylines with associated conditional discharge probabilities. By integrating meteorological, hydrological, and </w:t>
      </w:r>
      <w:r w:rsidRPr="00A141D2">
        <w:rPr>
          <w:lang w:val="en-GB"/>
        </w:rPr>
        <w:lastRenderedPageBreak/>
        <w:t>socio-economic perspectives, this approach captures the influence of future changes on both direct impacts and cascading effects in connected multi-sectoral systems.</w:t>
      </w:r>
    </w:p>
    <w:p w14:paraId="09AD1EB5" w14:textId="6E022A6B" w:rsidR="00F11212" w:rsidRPr="00A141D2" w:rsidRDefault="00F11212" w:rsidP="00F11212">
      <w:pPr>
        <w:rPr>
          <w:lang w:val="en-GB"/>
        </w:rPr>
      </w:pPr>
      <w:r w:rsidRPr="00A141D2">
        <w:rPr>
          <w:lang w:val="en-GB"/>
        </w:rPr>
        <w:t xml:space="preserve">We used this methodology to examine the changes in and effects of discharge extremes in the transboundary Latvian-Lithuanian Lielupe river basin. As expected, </w:t>
      </w:r>
      <w:r w:rsidR="00343227" w:rsidRPr="00A141D2">
        <w:rPr>
          <w:lang w:val="en-GB"/>
        </w:rPr>
        <w:t>our</w:t>
      </w:r>
      <w:r w:rsidRPr="00A141D2">
        <w:rPr>
          <w:lang w:val="en-GB"/>
        </w:rPr>
        <w:t xml:space="preserve"> findings reveal significant spatial heterogeneity of future discharge extremes within the basin and across climate scenario storylines as locally relevant CIDs are amplified or dampened depending on the sampled climate conditions. As a result, the 100-year return period discharge extreme can deviate -10% to +20% from the baseline depending on the scenario and region. In parallel, projected asset development in the floodplains and sectoral growth rates indicate an intensification of impact. Absolute direct impacts can increase by up to 375%, and most sectoral stress levels double or triple compared to the baseline. These findings highlight substantial variability in impacts across scenarios, regions and sectors because of developments of (spatially compounding) risk drivers in the region. </w:t>
      </w:r>
    </w:p>
    <w:p w14:paraId="517FC60B" w14:textId="6E5BCB2E" w:rsidR="00F11212" w:rsidRPr="00A141D2" w:rsidRDefault="00606680" w:rsidP="00F11212">
      <w:pPr>
        <w:rPr>
          <w:lang w:val="en-GB"/>
        </w:rPr>
      </w:pPr>
      <w:r w:rsidRPr="00A141D2">
        <w:rPr>
          <w:lang w:val="en-GB"/>
        </w:rPr>
        <w:t xml:space="preserve">This study underscores the importance of a systems perspective to climate risks as both climatological uncertainties and socio-economic drivers can amplify or attenuate (cascading) impacts. </w:t>
      </w:r>
      <w:r w:rsidR="00F11212" w:rsidRPr="00A141D2">
        <w:rPr>
          <w:lang w:val="en-GB"/>
        </w:rPr>
        <w:t xml:space="preserve">Our </w:t>
      </w:r>
      <w:r w:rsidR="001D077F">
        <w:rPr>
          <w:lang w:val="en-GB"/>
        </w:rPr>
        <w:t xml:space="preserve">interdisciplinary </w:t>
      </w:r>
      <w:r w:rsidR="00F11212" w:rsidRPr="00A141D2">
        <w:rPr>
          <w:lang w:val="en-GB"/>
        </w:rPr>
        <w:t>methodology allows for the identification of particularly vulnerable regions and sectors</w:t>
      </w:r>
      <w:r w:rsidR="00845197">
        <w:rPr>
          <w:lang w:val="en-GB"/>
        </w:rPr>
        <w:t xml:space="preserve"> across diverse scenarios</w:t>
      </w:r>
      <w:r w:rsidR="00F11212" w:rsidRPr="00A141D2">
        <w:rPr>
          <w:lang w:val="en-GB"/>
        </w:rPr>
        <w:t xml:space="preserve">, offering valuable insights </w:t>
      </w:r>
      <w:r w:rsidR="00FA5390" w:rsidRPr="00A141D2">
        <w:rPr>
          <w:lang w:val="en-GB"/>
        </w:rPr>
        <w:t xml:space="preserve">for </w:t>
      </w:r>
      <w:r w:rsidR="00F11212" w:rsidRPr="00A141D2">
        <w:rPr>
          <w:lang w:val="en-GB"/>
        </w:rPr>
        <w:t xml:space="preserve">robust adaptation planning. </w:t>
      </w:r>
      <w:r w:rsidR="00FC5F5D" w:rsidRPr="00A141D2">
        <w:rPr>
          <w:lang w:val="en-GB"/>
        </w:rPr>
        <w:t xml:space="preserve">By exploring the uncertainty space of risk-inducing trends, </w:t>
      </w:r>
      <w:r w:rsidR="00FA5390" w:rsidRPr="00A141D2">
        <w:rPr>
          <w:lang w:val="en-GB"/>
        </w:rPr>
        <w:t xml:space="preserve">key risk </w:t>
      </w:r>
      <w:r w:rsidR="00FC5F5D" w:rsidRPr="00A141D2">
        <w:rPr>
          <w:lang w:val="en-GB"/>
        </w:rPr>
        <w:t xml:space="preserve">areas and sectors are identified </w:t>
      </w:r>
      <w:r w:rsidR="009B5233" w:rsidRPr="00A141D2">
        <w:rPr>
          <w:lang w:val="en-GB"/>
        </w:rPr>
        <w:t xml:space="preserve">that call for </w:t>
      </w:r>
      <w:r w:rsidR="00FC5F5D" w:rsidRPr="00A141D2">
        <w:rPr>
          <w:lang w:val="en-GB"/>
        </w:rPr>
        <w:t>further study.</w:t>
      </w:r>
      <w:r w:rsidR="00F11212" w:rsidRPr="00A141D2">
        <w:rPr>
          <w:lang w:val="en-GB"/>
        </w:rPr>
        <w:t xml:space="preserve"> </w:t>
      </w:r>
      <w:r w:rsidR="00B0126E" w:rsidRPr="00B0126E">
        <w:rPr>
          <w:lang w:val="en-GB"/>
        </w:rPr>
        <w:t xml:space="preserve">Through our plausibilistic climate impact storylines, the exploration and understanding of complex risks </w:t>
      </w:r>
      <w:r w:rsidR="00690937">
        <w:rPr>
          <w:lang w:val="en-GB"/>
        </w:rPr>
        <w:t>can be</w:t>
      </w:r>
      <w:r w:rsidR="00B0126E" w:rsidRPr="00B0126E">
        <w:rPr>
          <w:lang w:val="en-GB"/>
        </w:rPr>
        <w:t xml:space="preserve"> significantly enhanced. This approach provides comprehensive and targeted regional climate risk information, which is essential for prioriti</w:t>
      </w:r>
      <w:r w:rsidR="001B1CE7">
        <w:rPr>
          <w:lang w:val="en-GB"/>
        </w:rPr>
        <w:t>s</w:t>
      </w:r>
      <w:r w:rsidR="00B0126E" w:rsidRPr="00B0126E">
        <w:rPr>
          <w:lang w:val="en-GB"/>
        </w:rPr>
        <w:t>ing adaptation strategies.</w:t>
      </w:r>
    </w:p>
    <w:p w14:paraId="3BB30AAB" w14:textId="274A063A" w:rsidR="00995CAA" w:rsidRPr="00A141D2" w:rsidRDefault="00995CAA" w:rsidP="00934387">
      <w:pPr>
        <w:pStyle w:val="Heading-Secondary"/>
        <w:rPr>
          <w:lang w:val="en-GB"/>
        </w:rPr>
      </w:pPr>
      <w:r w:rsidRPr="00A141D2">
        <w:rPr>
          <w:lang w:val="en-GB"/>
        </w:rPr>
        <w:t>Acknowledg</w:t>
      </w:r>
      <w:r w:rsidR="00432ECC" w:rsidRPr="00A141D2">
        <w:rPr>
          <w:lang w:val="en-GB"/>
        </w:rPr>
        <w:t>e</w:t>
      </w:r>
      <w:r w:rsidRPr="00A141D2">
        <w:rPr>
          <w:lang w:val="en-GB"/>
        </w:rPr>
        <w:t>ments</w:t>
      </w:r>
    </w:p>
    <w:p w14:paraId="5B5A8D42" w14:textId="395B5044" w:rsidR="00432ECC" w:rsidRPr="00A141D2" w:rsidRDefault="00A525DD" w:rsidP="003635AB">
      <w:pPr>
        <w:rPr>
          <w:lang w:val="en-GB"/>
        </w:rPr>
      </w:pPr>
      <w:r w:rsidRPr="00A141D2">
        <w:rPr>
          <w:lang w:val="en-GB"/>
        </w:rPr>
        <w:t>This research has received funding from the European Union’s Horizon Europe – the Framework Programme for Research and Innovation (CLIMAAX (grant no. 101093864)).</w:t>
      </w:r>
      <w:r w:rsidR="00995CAA" w:rsidRPr="00A141D2">
        <w:rPr>
          <w:lang w:val="en-GB"/>
        </w:rPr>
        <w:t> </w:t>
      </w:r>
      <w:r w:rsidR="008B4AAE" w:rsidRPr="00A141D2">
        <w:rPr>
          <w:lang w:val="en-GB"/>
        </w:rPr>
        <w:t>We would like to thank Dace</w:t>
      </w:r>
      <w:r w:rsidR="00365D68" w:rsidRPr="00A141D2">
        <w:rPr>
          <w:lang w:val="en-GB"/>
        </w:rPr>
        <w:t xml:space="preserve"> Zandersone</w:t>
      </w:r>
      <w:r w:rsidR="005433BF" w:rsidRPr="00A141D2">
        <w:rPr>
          <w:lang w:val="en-GB"/>
        </w:rPr>
        <w:t xml:space="preserve"> </w:t>
      </w:r>
      <w:r w:rsidR="008B4AAE" w:rsidRPr="00A141D2">
        <w:rPr>
          <w:lang w:val="en-GB"/>
        </w:rPr>
        <w:t xml:space="preserve">and her team at LEGMC </w:t>
      </w:r>
      <w:r w:rsidR="003635AB" w:rsidRPr="00A141D2">
        <w:rPr>
          <w:lang w:val="en-GB"/>
        </w:rPr>
        <w:t>for taking</w:t>
      </w:r>
      <w:r w:rsidR="008B4AAE" w:rsidRPr="00A141D2">
        <w:rPr>
          <w:lang w:val="en-GB"/>
        </w:rPr>
        <w:t xml:space="preserve"> the time to discuss the local situation.</w:t>
      </w:r>
      <w:r w:rsidR="00497243" w:rsidRPr="00A141D2">
        <w:rPr>
          <w:lang w:val="en-GB"/>
        </w:rPr>
        <w:t xml:space="preserve"> Also </w:t>
      </w:r>
      <w:r w:rsidR="00AD3F81" w:rsidRPr="00A141D2">
        <w:rPr>
          <w:lang w:val="en-GB"/>
        </w:rPr>
        <w:t xml:space="preserve">a word of appreciation </w:t>
      </w:r>
      <w:r w:rsidR="00FD1ECF" w:rsidRPr="00A141D2">
        <w:rPr>
          <w:lang w:val="en-GB"/>
        </w:rPr>
        <w:t xml:space="preserve">goes </w:t>
      </w:r>
      <w:r w:rsidR="00AD3F81" w:rsidRPr="00A141D2">
        <w:rPr>
          <w:lang w:val="en-GB"/>
        </w:rPr>
        <w:t xml:space="preserve">to </w:t>
      </w:r>
      <w:r w:rsidR="00497243" w:rsidRPr="00A141D2">
        <w:rPr>
          <w:lang w:val="en-GB"/>
        </w:rPr>
        <w:t>Muneta Yokomatsu</w:t>
      </w:r>
      <w:r w:rsidR="00AD3F81" w:rsidRPr="00A141D2">
        <w:rPr>
          <w:lang w:val="en-GB"/>
        </w:rPr>
        <w:t xml:space="preserve"> at IIASA for </w:t>
      </w:r>
      <w:r w:rsidR="00274CD5" w:rsidRPr="00A141D2">
        <w:rPr>
          <w:lang w:val="en-GB"/>
        </w:rPr>
        <w:t>the insightful workshop around the analysed topic.</w:t>
      </w:r>
      <w:r w:rsidR="008A56AA" w:rsidRPr="00A141D2">
        <w:rPr>
          <w:lang w:val="en-GB"/>
        </w:rPr>
        <w:t xml:space="preserve"> </w:t>
      </w:r>
      <w:r w:rsidR="004F0496" w:rsidRPr="00A141D2">
        <w:rPr>
          <w:lang w:val="en-GB"/>
        </w:rPr>
        <w:t>We also thank</w:t>
      </w:r>
      <w:r w:rsidR="008A56AA" w:rsidRPr="00A141D2">
        <w:rPr>
          <w:lang w:val="en-GB"/>
        </w:rPr>
        <w:t xml:space="preserve"> </w:t>
      </w:r>
      <w:r w:rsidR="00AE5C62" w:rsidRPr="00A141D2">
        <w:rPr>
          <w:lang w:val="en-GB"/>
        </w:rPr>
        <w:t xml:space="preserve">Valeria Di Fant, </w:t>
      </w:r>
      <w:r w:rsidR="008A56AA" w:rsidRPr="00A141D2">
        <w:rPr>
          <w:lang w:val="en-GB"/>
        </w:rPr>
        <w:t>Doris Vertegaal</w:t>
      </w:r>
      <w:r w:rsidR="007C10F6" w:rsidRPr="00A141D2">
        <w:rPr>
          <w:lang w:val="en-GB"/>
        </w:rPr>
        <w:t>,</w:t>
      </w:r>
      <w:r w:rsidR="00D15275" w:rsidRPr="00A141D2">
        <w:rPr>
          <w:lang w:val="en-GB"/>
        </w:rPr>
        <w:t xml:space="preserve"> Henrique M.D. Goulart,</w:t>
      </w:r>
      <w:r w:rsidR="007C10F6" w:rsidRPr="00A141D2">
        <w:rPr>
          <w:lang w:val="en-GB"/>
        </w:rPr>
        <w:t xml:space="preserve"> Ano</w:t>
      </w:r>
      <w:r w:rsidR="00C7149D" w:rsidRPr="00A141D2">
        <w:rPr>
          <w:lang w:val="en-GB"/>
        </w:rPr>
        <w:t>e</w:t>
      </w:r>
      <w:r w:rsidR="007C10F6" w:rsidRPr="00A141D2">
        <w:rPr>
          <w:lang w:val="en-GB"/>
        </w:rPr>
        <w:t xml:space="preserve">k </w:t>
      </w:r>
      <w:r w:rsidR="00C7149D" w:rsidRPr="00A141D2">
        <w:rPr>
          <w:lang w:val="en-GB"/>
        </w:rPr>
        <w:t>van Tilburg</w:t>
      </w:r>
      <w:r w:rsidR="00AE5C62" w:rsidRPr="00A141D2">
        <w:rPr>
          <w:lang w:val="en-GB"/>
        </w:rPr>
        <w:t>, Julius Schlumberg</w:t>
      </w:r>
      <w:r w:rsidR="00274DAA" w:rsidRPr="00A141D2">
        <w:rPr>
          <w:lang w:val="en-GB"/>
        </w:rPr>
        <w:t>er</w:t>
      </w:r>
      <w:r w:rsidR="00AE5C62" w:rsidRPr="00A141D2">
        <w:rPr>
          <w:lang w:val="en-GB"/>
        </w:rPr>
        <w:t xml:space="preserve"> and </w:t>
      </w:r>
      <w:r w:rsidR="00274DAA" w:rsidRPr="00A141D2">
        <w:rPr>
          <w:lang w:val="en-GB"/>
        </w:rPr>
        <w:t xml:space="preserve">Daniel Peregrina Gonzalez </w:t>
      </w:r>
      <w:r w:rsidR="00C7149D" w:rsidRPr="00A141D2">
        <w:rPr>
          <w:lang w:val="en-GB"/>
        </w:rPr>
        <w:t xml:space="preserve">for </w:t>
      </w:r>
      <w:r w:rsidR="00227C70" w:rsidRPr="00A141D2">
        <w:rPr>
          <w:lang w:val="en-GB"/>
        </w:rPr>
        <w:t xml:space="preserve">their </w:t>
      </w:r>
      <w:r w:rsidR="00247C3F" w:rsidRPr="00A141D2">
        <w:rPr>
          <w:lang w:val="en-GB"/>
        </w:rPr>
        <w:t xml:space="preserve">ideas and </w:t>
      </w:r>
      <w:r w:rsidR="00C7149D" w:rsidRPr="00A141D2">
        <w:rPr>
          <w:lang w:val="en-GB"/>
        </w:rPr>
        <w:t>input</w:t>
      </w:r>
      <w:r w:rsidR="00274DAA" w:rsidRPr="00A141D2">
        <w:rPr>
          <w:lang w:val="en-GB"/>
        </w:rPr>
        <w:t xml:space="preserve"> collected during various conversations around the coffee corner</w:t>
      </w:r>
      <w:r w:rsidR="00247C3F" w:rsidRPr="00A141D2">
        <w:rPr>
          <w:lang w:val="en-GB"/>
        </w:rPr>
        <w:t>.</w:t>
      </w:r>
    </w:p>
    <w:p w14:paraId="3CB0FA2F" w14:textId="1925D49F" w:rsidR="00995CAA" w:rsidRPr="00A141D2" w:rsidRDefault="00995CAA" w:rsidP="00934387">
      <w:pPr>
        <w:pStyle w:val="Heading-Secondary"/>
        <w:rPr>
          <w:lang w:val="en-GB"/>
        </w:rPr>
      </w:pPr>
      <w:r w:rsidRPr="00A141D2">
        <w:rPr>
          <w:lang w:val="en-GB"/>
        </w:rPr>
        <w:t>Open Research</w:t>
      </w:r>
    </w:p>
    <w:p w14:paraId="60EE9568" w14:textId="7279ECBA" w:rsidR="00995CAA" w:rsidRPr="00A141D2" w:rsidRDefault="00177BE3" w:rsidP="002866EE">
      <w:pPr>
        <w:rPr>
          <w:szCs w:val="24"/>
          <w:lang w:val="en-GB"/>
        </w:rPr>
      </w:pPr>
      <w:r w:rsidRPr="00A141D2">
        <w:rPr>
          <w:szCs w:val="24"/>
          <w:lang w:val="en-GB"/>
        </w:rPr>
        <w:t>The CMIP6</w:t>
      </w:r>
      <w:r w:rsidR="001256E7" w:rsidRPr="00A141D2">
        <w:rPr>
          <w:szCs w:val="24"/>
          <w:lang w:val="en-GB"/>
        </w:rPr>
        <w:t xml:space="preserve"> </w:t>
      </w:r>
      <w:r w:rsidRPr="00A141D2">
        <w:rPr>
          <w:szCs w:val="24"/>
          <w:lang w:val="en-GB"/>
        </w:rPr>
        <w:t xml:space="preserve">data can be freely obtained through  </w:t>
      </w:r>
      <w:hyperlink r:id="rId18" w:anchor="!/dataset/projections-cmip6" w:history="1">
        <w:r w:rsidRPr="00A141D2">
          <w:rPr>
            <w:rStyle w:val="Hyperlink"/>
            <w:rFonts w:eastAsia="Times New Roman"/>
            <w:szCs w:val="24"/>
            <w:lang w:val="en-GB"/>
          </w:rPr>
          <w:t>https://cds.climate.copernicus.eu/cdsapp#!/dataset/projections-cmip6</w:t>
        </w:r>
      </w:hyperlink>
      <w:r w:rsidRPr="00A141D2">
        <w:rPr>
          <w:szCs w:val="24"/>
          <w:lang w:val="en-GB"/>
        </w:rPr>
        <w:t xml:space="preserve">. The historical ERA5 data is obtained from </w:t>
      </w:r>
      <w:hyperlink r:id="rId19" w:anchor="!/dataset/reanalysis-era5-pressure-levels" w:history="1">
        <w:r w:rsidRPr="00A141D2">
          <w:rPr>
            <w:rStyle w:val="Hyperlink"/>
            <w:rFonts w:eastAsia="Times New Roman"/>
            <w:szCs w:val="24"/>
            <w:lang w:val="en-GB"/>
          </w:rPr>
          <w:t>https://cds.climate.copernicus.eu/cdsapp#!/dataset/reanalysis-era5-pressure-levels</w:t>
        </w:r>
      </w:hyperlink>
      <w:r w:rsidRPr="00A141D2">
        <w:rPr>
          <w:szCs w:val="24"/>
          <w:lang w:val="en-GB"/>
        </w:rPr>
        <w:t xml:space="preserve">. </w:t>
      </w:r>
      <w:r w:rsidR="00B86962" w:rsidRPr="00A141D2">
        <w:rPr>
          <w:szCs w:val="24"/>
          <w:lang w:val="en-GB"/>
        </w:rPr>
        <w:t xml:space="preserve">The </w:t>
      </w:r>
      <w:r w:rsidR="00884AF3" w:rsidRPr="00A141D2">
        <w:rPr>
          <w:szCs w:val="24"/>
          <w:lang w:val="en-GB"/>
        </w:rPr>
        <w:t xml:space="preserve">open-source hydrological model </w:t>
      </w:r>
      <w:r w:rsidR="00751449" w:rsidRPr="00A141D2">
        <w:rPr>
          <w:szCs w:val="24"/>
          <w:lang w:val="en-GB"/>
        </w:rPr>
        <w:t>W</w:t>
      </w:r>
      <w:r w:rsidR="00884AF3" w:rsidRPr="00A141D2">
        <w:rPr>
          <w:szCs w:val="24"/>
          <w:lang w:val="en-GB"/>
        </w:rPr>
        <w:t>flow is accessible here</w:t>
      </w:r>
      <w:r w:rsidR="00751449" w:rsidRPr="00A141D2">
        <w:rPr>
          <w:szCs w:val="24"/>
          <w:lang w:val="en-GB"/>
        </w:rPr>
        <w:t xml:space="preserve"> </w:t>
      </w:r>
      <w:hyperlink r:id="rId20" w:history="1">
        <w:r w:rsidR="00751449" w:rsidRPr="00A141D2">
          <w:rPr>
            <w:rStyle w:val="Hyperlink"/>
            <w:szCs w:val="24"/>
            <w:lang w:val="en-GB"/>
          </w:rPr>
          <w:t>https://deltares.github.io/Wflow.jl/</w:t>
        </w:r>
      </w:hyperlink>
      <w:r w:rsidR="00884AF3" w:rsidRPr="00A141D2">
        <w:rPr>
          <w:szCs w:val="24"/>
          <w:lang w:val="en-GB"/>
        </w:rPr>
        <w:t>.</w:t>
      </w:r>
      <w:r w:rsidR="00751449" w:rsidRPr="00A141D2">
        <w:rPr>
          <w:szCs w:val="24"/>
          <w:lang w:val="en-GB"/>
        </w:rPr>
        <w:t xml:space="preserve"> </w:t>
      </w:r>
      <w:r w:rsidR="00F5197C" w:rsidRPr="00A141D2">
        <w:rPr>
          <w:szCs w:val="24"/>
          <w:lang w:val="en-GB"/>
        </w:rPr>
        <w:t>The projected socio-economic data can be found by following the citations in the text.</w:t>
      </w:r>
      <w:r w:rsidR="00884AF3" w:rsidRPr="00A141D2">
        <w:rPr>
          <w:szCs w:val="24"/>
          <w:lang w:val="en-GB"/>
        </w:rPr>
        <w:t xml:space="preserve"> </w:t>
      </w:r>
      <w:r w:rsidRPr="00A141D2">
        <w:rPr>
          <w:szCs w:val="24"/>
          <w:lang w:val="en-GB"/>
        </w:rPr>
        <w:t xml:space="preserve">Implementation of the used weather generator can be found at </w:t>
      </w:r>
      <w:hyperlink r:id="rId21" w:history="1">
        <w:r w:rsidRPr="00A141D2">
          <w:rPr>
            <w:rStyle w:val="Hyperlink"/>
            <w:rFonts w:eastAsia="Times New Roman"/>
            <w:szCs w:val="24"/>
            <w:lang w:val="en-GB"/>
          </w:rPr>
          <w:t>https://github.com/Deltares-research/weathergen</w:t>
        </w:r>
      </w:hyperlink>
      <w:r w:rsidRPr="00A141D2">
        <w:rPr>
          <w:szCs w:val="24"/>
          <w:lang w:val="en-GB"/>
        </w:rPr>
        <w:t>. Analysis code and data used in this study is published at Zenodo (</w:t>
      </w:r>
      <w:hyperlink r:id="rId22" w:history="1">
        <w:r w:rsidR="004D65F0" w:rsidRPr="00A141D2">
          <w:rPr>
            <w:rStyle w:val="Hyperlink"/>
            <w:szCs w:val="24"/>
            <w:lang w:val="en-GB"/>
          </w:rPr>
          <w:t>https://zenodo.org/records/14445553?token=eyJhbGciOiJIUzUxMiJ9.eyJpZCI6IjlmZWZhNDAwL</w:t>
        </w:r>
        <w:r w:rsidR="004D65F0" w:rsidRPr="00A141D2">
          <w:rPr>
            <w:rStyle w:val="Hyperlink"/>
            <w:szCs w:val="24"/>
            <w:lang w:val="en-GB"/>
          </w:rPr>
          <w:lastRenderedPageBreak/>
          <w:t>WViYjAtNDM4YS1hMDlkLTNlZWI2ZGY4MjNmOCIsImRhdGEiOnt9LCJyYW5kb20iOiI4YmZhMzRmOWI3ZGE2MjRkZWViMDUxOTNjMTA0YWFmNCJ9.WxH5ejVC-TrvHwc7BkiN8_L8EjN-1q5_yjlIQjpYedjg0xa7aRmczzmoHQeS4lf4HBfQ91SVXZv7MtBmDfIELQ</w:t>
        </w:r>
      </w:hyperlink>
      <w:r w:rsidR="004D65F0" w:rsidRPr="00A141D2">
        <w:rPr>
          <w:szCs w:val="24"/>
          <w:lang w:val="en-GB"/>
        </w:rPr>
        <w:t xml:space="preserve">) </w:t>
      </w:r>
      <w:r w:rsidRPr="00A141D2">
        <w:rPr>
          <w:szCs w:val="24"/>
          <w:lang w:val="en-GB"/>
        </w:rPr>
        <w:t>and on Github (</w:t>
      </w:r>
      <w:hyperlink r:id="rId23" w:history="1">
        <w:r w:rsidR="001E3AAD" w:rsidRPr="00A141D2">
          <w:rPr>
            <w:rStyle w:val="Hyperlink"/>
            <w:szCs w:val="24"/>
            <w:lang w:val="en-GB"/>
          </w:rPr>
          <w:t>https://github.com/TBuskop/spatial_and_sectoral_climate_impacts</w:t>
        </w:r>
      </w:hyperlink>
      <w:r w:rsidRPr="00A141D2">
        <w:rPr>
          <w:szCs w:val="24"/>
          <w:lang w:val="en-GB"/>
        </w:rPr>
        <w:t>)</w:t>
      </w:r>
      <w:r w:rsidR="00995CAA" w:rsidRPr="00A141D2">
        <w:rPr>
          <w:szCs w:val="24"/>
          <w:lang w:val="en-GB"/>
        </w:rPr>
        <w:t> </w:t>
      </w:r>
    </w:p>
    <w:p w14:paraId="2B7C9A8E" w14:textId="70CB08ED" w:rsidR="00BF0028" w:rsidRPr="00A141D2" w:rsidRDefault="00995CAA" w:rsidP="00934387">
      <w:pPr>
        <w:pStyle w:val="Heading-Secondary"/>
        <w:rPr>
          <w:lang w:val="en-GB"/>
        </w:rPr>
      </w:pPr>
      <w:r w:rsidRPr="00A141D2">
        <w:rPr>
          <w:lang w:val="en-GB"/>
        </w:rPr>
        <w:t>References</w:t>
      </w:r>
    </w:p>
    <w:p w14:paraId="51116175" w14:textId="77777777" w:rsidR="003730AA" w:rsidRDefault="00515390" w:rsidP="003730AA">
      <w:pPr>
        <w:pStyle w:val="Bibliography"/>
      </w:pPr>
      <w:r w:rsidRPr="00A141D2">
        <w:rPr>
          <w:rFonts w:eastAsia="Times New Roman"/>
          <w:sz w:val="22"/>
          <w:szCs w:val="22"/>
          <w:lang w:val="en-GB"/>
        </w:rPr>
        <w:fldChar w:fldCharType="begin"/>
      </w:r>
      <w:r w:rsidR="003730AA">
        <w:rPr>
          <w:rFonts w:eastAsia="Times New Roman"/>
          <w:sz w:val="22"/>
          <w:szCs w:val="22"/>
          <w:lang w:val="en-GB"/>
        </w:rPr>
        <w:instrText xml:space="preserve"> ADDIN ZOTERO_BIBL {"uncited":[],"omitted":[],"custom":[]} CSL_BIBLIOGRAPHY </w:instrText>
      </w:r>
      <w:r w:rsidRPr="00A141D2">
        <w:rPr>
          <w:rFonts w:eastAsia="Times New Roman"/>
          <w:sz w:val="22"/>
          <w:szCs w:val="22"/>
          <w:lang w:val="en-GB"/>
        </w:rPr>
        <w:fldChar w:fldCharType="separate"/>
      </w:r>
      <w:r w:rsidR="003730AA">
        <w:t xml:space="preserve">Alizadeh, M. R., Adamowski, J., &amp; Inam, A. (2022). Integrated assessment of localized SSP–RCP narratives for climate change adaptation in coupled human-water systems. </w:t>
      </w:r>
      <w:r w:rsidR="003730AA">
        <w:rPr>
          <w:i/>
          <w:iCs/>
        </w:rPr>
        <w:t>Science of The Total Environment</w:t>
      </w:r>
      <w:r w:rsidR="003730AA">
        <w:t xml:space="preserve">, </w:t>
      </w:r>
      <w:r w:rsidR="003730AA">
        <w:rPr>
          <w:i/>
          <w:iCs/>
        </w:rPr>
        <w:t>823</w:t>
      </w:r>
      <w:r w:rsidR="003730AA">
        <w:t>, 153660. https://doi.org/10.1016/j.scitotenv.2022.153660</w:t>
      </w:r>
    </w:p>
    <w:p w14:paraId="22D49BD3" w14:textId="77777777" w:rsidR="003730AA" w:rsidRDefault="003730AA" w:rsidP="003730AA">
      <w:pPr>
        <w:pStyle w:val="Bibliography"/>
      </w:pPr>
      <w:r>
        <w:t xml:space="preserve">Alodah, A., &amp; Seidou, O. (2020). Influence of output size of stochastic weather generators on common climate and hydrological statistical indices. </w:t>
      </w:r>
      <w:r>
        <w:rPr>
          <w:i/>
          <w:iCs/>
        </w:rPr>
        <w:t>Stochastic Environmental Research and Risk Assessment</w:t>
      </w:r>
      <w:r>
        <w:t xml:space="preserve">, </w:t>
      </w:r>
      <w:r>
        <w:rPr>
          <w:i/>
          <w:iCs/>
        </w:rPr>
        <w:t>34</w:t>
      </w:r>
      <w:r>
        <w:t>(7), 993–1021. Scopus. https://doi.org/10.1007/s00477-020-01825-w</w:t>
      </w:r>
    </w:p>
    <w:p w14:paraId="516AAAB8" w14:textId="77777777" w:rsidR="003730AA" w:rsidRDefault="003730AA" w:rsidP="003730AA">
      <w:pPr>
        <w:pStyle w:val="Bibliography"/>
      </w:pPr>
      <w:r>
        <w:t xml:space="preserve">Andrijevic, M., Huppmann, D., Shah, D., Werning, M., &amp; Hooke, D. (n.d.). </w:t>
      </w:r>
      <w:r>
        <w:rPr>
          <w:i/>
          <w:iCs/>
        </w:rPr>
        <w:t>SSP Extensions Explorer</w:t>
      </w:r>
      <w:r>
        <w:t>. IIASA Scenario Services App. Retrieved 26 September 2024, from https://ssp-extensions.apps.ece.iiasa.ac.at/</w:t>
      </w:r>
    </w:p>
    <w:p w14:paraId="0424301C" w14:textId="77777777" w:rsidR="003730AA" w:rsidRDefault="003730AA" w:rsidP="003730AA">
      <w:pPr>
        <w:pStyle w:val="Bibliography"/>
      </w:pPr>
      <w:r>
        <w:t xml:space="preserve">Bachner, G., Knittel, N., Poledna, S., Hochrainer-Stigler, S., &amp; Reiter, K. (2024). Revealing indirect risks in complex socioeconomic systems: A highly detailed multi-model analysis of flood events in Austria. </w:t>
      </w:r>
      <w:r>
        <w:rPr>
          <w:i/>
          <w:iCs/>
        </w:rPr>
        <w:t>Risk Analysis</w:t>
      </w:r>
      <w:r>
        <w:t xml:space="preserve">, </w:t>
      </w:r>
      <w:r>
        <w:rPr>
          <w:i/>
          <w:iCs/>
        </w:rPr>
        <w:t>44</w:t>
      </w:r>
      <w:r>
        <w:t>(1), 229–243. https://doi.org/10.1111/risa.14144</w:t>
      </w:r>
    </w:p>
    <w:p w14:paraId="7B565EC9" w14:textId="77777777" w:rsidR="003730AA" w:rsidRDefault="003730AA" w:rsidP="003730AA">
      <w:pPr>
        <w:pStyle w:val="Bibliography"/>
      </w:pPr>
      <w:r>
        <w:t xml:space="preserve">Barnes, C., Faranda, D., Coppola, E., Grazzini, F., Zachariah, M., Lu, C., Kimutai, J., Pinto, I., Pereira, C. M., Sengupta, S., Vahlberg, M., Singh, R., Heinrich, D., &amp; Otto, F. (2023). </w:t>
      </w:r>
      <w:r>
        <w:rPr>
          <w:i/>
          <w:iCs/>
        </w:rPr>
        <w:t>Limited net role for climate change in heavy spring rainfall in Emilia-Romagna</w:t>
      </w:r>
      <w:r>
        <w:t xml:space="preserve"> [Report]. https://doi.org/10.25561/104550</w:t>
      </w:r>
    </w:p>
    <w:p w14:paraId="3B7F4333" w14:textId="77777777" w:rsidR="003730AA" w:rsidRDefault="003730AA" w:rsidP="003730AA">
      <w:pPr>
        <w:pStyle w:val="Bibliography"/>
      </w:pPr>
      <w:r>
        <w:lastRenderedPageBreak/>
        <w:t xml:space="preserve">Bednar-Friedl, B., Biesbroek, R., Schmidt, D. N., Alexander, P., Børsheim, K. Y., Carnicer, J., Georgopoulou, E., Haasnoot, M., Le Cozannet, G., Lionello, P., Lipka, O., Möllmann, C., Muccione, V., Mustonen, T., Piepenburg, D., &amp; Whitmarsh, L. (2022). Europe. In H.-O. Pörtner, D. C. Roberts, M. M. B. Tignor, E. S. Poloczanska, K. Mintenbeck, A. Alegría, M. Craig, S. Langsdorf, S. Löschke, V. Möller, A. Okem, &amp; B. Rama (Eds.), </w:t>
      </w:r>
      <w:r>
        <w:rPr>
          <w:i/>
          <w:iCs/>
        </w:rPr>
        <w:t>Climate Change 2022: Impacts, Adaptation and Vulnerability. Contribution of Working Group II to the Sixth Assessment Report of the Intergovernmental Panel on Climate Change</w:t>
      </w:r>
      <w:r>
        <w:t>. Cambridge University Press. https://www.ipcc.ch/report/ar6/wg2/downloads/report/IPCC_AR6_WGII_Chapter13.pdf</w:t>
      </w:r>
    </w:p>
    <w:p w14:paraId="1C41D0E0" w14:textId="77777777" w:rsidR="003730AA" w:rsidRDefault="003730AA" w:rsidP="003730AA">
      <w:pPr>
        <w:pStyle w:val="Bibliography"/>
      </w:pPr>
      <w:r w:rsidRPr="003B356B">
        <w:rPr>
          <w:lang w:val="nl-NL"/>
        </w:rPr>
        <w:t xml:space="preserve">Blankespoor, B., Dasgupta, S., Wheeler, D., Jeuken, A., van Ginkel, K., Hill, K., &amp; Hirschfeld, D. (2023). </w:t>
      </w:r>
      <w:r>
        <w:t xml:space="preserve">Linking sea-level research with local planning and adaptation needs. </w:t>
      </w:r>
      <w:r>
        <w:rPr>
          <w:i/>
          <w:iCs/>
        </w:rPr>
        <w:t>Nature Climate Change</w:t>
      </w:r>
      <w:r>
        <w:t xml:space="preserve">, </w:t>
      </w:r>
      <w:r>
        <w:rPr>
          <w:i/>
          <w:iCs/>
        </w:rPr>
        <w:t>13</w:t>
      </w:r>
      <w:r>
        <w:t>(8), Article 8. https://doi.org/10.1038/s41558-023-01749-7</w:t>
      </w:r>
    </w:p>
    <w:p w14:paraId="23F6D095" w14:textId="77777777" w:rsidR="003730AA" w:rsidRDefault="003730AA" w:rsidP="003730AA">
      <w:pPr>
        <w:pStyle w:val="Bibliography"/>
      </w:pPr>
      <w:r>
        <w:t xml:space="preserve">Buskop, F. E., Sperna-Weiland, F., &amp; van den Hurk, B. (2024). Amplifying exploration of regional climate risks: Clustering future projections on regionally relevant impact drivers instead of emission scenarios. </w:t>
      </w:r>
      <w:r>
        <w:rPr>
          <w:i/>
          <w:iCs/>
        </w:rPr>
        <w:t>Environmental Research: Climate</w:t>
      </w:r>
      <w:r>
        <w:t>. https://doi.org/10.1088/2752-5295/ad9f8f</w:t>
      </w:r>
    </w:p>
    <w:p w14:paraId="4EACA83D" w14:textId="77777777" w:rsidR="003730AA" w:rsidRDefault="003730AA" w:rsidP="003730AA">
      <w:pPr>
        <w:pStyle w:val="Bibliography"/>
      </w:pPr>
      <w:r>
        <w:t xml:space="preserve">Central Statistical Bureau of Latvia. (2023). </w:t>
      </w:r>
      <w:r>
        <w:rPr>
          <w:i/>
          <w:iCs/>
        </w:rPr>
        <w:t>Symmetric input-output table at basic prices</w:t>
      </w:r>
      <w:r>
        <w:t>. Statistics Portal. https://stat.gov.lv/en/statistics-themes/economy/national-accounts/tables/iki060-symmetric-input-output-table-basic-prices</w:t>
      </w:r>
    </w:p>
    <w:p w14:paraId="50BF0A45" w14:textId="77777777" w:rsidR="003730AA" w:rsidRDefault="003730AA" w:rsidP="003730AA">
      <w:pPr>
        <w:pStyle w:val="Bibliography"/>
      </w:pPr>
      <w:r>
        <w:lastRenderedPageBreak/>
        <w:t xml:space="preserve">Challinor, A. J., Adger, W. N., Benton, T. G., Conway, D., Joshi, M., &amp; Frame, D. (2018). Transmission of climate risks across sectors and borders. </w:t>
      </w:r>
      <w:r>
        <w:rPr>
          <w:i/>
          <w:iCs/>
        </w:rPr>
        <w:t>Philosophical Transactions of the Royal Society A: Mathematical, Physical and Engineering Sciences</w:t>
      </w:r>
      <w:r>
        <w:t xml:space="preserve">, </w:t>
      </w:r>
      <w:r>
        <w:rPr>
          <w:i/>
          <w:iCs/>
        </w:rPr>
        <w:t>376</w:t>
      </w:r>
      <w:r>
        <w:t>(2121), 20170301. https://doi.org/10.1098/rsta.2017.0301</w:t>
      </w:r>
    </w:p>
    <w:p w14:paraId="4BF9D84D" w14:textId="77777777" w:rsidR="003730AA" w:rsidRDefault="003730AA" w:rsidP="003730AA">
      <w:pPr>
        <w:pStyle w:val="Bibliography"/>
      </w:pPr>
      <w:r>
        <w:t xml:space="preserve">Chen, G., Li, X., Liu, X., Chen, Y., Liang, X., Leng, J., Xu, X., Liao, W., Qiu, Y., Wu, Q., &amp; Huang, K. (2020). Global projections of future urban land expansion under shared socioeconomic pathways. </w:t>
      </w:r>
      <w:r>
        <w:rPr>
          <w:i/>
          <w:iCs/>
        </w:rPr>
        <w:t>Nature Communications</w:t>
      </w:r>
      <w:r>
        <w:t xml:space="preserve">, </w:t>
      </w:r>
      <w:r>
        <w:rPr>
          <w:i/>
          <w:iCs/>
        </w:rPr>
        <w:t>11</w:t>
      </w:r>
      <w:r>
        <w:t>(1), 537. https://doi.org/10.1038/s41467-020-14386-x</w:t>
      </w:r>
    </w:p>
    <w:p w14:paraId="4AEBD6A4" w14:textId="77777777" w:rsidR="003730AA" w:rsidRPr="003B356B" w:rsidRDefault="003730AA" w:rsidP="003730AA">
      <w:pPr>
        <w:pStyle w:val="Bibliography"/>
        <w:rPr>
          <w:lang w:val="nl-NL"/>
        </w:rPr>
      </w:pPr>
      <w:r>
        <w:t xml:space="preserve">Copernicus Climate Change Service. (2021). </w:t>
      </w:r>
      <w:r>
        <w:rPr>
          <w:i/>
          <w:iCs/>
        </w:rPr>
        <w:t>CMIP6 predictions underpinning the C3S decadal prediction prototypes</w:t>
      </w:r>
      <w:r>
        <w:t xml:space="preserve"> [Dataset]. </w:t>
      </w:r>
      <w:r w:rsidRPr="003B356B">
        <w:rPr>
          <w:lang w:val="nl-NL"/>
        </w:rPr>
        <w:t>ECMWF. https://doi.org/10.24381/CDS.C866074C</w:t>
      </w:r>
    </w:p>
    <w:p w14:paraId="54963528" w14:textId="77777777" w:rsidR="003730AA" w:rsidRDefault="003730AA" w:rsidP="003730AA">
      <w:pPr>
        <w:pStyle w:val="Bibliography"/>
      </w:pPr>
      <w:r w:rsidRPr="003B356B">
        <w:rPr>
          <w:lang w:val="nl-NL"/>
        </w:rPr>
        <w:t xml:space="preserve">Dellink, R., Chateau, J., Lanzi, E., &amp; Magné, B. (2017). </w:t>
      </w:r>
      <w:r>
        <w:t xml:space="preserve">Long-term economic growth projections in the Shared Socioeconomic Pathways. </w:t>
      </w:r>
      <w:r>
        <w:rPr>
          <w:i/>
          <w:iCs/>
        </w:rPr>
        <w:t>Global Environmental Change</w:t>
      </w:r>
      <w:r>
        <w:t xml:space="preserve">, </w:t>
      </w:r>
      <w:r>
        <w:rPr>
          <w:i/>
          <w:iCs/>
        </w:rPr>
        <w:t>42</w:t>
      </w:r>
      <w:r>
        <w:t>, 200–214. https://doi.org/10.1016/j.gloenvcha.2015.06.004</w:t>
      </w:r>
    </w:p>
    <w:p w14:paraId="218228BC" w14:textId="77777777" w:rsidR="003730AA" w:rsidRDefault="003730AA" w:rsidP="003730AA">
      <w:pPr>
        <w:pStyle w:val="Bibliography"/>
      </w:pPr>
      <w:r>
        <w:t xml:space="preserve">Deser, C. (2020). “Certain Uncertainty: The Role of Internal Climate Variability in Projections of Regional Climate Change and Risk Management”. </w:t>
      </w:r>
      <w:r>
        <w:rPr>
          <w:i/>
          <w:iCs/>
        </w:rPr>
        <w:t>Earth’s Future</w:t>
      </w:r>
      <w:r>
        <w:t xml:space="preserve">, </w:t>
      </w:r>
      <w:r>
        <w:rPr>
          <w:i/>
          <w:iCs/>
        </w:rPr>
        <w:t>8</w:t>
      </w:r>
      <w:r>
        <w:t>(12), e2020EF001854. https://doi.org/10.1029/2020EF001854</w:t>
      </w:r>
    </w:p>
    <w:p w14:paraId="196168AD" w14:textId="77777777" w:rsidR="003730AA" w:rsidRDefault="003730AA" w:rsidP="003730AA">
      <w:pPr>
        <w:pStyle w:val="Bibliography"/>
      </w:pPr>
      <w:r>
        <w:t xml:space="preserve">Dottori, F., Alfieri, L., Bianchi, A., Skoien, J., &amp; Salamon, P. (2022). A new dataset of river flood hazard maps for Europe and the Mediterranean Basin. </w:t>
      </w:r>
      <w:r>
        <w:rPr>
          <w:i/>
          <w:iCs/>
        </w:rPr>
        <w:t>Earth System Science Data</w:t>
      </w:r>
      <w:r>
        <w:t xml:space="preserve">, </w:t>
      </w:r>
      <w:r>
        <w:rPr>
          <w:i/>
          <w:iCs/>
        </w:rPr>
        <w:t>14</w:t>
      </w:r>
      <w:r>
        <w:t>(4), 1549–1569. https://doi.org/10.5194/essd-14-1549-2022</w:t>
      </w:r>
    </w:p>
    <w:p w14:paraId="48F9670D" w14:textId="77777777" w:rsidR="003730AA" w:rsidRPr="003B356B" w:rsidRDefault="003730AA" w:rsidP="003730AA">
      <w:pPr>
        <w:pStyle w:val="Bibliography"/>
        <w:rPr>
          <w:lang w:val="nl-NL"/>
        </w:rPr>
      </w:pPr>
      <w:r>
        <w:t xml:space="preserve">Dottori, F., Szewczyk, W., Ciscar, J.-C., Zhao, F., Alfieri, L., Hirabayashi, Y., Bianchi, A., Mongelli, I., Frieler, K., Betts, R. A., &amp; Feyen, L. (2018). Increased human and economic losses from </w:t>
      </w:r>
      <w:r>
        <w:lastRenderedPageBreak/>
        <w:t xml:space="preserve">river flooding with anthropogenic warming. </w:t>
      </w:r>
      <w:r w:rsidRPr="003B356B">
        <w:rPr>
          <w:i/>
          <w:iCs/>
          <w:lang w:val="nl-NL"/>
        </w:rPr>
        <w:t>Nature Climate Change</w:t>
      </w:r>
      <w:r w:rsidRPr="003B356B">
        <w:rPr>
          <w:lang w:val="nl-NL"/>
        </w:rPr>
        <w:t xml:space="preserve">, </w:t>
      </w:r>
      <w:r w:rsidRPr="003B356B">
        <w:rPr>
          <w:i/>
          <w:iCs/>
          <w:lang w:val="nl-NL"/>
        </w:rPr>
        <w:t>8</w:t>
      </w:r>
      <w:r w:rsidRPr="003B356B">
        <w:rPr>
          <w:lang w:val="nl-NL"/>
        </w:rPr>
        <w:t>(9), 781–786. https://doi.org/10.1038/s41558-018-0257-z</w:t>
      </w:r>
    </w:p>
    <w:p w14:paraId="22F32C06" w14:textId="77777777" w:rsidR="003730AA" w:rsidRDefault="003730AA" w:rsidP="003730AA">
      <w:pPr>
        <w:pStyle w:val="Bibliography"/>
      </w:pPr>
      <w:r w:rsidRPr="003B356B">
        <w:rPr>
          <w:lang w:val="nl-NL"/>
        </w:rPr>
        <w:t xml:space="preserve">Eilander, D., Boisgontier, H., Bouaziz, L. J. e, Buitink, J., Couasnon, A., Dalmijn, B., Hegnauer, M., Jong, T. de, Loos, S., Marth, I., &amp; van Verseveld, W. (2023). </w:t>
      </w:r>
      <w:r>
        <w:t xml:space="preserve">HydroMT: Automated and reproducible model building and analysis. </w:t>
      </w:r>
      <w:r>
        <w:rPr>
          <w:i/>
          <w:iCs/>
        </w:rPr>
        <w:t>Journal of Open Source Software</w:t>
      </w:r>
      <w:r>
        <w:t xml:space="preserve">, </w:t>
      </w:r>
      <w:r>
        <w:rPr>
          <w:i/>
          <w:iCs/>
        </w:rPr>
        <w:t>8</w:t>
      </w:r>
      <w:r>
        <w:t>(83), 4897. https://doi.org/10.21105/joss.04897</w:t>
      </w:r>
    </w:p>
    <w:p w14:paraId="65ECB4E6" w14:textId="77777777" w:rsidR="003730AA" w:rsidRDefault="003730AA" w:rsidP="003730AA">
      <w:pPr>
        <w:pStyle w:val="Bibliography"/>
      </w:pPr>
      <w:r w:rsidRPr="003B356B">
        <w:rPr>
          <w:lang w:val="nl-NL"/>
        </w:rPr>
        <w:t xml:space="preserve">Ercin, E., Veldkamp, T. I. E., &amp; Hunink, J. (2021). </w:t>
      </w:r>
      <w:r>
        <w:t xml:space="preserve">Cross-border climate vulnerabilities of the European Union to drought. </w:t>
      </w:r>
      <w:r>
        <w:rPr>
          <w:i/>
          <w:iCs/>
        </w:rPr>
        <w:t>Nature Communications</w:t>
      </w:r>
      <w:r>
        <w:t xml:space="preserve">, </w:t>
      </w:r>
      <w:r>
        <w:rPr>
          <w:i/>
          <w:iCs/>
        </w:rPr>
        <w:t>12</w:t>
      </w:r>
      <w:r>
        <w:t>(1), 3322. https://doi.org/10.1038/s41467-021-23584-0</w:t>
      </w:r>
    </w:p>
    <w:p w14:paraId="44E4C9C6" w14:textId="77777777" w:rsidR="003730AA" w:rsidRDefault="003730AA" w:rsidP="003730AA">
      <w:pPr>
        <w:pStyle w:val="Bibliography"/>
      </w:pPr>
      <w:r>
        <w:t xml:space="preserve">European Environment Agency. (2024). </w:t>
      </w:r>
      <w:r>
        <w:rPr>
          <w:i/>
          <w:iCs/>
        </w:rPr>
        <w:t>European climate risk assessment: Executive summary.</w:t>
      </w:r>
      <w:r>
        <w:t xml:space="preserve"> Publications Office. https://data.europa.eu/doi/10.2800/204249</w:t>
      </w:r>
    </w:p>
    <w:p w14:paraId="181D9230" w14:textId="77777777" w:rsidR="003730AA" w:rsidRDefault="003730AA" w:rsidP="003730AA">
      <w:pPr>
        <w:pStyle w:val="Bibliography"/>
      </w:pPr>
      <w:r>
        <w:t xml:space="preserve">Eurostat. (2008). </w:t>
      </w:r>
      <w:r>
        <w:rPr>
          <w:i/>
          <w:iCs/>
        </w:rPr>
        <w:t>NACE Rev. 2—Statistical classification of economic activities</w:t>
      </w:r>
      <w:r>
        <w:t>. Office for Official Publications of the European Communities. https://ec.europa.eu/eurostat/web/products-manuals-and-guidelines/-/ks-ra-07-015</w:t>
      </w:r>
    </w:p>
    <w:p w14:paraId="417E0C6F" w14:textId="77777777" w:rsidR="003730AA" w:rsidRDefault="003730AA" w:rsidP="003730AA">
      <w:pPr>
        <w:pStyle w:val="Bibliography"/>
      </w:pPr>
      <w:r>
        <w:t xml:space="preserve">Gao, J., &amp; Pesaresi, M. (2021). Downscaling SSP-consistent global spatial urban land projections from 1/8-degree to 1-km resolution 2000–2100. </w:t>
      </w:r>
      <w:r>
        <w:rPr>
          <w:i/>
          <w:iCs/>
        </w:rPr>
        <w:t>Scientific Data</w:t>
      </w:r>
      <w:r>
        <w:t xml:space="preserve">, </w:t>
      </w:r>
      <w:r>
        <w:rPr>
          <w:i/>
          <w:iCs/>
        </w:rPr>
        <w:t>8</w:t>
      </w:r>
      <w:r>
        <w:t>(1), 281. https://doi.org/10.1038/s41597-021-01052-0</w:t>
      </w:r>
    </w:p>
    <w:p w14:paraId="1BAFE5BA" w14:textId="77777777" w:rsidR="003730AA" w:rsidRDefault="003730AA" w:rsidP="003730AA">
      <w:pPr>
        <w:pStyle w:val="Bibliography"/>
      </w:pPr>
      <w:r>
        <w:t xml:space="preserve">Geurts, P., Ernst, D., &amp; Wehenkel, L. (2006). Extremely randomized trees. </w:t>
      </w:r>
      <w:r>
        <w:rPr>
          <w:i/>
          <w:iCs/>
        </w:rPr>
        <w:t>Machine Learning</w:t>
      </w:r>
      <w:r>
        <w:t xml:space="preserve">, </w:t>
      </w:r>
      <w:r>
        <w:rPr>
          <w:i/>
          <w:iCs/>
        </w:rPr>
        <w:t>63</w:t>
      </w:r>
      <w:r>
        <w:t>(1), 3–42. https://doi.org/10.1007/s10994-006-6226-1</w:t>
      </w:r>
    </w:p>
    <w:p w14:paraId="460CDD86" w14:textId="77777777" w:rsidR="003730AA" w:rsidRDefault="003730AA" w:rsidP="003730AA">
      <w:pPr>
        <w:pStyle w:val="Bibliography"/>
      </w:pPr>
      <w:r w:rsidRPr="003B356B">
        <w:rPr>
          <w:lang w:val="nl-NL"/>
        </w:rPr>
        <w:lastRenderedPageBreak/>
        <w:t xml:space="preserve">Goulart, H. M. D., Benito Lazaro, I., van Garderen, L., van der Wiel, K., Le Bars, D., Koks, E., &amp; van den Hurk, B. (2024). </w:t>
      </w:r>
      <w:r>
        <w:t xml:space="preserve">Compound flood impacts from Hurricane Sandy on New York City in climate-driven storylines. </w:t>
      </w:r>
      <w:r>
        <w:rPr>
          <w:i/>
          <w:iCs/>
        </w:rPr>
        <w:t>Natural Hazards and Earth System Sciences</w:t>
      </w:r>
      <w:r>
        <w:t xml:space="preserve">, </w:t>
      </w:r>
      <w:r>
        <w:rPr>
          <w:i/>
          <w:iCs/>
        </w:rPr>
        <w:t>24</w:t>
      </w:r>
      <w:r>
        <w:t>(1), 29–45. https://doi.org/10.5194/nhess-24-29-2024</w:t>
      </w:r>
    </w:p>
    <w:p w14:paraId="769B260F" w14:textId="77777777" w:rsidR="003730AA" w:rsidRDefault="003730AA" w:rsidP="003730AA">
      <w:pPr>
        <w:pStyle w:val="Bibliography"/>
      </w:pPr>
      <w:r>
        <w:t xml:space="preserve">Gutiérrez, J. M., R.G. Jones, G.T. Narisma, L.M. Alves, M. Amjad, I.V. Gorodetskaya, M. Grose, N.A.B. Klutse, S. Krakovska, J. Li, D. Martínez-Castro, L.O. Mearns, S.H. Mernild, T. Ngo-Duc, B. van den Hurk, &amp; J.-H. Yoon. (2021). Atlas. In </w:t>
      </w:r>
      <w:r>
        <w:rPr>
          <w:i/>
          <w:iCs/>
        </w:rPr>
        <w:t>Climate Change 2021: The Physical Science Basis. Contribution of Working Group I to the Sixth Assessment Report of the Intergovernmental Panel on Climate Change</w:t>
      </w:r>
      <w:r>
        <w:t xml:space="preserve"> (pp. 1927–2058). https://doi.org/10.1017/9781009157896.021</w:t>
      </w:r>
    </w:p>
    <w:p w14:paraId="390FF91F" w14:textId="77777777" w:rsidR="003730AA" w:rsidRDefault="003730AA" w:rsidP="003730AA">
      <w:pPr>
        <w:pStyle w:val="Bibliography"/>
      </w:pPr>
      <w:r w:rsidRPr="003B356B">
        <w:rPr>
          <w:lang w:val="nl-NL"/>
        </w:rPr>
        <w:t xml:space="preserve">Haasnoot, M., Warren, A., &amp; Kwakkel, J. H. (2019). </w:t>
      </w:r>
      <w:r>
        <w:t xml:space="preserve">Dynamic Adaptive Policy Pathways (DAPP). In V. A. W. J. Marchau, W. E. Walker, P. J. T. M. Bloemen, &amp; S. W. Popper (Eds.), </w:t>
      </w:r>
      <w:r>
        <w:rPr>
          <w:i/>
          <w:iCs/>
        </w:rPr>
        <w:t>Decision Making under Deep Uncertainty: From Theory to Practice</w:t>
      </w:r>
      <w:r>
        <w:t xml:space="preserve"> (pp. 71–92). Springer International Publishing. https://doi.org/10.1007/978-3-030-05252-2_4</w:t>
      </w:r>
    </w:p>
    <w:p w14:paraId="34D4F4DA" w14:textId="77777777" w:rsidR="003730AA" w:rsidRDefault="003730AA" w:rsidP="003730AA">
      <w:pPr>
        <w:pStyle w:val="Bibliography"/>
      </w:pPr>
      <w:r>
        <w:t xml:space="preserve">Haklay, M., &amp; Weber, P. (2008). OpenStreetMap: User-Generated Street Maps. </w:t>
      </w:r>
      <w:r>
        <w:rPr>
          <w:i/>
          <w:iCs/>
        </w:rPr>
        <w:t>IEEE Pervasive Computing</w:t>
      </w:r>
      <w:r>
        <w:t xml:space="preserve">, </w:t>
      </w:r>
      <w:r>
        <w:rPr>
          <w:i/>
          <w:iCs/>
        </w:rPr>
        <w:t>7</w:t>
      </w:r>
      <w:r>
        <w:t>(4), 12–18. IEEE Pervasive Computing. https://doi.org/10.1109/MPRV.2008.80</w:t>
      </w:r>
    </w:p>
    <w:p w14:paraId="68C219D2" w14:textId="77777777" w:rsidR="003730AA" w:rsidRDefault="003730AA" w:rsidP="003730AA">
      <w:pPr>
        <w:pStyle w:val="Bibliography"/>
      </w:pPr>
      <w:r>
        <w:t xml:space="preserve">Hallegatte, S., Jooste, C., &amp; McIsaac, F. (2024). Modeling the macroeconomic consequences of natural disasters: Capital stock, recovery dynamics, and monetary policy. </w:t>
      </w:r>
      <w:r>
        <w:rPr>
          <w:i/>
          <w:iCs/>
        </w:rPr>
        <w:t>Economic Modelling</w:t>
      </w:r>
      <w:r>
        <w:t xml:space="preserve">, </w:t>
      </w:r>
      <w:r>
        <w:rPr>
          <w:i/>
          <w:iCs/>
        </w:rPr>
        <w:t>139</w:t>
      </w:r>
      <w:r>
        <w:t>, 106787. https://doi.org/10.1016/j.econmod.2024.106787</w:t>
      </w:r>
    </w:p>
    <w:p w14:paraId="79658A31" w14:textId="77777777" w:rsidR="003730AA" w:rsidRDefault="003730AA" w:rsidP="003730AA">
      <w:pPr>
        <w:pStyle w:val="Bibliography"/>
      </w:pPr>
      <w:r>
        <w:lastRenderedPageBreak/>
        <w:t xml:space="preserve">Hawkins, E., &amp; Sutton, R. (2011). The potential to narrow uncertainty in projections of regional precipitation change. </w:t>
      </w:r>
      <w:r>
        <w:rPr>
          <w:i/>
          <w:iCs/>
        </w:rPr>
        <w:t>Climate Dynamics</w:t>
      </w:r>
      <w:r>
        <w:t xml:space="preserve">, </w:t>
      </w:r>
      <w:r>
        <w:rPr>
          <w:i/>
          <w:iCs/>
        </w:rPr>
        <w:t>37</w:t>
      </w:r>
      <w:r>
        <w:t>(1), 407–418. https://doi.org/10.1007/s00382-010-0810-6</w:t>
      </w:r>
    </w:p>
    <w:p w14:paraId="47737223" w14:textId="77777777" w:rsidR="003730AA" w:rsidRDefault="003730AA" w:rsidP="003730AA">
      <w:pPr>
        <w:pStyle w:val="Bibliography"/>
      </w:pPr>
      <w:r>
        <w:t xml:space="preserve">Hersbach, H., Bell, B., Berrisford, P., Biavati, G., Horányi, A., Sabater, J. M., Nicolas, J., Peubey, C., Radu, R., Rozum, I., Schepers, D., Simmons, A., Soci, C., Dee, D., &amp; Thépaut, J.-N. (2023). </w:t>
      </w:r>
      <w:r>
        <w:rPr>
          <w:i/>
          <w:iCs/>
        </w:rPr>
        <w:t>ERA5 hourly data on pressure levels from 1940 to present</w:t>
      </w:r>
      <w:r>
        <w:t xml:space="preserve"> [Dataset]. Copernicus Climate Change Service (C3S) Climate Data Store (CDS). https://doi.org/10.24381/cds.bd0915c6</w:t>
      </w:r>
    </w:p>
    <w:p w14:paraId="32EE77C4" w14:textId="77777777" w:rsidR="003730AA" w:rsidRDefault="003730AA" w:rsidP="003730AA">
      <w:pPr>
        <w:pStyle w:val="Bibliography"/>
      </w:pPr>
      <w:r>
        <w:t xml:space="preserve">Hochrainer-Stigler, S., Šakić Trogrlić, R., Reiter, K., Ward, P. J., Ruiter, M. C. de, Duncan, M. J., Torresan, S., Ciurean, R., Mysiak, J., Stuparu, D., &amp; Gottardo, S. (2023). Towards a framework for systemic multi-hazard and multi-risk assessment and management. </w:t>
      </w:r>
      <w:r>
        <w:rPr>
          <w:i/>
          <w:iCs/>
        </w:rPr>
        <w:t>iScience</w:t>
      </w:r>
      <w:r>
        <w:t>, 106736. https://doi.org/10.1016/j.isci.2023.106736</w:t>
      </w:r>
    </w:p>
    <w:p w14:paraId="017565E3" w14:textId="77777777" w:rsidR="003730AA" w:rsidRDefault="003730AA" w:rsidP="003730AA">
      <w:pPr>
        <w:pStyle w:val="Bibliography"/>
      </w:pPr>
      <w:r w:rsidRPr="003B356B">
        <w:rPr>
          <w:lang w:val="nl-NL"/>
        </w:rPr>
        <w:t xml:space="preserve">Huizinga, J., de Moel, H., &amp; Szewczyk, W. (2016). </w:t>
      </w:r>
      <w:r>
        <w:rPr>
          <w:i/>
          <w:iCs/>
        </w:rPr>
        <w:t>Global flood depth-damage functions: Methodology and the database with guidelines</w:t>
      </w:r>
      <w:r>
        <w:t>. Publications Office of the European Union. https://data.europa.eu/doi/10.2760/16510</w:t>
      </w:r>
    </w:p>
    <w:p w14:paraId="0FD2541D" w14:textId="77777777" w:rsidR="003730AA" w:rsidRDefault="003730AA" w:rsidP="003730AA">
      <w:pPr>
        <w:pStyle w:val="Bibliography"/>
      </w:pPr>
      <w:r>
        <w:t xml:space="preserve">Kirchhoff, C. J., Lemos, M. C., &amp; Dessai, S. (2013). Actionable Knowledge for Environmental Decision Making: Broadening the Usability of Climate Science. </w:t>
      </w:r>
      <w:r>
        <w:rPr>
          <w:i/>
          <w:iCs/>
        </w:rPr>
        <w:t>Annual Review of Environment and Resources</w:t>
      </w:r>
      <w:r>
        <w:t xml:space="preserve">, </w:t>
      </w:r>
      <w:r>
        <w:rPr>
          <w:i/>
          <w:iCs/>
        </w:rPr>
        <w:t>38</w:t>
      </w:r>
      <w:r>
        <w:t>(Volume 38, 2013), 393–414. https://doi.org/10.1146/annurev-environ-022112-112828</w:t>
      </w:r>
    </w:p>
    <w:p w14:paraId="12F19B2E" w14:textId="77777777" w:rsidR="003730AA" w:rsidRDefault="003730AA" w:rsidP="003730AA">
      <w:pPr>
        <w:pStyle w:val="Bibliography"/>
      </w:pPr>
      <w:r>
        <w:t xml:space="preserve">Koks, E. E., &amp; Thissen, M. (2016). A Multiregional Impact Assessment Model for disaster analysis. </w:t>
      </w:r>
      <w:r>
        <w:rPr>
          <w:i/>
          <w:iCs/>
        </w:rPr>
        <w:t>Economic Systems Research</w:t>
      </w:r>
      <w:r>
        <w:t xml:space="preserve">, </w:t>
      </w:r>
      <w:r>
        <w:rPr>
          <w:i/>
          <w:iCs/>
        </w:rPr>
        <w:t>28</w:t>
      </w:r>
      <w:r>
        <w:t>(4), 429–449. https://doi.org/10.1080/09535314.2016.1232701</w:t>
      </w:r>
    </w:p>
    <w:p w14:paraId="59DAECFE" w14:textId="77777777" w:rsidR="003730AA" w:rsidRDefault="003730AA" w:rsidP="003730AA">
      <w:pPr>
        <w:pStyle w:val="Bibliography"/>
      </w:pPr>
      <w:r>
        <w:lastRenderedPageBreak/>
        <w:t xml:space="preserve">Lawrence, J., Blackett, P., &amp; Cradock-Henry, N. A. (2020). Cascading climate change impacts and implications. </w:t>
      </w:r>
      <w:r>
        <w:rPr>
          <w:i/>
          <w:iCs/>
        </w:rPr>
        <w:t>Climate Risk Management</w:t>
      </w:r>
      <w:r>
        <w:t xml:space="preserve">, </w:t>
      </w:r>
      <w:r>
        <w:rPr>
          <w:i/>
          <w:iCs/>
        </w:rPr>
        <w:t>29</w:t>
      </w:r>
      <w:r>
        <w:t>, 100234. https://doi.org/10.1016/j.crm.2020.100234</w:t>
      </w:r>
    </w:p>
    <w:p w14:paraId="3EC2B416" w14:textId="77777777" w:rsidR="003730AA" w:rsidRDefault="003730AA" w:rsidP="003730AA">
      <w:pPr>
        <w:pStyle w:val="Bibliography"/>
      </w:pPr>
      <w:r>
        <w:t xml:space="preserve">Lehner, B., &amp; Grill, G. (2013). Global river hydrography and network routing: Baseline data and new approaches to study the world’s large river systems. </w:t>
      </w:r>
      <w:r>
        <w:rPr>
          <w:i/>
          <w:iCs/>
        </w:rPr>
        <w:t>Hydrological Processes</w:t>
      </w:r>
      <w:r>
        <w:t xml:space="preserve">, </w:t>
      </w:r>
      <w:r>
        <w:rPr>
          <w:i/>
          <w:iCs/>
        </w:rPr>
        <w:t>27</w:t>
      </w:r>
      <w:r>
        <w:t>(15), 2171–2186. https://doi.org/10.1002/hyp.9740</w:t>
      </w:r>
    </w:p>
    <w:p w14:paraId="4E83900D" w14:textId="77777777" w:rsidR="003730AA" w:rsidRDefault="003730AA" w:rsidP="003730AA">
      <w:pPr>
        <w:pStyle w:val="Bibliography"/>
      </w:pPr>
      <w:r>
        <w:t xml:space="preserve">Lehner, F., Deser, C., Maher, N., Marotzke, J., Fischer, E. M., Brunner, L., Knutti, R., &amp; Hawkins, E. (2020). Partitioning climate projection uncertainty with multiple large ensembles and CMIP5/6. </w:t>
      </w:r>
      <w:r>
        <w:rPr>
          <w:i/>
          <w:iCs/>
        </w:rPr>
        <w:t>Earth System Dynamics</w:t>
      </w:r>
      <w:r>
        <w:t xml:space="preserve">, </w:t>
      </w:r>
      <w:r>
        <w:rPr>
          <w:i/>
          <w:iCs/>
        </w:rPr>
        <w:t>11</w:t>
      </w:r>
      <w:r>
        <w:t>(2), 491–508. https://doi.org/10.5194/esd-11-491-2020</w:t>
      </w:r>
    </w:p>
    <w:p w14:paraId="283A1752" w14:textId="77777777" w:rsidR="003730AA" w:rsidRDefault="003730AA" w:rsidP="003730AA">
      <w:pPr>
        <w:pStyle w:val="Bibliography"/>
      </w:pPr>
      <w:r>
        <w:t xml:space="preserve">Leimbach, M., Marcolino, M., &amp; Koch, J. (2023). Structural change scenarios within the SSP framework. </w:t>
      </w:r>
      <w:r>
        <w:rPr>
          <w:i/>
          <w:iCs/>
        </w:rPr>
        <w:t>Futures</w:t>
      </w:r>
      <w:r>
        <w:t xml:space="preserve">, </w:t>
      </w:r>
      <w:r>
        <w:rPr>
          <w:i/>
          <w:iCs/>
        </w:rPr>
        <w:t>150</w:t>
      </w:r>
      <w:r>
        <w:t>, 103156. https://doi.org/10.1016/j.futures.2023.103156</w:t>
      </w:r>
    </w:p>
    <w:p w14:paraId="579D5B09" w14:textId="77777777" w:rsidR="003730AA" w:rsidRDefault="003730AA" w:rsidP="003730AA">
      <w:pPr>
        <w:pStyle w:val="Bibliography"/>
      </w:pPr>
      <w:r>
        <w:t xml:space="preserve">Lemos, M. C., Kirchhoff, C. J., &amp; Ramprasad, V. (2012). Narrowing the climate information usability gap. </w:t>
      </w:r>
      <w:r>
        <w:rPr>
          <w:i/>
          <w:iCs/>
        </w:rPr>
        <w:t>Nature Climate Change</w:t>
      </w:r>
      <w:r>
        <w:t xml:space="preserve">, </w:t>
      </w:r>
      <w:r>
        <w:rPr>
          <w:i/>
          <w:iCs/>
        </w:rPr>
        <w:t>2</w:t>
      </w:r>
      <w:r>
        <w:t>(11), 789–794. https://doi.org/10.1038/nclimate1614</w:t>
      </w:r>
    </w:p>
    <w:p w14:paraId="4ABA5597" w14:textId="77777777" w:rsidR="003730AA" w:rsidRDefault="003730AA" w:rsidP="003730AA">
      <w:pPr>
        <w:pStyle w:val="Bibliography"/>
      </w:pPr>
      <w:r>
        <w:t xml:space="preserve">Lempert, R. J. (2013). Scenarios that illuminate vulnerabilities and robust responses. </w:t>
      </w:r>
      <w:r>
        <w:rPr>
          <w:i/>
          <w:iCs/>
        </w:rPr>
        <w:t>Climatic Change</w:t>
      </w:r>
      <w:r>
        <w:t xml:space="preserve">, </w:t>
      </w:r>
      <w:r>
        <w:rPr>
          <w:i/>
          <w:iCs/>
        </w:rPr>
        <w:t>117</w:t>
      </w:r>
      <w:r>
        <w:t>(4), 627–646. https://doi.org/10.1007/s10584-012-0574-6</w:t>
      </w:r>
    </w:p>
    <w:p w14:paraId="69725C37" w14:textId="77777777" w:rsidR="003730AA" w:rsidRDefault="003730AA" w:rsidP="003730AA">
      <w:pPr>
        <w:pStyle w:val="Bibliography"/>
      </w:pPr>
      <w:r>
        <w:t xml:space="preserve">Lempert, R. J., Popper, S. W., &amp; Bankes, S. C. (2003). </w:t>
      </w:r>
      <w:r>
        <w:rPr>
          <w:i/>
          <w:iCs/>
        </w:rPr>
        <w:t>Shaping the Next One Hundred Years: New Methods for Quantitative, Long-Term Policy Analysis</w:t>
      </w:r>
      <w:r>
        <w:t>. RAND Corporation. https://www.rand.org/pubs/monograph_reports/MR1626.html</w:t>
      </w:r>
    </w:p>
    <w:p w14:paraId="6348AC6E" w14:textId="77777777" w:rsidR="003730AA" w:rsidRDefault="003730AA" w:rsidP="003730AA">
      <w:pPr>
        <w:pStyle w:val="Bibliography"/>
      </w:pPr>
      <w:r>
        <w:lastRenderedPageBreak/>
        <w:t xml:space="preserve">Leontief, W. W. (1936). Quantitative Input and Output Relations in the Economic Systems of the United States. </w:t>
      </w:r>
      <w:r>
        <w:rPr>
          <w:i/>
          <w:iCs/>
        </w:rPr>
        <w:t>The Review of Economics and Statistics</w:t>
      </w:r>
      <w:r>
        <w:t xml:space="preserve">, </w:t>
      </w:r>
      <w:r>
        <w:rPr>
          <w:i/>
          <w:iCs/>
        </w:rPr>
        <w:t>18</w:t>
      </w:r>
      <w:r>
        <w:t>(3), 105–125. https://doi.org/10.2307/1927837</w:t>
      </w:r>
    </w:p>
    <w:p w14:paraId="760BDADD" w14:textId="77777777" w:rsidR="003730AA" w:rsidRDefault="003730AA" w:rsidP="003730AA">
      <w:pPr>
        <w:pStyle w:val="Bibliography"/>
      </w:pPr>
      <w:r>
        <w:t xml:space="preserve">Levermann, A. (2014). Climate economics: Make supply chains climate-smart. </w:t>
      </w:r>
      <w:r>
        <w:rPr>
          <w:i/>
          <w:iCs/>
        </w:rPr>
        <w:t>Nature</w:t>
      </w:r>
      <w:r>
        <w:t xml:space="preserve">, </w:t>
      </w:r>
      <w:r>
        <w:rPr>
          <w:i/>
          <w:iCs/>
        </w:rPr>
        <w:t>506</w:t>
      </w:r>
      <w:r>
        <w:t>(7486), 27–29. https://doi.org/10.1038/506027a</w:t>
      </w:r>
    </w:p>
    <w:p w14:paraId="3FD8477F" w14:textId="77777777" w:rsidR="003730AA" w:rsidRDefault="003730AA" w:rsidP="003730AA">
      <w:pPr>
        <w:pStyle w:val="Bibliography"/>
      </w:pPr>
      <w:r>
        <w:t xml:space="preserve">Liné, A., Cassou, C., Msadek, R., &amp; Parey, S. (2024). Modulation of Northern Europe near-term anthropogenic warming and wettening assessed through internal variability storylines. </w:t>
      </w:r>
      <w:r>
        <w:rPr>
          <w:i/>
          <w:iCs/>
        </w:rPr>
        <w:t>Npj Climate and Atmospheric Science</w:t>
      </w:r>
      <w:r>
        <w:t xml:space="preserve">, </w:t>
      </w:r>
      <w:r>
        <w:rPr>
          <w:i/>
          <w:iCs/>
        </w:rPr>
        <w:t>7</w:t>
      </w:r>
      <w:r>
        <w:t>(1), 1–14. https://doi.org/10.1038/s41612-024-00759-2</w:t>
      </w:r>
    </w:p>
    <w:p w14:paraId="673BACAD" w14:textId="77777777" w:rsidR="003730AA" w:rsidRDefault="003730AA" w:rsidP="003730AA">
      <w:pPr>
        <w:pStyle w:val="Bibliography"/>
      </w:pPr>
      <w:r>
        <w:t xml:space="preserve">Linnerooth-Bayer, J., &amp; Hochrainer-Stigler, S. (2015). Financial instruments for disaster risk management and climate change adaptation. </w:t>
      </w:r>
      <w:r>
        <w:rPr>
          <w:i/>
          <w:iCs/>
        </w:rPr>
        <w:t>Climatic Change</w:t>
      </w:r>
      <w:r>
        <w:t xml:space="preserve">, </w:t>
      </w:r>
      <w:r>
        <w:rPr>
          <w:i/>
          <w:iCs/>
        </w:rPr>
        <w:t>133</w:t>
      </w:r>
      <w:r>
        <w:t>(1), 85–100. https://doi.org/10.1007/s10584-013-1035-6</w:t>
      </w:r>
    </w:p>
    <w:p w14:paraId="775C4502" w14:textId="77777777" w:rsidR="003730AA" w:rsidRDefault="003730AA" w:rsidP="003730AA">
      <w:pPr>
        <w:pStyle w:val="Bibliography"/>
      </w:pPr>
      <w:r>
        <w:t xml:space="preserve">Mechler, R., Bouwer, L. M., Linnerooth-Bayer, J., Hochrainer-Stigler, S., Aerts, J. C. J. H., Surminski, S., &amp; Williges, K. (2014). Managing unnatural disaster risk from climate extremes. </w:t>
      </w:r>
      <w:r>
        <w:rPr>
          <w:i/>
          <w:iCs/>
        </w:rPr>
        <w:t>Nature Climate Change</w:t>
      </w:r>
      <w:r>
        <w:t xml:space="preserve">, </w:t>
      </w:r>
      <w:r>
        <w:rPr>
          <w:i/>
          <w:iCs/>
        </w:rPr>
        <w:t>4</w:t>
      </w:r>
      <w:r>
        <w:t>(4), 235–237. https://doi.org/10.1038/nclimate2137</w:t>
      </w:r>
    </w:p>
    <w:p w14:paraId="29D0479A" w14:textId="77777777" w:rsidR="003730AA" w:rsidRDefault="003730AA" w:rsidP="003730AA">
      <w:pPr>
        <w:pStyle w:val="Bibliography"/>
      </w:pPr>
      <w:r w:rsidRPr="003B356B">
        <w:rPr>
          <w:lang w:val="nl-NL"/>
        </w:rPr>
        <w:t xml:space="preserve">Mengel, M., Treu, S., Lange, S., &amp; Frieler, K. (2021). </w:t>
      </w:r>
      <w:r>
        <w:t xml:space="preserve">ATTRICI v1.1 – counterfactual climate for impact attribution. </w:t>
      </w:r>
      <w:r>
        <w:rPr>
          <w:i/>
          <w:iCs/>
        </w:rPr>
        <w:t>Geoscientific Model Development</w:t>
      </w:r>
      <w:r>
        <w:t xml:space="preserve">, </w:t>
      </w:r>
      <w:r>
        <w:rPr>
          <w:i/>
          <w:iCs/>
        </w:rPr>
        <w:t>14</w:t>
      </w:r>
      <w:r>
        <w:t>(8), 5269–5284. https://doi.org/10.5194/gmd-14-5269-2021</w:t>
      </w:r>
    </w:p>
    <w:p w14:paraId="3657ABBF" w14:textId="77777777" w:rsidR="003730AA" w:rsidRDefault="003730AA" w:rsidP="003730AA">
      <w:pPr>
        <w:pStyle w:val="Bibliography"/>
      </w:pPr>
      <w:r>
        <w:t xml:space="preserve">Merz, B., Blöschl, G., Vorogushyn, S., Dottori, F., Aerts, J. C. J. H., Bates, P., Bertola, M., Kemter, M., Kreibich, H., Lall, U., &amp; Macdonald, E. (2021). Causes, impacts and patterns of </w:t>
      </w:r>
      <w:r>
        <w:lastRenderedPageBreak/>
        <w:t xml:space="preserve">disastrous river floods. </w:t>
      </w:r>
      <w:r>
        <w:rPr>
          <w:i/>
          <w:iCs/>
        </w:rPr>
        <w:t>Nature Reviews Earth &amp; Environment</w:t>
      </w:r>
      <w:r>
        <w:t xml:space="preserve">, </w:t>
      </w:r>
      <w:r>
        <w:rPr>
          <w:i/>
          <w:iCs/>
        </w:rPr>
        <w:t>2</w:t>
      </w:r>
      <w:r>
        <w:t>(9), 592–609. https://doi.org/10.1038/s43017-021-00195-3</w:t>
      </w:r>
    </w:p>
    <w:p w14:paraId="5C649F31" w14:textId="77777777" w:rsidR="003730AA" w:rsidRDefault="003730AA" w:rsidP="003730AA">
      <w:pPr>
        <w:pStyle w:val="Bibliography"/>
      </w:pPr>
      <w:r>
        <w:t xml:space="preserve">Middelanis, R., Willner, S. N., Otto, C., Kuhla, K., Quante, L., &amp; Levermann, A. (2021). Wave-like global economic ripple response to Hurricane Sandy. </w:t>
      </w:r>
      <w:r>
        <w:rPr>
          <w:i/>
          <w:iCs/>
        </w:rPr>
        <w:t>Environmental Research Letters</w:t>
      </w:r>
      <w:r>
        <w:t xml:space="preserve">, </w:t>
      </w:r>
      <w:r>
        <w:rPr>
          <w:i/>
          <w:iCs/>
        </w:rPr>
        <w:t>16</w:t>
      </w:r>
      <w:r>
        <w:t>(12), 124049. https://doi.org/10.1088/1748-9326/ac39c0</w:t>
      </w:r>
    </w:p>
    <w:p w14:paraId="1B3C0EB8" w14:textId="77777777" w:rsidR="003730AA" w:rsidRDefault="003730AA" w:rsidP="003730AA">
      <w:pPr>
        <w:pStyle w:val="Bibliography"/>
      </w:pPr>
      <w:r>
        <w:t xml:space="preserve">Middelanis, R., Willner, S. N., Otto, C., &amp; Levermann, A. (2022). Economic losses from hurricanes cannot be nationally offset under unabated warming. </w:t>
      </w:r>
      <w:r>
        <w:rPr>
          <w:i/>
          <w:iCs/>
        </w:rPr>
        <w:t>Environmental Research Letters</w:t>
      </w:r>
      <w:r>
        <w:t xml:space="preserve">, </w:t>
      </w:r>
      <w:r>
        <w:rPr>
          <w:i/>
          <w:iCs/>
        </w:rPr>
        <w:t>17</w:t>
      </w:r>
      <w:r>
        <w:t>(10), 104013. https://doi.org/10.1088/1748-9326/ac90d8</w:t>
      </w:r>
    </w:p>
    <w:p w14:paraId="6A0D5C3E" w14:textId="77777777" w:rsidR="003730AA" w:rsidRDefault="003730AA" w:rsidP="003730AA">
      <w:pPr>
        <w:pStyle w:val="Bibliography"/>
      </w:pPr>
      <w:r>
        <w:t xml:space="preserve">Miller, R. E., &amp; Blair, P. D. (2009). </w:t>
      </w:r>
      <w:r>
        <w:rPr>
          <w:i/>
          <w:iCs/>
        </w:rPr>
        <w:t>Input-Output Analysis: Foundations and Extensions</w:t>
      </w:r>
      <w:r>
        <w:t xml:space="preserve"> (2nd ed.). Cambridge University Press. https://doi.org/10.1017/CBO9780511626982</w:t>
      </w:r>
    </w:p>
    <w:p w14:paraId="1D98A798" w14:textId="77777777" w:rsidR="003730AA" w:rsidRDefault="003730AA" w:rsidP="003730AA">
      <w:pPr>
        <w:pStyle w:val="Bibliography"/>
      </w:pPr>
      <w:r>
        <w:t xml:space="preserve">Ministry of Environmental Protection and Regional Development. (2019). </w:t>
      </w:r>
      <w:r>
        <w:rPr>
          <w:i/>
          <w:iCs/>
        </w:rPr>
        <w:t>LATVIAN NATIONAL PLAN FOR ADAPTATION TO CLIMATE CHANGE UNTIL 2030</w:t>
      </w:r>
      <w:r>
        <w:t>. https://likumi.lv/doc.php?id=308330</w:t>
      </w:r>
    </w:p>
    <w:p w14:paraId="0462295F" w14:textId="77777777" w:rsidR="003730AA" w:rsidRDefault="003730AA" w:rsidP="003730AA">
      <w:pPr>
        <w:pStyle w:val="Bibliography"/>
      </w:pPr>
      <w:r>
        <w:t xml:space="preserve">Mora, C., Frazier, A. G., Longman, R. J., Dacks, R. S., Walton, M. M., Tong, E. J., Sanchez, J. J., Kaiser, L. R., Stender, Y. O., Anderson, J. M., Ambrosino, C. M., Fernandez-Silva, I., Giuseffi, L. M., &amp; Giambelluca, T. W. (2013). The projected timing of climate departure from recent variability. </w:t>
      </w:r>
      <w:r>
        <w:rPr>
          <w:i/>
          <w:iCs/>
        </w:rPr>
        <w:t>Nature</w:t>
      </w:r>
      <w:r>
        <w:t xml:space="preserve">, </w:t>
      </w:r>
      <w:r>
        <w:rPr>
          <w:i/>
          <w:iCs/>
        </w:rPr>
        <w:t>502</w:t>
      </w:r>
      <w:r>
        <w:t>(7470), Article 7470. https://doi.org/10.1038/nature12540</w:t>
      </w:r>
    </w:p>
    <w:p w14:paraId="44D9C900" w14:textId="77777777" w:rsidR="003730AA" w:rsidRDefault="003730AA" w:rsidP="003730AA">
      <w:pPr>
        <w:pStyle w:val="Bibliography"/>
      </w:pPr>
      <w:r w:rsidRPr="003B356B">
        <w:rPr>
          <w:lang w:val="nl-NL"/>
        </w:rPr>
        <w:t xml:space="preserve">O’Neill, B. C., Kriegler, E., Ebi, K. L., Kemp-Benedict, E., Riahi, K., Rothman, D. S., van Ruijven, B. J., van Vuuren, D. P., Birkmann, J., Kok, K., Levy, M., &amp; Solecki, W. (2017). </w:t>
      </w:r>
      <w:r>
        <w:t xml:space="preserve">The roads ahead: Narratives for shared socioeconomic pathways describing world futures in the 21st </w:t>
      </w:r>
      <w:r>
        <w:lastRenderedPageBreak/>
        <w:t xml:space="preserve">century. </w:t>
      </w:r>
      <w:r>
        <w:rPr>
          <w:i/>
          <w:iCs/>
        </w:rPr>
        <w:t>Global Environmental Change</w:t>
      </w:r>
      <w:r>
        <w:t xml:space="preserve">, </w:t>
      </w:r>
      <w:r>
        <w:rPr>
          <w:i/>
          <w:iCs/>
        </w:rPr>
        <w:t>42</w:t>
      </w:r>
      <w:r>
        <w:t>, 169–180. https://doi.org/10.1016/j.gloenvcha.2015.01.004</w:t>
      </w:r>
    </w:p>
    <w:p w14:paraId="7200D445" w14:textId="77777777" w:rsidR="003730AA" w:rsidRDefault="003730AA" w:rsidP="003730AA">
      <w:pPr>
        <w:pStyle w:val="Bibliography"/>
      </w:pPr>
      <w:r>
        <w:t xml:space="preserve">O’Neill, B. C., Kriegler, E., Riahi, K., Ebi, K. L., Hallegatte, S., Carter, T. R., Mathur, R., &amp; van Vuuren, D. P. (2014). A new scenario framework for climate change research: The concept of shared socioeconomic pathways. </w:t>
      </w:r>
      <w:r>
        <w:rPr>
          <w:i/>
          <w:iCs/>
        </w:rPr>
        <w:t>Climatic Change</w:t>
      </w:r>
      <w:r>
        <w:t xml:space="preserve">, </w:t>
      </w:r>
      <w:r>
        <w:rPr>
          <w:i/>
          <w:iCs/>
        </w:rPr>
        <w:t>122</w:t>
      </w:r>
      <w:r>
        <w:t>(3), 387–400. https://doi.org/10.1007/s10584-013-0905-2</w:t>
      </w:r>
    </w:p>
    <w:p w14:paraId="24DC6204" w14:textId="77777777" w:rsidR="003730AA" w:rsidRDefault="003730AA" w:rsidP="003730AA">
      <w:pPr>
        <w:pStyle w:val="Bibliography"/>
      </w:pPr>
      <w:r>
        <w:t xml:space="preserve">Pigaiani, C., &amp; Batista e Silva, F. (2021). </w:t>
      </w:r>
      <w:r>
        <w:rPr>
          <w:i/>
          <w:iCs/>
        </w:rPr>
        <w:t>The LUISA base map 2018: A geospatial data fusion approach to increase the detail of European land use/land cover data</w:t>
      </w:r>
      <w:r>
        <w:t>. Publications Office of the European Union. https://data.europa.eu/doi/10.2760/503006</w:t>
      </w:r>
    </w:p>
    <w:p w14:paraId="35A8EC2D" w14:textId="77777777" w:rsidR="003730AA" w:rsidRDefault="003730AA" w:rsidP="003730AA">
      <w:pPr>
        <w:pStyle w:val="Bibliography"/>
      </w:pPr>
      <w:r w:rsidRPr="003B356B">
        <w:rPr>
          <w:lang w:val="nl-NL"/>
        </w:rPr>
        <w:t xml:space="preserve">Reimann, L., Vollstedt, B., Koerth, J., Tsakiris, M., Beer, M., &amp; Vafeidis, A. T. (2021). </w:t>
      </w:r>
      <w:r>
        <w:t xml:space="preserve">Extending the Shared Socioeconomic Pathways (SSPs) to support local adaptation planning—A climate service for Flensburg, Germany. </w:t>
      </w:r>
      <w:r>
        <w:rPr>
          <w:i/>
          <w:iCs/>
        </w:rPr>
        <w:t>Futures</w:t>
      </w:r>
      <w:r>
        <w:t xml:space="preserve">, </w:t>
      </w:r>
      <w:r>
        <w:rPr>
          <w:i/>
          <w:iCs/>
        </w:rPr>
        <w:t>127</w:t>
      </w:r>
      <w:r>
        <w:t>, 102691. https://doi.org/10.1016/j.futures.2020.102691</w:t>
      </w:r>
    </w:p>
    <w:p w14:paraId="2C794115" w14:textId="77777777" w:rsidR="003730AA" w:rsidRDefault="003730AA" w:rsidP="003730AA">
      <w:pPr>
        <w:pStyle w:val="Bibliography"/>
      </w:pPr>
      <w:r>
        <w:t xml:space="preserve">Rosenzweig, C., &amp; Solecki, W. (2014). Hurricane Sandy and adaptation pathways in New York: Lessons from a first-responder city. </w:t>
      </w:r>
      <w:r>
        <w:rPr>
          <w:i/>
          <w:iCs/>
        </w:rPr>
        <w:t>Global Environmental Change</w:t>
      </w:r>
      <w:r>
        <w:t xml:space="preserve">, </w:t>
      </w:r>
      <w:r>
        <w:rPr>
          <w:i/>
          <w:iCs/>
        </w:rPr>
        <w:t>28</w:t>
      </w:r>
      <w:r>
        <w:t>, 395–408. https://doi.org/10.1016/j.gloenvcha.2014.05.003</w:t>
      </w:r>
    </w:p>
    <w:p w14:paraId="42C28816" w14:textId="77777777" w:rsidR="003730AA" w:rsidRDefault="003730AA" w:rsidP="003730AA">
      <w:pPr>
        <w:pStyle w:val="Bibliography"/>
      </w:pPr>
      <w:r>
        <w:t xml:space="preserve">Shepherd, T. G. (2016). A Common Framework for Approaches to Extreme Event Attribution. </w:t>
      </w:r>
      <w:r>
        <w:rPr>
          <w:i/>
          <w:iCs/>
        </w:rPr>
        <w:t>Current Climate Change Reports</w:t>
      </w:r>
      <w:r>
        <w:t xml:space="preserve">, </w:t>
      </w:r>
      <w:r>
        <w:rPr>
          <w:i/>
          <w:iCs/>
        </w:rPr>
        <w:t>2</w:t>
      </w:r>
      <w:r>
        <w:t>(1), 28–38. https://doi.org/10.1007/s40641-016-0033-y</w:t>
      </w:r>
    </w:p>
    <w:p w14:paraId="3BEB9C71" w14:textId="77777777" w:rsidR="003730AA" w:rsidRDefault="003730AA" w:rsidP="003730AA">
      <w:pPr>
        <w:pStyle w:val="Bibliography"/>
      </w:pPr>
      <w:r>
        <w:lastRenderedPageBreak/>
        <w:t xml:space="preserve">Shepherd, T. G. (2019). Storyline approach to the construction of regional climate change information. </w:t>
      </w:r>
      <w:r>
        <w:rPr>
          <w:i/>
          <w:iCs/>
        </w:rPr>
        <w:t>Proceedings of the Royal Society A: Mathematical, Physical and Engineering Sciences</w:t>
      </w:r>
      <w:r>
        <w:t xml:space="preserve">, </w:t>
      </w:r>
      <w:r>
        <w:rPr>
          <w:i/>
          <w:iCs/>
        </w:rPr>
        <w:t>475</w:t>
      </w:r>
      <w:r>
        <w:t>(2225), 20190013. https://doi.org/10.1098/rspa.2019.0013</w:t>
      </w:r>
    </w:p>
    <w:p w14:paraId="58DD7CD5" w14:textId="77777777" w:rsidR="003730AA" w:rsidRDefault="003730AA" w:rsidP="003730AA">
      <w:pPr>
        <w:pStyle w:val="Bibliography"/>
      </w:pPr>
      <w:r>
        <w:t xml:space="preserve">Shepherd, T. G., Boyd, E., Calel, R. A., Chapman, S. C., Dessai, S., Dima-West, I. M., Fowler, H. J., James, R., Maraun, D., Martius, O., Senior, C. A., Sobel, A. H., Stainforth, D. A., Tett, S. F. B., Trenberth, K. E., van den Hurk, B. J. J. M., Watkins, N. W., Wilby, R. L., &amp; Zenghelis, D. A. (2018). Storylines: An alternative approach to representing uncertainty in physical aspects of climate change. </w:t>
      </w:r>
      <w:r>
        <w:rPr>
          <w:i/>
          <w:iCs/>
        </w:rPr>
        <w:t>Climatic Change</w:t>
      </w:r>
      <w:r>
        <w:t xml:space="preserve">, </w:t>
      </w:r>
      <w:r>
        <w:rPr>
          <w:i/>
          <w:iCs/>
        </w:rPr>
        <w:t>151</w:t>
      </w:r>
      <w:r>
        <w:t>(3), 555–571. https://doi.org/10.1007/s10584-018-2317-9</w:t>
      </w:r>
    </w:p>
    <w:p w14:paraId="440AD2CB" w14:textId="77777777" w:rsidR="003730AA" w:rsidRPr="003B356B" w:rsidRDefault="003730AA" w:rsidP="003730AA">
      <w:pPr>
        <w:pStyle w:val="Bibliography"/>
        <w:rPr>
          <w:lang w:val="nl-NL"/>
        </w:rPr>
      </w:pPr>
      <w:r>
        <w:t xml:space="preserve">Sieg, T., Schinko, T., Vogel, K., Mechler, R., Merz, B., &amp; Kreibich, H. (2019). Integrated assessment of short-term direct and indirect economic flood impacts including uncertainty quantification. </w:t>
      </w:r>
      <w:r w:rsidRPr="003B356B">
        <w:rPr>
          <w:i/>
          <w:iCs/>
          <w:lang w:val="nl-NL"/>
        </w:rPr>
        <w:t>PLOS ONE</w:t>
      </w:r>
      <w:r w:rsidRPr="003B356B">
        <w:rPr>
          <w:lang w:val="nl-NL"/>
        </w:rPr>
        <w:t xml:space="preserve">, </w:t>
      </w:r>
      <w:r w:rsidRPr="003B356B">
        <w:rPr>
          <w:i/>
          <w:iCs/>
          <w:lang w:val="nl-NL"/>
        </w:rPr>
        <w:t>14</w:t>
      </w:r>
      <w:r w:rsidRPr="003B356B">
        <w:rPr>
          <w:lang w:val="nl-NL"/>
        </w:rPr>
        <w:t>(4), e0212932. https://doi.org/10.1371/journal.pone.0212932</w:t>
      </w:r>
    </w:p>
    <w:p w14:paraId="6E45804C" w14:textId="77777777" w:rsidR="003730AA" w:rsidRDefault="003730AA" w:rsidP="003730AA">
      <w:pPr>
        <w:pStyle w:val="Bibliography"/>
      </w:pPr>
      <w:r w:rsidRPr="003B356B">
        <w:rPr>
          <w:lang w:val="nl-NL"/>
        </w:rPr>
        <w:t xml:space="preserve">Sillmann, J., Shepherd, T. G., van den Hurk, B., Hazeleger, W., Martius, O., Slingo, J., &amp; Zscheischler, J. (2021). </w:t>
      </w:r>
      <w:r>
        <w:t xml:space="preserve">Event-Based Storylines to Address Climate Risk. </w:t>
      </w:r>
      <w:r>
        <w:rPr>
          <w:i/>
          <w:iCs/>
        </w:rPr>
        <w:t>Earth’s Future</w:t>
      </w:r>
      <w:r>
        <w:t xml:space="preserve">, </w:t>
      </w:r>
      <w:r>
        <w:rPr>
          <w:i/>
          <w:iCs/>
        </w:rPr>
        <w:t>9</w:t>
      </w:r>
      <w:r>
        <w:t>(2), e2020EF001783. https://doi.org/10.1029/2020EF001783</w:t>
      </w:r>
    </w:p>
    <w:p w14:paraId="7B57D98B" w14:textId="77777777" w:rsidR="003730AA" w:rsidRDefault="003730AA" w:rsidP="003730AA">
      <w:pPr>
        <w:pStyle w:val="Bibliography"/>
      </w:pPr>
      <w:r>
        <w:t xml:space="preserve">Steinhausen, M., Paprotny, D., Dottori, F., Sairam, N., Mentaschi, L., Alfieri, L., Lüdtke, S., Kreibich, H., &amp; Schröter, K. (2022). Drivers of future fluvial flood risk change for residential buildings in Europe. </w:t>
      </w:r>
      <w:r>
        <w:rPr>
          <w:i/>
          <w:iCs/>
        </w:rPr>
        <w:t>Global Environmental Change</w:t>
      </w:r>
      <w:r>
        <w:t xml:space="preserve">, </w:t>
      </w:r>
      <w:r>
        <w:rPr>
          <w:i/>
          <w:iCs/>
        </w:rPr>
        <w:t>76</w:t>
      </w:r>
      <w:r>
        <w:t>, 102559. https://doi.org/10.1016/j.gloenvcha.2022.102559</w:t>
      </w:r>
    </w:p>
    <w:p w14:paraId="7441A619" w14:textId="77777777" w:rsidR="003730AA" w:rsidRDefault="003730AA" w:rsidP="003730AA">
      <w:pPr>
        <w:pStyle w:val="Bibliography"/>
      </w:pPr>
      <w:r>
        <w:lastRenderedPageBreak/>
        <w:t xml:space="preserve">Steinschneider, S., &amp; Brown, C. (2013). A semiparametric multivariate, multisite weather generator with low-frequency variability for use in climate risk assessments. </w:t>
      </w:r>
      <w:r>
        <w:rPr>
          <w:i/>
          <w:iCs/>
        </w:rPr>
        <w:t>Water Resources Research</w:t>
      </w:r>
      <w:r>
        <w:t xml:space="preserve">, </w:t>
      </w:r>
      <w:r>
        <w:rPr>
          <w:i/>
          <w:iCs/>
        </w:rPr>
        <w:t>49</w:t>
      </w:r>
      <w:r>
        <w:t>(11), 7205–7220. https://doi.org/10.1002/wrcr.20528</w:t>
      </w:r>
    </w:p>
    <w:p w14:paraId="158E0FFC" w14:textId="77777777" w:rsidR="003730AA" w:rsidRDefault="003730AA" w:rsidP="003730AA">
      <w:pPr>
        <w:pStyle w:val="Bibliography"/>
      </w:pPr>
      <w:r>
        <w:t xml:space="preserve">Stott, P. A., Christidis, N., Otto, F. E. L., Sun, Y., Vanderlinden, J.-P., van Oldenborgh, G. J., Vautard, R., von Storch, H., Walton, P., Yiou, P., &amp; Zwiers, F. W. (2016). Attribution of extreme weather and climate-related events. </w:t>
      </w:r>
      <w:r>
        <w:rPr>
          <w:i/>
          <w:iCs/>
        </w:rPr>
        <w:t>WIREs Climate Change</w:t>
      </w:r>
      <w:r>
        <w:t xml:space="preserve">, </w:t>
      </w:r>
      <w:r>
        <w:rPr>
          <w:i/>
          <w:iCs/>
        </w:rPr>
        <w:t>7</w:t>
      </w:r>
      <w:r>
        <w:t>(1), 23–41. https://doi.org/10.1002/wcc.380</w:t>
      </w:r>
    </w:p>
    <w:p w14:paraId="0607F69D" w14:textId="77777777" w:rsidR="003730AA" w:rsidRDefault="003730AA" w:rsidP="003730AA">
      <w:pPr>
        <w:pStyle w:val="Bibliography"/>
      </w:pPr>
      <w:r w:rsidRPr="003B356B">
        <w:rPr>
          <w:lang w:val="nl-NL"/>
        </w:rPr>
        <w:t xml:space="preserve">Tukker, A., Bulavskaya, T., Giljum, S., de Koning, A., Lutter, S., Simas, M., Stadler, K., &amp; Wood, R. (2016). </w:t>
      </w:r>
      <w:r>
        <w:t xml:space="preserve">Environmental and resource footprints in a global context: Europe’s structural deficit in resource endowments. </w:t>
      </w:r>
      <w:r>
        <w:rPr>
          <w:i/>
          <w:iCs/>
        </w:rPr>
        <w:t>Global Environmental Change</w:t>
      </w:r>
      <w:r>
        <w:t xml:space="preserve">, </w:t>
      </w:r>
      <w:r>
        <w:rPr>
          <w:i/>
          <w:iCs/>
        </w:rPr>
        <w:t>40</w:t>
      </w:r>
      <w:r>
        <w:t>, 171–181. https://doi.org/10.1016/j.gloenvcha.2016.07.002</w:t>
      </w:r>
    </w:p>
    <w:p w14:paraId="7A8CA41F" w14:textId="77777777" w:rsidR="003730AA" w:rsidRDefault="003730AA" w:rsidP="003730AA">
      <w:pPr>
        <w:pStyle w:val="Bibliography"/>
      </w:pPr>
      <w:r>
        <w:t xml:space="preserve">Vagliasindi, M., &amp; Gorgulu, N. (2021). </w:t>
      </w:r>
      <w:r>
        <w:rPr>
          <w:i/>
          <w:iCs/>
        </w:rPr>
        <w:t>What have we Learned about the Effectiveness of Infrastructure Investment as a Fiscal Stimulus? A Literature Review</w:t>
      </w:r>
      <w:r>
        <w:t xml:space="preserve"> (Policy Research Working Papers). The World Bank. https://doi.org/10.1596/1813-9450-9796</w:t>
      </w:r>
    </w:p>
    <w:p w14:paraId="00813738" w14:textId="77777777" w:rsidR="003730AA" w:rsidRPr="003B356B" w:rsidRDefault="003730AA" w:rsidP="003730AA">
      <w:pPr>
        <w:pStyle w:val="Bibliography"/>
        <w:rPr>
          <w:lang w:val="nl-NL"/>
        </w:rPr>
      </w:pPr>
      <w:r w:rsidRPr="003B356B">
        <w:rPr>
          <w:lang w:val="nl-NL"/>
        </w:rPr>
        <w:t xml:space="preserve">van den Hurk, B. J. J. M. (2022). </w:t>
      </w:r>
      <w:r>
        <w:t xml:space="preserve">Impact-Oriented Climate Information Selection. </w:t>
      </w:r>
      <w:r w:rsidRPr="003B356B">
        <w:rPr>
          <w:i/>
          <w:iCs/>
          <w:lang w:val="nl-NL"/>
        </w:rPr>
        <w:t>Springer Climate</w:t>
      </w:r>
      <w:r w:rsidRPr="003B356B">
        <w:rPr>
          <w:lang w:val="nl-NL"/>
        </w:rPr>
        <w:t>, 27–32. https://doi.org/10.1007/978-3-030-86211-4_4</w:t>
      </w:r>
    </w:p>
    <w:p w14:paraId="78301FDB" w14:textId="77777777" w:rsidR="003730AA" w:rsidRPr="003B356B" w:rsidRDefault="003730AA" w:rsidP="003730AA">
      <w:pPr>
        <w:pStyle w:val="Bibliography"/>
        <w:rPr>
          <w:lang w:val="nl-NL"/>
        </w:rPr>
      </w:pPr>
      <w:r w:rsidRPr="003B356B">
        <w:rPr>
          <w:lang w:val="nl-NL"/>
        </w:rPr>
        <w:t xml:space="preserve">van den Hurk, B. J. J. M., Baldissera Pacchetti, M., Boere, E., Ciullo, A., Coulter, L., Dessai, S., Ercin, E., Goulart, H. M. D., Hamed, R., Hochrainer-Stigler, S., Koks, E., Kubiczek, P., Levermann, A., Mechler, R., van Meersbergen, M., Mester, B., Middelanis, R., Minderhoud, K., Mysiak, J., … </w:t>
      </w:r>
      <w:r>
        <w:t xml:space="preserve">Witpas, K. (2023). Climate impact storylines for assessing socio-economic responses </w:t>
      </w:r>
      <w:r>
        <w:lastRenderedPageBreak/>
        <w:t xml:space="preserve">to remote events. </w:t>
      </w:r>
      <w:r w:rsidRPr="003B356B">
        <w:rPr>
          <w:i/>
          <w:iCs/>
          <w:lang w:val="nl-NL"/>
        </w:rPr>
        <w:t>Climate Risk Management</w:t>
      </w:r>
      <w:r w:rsidRPr="003B356B">
        <w:rPr>
          <w:lang w:val="nl-NL"/>
        </w:rPr>
        <w:t xml:space="preserve">, </w:t>
      </w:r>
      <w:r w:rsidRPr="003B356B">
        <w:rPr>
          <w:i/>
          <w:iCs/>
          <w:lang w:val="nl-NL"/>
        </w:rPr>
        <w:t>40</w:t>
      </w:r>
      <w:r w:rsidRPr="003B356B">
        <w:rPr>
          <w:lang w:val="nl-NL"/>
        </w:rPr>
        <w:t>, 100500. https://doi.org/10.1016/j.crm.2023.100500</w:t>
      </w:r>
    </w:p>
    <w:p w14:paraId="6942FD75" w14:textId="77777777" w:rsidR="003730AA" w:rsidRDefault="003730AA" w:rsidP="003730AA">
      <w:pPr>
        <w:pStyle w:val="Bibliography"/>
      </w:pPr>
      <w:r w:rsidRPr="003B356B">
        <w:rPr>
          <w:lang w:val="nl-NL"/>
        </w:rPr>
        <w:t xml:space="preserve">van der Wiel, K., Beersma, J., van den Brink, H., Krikken, F., Selten, F., Severijns, C., Sterl, A., van Meijgaard, E., Reerink, T., &amp; van Dorland, R. (2024). </w:t>
      </w:r>
      <w:r>
        <w:t xml:space="preserve">KNMI’23 Climate Scenarios for the Netherlands: Storyline Scenarios of Regional Climate Change. </w:t>
      </w:r>
      <w:r>
        <w:rPr>
          <w:i/>
          <w:iCs/>
        </w:rPr>
        <w:t>Earth’s Future</w:t>
      </w:r>
      <w:r>
        <w:t xml:space="preserve">, </w:t>
      </w:r>
      <w:r>
        <w:rPr>
          <w:i/>
          <w:iCs/>
        </w:rPr>
        <w:t>12</w:t>
      </w:r>
      <w:r>
        <w:t>(2), e2023EF003983. https://doi.org/10.1029/2023EF003983</w:t>
      </w:r>
    </w:p>
    <w:p w14:paraId="4A026245" w14:textId="77777777" w:rsidR="003730AA" w:rsidRDefault="003730AA" w:rsidP="003730AA">
      <w:pPr>
        <w:pStyle w:val="Bibliography"/>
      </w:pPr>
      <w:r>
        <w:t xml:space="preserve">van der Wiel, K., Selten, F. M., Bintanja, R., Blackport, R., &amp; Screen, J. A. (2020). Ensemble climate-impact modelling: Extreme impacts from moderate meteorological conditions. </w:t>
      </w:r>
      <w:r>
        <w:rPr>
          <w:i/>
          <w:iCs/>
        </w:rPr>
        <w:t>Environmental Research Letters</w:t>
      </w:r>
      <w:r>
        <w:t xml:space="preserve">, </w:t>
      </w:r>
      <w:r>
        <w:rPr>
          <w:i/>
          <w:iCs/>
        </w:rPr>
        <w:t>15</w:t>
      </w:r>
      <w:r>
        <w:t>(3), 034050. https://doi.org/10.1088/1748-9326/ab7668</w:t>
      </w:r>
    </w:p>
    <w:p w14:paraId="5880D911" w14:textId="77777777" w:rsidR="003730AA" w:rsidRDefault="003730AA" w:rsidP="003730AA">
      <w:pPr>
        <w:pStyle w:val="Bibliography"/>
      </w:pPr>
      <w:r>
        <w:t xml:space="preserve">van Oldenborgh, G. J., van der Wiel, K., Kew, S., Philip, S., Otto, F., Vautard, R., King, A., Lott, F., Arrighi, J., Singh, R., &amp; van Aalst, M. (2021). Pathways and pitfalls in extreme event attribution. </w:t>
      </w:r>
      <w:r>
        <w:rPr>
          <w:i/>
          <w:iCs/>
        </w:rPr>
        <w:t>Climatic Change</w:t>
      </w:r>
      <w:r>
        <w:t xml:space="preserve">, </w:t>
      </w:r>
      <w:r>
        <w:rPr>
          <w:i/>
          <w:iCs/>
        </w:rPr>
        <w:t>166</w:t>
      </w:r>
      <w:r>
        <w:t>(1), 13. https://doi.org/10.1007/s10584-021-03071-7</w:t>
      </w:r>
    </w:p>
    <w:p w14:paraId="62143F82" w14:textId="77777777" w:rsidR="003730AA" w:rsidRPr="003B356B" w:rsidRDefault="003730AA" w:rsidP="003730AA">
      <w:pPr>
        <w:pStyle w:val="Bibliography"/>
        <w:rPr>
          <w:lang w:val="nl-NL"/>
        </w:rPr>
      </w:pPr>
      <w:r w:rsidRPr="003B356B">
        <w:rPr>
          <w:lang w:val="nl-NL"/>
        </w:rPr>
        <w:t xml:space="preserve">van ’t Klooster, S. A., &amp; van Asselt, M. B. A. (2006). </w:t>
      </w:r>
      <w:r>
        <w:t xml:space="preserve">Practising the scenario-axes technique. </w:t>
      </w:r>
      <w:r w:rsidRPr="003B356B">
        <w:rPr>
          <w:i/>
          <w:iCs/>
          <w:lang w:val="nl-NL"/>
        </w:rPr>
        <w:t>Futures</w:t>
      </w:r>
      <w:r w:rsidRPr="003B356B">
        <w:rPr>
          <w:lang w:val="nl-NL"/>
        </w:rPr>
        <w:t xml:space="preserve">, </w:t>
      </w:r>
      <w:r w:rsidRPr="003B356B">
        <w:rPr>
          <w:i/>
          <w:iCs/>
          <w:lang w:val="nl-NL"/>
        </w:rPr>
        <w:t>38</w:t>
      </w:r>
      <w:r w:rsidRPr="003B356B">
        <w:rPr>
          <w:lang w:val="nl-NL"/>
        </w:rPr>
        <w:t>(1), 15–30. https://doi.org/10.1016/j.futures.2005.04.019</w:t>
      </w:r>
    </w:p>
    <w:p w14:paraId="3DD5525E" w14:textId="77777777" w:rsidR="003730AA" w:rsidRDefault="003730AA" w:rsidP="003730AA">
      <w:pPr>
        <w:pStyle w:val="Bibliography"/>
      </w:pPr>
      <w:r w:rsidRPr="003B356B">
        <w:rPr>
          <w:lang w:val="nl-NL"/>
        </w:rPr>
        <w:t xml:space="preserve">van Verseveld, W., Weerts, A. H., Visser, M., Buitink, J., Imhoff, R. O., Boisgontier, H., Bouaziz, L., Eilander, D., Hegnauer, M., ten Velden, C., &amp; Russell, B. (2024). </w:t>
      </w:r>
      <w:r>
        <w:t xml:space="preserve">Wflow_sbm v0.7.3, a spatially distributed hydrological model: From global data to local applications. </w:t>
      </w:r>
      <w:r>
        <w:rPr>
          <w:i/>
          <w:iCs/>
        </w:rPr>
        <w:t>Geoscientific Model Development</w:t>
      </w:r>
      <w:r>
        <w:t xml:space="preserve">, </w:t>
      </w:r>
      <w:r>
        <w:rPr>
          <w:i/>
          <w:iCs/>
        </w:rPr>
        <w:t>17</w:t>
      </w:r>
      <w:r>
        <w:t>(8), 3199–3234. https://doi.org/10.5194/gmd-17-3199-2024</w:t>
      </w:r>
    </w:p>
    <w:p w14:paraId="3BC5A874" w14:textId="77777777" w:rsidR="003730AA" w:rsidRDefault="003730AA" w:rsidP="003730AA">
      <w:pPr>
        <w:pStyle w:val="Bibliography"/>
      </w:pPr>
      <w:r>
        <w:lastRenderedPageBreak/>
        <w:t xml:space="preserve">van Vuuren, D. P., Edmonds, J., Kainuma, M., Riahi, K., Thomson, A., Hibbard, K., Hurtt, G. C., Kram, T., Krey, V., Lamarque, J.-F., Masui, T., Meinshausen, M., Nakicenovic, N., Smith, S. J., &amp; Rose, S. K. (2011). The representative concentration pathways: An overview. </w:t>
      </w:r>
      <w:r>
        <w:rPr>
          <w:i/>
          <w:iCs/>
        </w:rPr>
        <w:t>Climatic Change</w:t>
      </w:r>
      <w:r>
        <w:t xml:space="preserve">, </w:t>
      </w:r>
      <w:r>
        <w:rPr>
          <w:i/>
          <w:iCs/>
        </w:rPr>
        <w:t>109</w:t>
      </w:r>
      <w:r>
        <w:t>(1), 5. https://doi.org/10.1007/s10584-011-0148-z</w:t>
      </w:r>
    </w:p>
    <w:p w14:paraId="28DC4ED9" w14:textId="77777777" w:rsidR="003730AA" w:rsidRDefault="003730AA" w:rsidP="003730AA">
      <w:pPr>
        <w:pStyle w:val="Bibliography"/>
      </w:pPr>
      <w:r w:rsidRPr="003B356B">
        <w:rPr>
          <w:lang w:val="nl-NL"/>
        </w:rPr>
        <w:t xml:space="preserve">van Vuuren, D. P., Kriegler, E., O’Neill, B. C., Ebi, K. L., Riahi, K., Carter, T. R., Edmonds, J., Hallegatte, S., Kram, T., Mathur, R., &amp; Winkler, H. (2014). </w:t>
      </w:r>
      <w:r>
        <w:t xml:space="preserve">A new scenario framework for Climate Change Research: Scenario matrix architecture. </w:t>
      </w:r>
      <w:r>
        <w:rPr>
          <w:i/>
          <w:iCs/>
        </w:rPr>
        <w:t>Climatic Change</w:t>
      </w:r>
      <w:r>
        <w:t xml:space="preserve">, </w:t>
      </w:r>
      <w:r>
        <w:rPr>
          <w:i/>
          <w:iCs/>
        </w:rPr>
        <w:t>122</w:t>
      </w:r>
      <w:r>
        <w:t>(3), 373–386. https://doi.org/10.1007/s10584-013-0906-1</w:t>
      </w:r>
    </w:p>
    <w:p w14:paraId="26C9931B" w14:textId="77777777" w:rsidR="003730AA" w:rsidRPr="003B356B" w:rsidRDefault="003730AA" w:rsidP="003730AA">
      <w:pPr>
        <w:pStyle w:val="Bibliography"/>
        <w:rPr>
          <w:lang w:val="nl-NL"/>
        </w:rPr>
      </w:pPr>
      <w:r>
        <w:t xml:space="preserve">Wang, T., &amp; Sun, F. (2022). Global gridded GDP data set consistent with the shared socioeconomic pathways. </w:t>
      </w:r>
      <w:r w:rsidRPr="003B356B">
        <w:rPr>
          <w:i/>
          <w:iCs/>
          <w:lang w:val="nl-NL"/>
        </w:rPr>
        <w:t>Scientific Data</w:t>
      </w:r>
      <w:r w:rsidRPr="003B356B">
        <w:rPr>
          <w:lang w:val="nl-NL"/>
        </w:rPr>
        <w:t xml:space="preserve">, </w:t>
      </w:r>
      <w:r w:rsidRPr="003B356B">
        <w:rPr>
          <w:i/>
          <w:iCs/>
          <w:lang w:val="nl-NL"/>
        </w:rPr>
        <w:t>9</w:t>
      </w:r>
      <w:r w:rsidRPr="003B356B">
        <w:rPr>
          <w:lang w:val="nl-NL"/>
        </w:rPr>
        <w:t>(1), 221. https://doi.org/10.1038/s41597-022-01300-x</w:t>
      </w:r>
    </w:p>
    <w:p w14:paraId="1E1D3619" w14:textId="77777777" w:rsidR="003730AA" w:rsidRDefault="003730AA" w:rsidP="003730AA">
      <w:pPr>
        <w:pStyle w:val="Bibliography"/>
      </w:pPr>
      <w:r w:rsidRPr="003B356B">
        <w:rPr>
          <w:lang w:val="nl-NL"/>
        </w:rPr>
        <w:t xml:space="preserve">Ward, P. J., Winsemius, H. C., Kuzma, S., Bierkens, M. F., Bouwman, A., De Moel, H., Loaiza, A. D., Eilander, D., Englhardt, J., Erkens, G., &amp; others. </w:t>
      </w:r>
      <w:r>
        <w:t xml:space="preserve">(2020). Aqueduct floods methodology. </w:t>
      </w:r>
      <w:r>
        <w:rPr>
          <w:i/>
          <w:iCs/>
        </w:rPr>
        <w:t>World Resources Institute</w:t>
      </w:r>
      <w:r>
        <w:t>, 1–28.</w:t>
      </w:r>
    </w:p>
    <w:p w14:paraId="61B114E7" w14:textId="77777777" w:rsidR="003730AA" w:rsidRDefault="003730AA" w:rsidP="003730AA">
      <w:pPr>
        <w:pStyle w:val="Bibliography"/>
      </w:pPr>
      <w:r>
        <w:t xml:space="preserve">Wilby, R. L., &amp; Dessai, S. (2010). Robust adaptation to climate change. </w:t>
      </w:r>
      <w:r>
        <w:rPr>
          <w:i/>
          <w:iCs/>
        </w:rPr>
        <w:t>Weather</w:t>
      </w:r>
      <w:r>
        <w:t xml:space="preserve">, </w:t>
      </w:r>
      <w:r>
        <w:rPr>
          <w:i/>
          <w:iCs/>
        </w:rPr>
        <w:t>65</w:t>
      </w:r>
      <w:r>
        <w:t>(7), 180–185. https://doi.org/10.1002/wea.543</w:t>
      </w:r>
    </w:p>
    <w:p w14:paraId="617BC81E" w14:textId="77777777" w:rsidR="003730AA" w:rsidRPr="003B356B" w:rsidRDefault="003730AA" w:rsidP="003730AA">
      <w:pPr>
        <w:pStyle w:val="Bibliography"/>
        <w:rPr>
          <w:lang w:val="nl-NL"/>
        </w:rPr>
      </w:pPr>
      <w:r>
        <w:t xml:space="preserve">Willner, S. N., Otto, C., &amp; Levermann, A. (2018). Global economic response to river floods. </w:t>
      </w:r>
      <w:r w:rsidRPr="003B356B">
        <w:rPr>
          <w:i/>
          <w:iCs/>
          <w:lang w:val="nl-NL"/>
        </w:rPr>
        <w:t>Nature Climate Change</w:t>
      </w:r>
      <w:r w:rsidRPr="003B356B">
        <w:rPr>
          <w:lang w:val="nl-NL"/>
        </w:rPr>
        <w:t xml:space="preserve">, </w:t>
      </w:r>
      <w:r w:rsidRPr="003B356B">
        <w:rPr>
          <w:i/>
          <w:iCs/>
          <w:lang w:val="nl-NL"/>
        </w:rPr>
        <w:t>8</w:t>
      </w:r>
      <w:r w:rsidRPr="003B356B">
        <w:rPr>
          <w:lang w:val="nl-NL"/>
        </w:rPr>
        <w:t>(7), 594–598. https://doi.org/10.1038/s41558-018-0173-2</w:t>
      </w:r>
    </w:p>
    <w:p w14:paraId="64B91DCF" w14:textId="77777777" w:rsidR="003730AA" w:rsidRDefault="003730AA" w:rsidP="003730AA">
      <w:pPr>
        <w:pStyle w:val="Bibliography"/>
      </w:pPr>
      <w:r w:rsidRPr="003B356B">
        <w:rPr>
          <w:lang w:val="nl-NL"/>
        </w:rPr>
        <w:t xml:space="preserve">Winsemius, H. C., Aerts, J. C. J. H., van Beek, L. P. H., Bierkens, M. F. P., Bouwman, A., Jongman, B., Kwadijk, J. C. J., Ligtvoet, W., Lucas, P. L., van Vuuren, D. P., &amp; Ward, P. J. (2016). </w:t>
      </w:r>
      <w:r>
        <w:t xml:space="preserve">Global drivers of future river flood risk. </w:t>
      </w:r>
      <w:r>
        <w:rPr>
          <w:i/>
          <w:iCs/>
        </w:rPr>
        <w:t>Nature Climate Change</w:t>
      </w:r>
      <w:r>
        <w:t xml:space="preserve">, </w:t>
      </w:r>
      <w:r>
        <w:rPr>
          <w:i/>
          <w:iCs/>
        </w:rPr>
        <w:t>6</w:t>
      </w:r>
      <w:r>
        <w:t>(4), 381–385. https://doi.org/10.1038/nclimate2893</w:t>
      </w:r>
    </w:p>
    <w:p w14:paraId="73D425D7" w14:textId="64188CB2" w:rsidR="0045008B" w:rsidRPr="00A141D2" w:rsidRDefault="00515390" w:rsidP="007D453A">
      <w:pPr>
        <w:shd w:val="clear" w:color="auto" w:fill="FFFFFF"/>
        <w:spacing w:line="480" w:lineRule="auto"/>
        <w:rPr>
          <w:lang w:val="en-GB"/>
        </w:rPr>
      </w:pPr>
      <w:r w:rsidRPr="00A141D2">
        <w:rPr>
          <w:rFonts w:eastAsia="Times New Roman"/>
          <w:sz w:val="22"/>
          <w:szCs w:val="22"/>
          <w:lang w:val="en-GB"/>
        </w:rPr>
        <w:lastRenderedPageBreak/>
        <w:fldChar w:fldCharType="end"/>
      </w:r>
      <w:r w:rsidR="0045008B" w:rsidRPr="00A141D2">
        <w:rPr>
          <w:lang w:val="en-GB"/>
        </w:rPr>
        <w:t xml:space="preserve">Appendix A: </w:t>
      </w:r>
      <w:r w:rsidR="003F5F3A" w:rsidRPr="00A141D2">
        <w:rPr>
          <w:lang w:val="en-GB"/>
        </w:rPr>
        <w:t xml:space="preserve">Obtaining </w:t>
      </w:r>
      <w:r w:rsidR="0045008B" w:rsidRPr="00A141D2">
        <w:rPr>
          <w:lang w:val="en-GB"/>
        </w:rPr>
        <w:t xml:space="preserve">Relevant Climate Impact </w:t>
      </w:r>
      <w:r w:rsidR="003F5F3A" w:rsidRPr="00A141D2">
        <w:rPr>
          <w:lang w:val="en-GB"/>
        </w:rPr>
        <w:t>Drivers</w:t>
      </w:r>
    </w:p>
    <w:p w14:paraId="2CBC923B" w14:textId="3071C7E4" w:rsidR="0045008B" w:rsidRPr="00A141D2" w:rsidRDefault="0045008B" w:rsidP="0045008B">
      <w:pPr>
        <w:pStyle w:val="Caption"/>
        <w:keepNext/>
        <w:rPr>
          <w:b/>
          <w:bCs/>
          <w:lang w:val="en-GB"/>
        </w:rPr>
      </w:pPr>
      <w:bookmarkStart w:id="3" w:name="_Ref165370722"/>
      <w:r w:rsidRPr="00A141D2">
        <w:rPr>
          <w:b/>
          <w:bCs/>
          <w:lang w:val="en-GB"/>
        </w:rPr>
        <w:t xml:space="preserve">Table </w:t>
      </w:r>
      <w:r w:rsidR="003F5F3A" w:rsidRPr="00A141D2">
        <w:rPr>
          <w:b/>
          <w:bCs/>
          <w:lang w:val="en-GB"/>
        </w:rPr>
        <w:t>A</w:t>
      </w:r>
      <w:r w:rsidRPr="00A141D2">
        <w:rPr>
          <w:b/>
          <w:bCs/>
          <w:lang w:val="en-GB"/>
        </w:rPr>
        <w:t>.</w:t>
      </w:r>
      <w:bookmarkEnd w:id="3"/>
      <w:r w:rsidRPr="00A141D2">
        <w:rPr>
          <w:b/>
          <w:bCs/>
          <w:lang w:val="en-GB"/>
        </w:rPr>
        <w:t>1</w:t>
      </w:r>
      <w:r w:rsidRPr="00A141D2">
        <w:rPr>
          <w:lang w:val="en-GB"/>
        </w:rPr>
        <w:t xml:space="preserve">: Table of used models and SSPs in the 2041-2060 timeframe. Model data extracted from Copernicus Data Store </w:t>
      </w:r>
      <w:r w:rsidRPr="00A141D2">
        <w:rPr>
          <w:lang w:val="en-GB"/>
        </w:rPr>
        <w:fldChar w:fldCharType="begin"/>
      </w:r>
      <w:r w:rsidRPr="00A141D2">
        <w:rPr>
          <w:lang w:val="en-GB"/>
        </w:rPr>
        <w:instrText xml:space="preserve"> ADDIN ZOTERO_ITEM CSL_CITATION {"citationID":"8FFLo6HA","properties":{"formattedCitation":"(Copernicus Climate Change Service, 2021)","plainCitation":"(Copernicus Climate Change Service, 2021)","noteIndex":0},"citationItems":[{"id":2346,"uris":["http://zotero.org/users/11212985/items/BC4N3GDG"],"itemData":{"id":2346,"type":"dataset","DOI":"10.24381/CDS.C866074C","publisher":"ECMWF","source":"DOI.org (Datacite)","title":"CMIP6 predictions underpinning the C3S decadal prediction prototypes","URL":"https://cds.climate.copernicus.eu/doi/10.24381/cds.c866074c","author":[{"literal":"Copernicus Climate Change Service"}],"accessed":{"date-parts":[["2024",2,13]]},"issued":{"date-parts":[["2021"]]},"citation-key":"copernicusclimatechangeserviceCMIP6PredictionsUnderpinning2021"}}],"schema":"https://github.com/citation-style-language/schema/raw/master/csl-citation.json"} </w:instrText>
      </w:r>
      <w:r w:rsidRPr="00A141D2">
        <w:rPr>
          <w:lang w:val="en-GB"/>
        </w:rPr>
        <w:fldChar w:fldCharType="separate"/>
      </w:r>
      <w:r w:rsidRPr="00A141D2">
        <w:rPr>
          <w:rFonts w:ascii="Calibri" w:hAnsi="Calibri" w:cs="Calibri"/>
          <w:lang w:val="en-GB"/>
        </w:rPr>
        <w:t>(Copernicus Climate Change Service, 2021)</w:t>
      </w:r>
      <w:r w:rsidRPr="00A141D2">
        <w:rPr>
          <w:lang w:val="en-GB"/>
        </w:rPr>
        <w:fldChar w:fldCharType="end"/>
      </w:r>
    </w:p>
    <w:tbl>
      <w:tblPr>
        <w:tblW w:w="9301" w:type="dxa"/>
        <w:tblLook w:val="04A0" w:firstRow="1" w:lastRow="0" w:firstColumn="1" w:lastColumn="0" w:noHBand="0" w:noVBand="1"/>
      </w:tblPr>
      <w:tblGrid>
        <w:gridCol w:w="2795"/>
        <w:gridCol w:w="1264"/>
        <w:gridCol w:w="1577"/>
        <w:gridCol w:w="1786"/>
        <w:gridCol w:w="1879"/>
      </w:tblGrid>
      <w:tr w:rsidR="0045008B" w:rsidRPr="00A141D2" w14:paraId="5F903E2F" w14:textId="77777777" w:rsidTr="00086520">
        <w:trPr>
          <w:trHeight w:val="291"/>
        </w:trPr>
        <w:tc>
          <w:tcPr>
            <w:tcW w:w="2795" w:type="dxa"/>
            <w:tcBorders>
              <w:top w:val="single" w:sz="4" w:space="0" w:color="auto"/>
              <w:left w:val="nil"/>
              <w:bottom w:val="single" w:sz="4" w:space="0" w:color="auto"/>
              <w:right w:val="single" w:sz="4" w:space="0" w:color="auto"/>
            </w:tcBorders>
            <w:shd w:val="clear" w:color="auto" w:fill="FFFFFF" w:themeFill="background1"/>
            <w:hideMark/>
          </w:tcPr>
          <w:p w14:paraId="5942B547" w14:textId="77777777" w:rsidR="0045008B" w:rsidRPr="00A141D2" w:rsidRDefault="0045008B" w:rsidP="00086520">
            <w:pPr>
              <w:jc w:val="center"/>
              <w:rPr>
                <w:rFonts w:ascii="Segoe UI" w:eastAsia="Times New Roman" w:hAnsi="Segoe UI" w:cs="Segoe UI"/>
                <w:b/>
                <w:bCs/>
                <w:color w:val="0D0D0D"/>
                <w:sz w:val="19"/>
                <w:szCs w:val="19"/>
                <w:lang w:val="en-GB" w:eastAsia="en-GB"/>
              </w:rPr>
            </w:pPr>
            <w:r w:rsidRPr="00A141D2">
              <w:rPr>
                <w:rFonts w:ascii="Segoe UI" w:eastAsia="Times New Roman" w:hAnsi="Segoe UI" w:cs="Segoe UI"/>
                <w:b/>
                <w:bCs/>
                <w:color w:val="0D0D0D"/>
                <w:sz w:val="19"/>
                <w:szCs w:val="19"/>
                <w:lang w:val="en-GB" w:eastAsia="en-GB"/>
              </w:rPr>
              <w:t>Model Name</w:t>
            </w:r>
          </w:p>
        </w:tc>
        <w:tc>
          <w:tcPr>
            <w:tcW w:w="1264" w:type="dxa"/>
            <w:tcBorders>
              <w:top w:val="single" w:sz="4" w:space="0" w:color="auto"/>
              <w:left w:val="nil"/>
              <w:bottom w:val="single" w:sz="4" w:space="0" w:color="auto"/>
              <w:right w:val="nil"/>
            </w:tcBorders>
            <w:shd w:val="clear" w:color="auto" w:fill="FFFFFF" w:themeFill="background1"/>
            <w:hideMark/>
          </w:tcPr>
          <w:p w14:paraId="6F314872" w14:textId="77777777" w:rsidR="0045008B" w:rsidRPr="00A141D2" w:rsidRDefault="0045008B" w:rsidP="00086520">
            <w:pPr>
              <w:jc w:val="center"/>
              <w:rPr>
                <w:rFonts w:ascii="Segoe UI" w:eastAsia="Times New Roman" w:hAnsi="Segoe UI" w:cs="Segoe UI"/>
                <w:b/>
                <w:bCs/>
                <w:color w:val="0D0D0D"/>
                <w:sz w:val="19"/>
                <w:szCs w:val="19"/>
                <w:lang w:val="en-GB" w:eastAsia="en-GB"/>
              </w:rPr>
            </w:pPr>
            <w:r w:rsidRPr="00A141D2">
              <w:rPr>
                <w:rFonts w:ascii="Segoe UI" w:eastAsia="Times New Roman" w:hAnsi="Segoe UI" w:cs="Segoe UI"/>
                <w:b/>
                <w:bCs/>
                <w:color w:val="0D0D0D"/>
                <w:sz w:val="19"/>
                <w:szCs w:val="19"/>
                <w:lang w:val="en-GB" w:eastAsia="en-GB"/>
              </w:rPr>
              <w:t>SSP1-2.6</w:t>
            </w:r>
          </w:p>
        </w:tc>
        <w:tc>
          <w:tcPr>
            <w:tcW w:w="1577" w:type="dxa"/>
            <w:tcBorders>
              <w:top w:val="single" w:sz="4" w:space="0" w:color="auto"/>
              <w:left w:val="nil"/>
              <w:bottom w:val="single" w:sz="4" w:space="0" w:color="auto"/>
              <w:right w:val="nil"/>
            </w:tcBorders>
            <w:shd w:val="clear" w:color="auto" w:fill="FFFFFF" w:themeFill="background1"/>
            <w:hideMark/>
          </w:tcPr>
          <w:p w14:paraId="50B52D95" w14:textId="77777777" w:rsidR="0045008B" w:rsidRPr="00A141D2" w:rsidRDefault="0045008B" w:rsidP="00086520">
            <w:pPr>
              <w:jc w:val="center"/>
              <w:rPr>
                <w:rFonts w:ascii="Segoe UI" w:eastAsia="Times New Roman" w:hAnsi="Segoe UI" w:cs="Segoe UI"/>
                <w:b/>
                <w:bCs/>
                <w:color w:val="0D0D0D"/>
                <w:sz w:val="19"/>
                <w:szCs w:val="19"/>
                <w:lang w:val="en-GB" w:eastAsia="en-GB"/>
              </w:rPr>
            </w:pPr>
            <w:r w:rsidRPr="00A141D2">
              <w:rPr>
                <w:rFonts w:ascii="Segoe UI" w:eastAsia="Times New Roman" w:hAnsi="Segoe UI" w:cs="Segoe UI"/>
                <w:b/>
                <w:bCs/>
                <w:color w:val="0D0D0D"/>
                <w:sz w:val="19"/>
                <w:szCs w:val="19"/>
                <w:lang w:val="en-GB" w:eastAsia="en-GB"/>
              </w:rPr>
              <w:t>SSP2-4.5</w:t>
            </w:r>
          </w:p>
        </w:tc>
        <w:tc>
          <w:tcPr>
            <w:tcW w:w="1786" w:type="dxa"/>
            <w:tcBorders>
              <w:top w:val="single" w:sz="4" w:space="0" w:color="auto"/>
              <w:left w:val="nil"/>
              <w:bottom w:val="single" w:sz="4" w:space="0" w:color="auto"/>
              <w:right w:val="nil"/>
            </w:tcBorders>
            <w:shd w:val="clear" w:color="auto" w:fill="FFFFFF" w:themeFill="background1"/>
            <w:hideMark/>
          </w:tcPr>
          <w:p w14:paraId="51A283D2" w14:textId="77777777" w:rsidR="0045008B" w:rsidRPr="00A141D2" w:rsidRDefault="0045008B" w:rsidP="00086520">
            <w:pPr>
              <w:jc w:val="center"/>
              <w:rPr>
                <w:rFonts w:ascii="Segoe UI" w:eastAsia="Times New Roman" w:hAnsi="Segoe UI" w:cs="Segoe UI"/>
                <w:b/>
                <w:bCs/>
                <w:color w:val="0D0D0D"/>
                <w:sz w:val="19"/>
                <w:szCs w:val="19"/>
                <w:lang w:val="en-GB" w:eastAsia="en-GB"/>
              </w:rPr>
            </w:pPr>
            <w:r w:rsidRPr="00A141D2">
              <w:rPr>
                <w:rFonts w:ascii="Segoe UI" w:eastAsia="Times New Roman" w:hAnsi="Segoe UI" w:cs="Segoe UI"/>
                <w:b/>
                <w:bCs/>
                <w:color w:val="0D0D0D"/>
                <w:sz w:val="19"/>
                <w:szCs w:val="19"/>
                <w:lang w:val="en-GB" w:eastAsia="en-GB"/>
              </w:rPr>
              <w:t>SSP3-7.0</w:t>
            </w:r>
          </w:p>
        </w:tc>
        <w:tc>
          <w:tcPr>
            <w:tcW w:w="1879" w:type="dxa"/>
            <w:tcBorders>
              <w:top w:val="single" w:sz="4" w:space="0" w:color="auto"/>
              <w:left w:val="nil"/>
              <w:bottom w:val="single" w:sz="4" w:space="0" w:color="auto"/>
              <w:right w:val="nil"/>
            </w:tcBorders>
            <w:shd w:val="clear" w:color="auto" w:fill="FFFFFF" w:themeFill="background1"/>
            <w:hideMark/>
          </w:tcPr>
          <w:p w14:paraId="62A7EF32" w14:textId="77777777" w:rsidR="0045008B" w:rsidRPr="00A141D2" w:rsidRDefault="0045008B" w:rsidP="00086520">
            <w:pPr>
              <w:jc w:val="center"/>
              <w:rPr>
                <w:rFonts w:ascii="Segoe UI" w:eastAsia="Times New Roman" w:hAnsi="Segoe UI" w:cs="Segoe UI"/>
                <w:b/>
                <w:bCs/>
                <w:color w:val="0D0D0D"/>
                <w:sz w:val="19"/>
                <w:szCs w:val="19"/>
                <w:lang w:val="en-GB" w:eastAsia="en-GB"/>
              </w:rPr>
            </w:pPr>
            <w:r w:rsidRPr="00A141D2">
              <w:rPr>
                <w:rFonts w:ascii="Segoe UI" w:eastAsia="Times New Roman" w:hAnsi="Segoe UI" w:cs="Segoe UI"/>
                <w:b/>
                <w:color w:val="0D0D0D" w:themeColor="text1" w:themeTint="F2"/>
                <w:sz w:val="19"/>
                <w:szCs w:val="19"/>
                <w:lang w:val="en-GB" w:eastAsia="en-GB"/>
              </w:rPr>
              <w:t>SSP5-8.5</w:t>
            </w:r>
          </w:p>
        </w:tc>
      </w:tr>
      <w:tr w:rsidR="0045008B" w:rsidRPr="00A141D2" w14:paraId="5C1D32E2"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BAE75E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ACCESS-CM2</w:t>
            </w:r>
          </w:p>
        </w:tc>
        <w:tc>
          <w:tcPr>
            <w:tcW w:w="1264" w:type="dxa"/>
            <w:tcBorders>
              <w:top w:val="nil"/>
              <w:left w:val="nil"/>
              <w:bottom w:val="nil"/>
              <w:right w:val="nil"/>
            </w:tcBorders>
            <w:shd w:val="clear" w:color="auto" w:fill="FFFFFF" w:themeFill="background1"/>
            <w:hideMark/>
          </w:tcPr>
          <w:p w14:paraId="2EEEF1A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1FBA0E8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3FCC2FF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175968F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0DF76D0"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6735EFC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BCC-CSM2-MR</w:t>
            </w:r>
          </w:p>
        </w:tc>
        <w:tc>
          <w:tcPr>
            <w:tcW w:w="1264" w:type="dxa"/>
            <w:tcBorders>
              <w:top w:val="nil"/>
              <w:left w:val="nil"/>
              <w:bottom w:val="nil"/>
              <w:right w:val="nil"/>
            </w:tcBorders>
            <w:shd w:val="clear" w:color="auto" w:fill="FFFFFF" w:themeFill="background1"/>
            <w:hideMark/>
          </w:tcPr>
          <w:p w14:paraId="1B3D744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1FA365D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5A87E2D1"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2A155EB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479A51E1"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67DDC55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CanESM5</w:t>
            </w:r>
          </w:p>
        </w:tc>
        <w:tc>
          <w:tcPr>
            <w:tcW w:w="1264" w:type="dxa"/>
            <w:tcBorders>
              <w:top w:val="nil"/>
              <w:left w:val="nil"/>
              <w:bottom w:val="nil"/>
              <w:right w:val="nil"/>
            </w:tcBorders>
            <w:shd w:val="clear" w:color="auto" w:fill="FFFFFF" w:themeFill="background1"/>
            <w:hideMark/>
          </w:tcPr>
          <w:p w14:paraId="41E90BF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247C4597"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4E86834D"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19680BD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295119CC"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0643EF5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CESM2</w:t>
            </w:r>
          </w:p>
        </w:tc>
        <w:tc>
          <w:tcPr>
            <w:tcW w:w="1264" w:type="dxa"/>
            <w:tcBorders>
              <w:top w:val="nil"/>
              <w:left w:val="nil"/>
              <w:bottom w:val="nil"/>
              <w:right w:val="nil"/>
            </w:tcBorders>
            <w:shd w:val="clear" w:color="auto" w:fill="FFFFFF" w:themeFill="background1"/>
            <w:hideMark/>
          </w:tcPr>
          <w:p w14:paraId="7742BFB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56C0BB4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3ADD3B7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543FA95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3B39EAEF"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275765C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CESM2-WACCM</w:t>
            </w:r>
          </w:p>
        </w:tc>
        <w:tc>
          <w:tcPr>
            <w:tcW w:w="1264" w:type="dxa"/>
            <w:tcBorders>
              <w:top w:val="nil"/>
              <w:left w:val="nil"/>
              <w:bottom w:val="nil"/>
              <w:right w:val="nil"/>
            </w:tcBorders>
            <w:shd w:val="clear" w:color="auto" w:fill="FFFFFF" w:themeFill="background1"/>
            <w:hideMark/>
          </w:tcPr>
          <w:p w14:paraId="5EE74AE5"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nil"/>
              <w:right w:val="nil"/>
            </w:tcBorders>
            <w:shd w:val="clear" w:color="auto" w:fill="FFFFFF" w:themeFill="background1"/>
            <w:hideMark/>
          </w:tcPr>
          <w:p w14:paraId="6A310C5B"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76B3DEB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6D74F72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4AD28436"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7F697F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CMCC-CM2-SR5</w:t>
            </w:r>
          </w:p>
        </w:tc>
        <w:tc>
          <w:tcPr>
            <w:tcW w:w="1264" w:type="dxa"/>
            <w:tcBorders>
              <w:top w:val="nil"/>
              <w:left w:val="nil"/>
              <w:bottom w:val="nil"/>
              <w:right w:val="nil"/>
            </w:tcBorders>
            <w:shd w:val="clear" w:color="auto" w:fill="FFFFFF" w:themeFill="background1"/>
            <w:hideMark/>
          </w:tcPr>
          <w:p w14:paraId="0A316B2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nil"/>
              <w:right w:val="nil"/>
            </w:tcBorders>
            <w:shd w:val="clear" w:color="auto" w:fill="FFFFFF" w:themeFill="background1"/>
            <w:hideMark/>
          </w:tcPr>
          <w:p w14:paraId="24E7768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5EBAF2F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450779A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257B1A5B"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0926DA3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CMCC-ESM2</w:t>
            </w:r>
          </w:p>
        </w:tc>
        <w:tc>
          <w:tcPr>
            <w:tcW w:w="1264" w:type="dxa"/>
            <w:tcBorders>
              <w:top w:val="nil"/>
              <w:left w:val="nil"/>
              <w:bottom w:val="nil"/>
              <w:right w:val="nil"/>
            </w:tcBorders>
            <w:shd w:val="clear" w:color="auto" w:fill="FFFFFF" w:themeFill="background1"/>
            <w:hideMark/>
          </w:tcPr>
          <w:p w14:paraId="328E5E9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1ACF0B2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13EB2079"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3E4984D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0CE9D714"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EAEE98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CNRM-CM6-1</w:t>
            </w:r>
          </w:p>
        </w:tc>
        <w:tc>
          <w:tcPr>
            <w:tcW w:w="1264" w:type="dxa"/>
            <w:tcBorders>
              <w:top w:val="nil"/>
              <w:left w:val="nil"/>
              <w:bottom w:val="nil"/>
              <w:right w:val="nil"/>
            </w:tcBorders>
            <w:shd w:val="clear" w:color="auto" w:fill="FFFFFF" w:themeFill="background1"/>
            <w:hideMark/>
          </w:tcPr>
          <w:p w14:paraId="1740C88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2B5A257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3C5CC73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4E5423A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0353C323"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01ECE05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CNRM-CM6-1-HR</w:t>
            </w:r>
          </w:p>
        </w:tc>
        <w:tc>
          <w:tcPr>
            <w:tcW w:w="1264" w:type="dxa"/>
            <w:tcBorders>
              <w:top w:val="nil"/>
              <w:left w:val="nil"/>
              <w:bottom w:val="nil"/>
              <w:right w:val="nil"/>
            </w:tcBorders>
            <w:shd w:val="clear" w:color="auto" w:fill="FFFFFF" w:themeFill="background1"/>
            <w:hideMark/>
          </w:tcPr>
          <w:p w14:paraId="7766A39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379FF1F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0E11799A"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4F72D49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71CA52AD"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F71D45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CNRM-ESM2-1</w:t>
            </w:r>
          </w:p>
        </w:tc>
        <w:tc>
          <w:tcPr>
            <w:tcW w:w="1264" w:type="dxa"/>
            <w:tcBorders>
              <w:top w:val="nil"/>
              <w:left w:val="nil"/>
              <w:bottom w:val="nil"/>
              <w:right w:val="nil"/>
            </w:tcBorders>
            <w:shd w:val="clear" w:color="auto" w:fill="FFFFFF" w:themeFill="background1"/>
            <w:hideMark/>
          </w:tcPr>
          <w:p w14:paraId="0CEC7B3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673F6A0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06D4981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24DA9D1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01D36C4F"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9D29B5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EC-Earth3-AerChem</w:t>
            </w:r>
          </w:p>
        </w:tc>
        <w:tc>
          <w:tcPr>
            <w:tcW w:w="1264" w:type="dxa"/>
            <w:tcBorders>
              <w:top w:val="nil"/>
              <w:left w:val="nil"/>
              <w:bottom w:val="nil"/>
              <w:right w:val="nil"/>
            </w:tcBorders>
            <w:shd w:val="clear" w:color="auto" w:fill="FFFFFF" w:themeFill="background1"/>
            <w:hideMark/>
          </w:tcPr>
          <w:p w14:paraId="1F9DAF53"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nil"/>
              <w:right w:val="nil"/>
            </w:tcBorders>
            <w:shd w:val="clear" w:color="auto" w:fill="FFFFFF" w:themeFill="background1"/>
            <w:hideMark/>
          </w:tcPr>
          <w:p w14:paraId="7F5BB37A"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7C01559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5A3D6EE0" w14:textId="77777777" w:rsidR="0045008B" w:rsidRPr="00A141D2" w:rsidRDefault="0045008B" w:rsidP="00086520">
            <w:pPr>
              <w:rPr>
                <w:rFonts w:ascii="Segoe UI" w:eastAsia="Times New Roman" w:hAnsi="Segoe UI" w:cs="Segoe UI"/>
                <w:color w:val="0D0D0D"/>
                <w:sz w:val="19"/>
                <w:szCs w:val="19"/>
                <w:lang w:val="en-GB" w:eastAsia="en-GB"/>
              </w:rPr>
            </w:pPr>
          </w:p>
        </w:tc>
      </w:tr>
      <w:tr w:rsidR="0045008B" w:rsidRPr="00A141D2" w14:paraId="0A8A7BCE" w14:textId="77777777" w:rsidTr="00086520">
        <w:trPr>
          <w:trHeight w:val="253"/>
        </w:trPr>
        <w:tc>
          <w:tcPr>
            <w:tcW w:w="2795" w:type="dxa"/>
            <w:tcBorders>
              <w:top w:val="nil"/>
              <w:left w:val="nil"/>
              <w:bottom w:val="nil"/>
              <w:right w:val="single" w:sz="4" w:space="0" w:color="auto"/>
            </w:tcBorders>
            <w:shd w:val="clear" w:color="auto" w:fill="FFFFFF" w:themeFill="background1"/>
            <w:hideMark/>
          </w:tcPr>
          <w:p w14:paraId="26EEB98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EC-Earth3-CC</w:t>
            </w:r>
          </w:p>
        </w:tc>
        <w:tc>
          <w:tcPr>
            <w:tcW w:w="1264" w:type="dxa"/>
            <w:tcBorders>
              <w:top w:val="nil"/>
              <w:left w:val="nil"/>
              <w:bottom w:val="nil"/>
              <w:right w:val="nil"/>
            </w:tcBorders>
            <w:shd w:val="clear" w:color="auto" w:fill="FFFFFF" w:themeFill="background1"/>
            <w:hideMark/>
          </w:tcPr>
          <w:p w14:paraId="2F4FB3E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nil"/>
              <w:right w:val="nil"/>
            </w:tcBorders>
            <w:shd w:val="clear" w:color="auto" w:fill="FFFFFF" w:themeFill="background1"/>
            <w:hideMark/>
          </w:tcPr>
          <w:p w14:paraId="1FB48EB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6CD2C882"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6D63038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B664941"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DBC3EC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FGOALS-g3</w:t>
            </w:r>
          </w:p>
        </w:tc>
        <w:tc>
          <w:tcPr>
            <w:tcW w:w="1264" w:type="dxa"/>
            <w:tcBorders>
              <w:top w:val="nil"/>
              <w:left w:val="nil"/>
              <w:bottom w:val="nil"/>
              <w:right w:val="nil"/>
            </w:tcBorders>
            <w:shd w:val="clear" w:color="auto" w:fill="FFFFFF" w:themeFill="background1"/>
            <w:hideMark/>
          </w:tcPr>
          <w:p w14:paraId="39C0B02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3031D46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02AE5B4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75F0367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6FAF664F"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E14FAE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GFDL-ESM4</w:t>
            </w:r>
          </w:p>
        </w:tc>
        <w:tc>
          <w:tcPr>
            <w:tcW w:w="1264" w:type="dxa"/>
            <w:tcBorders>
              <w:top w:val="nil"/>
              <w:left w:val="nil"/>
              <w:bottom w:val="nil"/>
              <w:right w:val="nil"/>
            </w:tcBorders>
            <w:shd w:val="clear" w:color="auto" w:fill="FFFFFF" w:themeFill="background1"/>
            <w:hideMark/>
          </w:tcPr>
          <w:p w14:paraId="45E999C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2DBC38F0"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28E10F0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5D0A501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3B67D55A"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6F4CA61"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HadGEM3-GC31-LL</w:t>
            </w:r>
          </w:p>
        </w:tc>
        <w:tc>
          <w:tcPr>
            <w:tcW w:w="1264" w:type="dxa"/>
            <w:tcBorders>
              <w:top w:val="nil"/>
              <w:left w:val="nil"/>
              <w:bottom w:val="nil"/>
              <w:right w:val="nil"/>
            </w:tcBorders>
            <w:shd w:val="clear" w:color="auto" w:fill="FFFFFF" w:themeFill="background1"/>
            <w:hideMark/>
          </w:tcPr>
          <w:p w14:paraId="6804B17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171843D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18EEAE3A"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179E9FD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3EFD046E"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19709F09"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HadGEM3-GC31-MM</w:t>
            </w:r>
          </w:p>
        </w:tc>
        <w:tc>
          <w:tcPr>
            <w:tcW w:w="1264" w:type="dxa"/>
            <w:tcBorders>
              <w:top w:val="nil"/>
              <w:left w:val="nil"/>
              <w:bottom w:val="nil"/>
              <w:right w:val="nil"/>
            </w:tcBorders>
            <w:shd w:val="clear" w:color="auto" w:fill="FFFFFF" w:themeFill="background1"/>
            <w:hideMark/>
          </w:tcPr>
          <w:p w14:paraId="1091DEB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471A8A3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603466F8"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555F2AE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3295668"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0B9FD21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IITM-ESM</w:t>
            </w:r>
          </w:p>
        </w:tc>
        <w:tc>
          <w:tcPr>
            <w:tcW w:w="1264" w:type="dxa"/>
            <w:tcBorders>
              <w:top w:val="nil"/>
              <w:left w:val="nil"/>
              <w:bottom w:val="nil"/>
              <w:right w:val="nil"/>
            </w:tcBorders>
            <w:shd w:val="clear" w:color="auto" w:fill="FFFFFF" w:themeFill="background1"/>
            <w:hideMark/>
          </w:tcPr>
          <w:p w14:paraId="0D4CA0C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4FC141B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44021B1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1FD6EC0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4F8C6732"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3E49E69"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INM-CM4-8</w:t>
            </w:r>
          </w:p>
        </w:tc>
        <w:tc>
          <w:tcPr>
            <w:tcW w:w="1264" w:type="dxa"/>
            <w:tcBorders>
              <w:top w:val="nil"/>
              <w:left w:val="nil"/>
              <w:bottom w:val="nil"/>
              <w:right w:val="nil"/>
            </w:tcBorders>
            <w:shd w:val="clear" w:color="auto" w:fill="FFFFFF" w:themeFill="background1"/>
            <w:hideMark/>
          </w:tcPr>
          <w:p w14:paraId="649DF8A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1B5A49E9"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71D23E8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29B63E9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C6C8D14"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585FCD6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INM-CM5-0</w:t>
            </w:r>
          </w:p>
        </w:tc>
        <w:tc>
          <w:tcPr>
            <w:tcW w:w="1264" w:type="dxa"/>
            <w:tcBorders>
              <w:top w:val="nil"/>
              <w:left w:val="nil"/>
              <w:bottom w:val="nil"/>
              <w:right w:val="nil"/>
            </w:tcBorders>
            <w:shd w:val="clear" w:color="auto" w:fill="FFFFFF" w:themeFill="background1"/>
            <w:hideMark/>
          </w:tcPr>
          <w:p w14:paraId="6E585D0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4EF6E47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70A75EC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5FECD9C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43C74CC6"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0B6CF88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lastRenderedPageBreak/>
              <w:t>IPSL-CM5A2-INCA</w:t>
            </w:r>
          </w:p>
        </w:tc>
        <w:tc>
          <w:tcPr>
            <w:tcW w:w="1264" w:type="dxa"/>
            <w:tcBorders>
              <w:top w:val="nil"/>
              <w:left w:val="nil"/>
              <w:bottom w:val="nil"/>
              <w:right w:val="nil"/>
            </w:tcBorders>
            <w:shd w:val="clear" w:color="auto" w:fill="FFFFFF" w:themeFill="background1"/>
            <w:hideMark/>
          </w:tcPr>
          <w:p w14:paraId="6E88339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7A2FA65B"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nil"/>
              <w:right w:val="nil"/>
            </w:tcBorders>
            <w:shd w:val="clear" w:color="auto" w:fill="FFFFFF" w:themeFill="background1"/>
            <w:hideMark/>
          </w:tcPr>
          <w:p w14:paraId="110DD8F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5B4A12FD" w14:textId="77777777" w:rsidR="0045008B" w:rsidRPr="00A141D2" w:rsidRDefault="0045008B" w:rsidP="00086520">
            <w:pPr>
              <w:rPr>
                <w:rFonts w:ascii="Segoe UI" w:eastAsia="Times New Roman" w:hAnsi="Segoe UI" w:cs="Segoe UI"/>
                <w:color w:val="0D0D0D"/>
                <w:sz w:val="19"/>
                <w:szCs w:val="19"/>
                <w:lang w:val="en-GB" w:eastAsia="en-GB"/>
              </w:rPr>
            </w:pPr>
          </w:p>
        </w:tc>
      </w:tr>
      <w:tr w:rsidR="0045008B" w:rsidRPr="00A141D2" w14:paraId="5E27DDFC"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4FD9321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IPSL-CM6A-LR</w:t>
            </w:r>
          </w:p>
        </w:tc>
        <w:tc>
          <w:tcPr>
            <w:tcW w:w="1264" w:type="dxa"/>
            <w:tcBorders>
              <w:top w:val="nil"/>
              <w:left w:val="nil"/>
              <w:bottom w:val="nil"/>
              <w:right w:val="nil"/>
            </w:tcBorders>
            <w:shd w:val="clear" w:color="auto" w:fill="FFFFFF" w:themeFill="background1"/>
            <w:hideMark/>
          </w:tcPr>
          <w:p w14:paraId="5A63F80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482FADB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682818A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654689F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22E9C2FD"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3A7C062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KACE-1.0-G</w:t>
            </w:r>
          </w:p>
        </w:tc>
        <w:tc>
          <w:tcPr>
            <w:tcW w:w="1264" w:type="dxa"/>
            <w:tcBorders>
              <w:top w:val="nil"/>
              <w:left w:val="nil"/>
              <w:bottom w:val="nil"/>
              <w:right w:val="nil"/>
            </w:tcBorders>
            <w:shd w:val="clear" w:color="auto" w:fill="FFFFFF" w:themeFill="background1"/>
            <w:hideMark/>
          </w:tcPr>
          <w:p w14:paraId="4304FEC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31AFE93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4493E98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7971EEF9"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704A1D79"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CEA398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KIOST-ESM</w:t>
            </w:r>
          </w:p>
        </w:tc>
        <w:tc>
          <w:tcPr>
            <w:tcW w:w="1264" w:type="dxa"/>
            <w:tcBorders>
              <w:top w:val="nil"/>
              <w:left w:val="nil"/>
              <w:bottom w:val="nil"/>
              <w:right w:val="nil"/>
            </w:tcBorders>
            <w:shd w:val="clear" w:color="auto" w:fill="FFFFFF" w:themeFill="background1"/>
            <w:hideMark/>
          </w:tcPr>
          <w:p w14:paraId="40AEC7AA"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0C2E9EE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7392A4BC"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5BC6AF90" w14:textId="77777777" w:rsidR="0045008B" w:rsidRPr="00A141D2" w:rsidRDefault="0045008B" w:rsidP="00086520">
            <w:pPr>
              <w:rPr>
                <w:rFonts w:ascii="Segoe UI" w:eastAsia="Times New Roman" w:hAnsi="Segoe UI" w:cs="Segoe UI"/>
                <w:color w:val="0D0D0D"/>
                <w:sz w:val="19"/>
                <w:szCs w:val="19"/>
                <w:lang w:val="en-GB" w:eastAsia="en-GB"/>
              </w:rPr>
            </w:pPr>
          </w:p>
        </w:tc>
      </w:tr>
      <w:tr w:rsidR="0045008B" w:rsidRPr="00A141D2" w14:paraId="2DE66F50"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665995F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MIROC-ES2L</w:t>
            </w:r>
          </w:p>
        </w:tc>
        <w:tc>
          <w:tcPr>
            <w:tcW w:w="1264" w:type="dxa"/>
            <w:tcBorders>
              <w:top w:val="nil"/>
              <w:left w:val="nil"/>
              <w:bottom w:val="nil"/>
              <w:right w:val="nil"/>
            </w:tcBorders>
            <w:shd w:val="clear" w:color="auto" w:fill="FFFFFF" w:themeFill="background1"/>
            <w:hideMark/>
          </w:tcPr>
          <w:p w14:paraId="15DA9A2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7E592601"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3D13F20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413874D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58ACB3D1"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C490D6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MIROC6</w:t>
            </w:r>
          </w:p>
        </w:tc>
        <w:tc>
          <w:tcPr>
            <w:tcW w:w="1264" w:type="dxa"/>
            <w:tcBorders>
              <w:top w:val="nil"/>
              <w:left w:val="nil"/>
              <w:bottom w:val="nil"/>
              <w:right w:val="nil"/>
            </w:tcBorders>
            <w:shd w:val="clear" w:color="auto" w:fill="FFFFFF" w:themeFill="background1"/>
            <w:hideMark/>
          </w:tcPr>
          <w:p w14:paraId="199505B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0509CFF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647B37C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661898D9"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73961B87"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747B43D8"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MPI-ESM1-2-LR</w:t>
            </w:r>
          </w:p>
        </w:tc>
        <w:tc>
          <w:tcPr>
            <w:tcW w:w="1264" w:type="dxa"/>
            <w:tcBorders>
              <w:top w:val="nil"/>
              <w:left w:val="nil"/>
              <w:bottom w:val="nil"/>
              <w:right w:val="nil"/>
            </w:tcBorders>
            <w:shd w:val="clear" w:color="auto" w:fill="FFFFFF" w:themeFill="background1"/>
            <w:hideMark/>
          </w:tcPr>
          <w:p w14:paraId="37E6BD64"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29FC6BFD"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53C7876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28A240A1"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2ED75256"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60AB0F5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MRI-ESM2-0</w:t>
            </w:r>
          </w:p>
        </w:tc>
        <w:tc>
          <w:tcPr>
            <w:tcW w:w="1264" w:type="dxa"/>
            <w:tcBorders>
              <w:top w:val="nil"/>
              <w:left w:val="nil"/>
              <w:bottom w:val="nil"/>
              <w:right w:val="nil"/>
            </w:tcBorders>
            <w:shd w:val="clear" w:color="auto" w:fill="FFFFFF" w:themeFill="background1"/>
            <w:hideMark/>
          </w:tcPr>
          <w:p w14:paraId="1D785BD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2D681BC7"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0DFE5E8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727C8A6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4D9440F1"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157E85E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NESM3</w:t>
            </w:r>
          </w:p>
        </w:tc>
        <w:tc>
          <w:tcPr>
            <w:tcW w:w="1264" w:type="dxa"/>
            <w:tcBorders>
              <w:top w:val="nil"/>
              <w:left w:val="nil"/>
              <w:bottom w:val="nil"/>
              <w:right w:val="nil"/>
            </w:tcBorders>
            <w:shd w:val="clear" w:color="auto" w:fill="FFFFFF" w:themeFill="background1"/>
            <w:hideMark/>
          </w:tcPr>
          <w:p w14:paraId="31E3045F"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nil"/>
              <w:right w:val="nil"/>
            </w:tcBorders>
            <w:shd w:val="clear" w:color="auto" w:fill="FFFFFF" w:themeFill="background1"/>
            <w:hideMark/>
          </w:tcPr>
          <w:p w14:paraId="6D2B7F1C"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38B843C4"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nil"/>
              <w:right w:val="nil"/>
            </w:tcBorders>
            <w:shd w:val="clear" w:color="auto" w:fill="FFFFFF" w:themeFill="background1"/>
            <w:hideMark/>
          </w:tcPr>
          <w:p w14:paraId="100C93F1"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31A8350" w14:textId="77777777" w:rsidTr="00086520">
        <w:trPr>
          <w:trHeight w:val="291"/>
        </w:trPr>
        <w:tc>
          <w:tcPr>
            <w:tcW w:w="2795" w:type="dxa"/>
            <w:tcBorders>
              <w:top w:val="nil"/>
              <w:left w:val="nil"/>
              <w:bottom w:val="nil"/>
              <w:right w:val="single" w:sz="4" w:space="0" w:color="auto"/>
            </w:tcBorders>
            <w:shd w:val="clear" w:color="auto" w:fill="FFFFFF" w:themeFill="background1"/>
            <w:hideMark/>
          </w:tcPr>
          <w:p w14:paraId="4B8C46D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NorESM2-MM</w:t>
            </w:r>
          </w:p>
        </w:tc>
        <w:tc>
          <w:tcPr>
            <w:tcW w:w="1264" w:type="dxa"/>
            <w:tcBorders>
              <w:top w:val="nil"/>
              <w:left w:val="nil"/>
              <w:bottom w:val="nil"/>
              <w:right w:val="nil"/>
            </w:tcBorders>
            <w:shd w:val="clear" w:color="auto" w:fill="FFFFFF" w:themeFill="background1"/>
            <w:hideMark/>
          </w:tcPr>
          <w:p w14:paraId="5F85EE5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577" w:type="dxa"/>
            <w:tcBorders>
              <w:top w:val="nil"/>
              <w:left w:val="nil"/>
              <w:bottom w:val="nil"/>
              <w:right w:val="nil"/>
            </w:tcBorders>
            <w:shd w:val="clear" w:color="auto" w:fill="FFFFFF" w:themeFill="background1"/>
            <w:hideMark/>
          </w:tcPr>
          <w:p w14:paraId="301613DE"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786" w:type="dxa"/>
            <w:tcBorders>
              <w:top w:val="nil"/>
              <w:left w:val="nil"/>
              <w:bottom w:val="nil"/>
              <w:right w:val="nil"/>
            </w:tcBorders>
            <w:shd w:val="clear" w:color="auto" w:fill="FFFFFF" w:themeFill="background1"/>
            <w:hideMark/>
          </w:tcPr>
          <w:p w14:paraId="5A04FA52"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c>
          <w:tcPr>
            <w:tcW w:w="1879" w:type="dxa"/>
            <w:tcBorders>
              <w:top w:val="nil"/>
              <w:left w:val="nil"/>
              <w:bottom w:val="nil"/>
              <w:right w:val="nil"/>
            </w:tcBorders>
            <w:shd w:val="clear" w:color="auto" w:fill="FFFFFF" w:themeFill="background1"/>
            <w:hideMark/>
          </w:tcPr>
          <w:p w14:paraId="0C04115B"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1A16FA76" w14:textId="77777777" w:rsidTr="00086520">
        <w:trPr>
          <w:trHeight w:val="303"/>
        </w:trPr>
        <w:tc>
          <w:tcPr>
            <w:tcW w:w="2795" w:type="dxa"/>
            <w:tcBorders>
              <w:top w:val="nil"/>
              <w:left w:val="nil"/>
              <w:bottom w:val="single" w:sz="4" w:space="0" w:color="auto"/>
              <w:right w:val="single" w:sz="4" w:space="0" w:color="auto"/>
            </w:tcBorders>
            <w:shd w:val="clear" w:color="auto" w:fill="FFFFFF" w:themeFill="background1"/>
            <w:hideMark/>
          </w:tcPr>
          <w:p w14:paraId="7B2C50D3"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lang w:val="en-GB"/>
              </w:rPr>
              <w:t>TAI-ESM1</w:t>
            </w:r>
          </w:p>
        </w:tc>
        <w:tc>
          <w:tcPr>
            <w:tcW w:w="1264" w:type="dxa"/>
            <w:tcBorders>
              <w:top w:val="nil"/>
              <w:left w:val="nil"/>
              <w:bottom w:val="single" w:sz="4" w:space="0" w:color="auto"/>
              <w:right w:val="nil"/>
            </w:tcBorders>
            <w:shd w:val="clear" w:color="auto" w:fill="FFFFFF" w:themeFill="background1"/>
            <w:hideMark/>
          </w:tcPr>
          <w:p w14:paraId="6E25BAC4" w14:textId="77777777" w:rsidR="0045008B" w:rsidRPr="00A141D2" w:rsidRDefault="0045008B" w:rsidP="00086520">
            <w:pPr>
              <w:rPr>
                <w:rFonts w:ascii="Segoe UI" w:eastAsia="Times New Roman" w:hAnsi="Segoe UI" w:cs="Segoe UI"/>
                <w:color w:val="0D0D0D"/>
                <w:sz w:val="19"/>
                <w:szCs w:val="19"/>
                <w:lang w:val="en-GB" w:eastAsia="en-GB"/>
              </w:rPr>
            </w:pPr>
          </w:p>
        </w:tc>
        <w:tc>
          <w:tcPr>
            <w:tcW w:w="1577" w:type="dxa"/>
            <w:tcBorders>
              <w:top w:val="nil"/>
              <w:left w:val="nil"/>
              <w:bottom w:val="single" w:sz="4" w:space="0" w:color="auto"/>
              <w:right w:val="nil"/>
            </w:tcBorders>
            <w:shd w:val="clear" w:color="auto" w:fill="FFFFFF" w:themeFill="background1"/>
            <w:hideMark/>
          </w:tcPr>
          <w:p w14:paraId="387AE4D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786" w:type="dxa"/>
            <w:tcBorders>
              <w:top w:val="nil"/>
              <w:left w:val="nil"/>
              <w:bottom w:val="single" w:sz="4" w:space="0" w:color="auto"/>
              <w:right w:val="nil"/>
            </w:tcBorders>
            <w:shd w:val="clear" w:color="auto" w:fill="FFFFFF" w:themeFill="background1"/>
            <w:hideMark/>
          </w:tcPr>
          <w:p w14:paraId="5DA90A41" w14:textId="77777777" w:rsidR="0045008B" w:rsidRPr="00A141D2" w:rsidRDefault="0045008B" w:rsidP="00086520">
            <w:pPr>
              <w:rPr>
                <w:rFonts w:ascii="Segoe UI" w:eastAsia="Times New Roman" w:hAnsi="Segoe UI" w:cs="Segoe UI"/>
                <w:color w:val="0D0D0D"/>
                <w:sz w:val="19"/>
                <w:szCs w:val="19"/>
                <w:lang w:val="en-GB" w:eastAsia="en-GB"/>
              </w:rPr>
            </w:pPr>
          </w:p>
        </w:tc>
        <w:tc>
          <w:tcPr>
            <w:tcW w:w="1879" w:type="dxa"/>
            <w:tcBorders>
              <w:top w:val="nil"/>
              <w:left w:val="nil"/>
              <w:bottom w:val="single" w:sz="4" w:space="0" w:color="auto"/>
              <w:right w:val="nil"/>
            </w:tcBorders>
            <w:shd w:val="clear" w:color="auto" w:fill="FFFFFF" w:themeFill="background1"/>
            <w:hideMark/>
          </w:tcPr>
          <w:p w14:paraId="38FB41C5"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Symbol" w:hAnsi="Segoe UI Symbol" w:cs="Segoe UI Symbol"/>
                <w:lang w:val="en-GB"/>
              </w:rPr>
              <w:t>✓</w:t>
            </w:r>
          </w:p>
        </w:tc>
      </w:tr>
      <w:tr w:rsidR="0045008B" w:rsidRPr="00A141D2" w14:paraId="58A5647B" w14:textId="77777777" w:rsidTr="00086520">
        <w:trPr>
          <w:trHeight w:val="303"/>
        </w:trPr>
        <w:tc>
          <w:tcPr>
            <w:tcW w:w="2795" w:type="dxa"/>
            <w:tcBorders>
              <w:top w:val="single" w:sz="4" w:space="0" w:color="auto"/>
              <w:left w:val="nil"/>
              <w:bottom w:val="double" w:sz="6" w:space="0" w:color="auto"/>
              <w:right w:val="single" w:sz="4" w:space="0" w:color="auto"/>
            </w:tcBorders>
            <w:shd w:val="clear" w:color="auto" w:fill="FFFFFF" w:themeFill="background1"/>
          </w:tcPr>
          <w:p w14:paraId="7E9336D0" w14:textId="77777777" w:rsidR="0045008B" w:rsidRPr="00A141D2" w:rsidRDefault="0045008B" w:rsidP="00086520">
            <w:pPr>
              <w:rPr>
                <w:lang w:val="en-GB"/>
              </w:rPr>
            </w:pPr>
            <w:r w:rsidRPr="00A141D2">
              <w:rPr>
                <w:lang w:val="en-GB"/>
              </w:rPr>
              <w:t>Count</w:t>
            </w:r>
          </w:p>
        </w:tc>
        <w:tc>
          <w:tcPr>
            <w:tcW w:w="1264" w:type="dxa"/>
            <w:tcBorders>
              <w:top w:val="single" w:sz="4" w:space="0" w:color="auto"/>
              <w:left w:val="nil"/>
              <w:bottom w:val="double" w:sz="6" w:space="0" w:color="auto"/>
              <w:right w:val="nil"/>
            </w:tcBorders>
            <w:shd w:val="clear" w:color="auto" w:fill="FFFFFF" w:themeFill="background1"/>
          </w:tcPr>
          <w:p w14:paraId="70AAC15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w:eastAsia="Times New Roman" w:hAnsi="Segoe UI" w:cs="Segoe UI"/>
                <w:color w:val="0D0D0D"/>
                <w:sz w:val="19"/>
                <w:szCs w:val="19"/>
                <w:lang w:val="en-GB" w:eastAsia="en-GB"/>
              </w:rPr>
              <w:t>24</w:t>
            </w:r>
          </w:p>
        </w:tc>
        <w:tc>
          <w:tcPr>
            <w:tcW w:w="1577" w:type="dxa"/>
            <w:tcBorders>
              <w:top w:val="single" w:sz="4" w:space="0" w:color="auto"/>
              <w:left w:val="nil"/>
              <w:bottom w:val="double" w:sz="6" w:space="0" w:color="auto"/>
              <w:right w:val="nil"/>
            </w:tcBorders>
            <w:shd w:val="clear" w:color="auto" w:fill="FFFFFF" w:themeFill="background1"/>
          </w:tcPr>
          <w:p w14:paraId="61C9446F"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w:eastAsia="Times New Roman" w:hAnsi="Segoe UI" w:cs="Segoe UI"/>
                <w:color w:val="0D0D0D"/>
                <w:sz w:val="19"/>
                <w:szCs w:val="19"/>
                <w:lang w:val="en-GB" w:eastAsia="en-GB"/>
              </w:rPr>
              <w:t>23</w:t>
            </w:r>
          </w:p>
        </w:tc>
        <w:tc>
          <w:tcPr>
            <w:tcW w:w="1786" w:type="dxa"/>
            <w:tcBorders>
              <w:top w:val="single" w:sz="4" w:space="0" w:color="auto"/>
              <w:left w:val="nil"/>
              <w:bottom w:val="double" w:sz="6" w:space="0" w:color="auto"/>
              <w:right w:val="nil"/>
            </w:tcBorders>
            <w:shd w:val="clear" w:color="auto" w:fill="FFFFFF" w:themeFill="background1"/>
          </w:tcPr>
          <w:p w14:paraId="015337F6" w14:textId="77777777" w:rsidR="0045008B" w:rsidRPr="00A141D2" w:rsidRDefault="0045008B" w:rsidP="00086520">
            <w:pPr>
              <w:rPr>
                <w:rFonts w:ascii="Segoe UI" w:eastAsia="Times New Roman" w:hAnsi="Segoe UI" w:cs="Segoe UI"/>
                <w:color w:val="0D0D0D"/>
                <w:sz w:val="19"/>
                <w:szCs w:val="19"/>
                <w:lang w:val="en-GB" w:eastAsia="en-GB"/>
              </w:rPr>
            </w:pPr>
            <w:r w:rsidRPr="00A141D2">
              <w:rPr>
                <w:rFonts w:ascii="Segoe UI" w:eastAsia="Times New Roman" w:hAnsi="Segoe UI" w:cs="Segoe UI"/>
                <w:color w:val="0D0D0D"/>
                <w:sz w:val="19"/>
                <w:szCs w:val="19"/>
                <w:lang w:val="en-GB" w:eastAsia="en-GB"/>
              </w:rPr>
              <w:t>21</w:t>
            </w:r>
          </w:p>
        </w:tc>
        <w:tc>
          <w:tcPr>
            <w:tcW w:w="1879" w:type="dxa"/>
            <w:tcBorders>
              <w:top w:val="single" w:sz="4" w:space="0" w:color="auto"/>
              <w:left w:val="nil"/>
              <w:bottom w:val="double" w:sz="6" w:space="0" w:color="auto"/>
              <w:right w:val="nil"/>
            </w:tcBorders>
            <w:shd w:val="clear" w:color="auto" w:fill="FFFFFF" w:themeFill="background1"/>
          </w:tcPr>
          <w:p w14:paraId="70967F7A" w14:textId="77777777" w:rsidR="0045008B" w:rsidRPr="00A141D2" w:rsidRDefault="0045008B" w:rsidP="00086520">
            <w:pPr>
              <w:rPr>
                <w:rFonts w:ascii="Segoe UI Symbol" w:hAnsi="Segoe UI Symbol" w:cs="Segoe UI Symbol"/>
                <w:lang w:val="en-GB"/>
              </w:rPr>
            </w:pPr>
            <w:r w:rsidRPr="00A141D2">
              <w:rPr>
                <w:rFonts w:ascii="Segoe UI Symbol" w:hAnsi="Segoe UI Symbol" w:cs="Segoe UI Symbol"/>
                <w:lang w:val="en-GB"/>
              </w:rPr>
              <w:t>27</w:t>
            </w:r>
          </w:p>
        </w:tc>
      </w:tr>
    </w:tbl>
    <w:p w14:paraId="6AF49151" w14:textId="77777777" w:rsidR="0045008B" w:rsidRPr="00A141D2" w:rsidRDefault="0045008B" w:rsidP="0045008B">
      <w:pPr>
        <w:jc w:val="center"/>
        <w:rPr>
          <w:b/>
          <w:lang w:val="en-GB"/>
        </w:rPr>
      </w:pPr>
      <w:r w:rsidRPr="00A141D2">
        <w:rPr>
          <w:b/>
          <w:noProof/>
          <w:lang w:val="en-GB"/>
        </w:rPr>
        <w:drawing>
          <wp:inline distT="0" distB="0" distL="0" distR="0" wp14:anchorId="7287C633" wp14:editId="2A139CAA">
            <wp:extent cx="4361602" cy="3066180"/>
            <wp:effectExtent l="0" t="0" r="1270" b="1270"/>
            <wp:docPr id="363434409" name="Picture 1" descr="A map of the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34409" name="Picture 1" descr="A map of the river&#10;&#10;Description automatically generated"/>
                    <pic:cNvPicPr/>
                  </pic:nvPicPr>
                  <pic:blipFill>
                    <a:blip r:embed="rId24">
                      <a:extLst>
                        <a:ext uri="{28A0092B-C50C-407E-A947-70E740481C1C}">
                          <a14:useLocalDpi xmlns:a14="http://schemas.microsoft.com/office/drawing/2010/main"/>
                        </a:ext>
                      </a:extLst>
                    </a:blip>
                    <a:stretch>
                      <a:fillRect/>
                    </a:stretch>
                  </pic:blipFill>
                  <pic:spPr>
                    <a:xfrm>
                      <a:off x="0" y="0"/>
                      <a:ext cx="4361602" cy="3066180"/>
                    </a:xfrm>
                    <a:prstGeom prst="rect">
                      <a:avLst/>
                    </a:prstGeom>
                  </pic:spPr>
                </pic:pic>
              </a:graphicData>
            </a:graphic>
          </wp:inline>
        </w:drawing>
      </w:r>
    </w:p>
    <w:p w14:paraId="4377AF36" w14:textId="41FB000B" w:rsidR="0045008B" w:rsidRPr="00A141D2" w:rsidRDefault="0045008B" w:rsidP="009F4ECF">
      <w:pPr>
        <w:pStyle w:val="Caption"/>
        <w:rPr>
          <w:lang w:val="en-GB"/>
        </w:rPr>
      </w:pPr>
      <w:r w:rsidRPr="00A141D2">
        <w:rPr>
          <w:b/>
          <w:bCs/>
          <w:lang w:val="en-GB"/>
        </w:rPr>
        <w:t xml:space="preserve">Figure </w:t>
      </w:r>
      <w:r w:rsidR="003F5F3A" w:rsidRPr="00A141D2">
        <w:rPr>
          <w:b/>
          <w:bCs/>
          <w:lang w:val="en-GB"/>
        </w:rPr>
        <w:t>A</w:t>
      </w:r>
      <w:r w:rsidRPr="00A141D2">
        <w:rPr>
          <w:b/>
          <w:bCs/>
          <w:lang w:val="en-GB"/>
        </w:rPr>
        <w:t>.1</w:t>
      </w:r>
      <w:r w:rsidRPr="00A141D2">
        <w:rPr>
          <w:lang w:val="en-GB"/>
        </w:rPr>
        <w:t>: A map of the Lielupe basin rivers (in blue) with stations in red with Kling-Gupta Efficiency &gt;= 0.5 and thus considered in the Climatic Impact driver clustering. The names of the stations are annotated in red.</w:t>
      </w:r>
    </w:p>
    <w:p w14:paraId="61897BEA" w14:textId="77777777" w:rsidR="0045008B" w:rsidRPr="00A141D2" w:rsidRDefault="0045008B" w:rsidP="0045008B">
      <w:pPr>
        <w:jc w:val="center"/>
        <w:rPr>
          <w:lang w:val="en-GB"/>
        </w:rPr>
      </w:pPr>
      <w:r w:rsidRPr="00A141D2">
        <w:rPr>
          <w:noProof/>
          <w:lang w:val="en-GB"/>
        </w:rPr>
        <w:lastRenderedPageBreak/>
        <w:drawing>
          <wp:inline distT="0" distB="0" distL="0" distR="0" wp14:anchorId="63677D18" wp14:editId="0D5FAA44">
            <wp:extent cx="6130456" cy="6029592"/>
            <wp:effectExtent l="0" t="0" r="3810" b="9525"/>
            <wp:docPr id="1079072724"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072724" name="Picture 2" descr="A screenshot of a graph&#10;&#10;Description automatically generated"/>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6132625" cy="6031725"/>
                    </a:xfrm>
                    <a:prstGeom prst="rect">
                      <a:avLst/>
                    </a:prstGeom>
                    <a:noFill/>
                    <a:ln>
                      <a:noFill/>
                    </a:ln>
                  </pic:spPr>
                </pic:pic>
              </a:graphicData>
            </a:graphic>
          </wp:inline>
        </w:drawing>
      </w:r>
    </w:p>
    <w:p w14:paraId="134894BC" w14:textId="04B100CD" w:rsidR="009F4ECF" w:rsidRPr="00A141D2" w:rsidRDefault="0045008B" w:rsidP="009F4ECF">
      <w:pPr>
        <w:pStyle w:val="Caption"/>
        <w:rPr>
          <w:i w:val="0"/>
          <w:iCs w:val="0"/>
          <w:lang w:val="en-GB"/>
        </w:rPr>
      </w:pPr>
      <w:r w:rsidRPr="00A141D2">
        <w:rPr>
          <w:b/>
          <w:bCs/>
          <w:lang w:val="en-GB"/>
        </w:rPr>
        <w:t xml:space="preserve">Figure </w:t>
      </w:r>
      <w:r w:rsidR="003F5F3A" w:rsidRPr="00A141D2">
        <w:rPr>
          <w:b/>
          <w:bCs/>
          <w:lang w:val="en-GB"/>
        </w:rPr>
        <w:t>A</w:t>
      </w:r>
      <w:r w:rsidRPr="00A141D2">
        <w:rPr>
          <w:b/>
          <w:bCs/>
          <w:lang w:val="en-GB"/>
        </w:rPr>
        <w:t>.</w:t>
      </w:r>
      <w:r w:rsidR="003F5F3A" w:rsidRPr="00A141D2">
        <w:rPr>
          <w:b/>
          <w:bCs/>
          <w:lang w:val="en-GB"/>
        </w:rPr>
        <w:t>2</w:t>
      </w:r>
      <w:r w:rsidRPr="00A141D2">
        <w:rPr>
          <w:lang w:val="en-GB"/>
        </w:rPr>
        <w:t xml:space="preserve">: Impact response for the 2041-2060 timeframe for various stations in the basin and their top two climate features of importance. The axis labels represent seasonal changes for December-January-February (DJF), March-April-May (MAM), June-July-August (JJA), and September-October-November (SON). For selected seasons, the changes in average temperature (ΔT), average precipitation (ΔP) and coefficient of variation (ΔCV) of that precipitation are shown. The background hue indicates the discharge change for that return period at any combination of the selected climate features. Each grey point represents an individual GCM model projection for SSP126, SSP245, SSP370 and SSP585. The coloured circles represent the SSP model means, and coloured triangles represent the model means of the different clusters. The exploratory amplification for each station is provided. </w:t>
      </w:r>
      <w:r w:rsidR="009F4ECF" w:rsidRPr="00A141D2">
        <w:rPr>
          <w:lang w:val="en-GB"/>
        </w:rPr>
        <w:br w:type="page"/>
      </w:r>
    </w:p>
    <w:p w14:paraId="7959FA13" w14:textId="60432F15" w:rsidR="00C869FC" w:rsidRPr="00A141D2" w:rsidRDefault="00DE468B" w:rsidP="003855D5">
      <w:pPr>
        <w:pStyle w:val="Heading-Secondary"/>
        <w:rPr>
          <w:lang w:val="en-GB"/>
        </w:rPr>
      </w:pPr>
      <w:r w:rsidRPr="00A141D2">
        <w:rPr>
          <w:lang w:val="en-GB"/>
        </w:rPr>
        <w:lastRenderedPageBreak/>
        <w:t xml:space="preserve">Appendix </w:t>
      </w:r>
      <w:r w:rsidR="003F5F3A" w:rsidRPr="00A141D2">
        <w:rPr>
          <w:lang w:val="en-GB"/>
        </w:rPr>
        <w:t>B</w:t>
      </w:r>
      <w:r w:rsidRPr="00A141D2">
        <w:rPr>
          <w:lang w:val="en-GB"/>
        </w:rPr>
        <w:t xml:space="preserve">: </w:t>
      </w:r>
      <w:r w:rsidR="00676DD4" w:rsidRPr="00A141D2">
        <w:rPr>
          <w:lang w:val="en-GB"/>
        </w:rPr>
        <w:t>P</w:t>
      </w:r>
      <w:r w:rsidR="00C869FC" w:rsidRPr="00A141D2">
        <w:rPr>
          <w:lang w:val="en-GB"/>
        </w:rPr>
        <w:t xml:space="preserve">rojecting </w:t>
      </w:r>
      <w:r w:rsidR="00495644" w:rsidRPr="00A141D2">
        <w:rPr>
          <w:lang w:val="en-GB"/>
        </w:rPr>
        <w:t>I</w:t>
      </w:r>
      <w:r w:rsidR="00C869FC" w:rsidRPr="00A141D2">
        <w:rPr>
          <w:lang w:val="en-GB"/>
        </w:rPr>
        <w:t>nput</w:t>
      </w:r>
      <w:r w:rsidR="00495644" w:rsidRPr="00A141D2">
        <w:rPr>
          <w:lang w:val="en-GB"/>
        </w:rPr>
        <w:t>-</w:t>
      </w:r>
      <w:r w:rsidR="00676DD4" w:rsidRPr="00A141D2">
        <w:rPr>
          <w:lang w:val="en-GB"/>
        </w:rPr>
        <w:t>O</w:t>
      </w:r>
      <w:r w:rsidR="00C869FC" w:rsidRPr="00A141D2">
        <w:rPr>
          <w:lang w:val="en-GB"/>
        </w:rPr>
        <w:t xml:space="preserve">utput </w:t>
      </w:r>
      <w:r w:rsidR="00676DD4" w:rsidRPr="00A141D2">
        <w:rPr>
          <w:lang w:val="en-GB"/>
        </w:rPr>
        <w:t>T</w:t>
      </w:r>
      <w:r w:rsidR="00C869FC" w:rsidRPr="00A141D2">
        <w:rPr>
          <w:lang w:val="en-GB"/>
        </w:rPr>
        <w:t>ables</w:t>
      </w:r>
    </w:p>
    <w:p w14:paraId="29F24DBB" w14:textId="1AA5CBCF" w:rsidR="0098511A" w:rsidRPr="00A141D2" w:rsidRDefault="0098511A" w:rsidP="0098511A">
      <w:pPr>
        <w:rPr>
          <w:szCs w:val="24"/>
          <w:lang w:val="en-GB"/>
        </w:rPr>
      </w:pPr>
      <w:r w:rsidRPr="00A141D2">
        <w:rPr>
          <w:szCs w:val="24"/>
          <w:lang w:val="en-GB"/>
        </w:rPr>
        <w:t xml:space="preserve">This appendix details the projection process of national input-output tables according to socio-economic trends and sectoral shifts in SSPs. First, the 2020 national input-output table was retrieved from the Latvian statistics portal. This table includes 64 sectors corresponding to the NACE64 nomenclature used in the European Union </w:t>
      </w:r>
      <w:r w:rsidRPr="00A141D2">
        <w:rPr>
          <w:szCs w:val="24"/>
          <w:lang w:val="en-GB"/>
        </w:rPr>
        <w:fldChar w:fldCharType="begin"/>
      </w:r>
      <w:r w:rsidR="00825ADB" w:rsidRPr="00A141D2">
        <w:rPr>
          <w:szCs w:val="24"/>
          <w:lang w:val="en-GB"/>
        </w:rPr>
        <w:instrText xml:space="preserve"> ADDIN ZOTERO_ITEM CSL_CITATION {"citationID":"ehFNrLHl","properties":{"formattedCitation":"(Eurostat, 2008)","plainCitation":"(Eurostat, 2008)","noteIndex":0},"citationItems":[{"id":2933,"uris":["http://zotero.org/users/11212985/items/A4NHP9UD"],"itemData":{"id":2933,"type":"book","abstract":"The publication contains the structure of the classification, the introductory guidelines containing the main concepts, a historical background and the methodological guidelines for understanding and applying the classification as well as a detailed description of the different items of NACE Rev. 2.","event-place":"Luxembourg","ISBN":"978-92-79-04741-1","language":"en-GB","publisher":"Office for Official Publications of the European Communities","publisher-place":"Luxembourg","title":"NACE Rev. 2 - Statistical classification of economic activities","URL":"https://ec.europa.eu/eurostat/web/products-manuals-and-guidelines/-/ks-ra-07-015","author":[{"family":"Eurostat","given":""}],"accessed":{"date-parts":[["2024",9,13]]},"issued":{"date-parts":[["2008"]]},"citation-key":"eurostatNACERevStatistical2008"}}],"schema":"https://github.com/citation-style-language/schema/raw/master/csl-citation.json"} </w:instrText>
      </w:r>
      <w:r w:rsidRPr="00A141D2">
        <w:rPr>
          <w:szCs w:val="24"/>
          <w:lang w:val="en-GB"/>
        </w:rPr>
        <w:fldChar w:fldCharType="separate"/>
      </w:r>
      <w:r w:rsidRPr="00A141D2">
        <w:rPr>
          <w:szCs w:val="24"/>
          <w:lang w:val="en-GB"/>
        </w:rPr>
        <w:t>(Eurostat, 2008)</w:t>
      </w:r>
      <w:r w:rsidRPr="00A141D2">
        <w:rPr>
          <w:szCs w:val="24"/>
          <w:lang w:val="en-GB"/>
        </w:rPr>
        <w:fldChar w:fldCharType="end"/>
      </w:r>
      <w:r w:rsidRPr="00A141D2">
        <w:rPr>
          <w:szCs w:val="24"/>
          <w:lang w:val="en-GB"/>
        </w:rPr>
        <w:t xml:space="preserve">. Since the projections in Leimbach et al. </w:t>
      </w:r>
      <w:r w:rsidRPr="00A141D2">
        <w:rPr>
          <w:szCs w:val="24"/>
          <w:lang w:val="en-GB"/>
        </w:rPr>
        <w:fldChar w:fldCharType="begin"/>
      </w:r>
      <w:r w:rsidR="00825ADB" w:rsidRPr="00A141D2">
        <w:rPr>
          <w:szCs w:val="24"/>
          <w:lang w:val="en-GB"/>
        </w:rPr>
        <w:instrText xml:space="preserve"> ADDIN ZOTERO_ITEM CSL_CITATION {"citationID":"N0oUdm8C","properties":{"formattedCitation":"(2023)","plainCitation":"(2023)","noteIndex":0},"citationItems":[{"id":2716,"uris":["http://zotero.org/users/11212985/items/NXLMLSH3"],"itemData":{"id":2716,"type":"article-journal","abstract":"Shared socio-economic pathway (SSP) scenarios represent a consistent set of socio-economic assumptions and a major input of Integrated Assessment Models on climate change. This study added a driver that is missing so far in the SSP framework - the evolution of the sectoral structure of economies. A newly constructed set of structural change scenarios is presented. These structural change scenarios represent a well-known characteristic that accompanies the process of economic growth and development - the reallocation of economic activity between the three major sectors agriculture, manufacturing and services. While we construct scenarios for the sectoral shares of labor, value-added and energy based on historical data and an econometric approach, which comes with some limitation, these scenarios are linked to the SSP GDP scenarios and hence implicitly capture properties of the narratives underlying them. We find that the pattern and speed of structural change differ under different SSPs. Moreover, while the scenarios for developing countries reproduce structural change patterns (e.g., hump-shape of manufacturing labor share), observed for developed countries in the past, the projected transformation, in particular the reduction of labor shares in the agricultural sector, represents a tremendous challenge.","container-title":"Futures","DOI":"10.1016/j.futures.2023.103156","ISSN":"0016-3287","journalAbbreviation":"Futures","page":"103156","source":"ScienceDirect","title":"Structural change scenarios within the SSP framework","volume":"150","author":[{"family":"Leimbach","given":"Marian"},{"family":"Marcolino","given":"Marcos"},{"family":"Koch","given":"Johannes"}],"issued":{"date-parts":[["2023",6,1]]},"citation-key":"leimbachStructuralChangeScenarios2023"},"label":"page","suppress-author":true}],"schema":"https://github.com/citation-style-language/schema/raw/master/csl-citation.json"} </w:instrText>
      </w:r>
      <w:r w:rsidRPr="00A141D2">
        <w:rPr>
          <w:szCs w:val="24"/>
          <w:lang w:val="en-GB"/>
        </w:rPr>
        <w:fldChar w:fldCharType="separate"/>
      </w:r>
      <w:r w:rsidRPr="00A141D2">
        <w:rPr>
          <w:szCs w:val="24"/>
          <w:lang w:val="en-GB"/>
        </w:rPr>
        <w:t>(2023)</w:t>
      </w:r>
      <w:r w:rsidRPr="00A141D2">
        <w:rPr>
          <w:szCs w:val="24"/>
          <w:lang w:val="en-GB"/>
        </w:rPr>
        <w:fldChar w:fldCharType="end"/>
      </w:r>
      <w:r w:rsidRPr="00A141D2">
        <w:rPr>
          <w:szCs w:val="24"/>
          <w:lang w:val="en-GB"/>
        </w:rPr>
        <w:t xml:space="preserve"> only cover the aggregate NACE3 sectors, the NACE64 sectors are aggregated into the NACE3 sectors: Agriculture, Manufacturing and Services. Contribution ratios of sectors within each NACE3 group are kept as is, since more granular sectoral change information in not available.</w:t>
      </w:r>
    </w:p>
    <w:p w14:paraId="4C2718C7" w14:textId="237C707F" w:rsidR="0098511A" w:rsidRPr="00A141D2" w:rsidRDefault="0098511A" w:rsidP="0098511A">
      <w:pPr>
        <w:rPr>
          <w:szCs w:val="24"/>
          <w:lang w:val="en-GB"/>
        </w:rPr>
      </w:pPr>
      <w:r w:rsidRPr="00A141D2">
        <w:rPr>
          <w:szCs w:val="24"/>
          <w:lang w:val="en-GB"/>
        </w:rPr>
        <w:t xml:space="preserve">The projection process starts </w:t>
      </w:r>
      <w:r w:rsidR="009F4ECF" w:rsidRPr="00A141D2">
        <w:rPr>
          <w:szCs w:val="24"/>
          <w:lang w:val="en-GB"/>
        </w:rPr>
        <w:t>by multiplying the 2020 national value added by the projected GDP growth in 2050,</w:t>
      </w:r>
      <w:r w:rsidRPr="00A141D2">
        <w:rPr>
          <w:szCs w:val="24"/>
          <w:lang w:val="en-GB"/>
        </w:rPr>
        <w:t xml:space="preserve"> shown in Figure 4 of the main text. Next, the value added is allocated among the three aggregate sectors according to the 2050 projection, providing an estimate of each sector’s size in 2050 for an SSP.</w:t>
      </w:r>
    </w:p>
    <w:p w14:paraId="12EE6C14"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s,  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α</m:t>
              </m:r>
            </m:e>
            <m:sub>
              <m:r>
                <w:rPr>
                  <w:rFonts w:ascii="Cambria Math" w:hAnsi="Cambria Math"/>
                  <w:sz w:val="20"/>
                  <w:lang w:val="en-GB"/>
                </w:rPr>
                <m:t>s, SSP</m:t>
              </m:r>
            </m:sub>
            <m:sup>
              <m:r>
                <w:rPr>
                  <w:rFonts w:ascii="Cambria Math" w:hAnsi="Cambria Math"/>
                  <w:sz w:val="20"/>
                  <w:lang w:val="en-GB"/>
                </w:rPr>
                <m:t>2050</m:t>
              </m:r>
            </m:sup>
          </m:sSubSup>
          <m:r>
            <w:rPr>
              <w:rFonts w:ascii="Cambria Math" w:hAnsi="Cambria Math"/>
              <w:sz w:val="20"/>
              <w:lang w:val="en-GB"/>
            </w:rPr>
            <m:t>*</m:t>
          </m:r>
          <m:sSup>
            <m:sSupPr>
              <m:ctrlPr>
                <w:rPr>
                  <w:rFonts w:ascii="Cambria Math" w:hAnsi="Cambria Math"/>
                  <w:i/>
                  <w:sz w:val="20"/>
                  <w:lang w:val="en-GB"/>
                </w:rPr>
              </m:ctrlPr>
            </m:sSupPr>
            <m:e>
              <m:r>
                <w:rPr>
                  <w:rFonts w:ascii="Cambria Math" w:hAnsi="Cambria Math"/>
                  <w:sz w:val="20"/>
                  <w:lang w:val="en-GB"/>
                </w:rPr>
                <m:t>VA</m:t>
              </m:r>
            </m:e>
            <m:sup>
              <m:r>
                <w:rPr>
                  <w:rFonts w:ascii="Cambria Math" w:hAnsi="Cambria Math"/>
                  <w:sz w:val="20"/>
                  <w:lang w:val="en-GB"/>
                </w:rPr>
                <m:t>2020</m:t>
              </m:r>
            </m:sup>
          </m:s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g</m:t>
              </m:r>
            </m:e>
            <m:sub>
              <m:r>
                <w:rPr>
                  <w:rFonts w:ascii="Cambria Math" w:hAnsi="Cambria Math"/>
                  <w:sz w:val="20"/>
                  <w:lang w:val="en-GB"/>
                </w:rPr>
                <m:t>SSP</m:t>
              </m:r>
            </m:sub>
            <m:sup>
              <m:r>
                <w:rPr>
                  <w:rFonts w:ascii="Cambria Math" w:hAnsi="Cambria Math"/>
                  <w:sz w:val="20"/>
                  <w:lang w:val="en-GB"/>
                </w:rPr>
                <m:t>2050</m:t>
              </m:r>
            </m:sup>
          </m:sSubSup>
          <m:r>
            <w:rPr>
              <w:rFonts w:ascii="Cambria Math" w:hAnsi="Cambria Math"/>
              <w:sz w:val="20"/>
              <w:lang w:val="en-GB"/>
            </w:rPr>
            <m:t xml:space="preserve"> </m:t>
          </m:r>
        </m:oMath>
      </m:oMathPara>
    </w:p>
    <w:p w14:paraId="5FB4F050" w14:textId="77777777" w:rsidR="0098511A" w:rsidRPr="00A141D2" w:rsidRDefault="0098511A" w:rsidP="0098511A">
      <w:pPr>
        <w:rPr>
          <w:sz w:val="20"/>
          <w:lang w:val="en-GB"/>
        </w:rPr>
      </w:pPr>
      <w:r w:rsidRPr="00A141D2">
        <w:rPr>
          <w:sz w:val="20"/>
          <w:lang w:val="en-GB"/>
        </w:rPr>
        <w:t xml:space="preserve">Where: </w:t>
      </w:r>
    </w:p>
    <w:p w14:paraId="3B741DFB" w14:textId="77777777" w:rsidR="0098511A" w:rsidRPr="00A141D2" w:rsidRDefault="0098511A" w:rsidP="0098511A">
      <w:pPr>
        <w:rPr>
          <w:sz w:val="20"/>
          <w:lang w:val="en-GB"/>
        </w:rPr>
      </w:pPr>
      <w:r w:rsidRPr="00A141D2">
        <w:rPr>
          <w:sz w:val="20"/>
          <w:lang w:val="en-GB"/>
        </w:rPr>
        <w:tab/>
      </w:r>
      <m:oMath>
        <m:r>
          <w:rPr>
            <w:rFonts w:ascii="Cambria Math" w:hAnsi="Cambria Math"/>
            <w:sz w:val="20"/>
            <w:lang w:val="en-GB"/>
          </w:rPr>
          <m:t>V</m:t>
        </m:r>
        <m:sSubSup>
          <m:sSubSupPr>
            <m:ctrlPr>
              <w:rPr>
                <w:rFonts w:ascii="Cambria Math" w:hAnsi="Cambria Math"/>
                <w:i/>
                <w:sz w:val="20"/>
                <w:lang w:val="en-GB"/>
              </w:rPr>
            </m:ctrlPr>
          </m:sSubSupPr>
          <m:e>
            <m:r>
              <w:rPr>
                <w:rFonts w:ascii="Cambria Math" w:hAnsi="Cambria Math"/>
                <w:sz w:val="20"/>
                <w:lang w:val="en-GB"/>
              </w:rPr>
              <m:t>A</m:t>
            </m:r>
          </m:e>
          <m:sub>
            <m:r>
              <w:rPr>
                <w:rFonts w:ascii="Cambria Math" w:hAnsi="Cambria Math"/>
                <w:sz w:val="20"/>
                <w:lang w:val="en-GB"/>
              </w:rPr>
              <m:t>s,  SSP</m:t>
            </m:r>
          </m:sub>
          <m:sup>
            <m:r>
              <w:rPr>
                <w:rFonts w:ascii="Cambria Math" w:hAnsi="Cambria Math"/>
                <w:sz w:val="20"/>
                <w:lang w:val="en-GB"/>
              </w:rPr>
              <m:t>2050</m:t>
            </m:r>
          </m:sup>
        </m:sSubSup>
      </m:oMath>
      <w:r w:rsidRPr="00A141D2">
        <w:rPr>
          <w:sz w:val="20"/>
          <w:lang w:val="en-GB"/>
        </w:rPr>
        <w:t xml:space="preserve">: projected value added of NACE3 sector </w:t>
      </w:r>
      <w:r w:rsidRPr="00A141D2">
        <w:rPr>
          <w:i/>
          <w:iCs/>
          <w:sz w:val="20"/>
          <w:lang w:val="en-GB"/>
        </w:rPr>
        <w:t>s</w:t>
      </w:r>
      <w:r w:rsidRPr="00A141D2">
        <w:rPr>
          <w:sz w:val="20"/>
          <w:lang w:val="en-GB"/>
        </w:rPr>
        <w:t xml:space="preserve"> in 2050 for an SSP scenario</w:t>
      </w:r>
    </w:p>
    <w:p w14:paraId="70AEF5C1" w14:textId="77777777" w:rsidR="0098511A" w:rsidRPr="00A141D2" w:rsidRDefault="0098511A" w:rsidP="0098511A">
      <w:pPr>
        <w:rPr>
          <w:sz w:val="20"/>
          <w:lang w:val="en-GB"/>
        </w:rPr>
      </w:pPr>
      <w:r w:rsidRPr="00A141D2">
        <w:rPr>
          <w:sz w:val="20"/>
          <w:lang w:val="en-GB"/>
        </w:rPr>
        <w:t xml:space="preserve"> </w:t>
      </w: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α</m:t>
            </m:r>
          </m:e>
          <m:sub>
            <m:r>
              <w:rPr>
                <w:rFonts w:ascii="Cambria Math" w:hAnsi="Cambria Math"/>
                <w:sz w:val="20"/>
                <w:lang w:val="en-GB"/>
              </w:rPr>
              <m:t>s, SSP</m:t>
            </m:r>
          </m:sub>
          <m:sup>
            <m:r>
              <w:rPr>
                <w:rFonts w:ascii="Cambria Math" w:hAnsi="Cambria Math"/>
                <w:sz w:val="20"/>
                <w:lang w:val="en-GB"/>
              </w:rPr>
              <m:t>2050</m:t>
            </m:r>
          </m:sup>
        </m:sSubSup>
      </m:oMath>
      <w:r w:rsidRPr="00A141D2">
        <w:rPr>
          <w:sz w:val="20"/>
          <w:lang w:val="en-GB"/>
        </w:rPr>
        <w:t xml:space="preserve">: projected sectoral contribution share of NACE3 sector </w:t>
      </w:r>
      <w:r w:rsidRPr="00A141D2">
        <w:rPr>
          <w:i/>
          <w:iCs/>
          <w:sz w:val="20"/>
          <w:lang w:val="en-GB"/>
        </w:rPr>
        <w:t>s</w:t>
      </w:r>
      <w:r w:rsidRPr="00A141D2">
        <w:rPr>
          <w:sz w:val="20"/>
          <w:lang w:val="en-GB"/>
        </w:rPr>
        <w:t xml:space="preserve"> in 2050 for an SSP scenario</w:t>
      </w:r>
    </w:p>
    <w:p w14:paraId="0316E993" w14:textId="77777777" w:rsidR="0098511A" w:rsidRPr="00A141D2" w:rsidRDefault="0098511A" w:rsidP="0098511A">
      <w:pPr>
        <w:rPr>
          <w:sz w:val="20"/>
          <w:lang w:val="en-GB"/>
        </w:rPr>
      </w:pPr>
      <w:r w:rsidRPr="00A141D2">
        <w:rPr>
          <w:sz w:val="20"/>
          <w:lang w:val="en-GB"/>
        </w:rPr>
        <w:tab/>
      </w:r>
      <m:oMath>
        <m:r>
          <w:rPr>
            <w:rFonts w:ascii="Cambria Math" w:hAnsi="Cambria Math"/>
            <w:sz w:val="20"/>
            <w:lang w:val="en-GB"/>
          </w:rPr>
          <m:t>V</m:t>
        </m:r>
        <m:sSup>
          <m:sSupPr>
            <m:ctrlPr>
              <w:rPr>
                <w:rFonts w:ascii="Cambria Math" w:hAnsi="Cambria Math"/>
                <w:i/>
                <w:sz w:val="20"/>
                <w:lang w:val="en-GB"/>
              </w:rPr>
            </m:ctrlPr>
          </m:sSupPr>
          <m:e>
            <m:r>
              <w:rPr>
                <w:rFonts w:ascii="Cambria Math" w:hAnsi="Cambria Math"/>
                <w:sz w:val="20"/>
                <w:lang w:val="en-GB"/>
              </w:rPr>
              <m:t>A</m:t>
            </m:r>
          </m:e>
          <m:sup>
            <m:r>
              <w:rPr>
                <w:rFonts w:ascii="Cambria Math" w:hAnsi="Cambria Math"/>
                <w:sz w:val="20"/>
                <w:lang w:val="en-GB"/>
              </w:rPr>
              <m:t>2020</m:t>
            </m:r>
          </m:sup>
        </m:sSup>
      </m:oMath>
      <w:r w:rsidRPr="00A141D2">
        <w:rPr>
          <w:sz w:val="20"/>
          <w:lang w:val="en-GB"/>
        </w:rPr>
        <w:t>: total value added in the economy in 2020</w:t>
      </w:r>
    </w:p>
    <w:p w14:paraId="7E28FCEF" w14:textId="392C668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g</m:t>
            </m:r>
          </m:e>
          <m:sub>
            <m:r>
              <w:rPr>
                <w:rFonts w:ascii="Cambria Math" w:hAnsi="Cambria Math"/>
                <w:sz w:val="20"/>
                <w:lang w:val="en-GB"/>
              </w:rPr>
              <m:t>SSP</m:t>
            </m:r>
          </m:sub>
          <m:sup>
            <m:r>
              <w:rPr>
                <w:rFonts w:ascii="Cambria Math" w:hAnsi="Cambria Math"/>
                <w:sz w:val="20"/>
                <w:lang w:val="en-GB"/>
              </w:rPr>
              <m:t>2050</m:t>
            </m:r>
          </m:sup>
        </m:sSubSup>
      </m:oMath>
      <w:r w:rsidRPr="00A141D2">
        <w:rPr>
          <w:sz w:val="20"/>
          <w:lang w:val="en-GB"/>
        </w:rPr>
        <w:t>: growth value of GDP in 2050 for an SSP scenario</w:t>
      </w:r>
    </w:p>
    <w:p w14:paraId="0F03E78D" w14:textId="7569B010" w:rsidR="0098511A" w:rsidRPr="00A141D2" w:rsidRDefault="0098511A" w:rsidP="0098511A">
      <w:pPr>
        <w:rPr>
          <w:szCs w:val="24"/>
          <w:lang w:val="en-GB"/>
        </w:rPr>
      </w:pPr>
      <w:r w:rsidRPr="00A141D2">
        <w:rPr>
          <w:szCs w:val="24"/>
          <w:lang w:val="en-GB"/>
        </w:rPr>
        <w:t xml:space="preserve">To maintain a detailed sectoral analysis, the value added of each NACE3 sector is disaggregated to the original NACE64 sectors using 2020 value-added contributions ratios within the aggregate sector. This proportional allocation assumes that internal distribution within a NACE3 sector does not change from the base year. Using the updated value added for each sector, the required input goods from the NACE64 sectors are calculated based on the 2020 ratio of input units per unit of value added. </w:t>
      </w:r>
    </w:p>
    <w:p w14:paraId="23D6CE76" w14:textId="77777777" w:rsidR="0098511A" w:rsidRPr="00A141D2" w:rsidRDefault="0098511A" w:rsidP="0098511A">
      <w:pPr>
        <w:rPr>
          <w:szCs w:val="24"/>
          <w:lang w:val="en-GB"/>
        </w:rPr>
      </w:pPr>
    </w:p>
    <w:p w14:paraId="02BB4E3A"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s, SSP</m:t>
              </m:r>
            </m:sub>
            <m:sup>
              <m:r>
                <w:rPr>
                  <w:rFonts w:ascii="Cambria Math" w:hAnsi="Cambria Math"/>
                  <w:sz w:val="20"/>
                  <w:lang w:val="en-GB"/>
                </w:rPr>
                <m:t>2050</m:t>
              </m:r>
            </m:sup>
          </m:sSubSup>
          <m:r>
            <w:rPr>
              <w:rFonts w:ascii="Cambria Math" w:hAnsi="Cambria Math"/>
              <w:sz w:val="20"/>
              <w:lang w:val="en-GB"/>
            </w:rPr>
            <m:t>*</m:t>
          </m:r>
          <m:f>
            <m:fPr>
              <m:ctrlPr>
                <w:rPr>
                  <w:rFonts w:ascii="Cambria Math" w:hAnsi="Cambria Math"/>
                  <w:i/>
                  <w:sz w:val="20"/>
                  <w:lang w:val="en-GB"/>
                </w:rPr>
              </m:ctrlPr>
            </m:fPr>
            <m:num>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m:t>
                  </m:r>
                </m:sub>
                <m:sup>
                  <m:r>
                    <w:rPr>
                      <w:rFonts w:ascii="Cambria Math" w:hAnsi="Cambria Math"/>
                      <w:sz w:val="20"/>
                      <w:lang w:val="en-GB"/>
                    </w:rPr>
                    <m:t>2020</m:t>
                  </m:r>
                </m:sup>
              </m:sSubSup>
            </m:num>
            <m:den>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s</m:t>
                  </m:r>
                </m:sub>
                <m:sup>
                  <m:r>
                    <w:rPr>
                      <w:rFonts w:ascii="Cambria Math" w:hAnsi="Cambria Math"/>
                      <w:sz w:val="20"/>
                      <w:lang w:val="en-GB"/>
                    </w:rPr>
                    <m:t>2020</m:t>
                  </m:r>
                </m:sup>
              </m:sSubSup>
            </m:den>
          </m:f>
        </m:oMath>
      </m:oMathPara>
    </w:p>
    <w:p w14:paraId="66B4B3E0" w14:textId="77777777" w:rsidR="0098511A" w:rsidRPr="00A141D2" w:rsidRDefault="0098511A" w:rsidP="0098511A">
      <w:pPr>
        <w:rPr>
          <w:sz w:val="20"/>
          <w:lang w:val="en-GB"/>
        </w:rPr>
      </w:pPr>
      <w:r w:rsidRPr="00A141D2">
        <w:rPr>
          <w:sz w:val="20"/>
          <w:lang w:val="en-GB"/>
        </w:rPr>
        <w:t>Where:</w:t>
      </w:r>
    </w:p>
    <w:p w14:paraId="3D658A0B"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oMath>
      <w:r w:rsidRPr="00A141D2">
        <w:rPr>
          <w:sz w:val="20"/>
          <w:lang w:val="en-GB"/>
        </w:rPr>
        <w:t xml:space="preserve">: projected value added of NACE64 sector </w:t>
      </w:r>
      <w:r w:rsidRPr="00A141D2">
        <w:rPr>
          <w:i/>
          <w:iCs/>
          <w:sz w:val="20"/>
          <w:lang w:val="en-GB"/>
        </w:rPr>
        <w:t>i</w:t>
      </w:r>
      <w:r w:rsidRPr="00A141D2">
        <w:rPr>
          <w:sz w:val="20"/>
          <w:lang w:val="en-GB"/>
        </w:rPr>
        <w:t xml:space="preserve"> in 2050 for an SSP scenario</w:t>
      </w:r>
    </w:p>
    <w:p w14:paraId="7B6DA787"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s,SSP</m:t>
            </m:r>
          </m:sub>
          <m:sup>
            <m:r>
              <w:rPr>
                <w:rFonts w:ascii="Cambria Math" w:hAnsi="Cambria Math"/>
                <w:sz w:val="20"/>
                <w:lang w:val="en-GB"/>
              </w:rPr>
              <m:t>2050</m:t>
            </m:r>
          </m:sup>
        </m:sSubSup>
      </m:oMath>
      <w:r w:rsidR="0098511A" w:rsidRPr="00A141D2">
        <w:rPr>
          <w:sz w:val="20"/>
          <w:lang w:val="en-GB"/>
        </w:rPr>
        <w:t xml:space="preserve">: projected value added of NACE3 sector </w:t>
      </w:r>
      <w:r w:rsidR="0098511A" w:rsidRPr="00A141D2">
        <w:rPr>
          <w:i/>
          <w:iCs/>
          <w:sz w:val="20"/>
          <w:lang w:val="en-GB"/>
        </w:rPr>
        <w:t>s</w:t>
      </w:r>
      <w:r w:rsidR="0098511A" w:rsidRPr="00A141D2">
        <w:rPr>
          <w:sz w:val="20"/>
          <w:lang w:val="en-GB"/>
        </w:rPr>
        <w:t xml:space="preserve"> in 2050 for an SSP scenario</w:t>
      </w:r>
    </w:p>
    <w:p w14:paraId="38C0D696"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m:t>
            </m:r>
          </m:sub>
          <m:sup>
            <m:r>
              <w:rPr>
                <w:rFonts w:ascii="Cambria Math" w:hAnsi="Cambria Math"/>
                <w:sz w:val="20"/>
                <w:lang w:val="en-GB"/>
              </w:rPr>
              <m:t>2020</m:t>
            </m:r>
          </m:sup>
        </m:sSubSup>
      </m:oMath>
      <w:r w:rsidRPr="00A141D2">
        <w:rPr>
          <w:sz w:val="20"/>
          <w:lang w:val="en-GB"/>
        </w:rPr>
        <w:t xml:space="preserve">: value added of NACE64 sector </w:t>
      </w:r>
      <w:r w:rsidRPr="00A141D2">
        <w:rPr>
          <w:i/>
          <w:iCs/>
          <w:sz w:val="20"/>
          <w:lang w:val="en-GB"/>
        </w:rPr>
        <w:t>i</w:t>
      </w:r>
      <w:r w:rsidRPr="00A141D2">
        <w:rPr>
          <w:sz w:val="20"/>
          <w:lang w:val="en-GB"/>
        </w:rPr>
        <w:t xml:space="preserve"> in 2020</w:t>
      </w:r>
    </w:p>
    <w:p w14:paraId="58F50BBC"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s</m:t>
            </m:r>
          </m:sub>
          <m:sup>
            <m:r>
              <w:rPr>
                <w:rFonts w:ascii="Cambria Math" w:hAnsi="Cambria Math"/>
                <w:sz w:val="20"/>
                <w:lang w:val="en-GB"/>
              </w:rPr>
              <m:t>2020</m:t>
            </m:r>
          </m:sup>
        </m:sSubSup>
      </m:oMath>
      <w:r w:rsidRPr="00A141D2">
        <w:rPr>
          <w:sz w:val="20"/>
          <w:lang w:val="en-GB"/>
        </w:rPr>
        <w:t xml:space="preserve">: value added of NACE3 sector </w:t>
      </w:r>
      <w:r w:rsidRPr="00A141D2">
        <w:rPr>
          <w:i/>
          <w:iCs/>
          <w:sz w:val="20"/>
          <w:lang w:val="en-GB"/>
        </w:rPr>
        <w:t>s</w:t>
      </w:r>
      <w:r w:rsidRPr="00A141D2">
        <w:rPr>
          <w:sz w:val="20"/>
          <w:lang w:val="en-GB"/>
        </w:rPr>
        <w:t xml:space="preserve"> in 2020</w:t>
      </w:r>
    </w:p>
    <w:p w14:paraId="4BD023EE" w14:textId="77777777" w:rsidR="0098511A" w:rsidRPr="00A141D2" w:rsidRDefault="0098511A" w:rsidP="0098511A">
      <w:pPr>
        <w:rPr>
          <w:sz w:val="20"/>
          <w:lang w:val="en-GB"/>
        </w:rPr>
      </w:pPr>
    </w:p>
    <w:p w14:paraId="0AFF4C3D" w14:textId="1A1D300B"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f>
            <m:fPr>
              <m:ctrlPr>
                <w:rPr>
                  <w:rFonts w:ascii="Cambria Math" w:hAnsi="Cambria Math"/>
                  <w:i/>
                  <w:sz w:val="20"/>
                  <w:lang w:val="en-GB"/>
                </w:rPr>
              </m:ctrlPr>
            </m:fPr>
            <m:num>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m:t>
                  </m:r>
                </m:sub>
                <m:sup>
                  <m:r>
                    <w:rPr>
                      <w:rFonts w:ascii="Cambria Math" w:hAnsi="Cambria Math"/>
                      <w:sz w:val="20"/>
                      <w:lang w:val="en-GB"/>
                    </w:rPr>
                    <m:t>2020</m:t>
                  </m:r>
                </m:sup>
              </m:sSubSup>
            </m:num>
            <m:den>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m:t>
                  </m:r>
                </m:sub>
                <m:sup>
                  <m:r>
                    <w:rPr>
                      <w:rFonts w:ascii="Cambria Math" w:hAnsi="Cambria Math"/>
                      <w:sz w:val="20"/>
                      <w:lang w:val="en-GB"/>
                    </w:rPr>
                    <m:t>2020</m:t>
                  </m:r>
                </m:sup>
              </m:sSubSup>
            </m:den>
          </m:f>
        </m:oMath>
      </m:oMathPara>
    </w:p>
    <w:p w14:paraId="7F1C6D6A" w14:textId="77777777" w:rsidR="0098511A" w:rsidRPr="00A141D2" w:rsidRDefault="0098511A" w:rsidP="0098511A">
      <w:pPr>
        <w:rPr>
          <w:sz w:val="20"/>
          <w:lang w:val="en-GB"/>
        </w:rPr>
      </w:pPr>
      <w:r w:rsidRPr="00A141D2">
        <w:rPr>
          <w:sz w:val="20"/>
          <w:lang w:val="en-GB"/>
        </w:rPr>
        <w:t>Where:</w:t>
      </w:r>
    </w:p>
    <w:p w14:paraId="009E70A0"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oMath>
      <w:r w:rsidR="0098511A" w:rsidRPr="00A141D2">
        <w:rPr>
          <w:sz w:val="20"/>
          <w:lang w:val="en-GB"/>
        </w:rPr>
        <w:t xml:space="preserve">: input required from sector </w:t>
      </w:r>
      <w:r w:rsidR="0098511A" w:rsidRPr="00A141D2">
        <w:rPr>
          <w:rFonts w:ascii="Cambria Math" w:hAnsi="Cambria Math" w:cs="Cambria Math"/>
          <w:sz w:val="20"/>
          <w:lang w:val="en-GB"/>
        </w:rPr>
        <w:t>𝑗</w:t>
      </w:r>
      <w:r w:rsidR="0098511A" w:rsidRPr="00A141D2">
        <w:rPr>
          <w:sz w:val="20"/>
          <w:lang w:val="en-GB"/>
        </w:rPr>
        <w:t xml:space="preserve"> for sector </w:t>
      </w:r>
      <w:r w:rsidR="0098511A" w:rsidRPr="00A141D2">
        <w:rPr>
          <w:rFonts w:ascii="Cambria Math" w:hAnsi="Cambria Math" w:cs="Cambria Math"/>
          <w:sz w:val="20"/>
          <w:lang w:val="en-GB"/>
        </w:rPr>
        <w:t>𝑖 in 2050 for an SSP scenario</w:t>
      </w:r>
    </w:p>
    <w:p w14:paraId="59535A01"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m:t>
            </m:r>
          </m:sub>
          <m:sup>
            <m:r>
              <w:rPr>
                <w:rFonts w:ascii="Cambria Math" w:hAnsi="Cambria Math"/>
                <w:sz w:val="20"/>
                <w:lang w:val="en-GB"/>
              </w:rPr>
              <m:t>2020</m:t>
            </m:r>
          </m:sup>
        </m:sSubSup>
      </m:oMath>
      <w:r w:rsidR="0098511A" w:rsidRPr="00A141D2">
        <w:rPr>
          <w:sz w:val="20"/>
          <w:lang w:val="en-GB"/>
        </w:rPr>
        <w:t xml:space="preserve">: input required from sector </w:t>
      </w:r>
      <w:r w:rsidR="0098511A" w:rsidRPr="00A141D2">
        <w:rPr>
          <w:rFonts w:ascii="Cambria Math" w:hAnsi="Cambria Math" w:cs="Cambria Math"/>
          <w:sz w:val="20"/>
          <w:lang w:val="en-GB"/>
        </w:rPr>
        <w:t>𝑗</w:t>
      </w:r>
      <w:r w:rsidR="0098511A" w:rsidRPr="00A141D2">
        <w:rPr>
          <w:sz w:val="20"/>
          <w:lang w:val="en-GB"/>
        </w:rPr>
        <w:t xml:space="preserve"> for sector </w:t>
      </w:r>
      <w:r w:rsidR="0098511A" w:rsidRPr="00A141D2">
        <w:rPr>
          <w:rFonts w:ascii="Cambria Math" w:hAnsi="Cambria Math" w:cs="Cambria Math"/>
          <w:sz w:val="20"/>
          <w:lang w:val="en-GB"/>
        </w:rPr>
        <w:t>𝑖 in 2020</w:t>
      </w:r>
    </w:p>
    <w:p w14:paraId="6DB0B4D3"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oMath>
      <w:r w:rsidRPr="00A141D2">
        <w:rPr>
          <w:sz w:val="20"/>
          <w:lang w:val="en-GB"/>
        </w:rPr>
        <w:t xml:space="preserve">: projected value added of NACE64 sector </w:t>
      </w:r>
      <w:r w:rsidRPr="00A141D2">
        <w:rPr>
          <w:i/>
          <w:iCs/>
          <w:sz w:val="20"/>
          <w:lang w:val="en-GB"/>
        </w:rPr>
        <w:t>i</w:t>
      </w:r>
      <w:r w:rsidRPr="00A141D2">
        <w:rPr>
          <w:sz w:val="20"/>
          <w:lang w:val="en-GB"/>
        </w:rPr>
        <w:t xml:space="preserve"> in 2050 for an SSP scenario</w:t>
      </w:r>
    </w:p>
    <w:p w14:paraId="62E15C79" w14:textId="092070B9" w:rsidR="0098511A" w:rsidRPr="00A141D2" w:rsidRDefault="0098511A" w:rsidP="009F4ECF">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m:t>
            </m:r>
          </m:sub>
          <m:sup>
            <m:r>
              <w:rPr>
                <w:rFonts w:ascii="Cambria Math" w:hAnsi="Cambria Math"/>
                <w:sz w:val="20"/>
                <w:lang w:val="en-GB"/>
              </w:rPr>
              <m:t>2020</m:t>
            </m:r>
          </m:sup>
        </m:sSubSup>
      </m:oMath>
      <w:r w:rsidRPr="00A141D2">
        <w:rPr>
          <w:sz w:val="20"/>
          <w:lang w:val="en-GB"/>
        </w:rPr>
        <w:t xml:space="preserve">: value added of NACE64 sector </w:t>
      </w:r>
      <w:r w:rsidRPr="00A141D2">
        <w:rPr>
          <w:i/>
          <w:iCs/>
          <w:sz w:val="20"/>
          <w:lang w:val="en-GB"/>
        </w:rPr>
        <w:t>i</w:t>
      </w:r>
      <w:r w:rsidRPr="00A141D2">
        <w:rPr>
          <w:sz w:val="20"/>
          <w:lang w:val="en-GB"/>
        </w:rPr>
        <w:t xml:space="preserve"> in 2020</w:t>
      </w:r>
    </w:p>
    <w:p w14:paraId="385D79D5" w14:textId="33CC5319" w:rsidR="0098511A" w:rsidRPr="00A141D2" w:rsidRDefault="0098511A" w:rsidP="0098511A">
      <w:pPr>
        <w:rPr>
          <w:szCs w:val="24"/>
          <w:lang w:val="en-GB"/>
        </w:rPr>
      </w:pPr>
      <w:r w:rsidRPr="00A141D2">
        <w:rPr>
          <w:szCs w:val="24"/>
          <w:lang w:val="en-GB"/>
        </w:rPr>
        <w:t xml:space="preserve">Meanwhile, the final demands for each sector's output, sectoral goods not used as intermediate inputs for other sectors (such as household consumption or government spending), are scaled with overall national GDP increases to anticipate increases in consumption patterns. </w:t>
      </w:r>
    </w:p>
    <w:p w14:paraId="7517AA55"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m:t>
              </m:r>
            </m:sub>
            <m:sup>
              <m:r>
                <w:rPr>
                  <w:rFonts w:ascii="Cambria Math" w:hAnsi="Cambria Math"/>
                  <w:sz w:val="20"/>
                  <w:lang w:val="en-GB"/>
                </w:rPr>
                <m:t>2020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g</m:t>
              </m:r>
            </m:e>
            <m:sub>
              <m:r>
                <w:rPr>
                  <w:rFonts w:ascii="Cambria Math" w:hAnsi="Cambria Math"/>
                  <w:sz w:val="20"/>
                  <w:lang w:val="en-GB"/>
                </w:rPr>
                <m:t>SSP</m:t>
              </m:r>
            </m:sub>
            <m:sup>
              <m:r>
                <w:rPr>
                  <w:rFonts w:ascii="Cambria Math" w:hAnsi="Cambria Math"/>
                  <w:sz w:val="20"/>
                  <w:lang w:val="en-GB"/>
                </w:rPr>
                <m:t>2050</m:t>
              </m:r>
            </m:sup>
          </m:sSubSup>
          <m:r>
            <w:rPr>
              <w:rFonts w:ascii="Cambria Math" w:hAnsi="Cambria Math"/>
              <w:sz w:val="20"/>
              <w:lang w:val="en-GB"/>
            </w:rPr>
            <m:t xml:space="preserve"> </m:t>
          </m:r>
        </m:oMath>
      </m:oMathPara>
    </w:p>
    <w:p w14:paraId="27EE636F" w14:textId="77777777" w:rsidR="0098511A" w:rsidRPr="00A141D2" w:rsidRDefault="0098511A" w:rsidP="0098511A">
      <w:pPr>
        <w:rPr>
          <w:sz w:val="20"/>
          <w:lang w:val="en-GB"/>
        </w:rPr>
      </w:pPr>
      <w:r w:rsidRPr="00A141D2">
        <w:rPr>
          <w:sz w:val="20"/>
          <w:lang w:val="en-GB"/>
        </w:rPr>
        <w:t>Where:</w:t>
      </w:r>
    </w:p>
    <w:p w14:paraId="7F696A2B"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oMath>
      <w:r w:rsidR="0098511A" w:rsidRPr="00A141D2">
        <w:rPr>
          <w:sz w:val="20"/>
          <w:lang w:val="en-GB"/>
        </w:rPr>
        <w:t xml:space="preserve">: final demand for sector </w:t>
      </w:r>
      <w:r w:rsidR="0098511A" w:rsidRPr="00A141D2">
        <w:rPr>
          <w:i/>
          <w:iCs/>
          <w:sz w:val="20"/>
          <w:lang w:val="en-GB"/>
        </w:rPr>
        <w:t>i</w:t>
      </w:r>
      <w:r w:rsidR="0098511A" w:rsidRPr="00A141D2">
        <w:rPr>
          <w:sz w:val="20"/>
          <w:lang w:val="en-GB"/>
        </w:rPr>
        <w:t xml:space="preserve"> in 2050 for an SSP scenario</w:t>
      </w:r>
    </w:p>
    <w:p w14:paraId="0A1AF374"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m:t>
            </m:r>
          </m:sub>
          <m:sup>
            <m:r>
              <w:rPr>
                <w:rFonts w:ascii="Cambria Math" w:hAnsi="Cambria Math"/>
                <w:sz w:val="20"/>
                <w:lang w:val="en-GB"/>
              </w:rPr>
              <m:t>2020</m:t>
            </m:r>
          </m:sup>
        </m:sSubSup>
      </m:oMath>
      <w:r w:rsidR="0098511A" w:rsidRPr="00A141D2">
        <w:rPr>
          <w:sz w:val="20"/>
          <w:lang w:val="en-GB"/>
        </w:rPr>
        <w:t xml:space="preserve">: final demand for sector </w:t>
      </w:r>
      <w:r w:rsidR="0098511A" w:rsidRPr="00A141D2">
        <w:rPr>
          <w:i/>
          <w:iCs/>
          <w:sz w:val="20"/>
          <w:lang w:val="en-GB"/>
        </w:rPr>
        <w:t>i</w:t>
      </w:r>
      <w:r w:rsidR="0098511A" w:rsidRPr="00A141D2">
        <w:rPr>
          <w:sz w:val="20"/>
          <w:lang w:val="en-GB"/>
        </w:rPr>
        <w:t xml:space="preserve"> in 2020</w:t>
      </w:r>
    </w:p>
    <w:p w14:paraId="0D1372D5" w14:textId="584EC83C" w:rsidR="0098511A" w:rsidRPr="00A141D2" w:rsidRDefault="00CB690B" w:rsidP="004D5427">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g</m:t>
            </m:r>
          </m:e>
          <m:sub>
            <m:r>
              <w:rPr>
                <w:rFonts w:ascii="Cambria Math" w:hAnsi="Cambria Math"/>
                <w:sz w:val="20"/>
                <w:lang w:val="en-GB"/>
              </w:rPr>
              <m:t>SSP</m:t>
            </m:r>
          </m:sub>
          <m:sup>
            <m:r>
              <w:rPr>
                <w:rFonts w:ascii="Cambria Math" w:hAnsi="Cambria Math"/>
                <w:sz w:val="20"/>
                <w:lang w:val="en-GB"/>
              </w:rPr>
              <m:t>2050</m:t>
            </m:r>
          </m:sup>
        </m:sSubSup>
      </m:oMath>
      <w:r w:rsidR="0098511A" w:rsidRPr="00A141D2">
        <w:rPr>
          <w:sz w:val="20"/>
          <w:lang w:val="en-GB"/>
        </w:rPr>
        <w:t>: growth value of GDP in 2050 for an SSP scenario</w:t>
      </w:r>
    </w:p>
    <w:p w14:paraId="49C3AE85" w14:textId="1962AAAE" w:rsidR="0098511A" w:rsidRPr="00A141D2" w:rsidRDefault="0098511A" w:rsidP="0098511A">
      <w:pPr>
        <w:rPr>
          <w:szCs w:val="24"/>
          <w:lang w:val="en-GB"/>
        </w:rPr>
      </w:pPr>
      <w:r w:rsidRPr="00A141D2">
        <w:rPr>
          <w:szCs w:val="24"/>
          <w:lang w:val="en-GB"/>
        </w:rPr>
        <w:t xml:space="preserve">These calculations may cause growing sectors to demand inputs from shrinking domestic sectors, which may be unable to meet those demands. Conversely, some sectors may produce more than local demand requires. This creates an imbalance between a sector’s inputs and outputs. However, a fundamental notion in the IO framework is that each sector's inputs and outputs must balance. This balance ensures that all produced goods are allocated and input goods are sourced appropriately in the accounting. To balance the table we introduce additional imports and exports for the mentioned cases.  </w:t>
      </w:r>
    </w:p>
    <w:p w14:paraId="08940CE5" w14:textId="22F7C03F"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 xml:space="preserve">+ </m:t>
          </m:r>
          <m:nary>
            <m:naryPr>
              <m:chr m:val="∑"/>
              <m:limLoc m:val="undOvr"/>
              <m:supHide m:val="1"/>
              <m:ctrlPr>
                <w:rPr>
                  <w:rFonts w:ascii="Cambria Math" w:hAnsi="Cambria Math"/>
                  <w:i/>
                  <w:sz w:val="20"/>
                  <w:lang w:val="en-GB"/>
                </w:rPr>
              </m:ctrlPr>
            </m:naryPr>
            <m:sub>
              <m:r>
                <w:rPr>
                  <w:rFonts w:ascii="Cambria Math" w:hAnsi="Cambria Math"/>
                  <w:sz w:val="20"/>
                  <w:lang w:val="en-GB"/>
                </w:rPr>
                <m:t>j</m:t>
              </m:r>
            </m:sub>
            <m:sup/>
            <m:e>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e>
          </m:nary>
        </m:oMath>
      </m:oMathPara>
    </w:p>
    <w:p w14:paraId="32BF6A8F" w14:textId="77777777" w:rsidR="0098511A" w:rsidRPr="00A141D2" w:rsidRDefault="0098511A" w:rsidP="0098511A">
      <w:pPr>
        <w:rPr>
          <w:sz w:val="20"/>
          <w:lang w:val="en-GB"/>
        </w:rPr>
      </w:pPr>
      <w:r w:rsidRPr="00A141D2">
        <w:rPr>
          <w:sz w:val="20"/>
          <w:lang w:val="en-GB"/>
        </w:rPr>
        <w:t>Where:</w:t>
      </w:r>
    </w:p>
    <w:p w14:paraId="7467C0B8"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total output of sector </w:t>
      </w:r>
      <w:r w:rsidR="0098511A" w:rsidRPr="00A141D2">
        <w:rPr>
          <w:i/>
          <w:iCs/>
          <w:sz w:val="20"/>
          <w:lang w:val="en-GB"/>
        </w:rPr>
        <w:t>i</w:t>
      </w:r>
      <w:r w:rsidR="0098511A" w:rsidRPr="00A141D2">
        <w:rPr>
          <w:sz w:val="20"/>
          <w:lang w:val="en-GB"/>
        </w:rPr>
        <w:t xml:space="preserve"> </w:t>
      </w:r>
    </w:p>
    <w:p w14:paraId="4B594BB4"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oMath>
      <w:r w:rsidR="0098511A" w:rsidRPr="00A141D2">
        <w:rPr>
          <w:sz w:val="20"/>
          <w:lang w:val="en-GB"/>
        </w:rPr>
        <w:t xml:space="preserve">: input required from sector </w:t>
      </w:r>
      <w:r w:rsidR="0098511A" w:rsidRPr="00A141D2">
        <w:rPr>
          <w:rFonts w:ascii="Cambria Math" w:hAnsi="Cambria Math" w:cs="Cambria Math"/>
          <w:sz w:val="20"/>
          <w:lang w:val="en-GB"/>
        </w:rPr>
        <w:t>𝑗</w:t>
      </w:r>
      <w:r w:rsidR="0098511A" w:rsidRPr="00A141D2">
        <w:rPr>
          <w:sz w:val="20"/>
          <w:lang w:val="en-GB"/>
        </w:rPr>
        <w:t xml:space="preserve"> for sector </w:t>
      </w:r>
      <w:r w:rsidR="0098511A" w:rsidRPr="00A141D2">
        <w:rPr>
          <w:rFonts w:ascii="Cambria Math" w:hAnsi="Cambria Math" w:cs="Cambria Math"/>
          <w:sz w:val="20"/>
          <w:lang w:val="en-GB"/>
        </w:rPr>
        <w:t xml:space="preserve">𝑖 in 2050 </w:t>
      </w:r>
      <w:r w:rsidR="0098511A" w:rsidRPr="00A141D2">
        <w:rPr>
          <w:sz w:val="20"/>
          <w:lang w:val="en-GB"/>
        </w:rPr>
        <w:t>for an SSP scenario</w:t>
      </w:r>
    </w:p>
    <w:p w14:paraId="3BBA11C8"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oMath>
      <w:r w:rsidRPr="00A141D2">
        <w:rPr>
          <w:sz w:val="20"/>
          <w:lang w:val="en-GB"/>
        </w:rPr>
        <w:t xml:space="preserve">: projected value added of sector </w:t>
      </w:r>
      <w:r w:rsidRPr="00A141D2">
        <w:rPr>
          <w:i/>
          <w:iCs/>
          <w:sz w:val="20"/>
          <w:lang w:val="en-GB"/>
        </w:rPr>
        <w:t>i</w:t>
      </w:r>
      <w:r w:rsidRPr="00A141D2">
        <w:rPr>
          <w:sz w:val="20"/>
          <w:lang w:val="en-GB"/>
        </w:rPr>
        <w:t xml:space="preserve"> in 2050 for an SSP scenario</w:t>
      </w:r>
    </w:p>
    <w:p w14:paraId="6C48F3E1" w14:textId="77777777" w:rsidR="0098511A" w:rsidRPr="00A141D2" w:rsidRDefault="0098511A" w:rsidP="0098511A">
      <w:pPr>
        <w:rPr>
          <w:sz w:val="20"/>
          <w:lang w:val="en-GB"/>
        </w:rPr>
      </w:pPr>
    </w:p>
    <w:p w14:paraId="45C0F0DB"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=F</m:t>
          </m:r>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nary>
            <m:naryPr>
              <m:chr m:val="∑"/>
              <m:limLoc m:val="undOvr"/>
              <m:supHide m:val="1"/>
              <m:ctrlPr>
                <w:rPr>
                  <w:rFonts w:ascii="Cambria Math" w:hAnsi="Cambria Math"/>
                  <w:i/>
                  <w:sz w:val="20"/>
                  <w:lang w:val="en-GB"/>
                </w:rPr>
              </m:ctrlPr>
            </m:naryPr>
            <m:sub>
              <m:r>
                <w:rPr>
                  <w:rFonts w:ascii="Cambria Math" w:hAnsi="Cambria Math"/>
                  <w:sz w:val="20"/>
                  <w:lang w:val="en-GB"/>
                </w:rPr>
                <m:t>j</m:t>
              </m:r>
            </m:sub>
            <m:sup/>
            <m:e>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j←i,  SSP</m:t>
                  </m:r>
                </m:sub>
                <m:sup>
                  <m:r>
                    <w:rPr>
                      <w:rFonts w:ascii="Cambria Math" w:hAnsi="Cambria Math"/>
                      <w:sz w:val="20"/>
                      <w:lang w:val="en-GB"/>
                    </w:rPr>
                    <m:t>2050</m:t>
                  </m:r>
                </m:sup>
              </m:sSubSup>
            </m:e>
          </m:nary>
          <m:r>
            <w:rPr>
              <w:rFonts w:ascii="Cambria Math" w:hAnsi="Cambria Math"/>
              <w:sz w:val="20"/>
              <w:lang w:val="en-GB"/>
            </w:rPr>
            <m:t xml:space="preserve"> </m:t>
          </m:r>
        </m:oMath>
      </m:oMathPara>
    </w:p>
    <w:p w14:paraId="15E4CD9D" w14:textId="77777777" w:rsidR="0098511A" w:rsidRPr="00A141D2" w:rsidRDefault="0098511A" w:rsidP="0098511A">
      <w:pPr>
        <w:rPr>
          <w:sz w:val="20"/>
          <w:lang w:val="en-GB"/>
        </w:rPr>
      </w:pPr>
      <w:r w:rsidRPr="00A141D2">
        <w:rPr>
          <w:sz w:val="20"/>
          <w:lang w:val="en-GB"/>
        </w:rPr>
        <w:t>Where:</w:t>
      </w:r>
    </w:p>
    <w:p w14:paraId="05B0C187"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total demand of sector </w:t>
      </w:r>
      <w:r w:rsidR="0098511A" w:rsidRPr="00A141D2">
        <w:rPr>
          <w:i/>
          <w:iCs/>
          <w:sz w:val="20"/>
          <w:lang w:val="en-GB"/>
        </w:rPr>
        <w:t>i</w:t>
      </w:r>
      <w:r w:rsidR="0098511A" w:rsidRPr="00A141D2">
        <w:rPr>
          <w:sz w:val="20"/>
          <w:lang w:val="en-GB"/>
        </w:rPr>
        <w:t xml:space="preserve"> </w:t>
      </w:r>
    </w:p>
    <w:p w14:paraId="68FD0213"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oMath>
      <w:r w:rsidR="0098511A" w:rsidRPr="00A141D2">
        <w:rPr>
          <w:sz w:val="20"/>
          <w:lang w:val="en-GB"/>
        </w:rPr>
        <w:t>: final demand for sector i in 2050 for an SSP scenario</w:t>
      </w:r>
    </w:p>
    <w:p w14:paraId="0096AB15" w14:textId="0CE55A7C" w:rsidR="0098511A" w:rsidRPr="00A141D2" w:rsidRDefault="00CB690B" w:rsidP="004D5427">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oMath>
      <w:r w:rsidR="0098511A" w:rsidRPr="00A141D2">
        <w:rPr>
          <w:sz w:val="20"/>
          <w:lang w:val="en-GB"/>
        </w:rPr>
        <w:t xml:space="preserve">: input required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rFonts w:ascii="Cambria Math" w:hAnsi="Cambria Math" w:cs="Cambria Math"/>
          <w:sz w:val="20"/>
          <w:lang w:val="en-GB"/>
        </w:rPr>
        <w:t xml:space="preserve">𝑖 in 2050 </w:t>
      </w:r>
      <w:r w:rsidR="0098511A" w:rsidRPr="00A141D2">
        <w:rPr>
          <w:sz w:val="20"/>
          <w:lang w:val="en-GB"/>
        </w:rPr>
        <w:t>for an SSP scenario</w:t>
      </w:r>
    </w:p>
    <w:p w14:paraId="0E8338CA" w14:textId="7FCF1B0D" w:rsidR="0098511A" w:rsidRPr="00A141D2" w:rsidRDefault="0098511A" w:rsidP="0098511A">
      <w:pPr>
        <w:rPr>
          <w:szCs w:val="24"/>
          <w:lang w:val="en-GB"/>
        </w:rPr>
      </w:pPr>
      <w:r w:rsidRPr="00A141D2">
        <w:rPr>
          <w:szCs w:val="24"/>
          <w:lang w:val="en-GB"/>
        </w:rPr>
        <w:t xml:space="preserve">In the calculus, the need for exports or imports is determined by subtracting the total inputs into a sector from the total output needed from that sector. The resulting value of extra imports or exports needed are distributed according to usage shares, sectors using most of a sector's outputs, import most. If local production exceeds local consumption, imports of domestic sectors </w:t>
      </w:r>
      <w:r w:rsidRPr="00A141D2">
        <w:rPr>
          <w:szCs w:val="24"/>
          <w:lang w:val="en-GB"/>
        </w:rPr>
        <w:lastRenderedPageBreak/>
        <w:t xml:space="preserve">that require the specific local goods are reduced to zero, and the remaining goods are added to a producing sector's final demand as exports. This process ensures </w:t>
      </w:r>
      <w:r w:rsidR="00F81222" w:rsidRPr="00A141D2">
        <w:rPr>
          <w:szCs w:val="24"/>
          <w:lang w:val="en-GB"/>
        </w:rPr>
        <w:t xml:space="preserve">that </w:t>
      </w:r>
      <w:r w:rsidRPr="00A141D2">
        <w:rPr>
          <w:szCs w:val="24"/>
          <w:lang w:val="en-GB"/>
        </w:rPr>
        <w:t>projected inputs and outputs are in balance.</w:t>
      </w:r>
    </w:p>
    <w:p w14:paraId="5B26686C"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oMath>
      </m:oMathPara>
    </w:p>
    <w:p w14:paraId="6B80E0EB" w14:textId="77777777" w:rsidR="0098511A" w:rsidRPr="00A141D2" w:rsidRDefault="0098511A" w:rsidP="0098511A">
      <w:pPr>
        <w:rPr>
          <w:sz w:val="20"/>
          <w:lang w:val="en-GB"/>
        </w:rPr>
      </w:pPr>
      <w:r w:rsidRPr="00A141D2">
        <w:rPr>
          <w:sz w:val="20"/>
          <w:lang w:val="en-GB"/>
        </w:rPr>
        <w:t>Where:</w:t>
      </w:r>
    </w:p>
    <w:p w14:paraId="4A418C42"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net production sector </w:t>
      </w:r>
      <w:r w:rsidR="0098511A" w:rsidRPr="00A141D2">
        <w:rPr>
          <w:i/>
          <w:iCs/>
          <w:sz w:val="20"/>
          <w:lang w:val="en-GB"/>
        </w:rPr>
        <w:t xml:space="preserve">i </w:t>
      </w:r>
      <w:r w:rsidR="0098511A" w:rsidRPr="00A141D2">
        <w:rPr>
          <w:sz w:val="20"/>
          <w:lang w:val="en-GB"/>
        </w:rPr>
        <w:t>in 2050 for an SSP scenario</w:t>
      </w:r>
    </w:p>
    <w:p w14:paraId="4FAEA79A"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total output of sector </w:t>
      </w:r>
      <w:r w:rsidR="0098511A" w:rsidRPr="00A141D2">
        <w:rPr>
          <w:i/>
          <w:iCs/>
          <w:sz w:val="20"/>
          <w:lang w:val="en-GB"/>
        </w:rPr>
        <w:t>i</w:t>
      </w:r>
      <w:r w:rsidR="0098511A" w:rsidRPr="00A141D2">
        <w:rPr>
          <w:sz w:val="20"/>
          <w:lang w:val="en-GB"/>
        </w:rPr>
        <w:t xml:space="preserve"> in 2050 for an SSP scenario</w:t>
      </w:r>
    </w:p>
    <w:p w14:paraId="7A60A0CC"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total demand of sector </w:t>
      </w:r>
      <w:r w:rsidR="0098511A" w:rsidRPr="00A141D2">
        <w:rPr>
          <w:i/>
          <w:iCs/>
          <w:sz w:val="20"/>
          <w:lang w:val="en-GB"/>
        </w:rPr>
        <w:t>i</w:t>
      </w:r>
      <w:r w:rsidR="0098511A" w:rsidRPr="00A141D2">
        <w:rPr>
          <w:sz w:val="20"/>
          <w:lang w:val="en-GB"/>
        </w:rPr>
        <w:t xml:space="preserve"> in 2050 for an SSP scenario</w:t>
      </w:r>
    </w:p>
    <w:p w14:paraId="6805BADA" w14:textId="77777777" w:rsidR="0098511A" w:rsidRPr="00A141D2" w:rsidRDefault="0098511A" w:rsidP="0098511A">
      <w:pPr>
        <w:rPr>
          <w:sz w:val="20"/>
          <w:lang w:val="en-GB"/>
        </w:rPr>
      </w:pPr>
      <w:r w:rsidRPr="00A141D2">
        <w:rPr>
          <w:sz w:val="20"/>
          <w:lang w:val="en-GB"/>
        </w:rPr>
        <w:tab/>
      </w:r>
    </w:p>
    <w:p w14:paraId="3EDE2A11"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j←i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=Max(</m:t>
          </m:r>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 xml:space="preserve">* </m:t>
          </m:r>
          <m:f>
            <m:fPr>
              <m:ctrlPr>
                <w:rPr>
                  <w:rFonts w:ascii="Cambria Math" w:hAnsi="Cambria Math"/>
                  <w:i/>
                  <w:sz w:val="20"/>
                  <w:lang w:val="en-GB"/>
                </w:rPr>
              </m:ctrlPr>
            </m:fPr>
            <m:num>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num>
            <m:den>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i,SSP</m:t>
                  </m:r>
                </m:sub>
                <m:sup>
                  <m:r>
                    <w:rPr>
                      <w:rFonts w:ascii="Cambria Math" w:hAnsi="Cambria Math"/>
                      <w:sz w:val="20"/>
                      <w:lang w:val="en-GB"/>
                    </w:rPr>
                    <m:t>2050</m:t>
                  </m:r>
                </m:sup>
              </m:sSubSup>
            </m:den>
          </m:f>
          <m:r>
            <w:rPr>
              <w:rFonts w:ascii="Cambria Math" w:hAnsi="Cambria Math"/>
              <w:sz w:val="20"/>
              <w:lang w:val="en-GB"/>
            </w:rPr>
            <m:t>; 0)</m:t>
          </m:r>
        </m:oMath>
      </m:oMathPara>
    </w:p>
    <w:p w14:paraId="6C00A517" w14:textId="77777777" w:rsidR="0098511A" w:rsidRPr="00A141D2" w:rsidRDefault="0098511A" w:rsidP="0098511A">
      <w:pPr>
        <w:rPr>
          <w:sz w:val="20"/>
          <w:lang w:val="en-GB"/>
        </w:rPr>
      </w:pPr>
      <w:r w:rsidRPr="00A141D2">
        <w:rPr>
          <w:sz w:val="20"/>
          <w:lang w:val="en-GB"/>
        </w:rPr>
        <w:t>Where:</w:t>
      </w:r>
    </w:p>
    <w:p w14:paraId="6FCA582B"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j←i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Adjusted imports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40A54A5B" w14:textId="77777777" w:rsidR="0098511A" w:rsidRPr="00A141D2" w:rsidRDefault="00CB690B" w:rsidP="0098511A">
      <w:pPr>
        <w:ind w:left="720"/>
        <w:jc w:val="left"/>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Original projected imports by sector </w:t>
      </w:r>
      <w:r w:rsidR="0098511A" w:rsidRPr="00A141D2">
        <w:rPr>
          <w:i/>
          <w:iCs/>
          <w:sz w:val="20"/>
          <w:lang w:val="en-GB"/>
        </w:rPr>
        <w:t>j</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20224BB8"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net production sector </w:t>
      </w:r>
      <w:r w:rsidR="0098511A" w:rsidRPr="00A141D2">
        <w:rPr>
          <w:i/>
          <w:iCs/>
          <w:sz w:val="20"/>
          <w:lang w:val="en-GB"/>
        </w:rPr>
        <w:t xml:space="preserve">i </w:t>
      </w:r>
      <w:r w:rsidR="0098511A" w:rsidRPr="00A141D2">
        <w:rPr>
          <w:sz w:val="20"/>
          <w:lang w:val="en-GB"/>
        </w:rPr>
        <w:t>in 2050 for an SSP scenario</w:t>
      </w:r>
    </w:p>
    <w:p w14:paraId="5EBF9055" w14:textId="77777777" w:rsidR="0098511A" w:rsidRPr="00A141D2" w:rsidRDefault="00CB690B" w:rsidP="0098511A">
      <w:pPr>
        <w:ind w:left="720"/>
        <w:jc w:val="left"/>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 xml:space="preserve"> </m:t>
        </m:r>
      </m:oMath>
      <w:r w:rsidR="0098511A" w:rsidRPr="00A141D2">
        <w:rPr>
          <w:sz w:val="20"/>
          <w:lang w:val="en-GB"/>
        </w:rPr>
        <w:t xml:space="preserve">: Total inputs required by sector </w:t>
      </w:r>
      <w:r w:rsidR="0098511A" w:rsidRPr="00A141D2">
        <w:rPr>
          <w:rFonts w:ascii="Cambria Math" w:hAnsi="Cambria Math" w:cs="Cambria Math"/>
          <w:sz w:val="20"/>
          <w:lang w:val="en-GB"/>
        </w:rPr>
        <w:t>𝑗</w:t>
      </w:r>
      <w:r w:rsidR="0098511A" w:rsidRPr="00A141D2">
        <w:rPr>
          <w:sz w:val="20"/>
          <w:lang w:val="en-GB"/>
        </w:rPr>
        <w:t xml:space="preserve"> from domestic sector </w:t>
      </w:r>
      <w:r w:rsidR="0098511A" w:rsidRPr="00A141D2">
        <w:rPr>
          <w:rFonts w:ascii="Cambria Math" w:hAnsi="Cambria Math" w:cs="Cambria Math"/>
          <w:sz w:val="20"/>
          <w:lang w:val="en-GB"/>
        </w:rPr>
        <w:t>𝑖</w:t>
      </w:r>
      <w:r w:rsidR="0098511A" w:rsidRPr="00A141D2">
        <w:rPr>
          <w:sz w:val="20"/>
          <w:lang w:val="en-GB"/>
        </w:rPr>
        <w:t xml:space="preserve"> in 2050 under the SSP scenario</w:t>
      </w:r>
    </w:p>
    <w:p w14:paraId="7610F972" w14:textId="77777777" w:rsidR="0098511A" w:rsidRPr="00A141D2" w:rsidRDefault="0098511A" w:rsidP="0098511A">
      <w:pPr>
        <w:rPr>
          <w:sz w:val="20"/>
          <w:lang w:val="en-GB"/>
        </w:rPr>
      </w:pPr>
    </w:p>
    <w:p w14:paraId="043E9230"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j←i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m:oMathPara>
    </w:p>
    <w:p w14:paraId="6F7AF401" w14:textId="77777777" w:rsidR="0098511A" w:rsidRPr="00A141D2" w:rsidRDefault="0098511A" w:rsidP="0098511A">
      <w:pPr>
        <w:ind w:left="720"/>
        <w:jc w:val="left"/>
        <w:rPr>
          <w:sz w:val="20"/>
          <w:lang w:val="en-GB"/>
        </w:rPr>
      </w:pPr>
    </w:p>
    <w:p w14:paraId="5AEFCFE2" w14:textId="77777777" w:rsidR="0098511A" w:rsidRPr="00A141D2" w:rsidRDefault="0098511A" w:rsidP="0098511A">
      <w:pPr>
        <w:jc w:val="left"/>
        <w:rPr>
          <w:sz w:val="20"/>
          <w:lang w:val="en-GB"/>
        </w:rPr>
      </w:pPr>
      <w:r w:rsidRPr="00A141D2">
        <w:rPr>
          <w:sz w:val="20"/>
          <w:lang w:val="en-GB"/>
        </w:rPr>
        <w:t>Where:</w:t>
      </w:r>
    </w:p>
    <w:p w14:paraId="3D070551" w14:textId="77777777" w:rsidR="0098511A" w:rsidRPr="00A141D2" w:rsidRDefault="00CB690B" w:rsidP="0098511A">
      <w:pPr>
        <w:ind w:left="720"/>
        <w:jc w:val="left"/>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 xml:space="preserve"> </m:t>
        </m:r>
      </m:oMath>
      <w:r w:rsidR="0098511A" w:rsidRPr="00A141D2">
        <w:rPr>
          <w:sz w:val="20"/>
          <w:lang w:val="en-GB"/>
        </w:rPr>
        <w:t xml:space="preserve">: Adjusted domestic inputs from sector </w:t>
      </w:r>
      <w:r w:rsidR="0098511A" w:rsidRPr="00A141D2">
        <w:rPr>
          <w:rFonts w:ascii="Cambria Math" w:hAnsi="Cambria Math" w:cs="Cambria Math"/>
          <w:sz w:val="20"/>
          <w:lang w:val="en-GB"/>
        </w:rPr>
        <w:t>𝑖</w:t>
      </w:r>
      <w:r w:rsidR="0098511A" w:rsidRPr="00A141D2">
        <w:rPr>
          <w:sz w:val="20"/>
          <w:lang w:val="en-GB"/>
        </w:rPr>
        <w:t xml:space="preserve"> to sector </w:t>
      </w:r>
      <w:r w:rsidR="0098511A" w:rsidRPr="00A141D2">
        <w:rPr>
          <w:rFonts w:ascii="Cambria Math" w:hAnsi="Cambria Math" w:cs="Cambria Math"/>
          <w:sz w:val="20"/>
          <w:lang w:val="en-GB"/>
        </w:rPr>
        <w:t>𝑗</w:t>
      </w:r>
      <w:r w:rsidR="0098511A" w:rsidRPr="00A141D2">
        <w:rPr>
          <w:sz w:val="20"/>
          <w:lang w:val="en-GB"/>
        </w:rPr>
        <w:t xml:space="preserve"> in 2050 under the SSP scenario</w:t>
      </w:r>
    </w:p>
    <w:p w14:paraId="5163C3B3" w14:textId="77777777" w:rsidR="0098511A" w:rsidRPr="00A141D2" w:rsidRDefault="00CB690B" w:rsidP="0098511A">
      <w:pPr>
        <w:ind w:left="720"/>
        <w:jc w:val="left"/>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dom</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 xml:space="preserve"> </m:t>
        </m:r>
      </m:oMath>
      <w:r w:rsidR="0098511A" w:rsidRPr="00A141D2">
        <w:rPr>
          <w:sz w:val="20"/>
          <w:lang w:val="en-GB"/>
        </w:rPr>
        <w:t xml:space="preserve">: Original projected domestic inputs from domestic sector </w:t>
      </w:r>
      <w:r w:rsidR="0098511A" w:rsidRPr="00A141D2">
        <w:rPr>
          <w:rFonts w:ascii="Cambria Math" w:hAnsi="Cambria Math" w:cs="Cambria Math"/>
          <w:sz w:val="20"/>
          <w:lang w:val="en-GB"/>
        </w:rPr>
        <w:t xml:space="preserve">𝑖 to </w:t>
      </w:r>
      <w:r w:rsidR="0098511A" w:rsidRPr="00A141D2">
        <w:rPr>
          <w:sz w:val="20"/>
          <w:lang w:val="en-GB"/>
        </w:rPr>
        <w:t xml:space="preserve">sector </w:t>
      </w:r>
      <w:r w:rsidR="0098511A" w:rsidRPr="00A141D2">
        <w:rPr>
          <w:rFonts w:ascii="Cambria Math" w:hAnsi="Cambria Math" w:cs="Cambria Math"/>
          <w:sz w:val="20"/>
          <w:lang w:val="en-GB"/>
        </w:rPr>
        <w:t>𝑗</w:t>
      </w:r>
      <w:r w:rsidR="0098511A" w:rsidRPr="00A141D2">
        <w:rPr>
          <w:sz w:val="20"/>
          <w:lang w:val="en-GB"/>
        </w:rPr>
        <w:t xml:space="preserve"> in 2050 under the SSP scenario</w:t>
      </w:r>
    </w:p>
    <w:p w14:paraId="7B578A9B" w14:textId="77777777" w:rsidR="0098511A" w:rsidRPr="00A141D2" w:rsidRDefault="00CB690B" w:rsidP="0098511A">
      <w:pPr>
        <w:ind w:left="720"/>
        <w:jc w:val="left"/>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Original projected imports by sector </w:t>
      </w:r>
      <w:r w:rsidR="0098511A" w:rsidRPr="00A141D2">
        <w:rPr>
          <w:i/>
          <w:iCs/>
          <w:sz w:val="20"/>
          <w:lang w:val="en-GB"/>
        </w:rPr>
        <w:t>j</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686D61AE"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j←i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Adjusted imports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47493657" w14:textId="77777777" w:rsidR="0098511A" w:rsidRPr="00A141D2" w:rsidRDefault="0098511A" w:rsidP="0098511A">
      <w:pPr>
        <w:ind w:left="720"/>
        <w:jc w:val="left"/>
        <w:rPr>
          <w:sz w:val="20"/>
          <w:lang w:val="en-GB"/>
        </w:rPr>
      </w:pPr>
    </w:p>
    <w:p w14:paraId="5EB6712F" w14:textId="77777777" w:rsidR="0098511A" w:rsidRPr="00A141D2" w:rsidRDefault="0098511A" w:rsidP="0098511A">
      <w:pPr>
        <w:rPr>
          <w:sz w:val="20"/>
          <w:lang w:val="en-GB"/>
        </w:rPr>
      </w:pPr>
    </w:p>
    <w:p w14:paraId="18210027"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=F</m:t>
          </m:r>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nary>
            <m:naryPr>
              <m:chr m:val="∑"/>
              <m:limLoc m:val="undOvr"/>
              <m:supHide m:val="1"/>
              <m:ctrlPr>
                <w:rPr>
                  <w:rFonts w:ascii="Cambria Math" w:hAnsi="Cambria Math"/>
                  <w:i/>
                  <w:sz w:val="20"/>
                  <w:lang w:val="en-GB"/>
                </w:rPr>
              </m:ctrlPr>
            </m:naryPr>
            <m:sub>
              <m:r>
                <w:rPr>
                  <w:rFonts w:ascii="Cambria Math" w:hAnsi="Cambria Math"/>
                  <w:sz w:val="20"/>
                  <w:lang w:val="en-GB"/>
                </w:rPr>
                <m:t>j</m:t>
              </m:r>
            </m:sub>
            <m:sup/>
            <m:e>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j←i,  SSP</m:t>
                  </m:r>
                </m:sub>
                <m:sup>
                  <m:r>
                    <w:rPr>
                      <w:rFonts w:ascii="Cambria Math" w:hAnsi="Cambria Math"/>
                      <w:sz w:val="20"/>
                      <w:lang w:val="en-GB"/>
                    </w:rPr>
                    <m:t>2050</m:t>
                  </m:r>
                </m:sup>
              </m:sSubSup>
            </m:e>
          </m:nary>
          <m:r>
            <w:rPr>
              <w:rFonts w:ascii="Cambria Math" w:hAnsi="Cambria Math"/>
              <w:sz w:val="20"/>
              <w:lang w:val="en-GB"/>
            </w:rPr>
            <m:t xml:space="preserve"> </m:t>
          </m:r>
        </m:oMath>
      </m:oMathPara>
    </w:p>
    <w:p w14:paraId="450F971C" w14:textId="77777777" w:rsidR="0098511A" w:rsidRPr="00A141D2" w:rsidRDefault="0098511A" w:rsidP="0098511A">
      <w:pPr>
        <w:rPr>
          <w:sz w:val="20"/>
          <w:lang w:val="en-GB"/>
        </w:rPr>
      </w:pPr>
      <w:r w:rsidRPr="00A141D2">
        <w:rPr>
          <w:sz w:val="20"/>
          <w:lang w:val="en-GB"/>
        </w:rPr>
        <w:t>Where:</w:t>
      </w:r>
    </w:p>
    <w:p w14:paraId="0224D6D5"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Adjusted total demand of sector </w:t>
      </w:r>
      <w:r w:rsidR="0098511A" w:rsidRPr="00A141D2">
        <w:rPr>
          <w:i/>
          <w:iCs/>
          <w:sz w:val="20"/>
          <w:lang w:val="en-GB"/>
        </w:rPr>
        <w:t>i</w:t>
      </w:r>
      <w:r w:rsidR="0098511A" w:rsidRPr="00A141D2">
        <w:rPr>
          <w:sz w:val="20"/>
          <w:lang w:val="en-GB"/>
        </w:rPr>
        <w:t xml:space="preserve"> </w:t>
      </w:r>
    </w:p>
    <w:p w14:paraId="5A524BB2"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oMath>
      <w:r w:rsidR="0098511A" w:rsidRPr="00A141D2">
        <w:rPr>
          <w:sz w:val="20"/>
          <w:lang w:val="en-GB"/>
        </w:rPr>
        <w:t>: final demand for sector i in 2050 for an SSP scenario</w:t>
      </w:r>
    </w:p>
    <w:p w14:paraId="222ECCDA"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j←i, SSP</m:t>
            </m:r>
          </m:sub>
          <m:sup>
            <m:r>
              <w:rPr>
                <w:rFonts w:ascii="Cambria Math" w:hAnsi="Cambria Math"/>
                <w:sz w:val="20"/>
                <w:lang w:val="en-GB"/>
              </w:rPr>
              <m:t>2050</m:t>
            </m:r>
          </m:sup>
        </m:sSubSup>
      </m:oMath>
      <w:r w:rsidR="0098511A" w:rsidRPr="00A141D2">
        <w:rPr>
          <w:sz w:val="20"/>
          <w:lang w:val="en-GB"/>
        </w:rPr>
        <w:t xml:space="preserve">: Adjusted input required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rFonts w:ascii="Cambria Math" w:hAnsi="Cambria Math" w:cs="Cambria Math"/>
          <w:sz w:val="20"/>
          <w:lang w:val="en-GB"/>
        </w:rPr>
        <w:t xml:space="preserve">𝑖 in 2050 </w:t>
      </w:r>
      <w:r w:rsidR="0098511A" w:rsidRPr="00A141D2">
        <w:rPr>
          <w:sz w:val="20"/>
          <w:lang w:val="en-GB"/>
        </w:rPr>
        <w:t>for an SSP scenario</w:t>
      </w:r>
    </w:p>
    <w:p w14:paraId="787581DC" w14:textId="77777777" w:rsidR="0098511A" w:rsidRPr="00A141D2" w:rsidRDefault="0098511A" w:rsidP="0098511A">
      <w:pPr>
        <w:rPr>
          <w:sz w:val="20"/>
          <w:lang w:val="en-GB"/>
        </w:rPr>
      </w:pPr>
    </w:p>
    <w:p w14:paraId="4F03DDBE" w14:textId="77777777" w:rsidR="0098511A" w:rsidRPr="00A141D2" w:rsidRDefault="0098511A" w:rsidP="0098511A">
      <w:pPr>
        <w:rPr>
          <w:sz w:val="20"/>
          <w:lang w:val="en-GB"/>
        </w:rPr>
      </w:pPr>
    </w:p>
    <w:p w14:paraId="625E8F93"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 xml:space="preserve">+ </m:t>
          </m:r>
          <m:nary>
            <m:naryPr>
              <m:chr m:val="∑"/>
              <m:limLoc m:val="undOvr"/>
              <m:supHide m:val="1"/>
              <m:ctrlPr>
                <w:rPr>
                  <w:rFonts w:ascii="Cambria Math" w:hAnsi="Cambria Math"/>
                  <w:i/>
                  <w:sz w:val="20"/>
                  <w:lang w:val="en-GB"/>
                </w:rPr>
              </m:ctrlPr>
            </m:naryPr>
            <m:sub>
              <m:r>
                <w:rPr>
                  <w:rFonts w:ascii="Cambria Math" w:hAnsi="Cambria Math"/>
                  <w:sz w:val="20"/>
                  <w:lang w:val="en-GB"/>
                </w:rPr>
                <m:t>j</m:t>
              </m:r>
            </m:sub>
            <m:sup/>
            <m:e>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e>
          </m:nary>
        </m:oMath>
      </m:oMathPara>
    </w:p>
    <w:p w14:paraId="60B6D42A" w14:textId="77777777" w:rsidR="0098511A" w:rsidRPr="00A141D2" w:rsidRDefault="0098511A" w:rsidP="0098511A">
      <w:pPr>
        <w:rPr>
          <w:sz w:val="20"/>
          <w:lang w:val="en-GB"/>
        </w:rPr>
      </w:pPr>
      <w:r w:rsidRPr="00A141D2">
        <w:rPr>
          <w:sz w:val="20"/>
          <w:lang w:val="en-GB"/>
        </w:rPr>
        <w:t>Where:</w:t>
      </w:r>
    </w:p>
    <w:p w14:paraId="60F64053"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Adjusted total output of sector </w:t>
      </w:r>
      <w:r w:rsidR="0098511A" w:rsidRPr="00A141D2">
        <w:rPr>
          <w:i/>
          <w:iCs/>
          <w:sz w:val="20"/>
          <w:lang w:val="en-GB"/>
        </w:rPr>
        <w:t>i</w:t>
      </w:r>
      <w:r w:rsidR="0098511A" w:rsidRPr="00A141D2">
        <w:rPr>
          <w:sz w:val="20"/>
          <w:lang w:val="en-GB"/>
        </w:rPr>
        <w:t xml:space="preserve"> </w:t>
      </w:r>
    </w:p>
    <w:p w14:paraId="620E8DA9"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i←j, SSP</m:t>
            </m:r>
          </m:sub>
          <m:sup>
            <m:r>
              <w:rPr>
                <w:rFonts w:ascii="Cambria Math" w:hAnsi="Cambria Math"/>
                <w:sz w:val="20"/>
                <w:lang w:val="en-GB"/>
              </w:rPr>
              <m:t>2050</m:t>
            </m:r>
          </m:sup>
        </m:sSubSup>
      </m:oMath>
      <w:r w:rsidR="0098511A" w:rsidRPr="00A141D2">
        <w:rPr>
          <w:sz w:val="20"/>
          <w:lang w:val="en-GB"/>
        </w:rPr>
        <w:t xml:space="preserve">: Adjusted input required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rFonts w:ascii="Cambria Math" w:hAnsi="Cambria Math" w:cs="Cambria Math"/>
          <w:sz w:val="20"/>
          <w:lang w:val="en-GB"/>
        </w:rPr>
        <w:t xml:space="preserve">𝑖 in 2050 </w:t>
      </w:r>
      <w:r w:rsidR="0098511A" w:rsidRPr="00A141D2">
        <w:rPr>
          <w:sz w:val="20"/>
          <w:lang w:val="en-GB"/>
        </w:rPr>
        <w:t>for an SSP scenario</w:t>
      </w:r>
    </w:p>
    <w:p w14:paraId="635D809B" w14:textId="77777777" w:rsidR="0098511A" w:rsidRPr="00A141D2" w:rsidRDefault="0098511A" w:rsidP="0098511A">
      <w:pPr>
        <w:rPr>
          <w:sz w:val="20"/>
          <w:lang w:val="en-GB"/>
        </w:rPr>
      </w:pPr>
      <w:r w:rsidRPr="00A141D2">
        <w:rPr>
          <w:sz w:val="20"/>
          <w:lang w:val="en-GB"/>
        </w:rPr>
        <w:tab/>
      </w:r>
      <m:oMath>
        <m:sSubSup>
          <m:sSubSupPr>
            <m:ctrlPr>
              <w:rPr>
                <w:rFonts w:ascii="Cambria Math" w:hAnsi="Cambria Math"/>
                <w:i/>
                <w:sz w:val="20"/>
                <w:lang w:val="en-GB"/>
              </w:rPr>
            </m:ctrlPr>
          </m:sSubSupPr>
          <m:e>
            <m:r>
              <w:rPr>
                <w:rFonts w:ascii="Cambria Math" w:hAnsi="Cambria Math"/>
                <w:sz w:val="20"/>
                <w:lang w:val="en-GB"/>
              </w:rPr>
              <m:t>VA</m:t>
            </m:r>
          </m:e>
          <m:sub>
            <m:r>
              <w:rPr>
                <w:rFonts w:ascii="Cambria Math" w:hAnsi="Cambria Math"/>
                <w:sz w:val="20"/>
                <w:lang w:val="en-GB"/>
              </w:rPr>
              <m:t>i,SSP</m:t>
            </m:r>
          </m:sub>
          <m:sup>
            <m:r>
              <w:rPr>
                <w:rFonts w:ascii="Cambria Math" w:hAnsi="Cambria Math"/>
                <w:sz w:val="20"/>
                <w:lang w:val="en-GB"/>
              </w:rPr>
              <m:t>2050</m:t>
            </m:r>
          </m:sup>
        </m:sSubSup>
      </m:oMath>
      <w:r w:rsidRPr="00A141D2">
        <w:rPr>
          <w:sz w:val="20"/>
          <w:lang w:val="en-GB"/>
        </w:rPr>
        <w:t xml:space="preserve">: projected value added of sector </w:t>
      </w:r>
      <w:r w:rsidRPr="00A141D2">
        <w:rPr>
          <w:i/>
          <w:iCs/>
          <w:sz w:val="20"/>
          <w:lang w:val="en-GB"/>
        </w:rPr>
        <w:t>i</w:t>
      </w:r>
      <w:r w:rsidRPr="00A141D2">
        <w:rPr>
          <w:sz w:val="20"/>
          <w:lang w:val="en-GB"/>
        </w:rPr>
        <w:t xml:space="preserve"> in 2050 for an SSP scenario</w:t>
      </w:r>
    </w:p>
    <w:p w14:paraId="151BAFF3" w14:textId="77777777" w:rsidR="0098511A" w:rsidRPr="00A141D2" w:rsidRDefault="0098511A" w:rsidP="0098511A">
      <w:pPr>
        <w:rPr>
          <w:sz w:val="20"/>
          <w:lang w:val="en-GB"/>
        </w:rPr>
      </w:pPr>
    </w:p>
    <w:p w14:paraId="6239B77F"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i,SSP</m:t>
              </m:r>
            </m:sub>
            <m:sup>
              <m:r>
                <w:rPr>
                  <w:rFonts w:ascii="Cambria Math" w:hAnsi="Cambria Math"/>
                  <w:sz w:val="20"/>
                  <w:lang w:val="en-GB"/>
                </w:rPr>
                <m:t>2050</m:t>
              </m:r>
            </m:sup>
          </m:sSubSup>
        </m:oMath>
      </m:oMathPara>
    </w:p>
    <w:p w14:paraId="5B416225" w14:textId="77777777" w:rsidR="0098511A" w:rsidRPr="00A141D2" w:rsidRDefault="0098511A" w:rsidP="0098511A">
      <w:pPr>
        <w:rPr>
          <w:sz w:val="20"/>
          <w:lang w:val="en-GB"/>
        </w:rPr>
      </w:pPr>
      <w:r w:rsidRPr="00A141D2">
        <w:rPr>
          <w:sz w:val="20"/>
          <w:lang w:val="en-GB"/>
        </w:rPr>
        <w:t>Where:</w:t>
      </w:r>
    </w:p>
    <w:p w14:paraId="765F0B91"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adjusted net production sector </w:t>
      </w:r>
      <w:r w:rsidR="0098511A" w:rsidRPr="00A141D2">
        <w:rPr>
          <w:i/>
          <w:iCs/>
          <w:sz w:val="20"/>
          <w:lang w:val="en-GB"/>
        </w:rPr>
        <w:t xml:space="preserve">i </w:t>
      </w:r>
      <w:r w:rsidR="0098511A" w:rsidRPr="00A141D2">
        <w:rPr>
          <w:sz w:val="20"/>
          <w:lang w:val="en-GB"/>
        </w:rPr>
        <w:t>in 2050 for an SSP scenario</w:t>
      </w:r>
    </w:p>
    <w:p w14:paraId="374BA99F" w14:textId="77777777" w:rsidR="0098511A" w:rsidRPr="00A141D2" w:rsidRDefault="00CB690B" w:rsidP="0098511A">
      <w:pPr>
        <w:ind w:firstLine="720"/>
        <w:rPr>
          <w:rFonts w:ascii="Cambria Math" w:hAnsi="Cambria Math" w:cs="Cambria Math"/>
          <w:sz w:val="20"/>
          <w:lang w:val="en-GB"/>
        </w:rPr>
      </w:pPr>
      <m:oMath>
        <m:sSubSup>
          <m:sSubSupPr>
            <m:ctrlPr>
              <w:rPr>
                <w:rFonts w:ascii="Cambria Math" w:hAnsi="Cambria Math"/>
                <w:i/>
                <w:sz w:val="20"/>
                <w:lang w:val="en-GB"/>
              </w:rPr>
            </m:ctrlPr>
          </m:sSubSupPr>
          <m:e>
            <m:r>
              <w:rPr>
                <w:rFonts w:ascii="Cambria Math" w:hAnsi="Cambria Math"/>
                <w:sz w:val="20"/>
                <w:lang w:val="en-GB"/>
              </w:rPr>
              <m:t>X'</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adjusted total output of sector </w:t>
      </w:r>
      <w:r w:rsidR="0098511A" w:rsidRPr="00A141D2">
        <w:rPr>
          <w:i/>
          <w:iCs/>
          <w:sz w:val="20"/>
          <w:lang w:val="en-GB"/>
        </w:rPr>
        <w:t>i</w:t>
      </w:r>
      <w:r w:rsidR="0098511A" w:rsidRPr="00A141D2">
        <w:rPr>
          <w:sz w:val="20"/>
          <w:lang w:val="en-GB"/>
        </w:rPr>
        <w:t xml:space="preserve"> in 2050 for an SSP scenario</w:t>
      </w:r>
    </w:p>
    <w:p w14:paraId="6CB6FA9F"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D'</m:t>
            </m:r>
          </m:e>
          <m:sub>
            <m:r>
              <w:rPr>
                <w:rFonts w:ascii="Cambria Math" w:hAnsi="Cambria Math"/>
                <w:sz w:val="20"/>
                <w:lang w:val="en-GB"/>
              </w:rPr>
              <m:t>i</m:t>
            </m:r>
          </m:sub>
          <m:sup>
            <m:r>
              <w:rPr>
                <w:rFonts w:ascii="Cambria Math" w:hAnsi="Cambria Math"/>
                <w:sz w:val="20"/>
                <w:lang w:val="en-GB"/>
              </w:rPr>
              <m:t>2050</m:t>
            </m:r>
          </m:sup>
        </m:sSubSup>
      </m:oMath>
      <w:r w:rsidR="0098511A" w:rsidRPr="00A141D2">
        <w:rPr>
          <w:sz w:val="20"/>
          <w:lang w:val="en-GB"/>
        </w:rPr>
        <w:t xml:space="preserve">: adjusted total demand of sector </w:t>
      </w:r>
      <w:r w:rsidR="0098511A" w:rsidRPr="00A141D2">
        <w:rPr>
          <w:i/>
          <w:iCs/>
          <w:sz w:val="20"/>
          <w:lang w:val="en-GB"/>
        </w:rPr>
        <w:t>i</w:t>
      </w:r>
      <w:r w:rsidR="0098511A" w:rsidRPr="00A141D2">
        <w:rPr>
          <w:sz w:val="20"/>
          <w:lang w:val="en-GB"/>
        </w:rPr>
        <w:t xml:space="preserve"> in 2050 for an SSP scenario</w:t>
      </w:r>
    </w:p>
    <w:p w14:paraId="42B99900" w14:textId="77777777" w:rsidR="0098511A" w:rsidRPr="00A141D2" w:rsidRDefault="0098511A" w:rsidP="0098511A">
      <w:pPr>
        <w:rPr>
          <w:sz w:val="20"/>
          <w:lang w:val="en-GB"/>
        </w:rPr>
      </w:pPr>
    </w:p>
    <w:p w14:paraId="652F7CEC"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oMath>
      </m:oMathPara>
    </w:p>
    <w:p w14:paraId="69D86776" w14:textId="77777777" w:rsidR="0098511A" w:rsidRPr="00A141D2" w:rsidRDefault="0098511A" w:rsidP="0098511A">
      <w:pPr>
        <w:rPr>
          <w:sz w:val="20"/>
          <w:lang w:val="en-GB"/>
        </w:rPr>
      </w:pPr>
      <w:r w:rsidRPr="00A141D2">
        <w:rPr>
          <w:sz w:val="20"/>
          <w:lang w:val="en-GB"/>
        </w:rPr>
        <w:t>Where:</w:t>
      </w:r>
    </w:p>
    <w:p w14:paraId="2E061221" w14:textId="77777777" w:rsidR="0098511A" w:rsidRPr="00A141D2" w:rsidRDefault="00CB690B" w:rsidP="0098511A">
      <w:pPr>
        <w:ind w:left="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i←i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Further adjusted imports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39F243EC"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i←i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Adjusted imports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1E247699"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NP'</m:t>
            </m:r>
          </m:e>
          <m:sub>
            <m:r>
              <w:rPr>
                <w:rFonts w:ascii="Cambria Math" w:hAnsi="Cambria Math"/>
                <w:sz w:val="20"/>
                <w:lang w:val="en-GB"/>
              </w:rPr>
              <m:t>i,SSP</m:t>
            </m:r>
          </m:sub>
          <m:sup>
            <m:r>
              <w:rPr>
                <w:rFonts w:ascii="Cambria Math" w:hAnsi="Cambria Math"/>
                <w:sz w:val="20"/>
                <w:lang w:val="en-GB"/>
              </w:rPr>
              <m:t>2050</m:t>
            </m:r>
          </m:sup>
        </m:sSubSup>
      </m:oMath>
      <w:r w:rsidR="0098511A" w:rsidRPr="00A141D2">
        <w:rPr>
          <w:sz w:val="20"/>
          <w:lang w:val="en-GB"/>
        </w:rPr>
        <w:t xml:space="preserve">: adjusted net production sector </w:t>
      </w:r>
      <w:r w:rsidR="0098511A" w:rsidRPr="00A141D2">
        <w:rPr>
          <w:i/>
          <w:iCs/>
          <w:sz w:val="20"/>
          <w:lang w:val="en-GB"/>
        </w:rPr>
        <w:t xml:space="preserve">i </w:t>
      </w:r>
      <w:r w:rsidR="0098511A" w:rsidRPr="00A141D2">
        <w:rPr>
          <w:sz w:val="20"/>
          <w:lang w:val="en-GB"/>
        </w:rPr>
        <w:t>in 2050 for an SSP scenario</w:t>
      </w:r>
    </w:p>
    <w:p w14:paraId="77E69875" w14:textId="77777777" w:rsidR="0098511A" w:rsidRPr="00A141D2" w:rsidRDefault="0098511A" w:rsidP="0098511A">
      <w:pPr>
        <w:ind w:firstLine="720"/>
        <w:rPr>
          <w:sz w:val="20"/>
          <w:lang w:val="en-GB"/>
        </w:rPr>
      </w:pPr>
    </w:p>
    <w:p w14:paraId="6473A847" w14:textId="77777777" w:rsidR="0098511A" w:rsidRPr="00A141D2" w:rsidRDefault="0098511A" w:rsidP="0098511A">
      <w:pPr>
        <w:rPr>
          <w:sz w:val="20"/>
          <w:lang w:val="en-GB"/>
        </w:rPr>
      </w:pPr>
    </w:p>
    <w:p w14:paraId="440B9BA9" w14:textId="77777777" w:rsidR="0098511A" w:rsidRPr="00A141D2" w:rsidRDefault="0098511A" w:rsidP="0098511A">
      <w:pPr>
        <w:rPr>
          <w:sz w:val="20"/>
          <w:lang w:val="en-GB"/>
        </w:rPr>
      </w:pPr>
      <w:r w:rsidRPr="00A141D2">
        <w:rPr>
          <w:sz w:val="20"/>
          <w:lang w:val="en-GB"/>
        </w:rPr>
        <w:tab/>
      </w:r>
    </w:p>
    <w:p w14:paraId="0C5F8381" w14:textId="77777777" w:rsidR="0098511A" w:rsidRPr="00A141D2" w:rsidRDefault="0098511A" w:rsidP="0098511A">
      <w:pPr>
        <w:ind w:left="720" w:firstLine="720"/>
        <w:rPr>
          <w:sz w:val="20"/>
          <w:lang w:val="en-GB"/>
        </w:rPr>
      </w:pPr>
      <m:oMath>
        <m:r>
          <w:rPr>
            <w:rFonts w:ascii="Cambria Math" w:hAnsi="Cambria Math"/>
            <w:sz w:val="20"/>
            <w:lang w:val="en-GB"/>
          </w:rPr>
          <m:t>if</m:t>
        </m:r>
        <m:sSubSup>
          <m:sSubSupPr>
            <m:ctrlPr>
              <w:rPr>
                <w:rFonts w:ascii="Cambria Math" w:hAnsi="Cambria Math"/>
                <w:i/>
                <w:sz w:val="20"/>
                <w:lang w:val="en-GB"/>
              </w:rPr>
            </m:ctrlPr>
          </m:sSubSupPr>
          <m:e>
            <m:r>
              <w:rPr>
                <w:rFonts w:ascii="Cambria Math" w:hAnsi="Cambria Math"/>
                <w:sz w:val="20"/>
                <w:lang w:val="en-GB"/>
              </w:rPr>
              <m:t xml:space="preserve"> Input''</m:t>
            </m:r>
          </m:e>
          <m:sub>
            <m:sSub>
              <m:sSubPr>
                <m:ctrlPr>
                  <w:rPr>
                    <w:rFonts w:ascii="Cambria Math" w:hAnsi="Cambria Math"/>
                    <w:i/>
                    <w:sz w:val="20"/>
                    <w:lang w:val="en-GB"/>
                  </w:rPr>
                </m:ctrlPr>
              </m:sSubPr>
              <m:e>
                <m:r>
                  <w:rPr>
                    <w:rFonts w:ascii="Cambria Math" w:hAnsi="Cambria Math"/>
                    <w:sz w:val="20"/>
                    <w:lang w:val="en-GB"/>
                  </w:rPr>
                  <m:t>i←i</m:t>
                </m:r>
              </m:e>
              <m:sub>
                <m:r>
                  <w:rPr>
                    <w:rFonts w:ascii="Cambria Math" w:hAnsi="Cambria Math"/>
                    <w:sz w:val="20"/>
                    <w:lang w:val="en-GB"/>
                  </w:rPr>
                  <m:t>imp</m:t>
                </m:r>
              </m:sub>
            </m:s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&lt;0</m:t>
        </m:r>
      </m:oMath>
      <w:r w:rsidRPr="00A141D2">
        <w:rPr>
          <w:sz w:val="20"/>
          <w:lang w:val="en-GB"/>
        </w:rPr>
        <w:t>:</w:t>
      </w:r>
    </w:p>
    <w:p w14:paraId="4744AEED"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 xml:space="preserve">= </m:t>
          </m:r>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r>
            <w:rPr>
              <w:rFonts w:ascii="Cambria Math" w:hAnsi="Cambria Math"/>
              <w:sz w:val="20"/>
              <w:lang w:val="en-GB"/>
            </w:rPr>
            <m:t>+(-</m:t>
          </m:r>
          <m:sSubSup>
            <m:sSubSupPr>
              <m:ctrlPr>
                <w:rPr>
                  <w:rFonts w:ascii="Cambria Math" w:hAnsi="Cambria Math"/>
                  <w:i/>
                  <w:sz w:val="20"/>
                  <w:lang w:val="en-GB"/>
                </w:rPr>
              </m:ctrlPr>
            </m:sSubSupPr>
            <m:e>
              <m:r>
                <w:rPr>
                  <w:rFonts w:ascii="Cambria Math" w:hAnsi="Cambria Math"/>
                  <w:sz w:val="20"/>
                  <w:lang w:val="en-GB"/>
                </w:rPr>
                <m:t xml:space="preserve"> Input''</m:t>
              </m:r>
            </m:e>
            <m:sub>
              <m:r>
                <w:rPr>
                  <w:rFonts w:ascii="Cambria Math" w:hAnsi="Cambria Math"/>
                  <w:sz w:val="20"/>
                  <w:lang w:val="en-GB"/>
                </w:rPr>
                <m:t>i←</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m:t>
          </m:r>
        </m:oMath>
      </m:oMathPara>
    </w:p>
    <w:p w14:paraId="30F78361" w14:textId="77777777" w:rsidR="0098511A" w:rsidRPr="00A141D2" w:rsidRDefault="00CB690B" w:rsidP="0098511A">
      <w:pPr>
        <w:rPr>
          <w:sz w:val="20"/>
          <w:lang w:val="en-GB"/>
        </w:rPr>
      </w:pPr>
      <m:oMathPara>
        <m:oMath>
          <m:sSubSup>
            <m:sSubSupPr>
              <m:ctrlPr>
                <w:rPr>
                  <w:rFonts w:ascii="Cambria Math" w:hAnsi="Cambria Math"/>
                  <w:i/>
                  <w:sz w:val="20"/>
                  <w:lang w:val="en-GB"/>
                </w:rPr>
              </m:ctrlPr>
            </m:sSubSupPr>
            <m:e>
              <m:r>
                <w:rPr>
                  <w:rFonts w:ascii="Cambria Math" w:hAnsi="Cambria Math"/>
                  <w:sz w:val="20"/>
                  <w:lang w:val="en-GB"/>
                </w:rPr>
                <m:t>Input''</m:t>
              </m:r>
            </m:e>
            <m:sub>
              <m:r>
                <w:rPr>
                  <w:rFonts w:ascii="Cambria Math" w:hAnsi="Cambria Math"/>
                  <w:sz w:val="20"/>
                  <w:lang w:val="en-GB"/>
                </w:rPr>
                <m:t>i←</m:t>
              </m:r>
              <m:sSub>
                <m:sSubPr>
                  <m:ctrlPr>
                    <w:rPr>
                      <w:rFonts w:ascii="Cambria Math" w:hAnsi="Cambria Math"/>
                      <w:i/>
                      <w:sz w:val="20"/>
                      <w:lang w:val="en-GB"/>
                    </w:rPr>
                  </m:ctrlPr>
                </m:sSubPr>
                <m:e>
                  <m:r>
                    <w:rPr>
                      <w:rFonts w:ascii="Cambria Math" w:hAnsi="Cambria Math"/>
                      <w:sz w:val="20"/>
                      <w:lang w:val="en-GB"/>
                    </w:rPr>
                    <m:t>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r>
            <w:rPr>
              <w:rFonts w:ascii="Cambria Math" w:hAnsi="Cambria Math"/>
              <w:sz w:val="20"/>
              <w:lang w:val="en-GB"/>
            </w:rPr>
            <m:t>=0</m:t>
          </m:r>
        </m:oMath>
      </m:oMathPara>
    </w:p>
    <w:p w14:paraId="2277EC71" w14:textId="77777777" w:rsidR="0098511A" w:rsidRPr="00A141D2" w:rsidRDefault="0098511A" w:rsidP="0098511A">
      <w:pPr>
        <w:rPr>
          <w:sz w:val="20"/>
          <w:lang w:val="en-GB"/>
        </w:rPr>
      </w:pPr>
      <w:r w:rsidRPr="00A141D2">
        <w:rPr>
          <w:sz w:val="20"/>
          <w:lang w:val="en-GB"/>
        </w:rPr>
        <w:t>Where:</w:t>
      </w:r>
    </w:p>
    <w:p w14:paraId="6DB67A79" w14:textId="77777777" w:rsidR="0098511A" w:rsidRPr="00A141D2" w:rsidRDefault="00CB690B" w:rsidP="0098511A">
      <w:pPr>
        <w:ind w:left="720"/>
        <w:rPr>
          <w:sz w:val="20"/>
          <w:lang w:val="en-GB"/>
        </w:rPr>
      </w:pPr>
      <m:oMath>
        <m:sSubSup>
          <m:sSubSupPr>
            <m:ctrlPr>
              <w:rPr>
                <w:rFonts w:ascii="Cambria Math" w:hAnsi="Cambria Math"/>
                <w:i/>
                <w:sz w:val="20"/>
                <w:lang w:val="en-GB"/>
              </w:rPr>
            </m:ctrlPr>
          </m:sSubSupPr>
          <m:e>
            <m:r>
              <w:rPr>
                <w:rFonts w:ascii="Cambria Math" w:hAnsi="Cambria Math"/>
                <w:sz w:val="20"/>
                <w:lang w:val="en-GB"/>
              </w:rPr>
              <m:t>Input''</m:t>
            </m:r>
          </m:e>
          <m:sub>
            <m:sSub>
              <m:sSubPr>
                <m:ctrlPr>
                  <w:rPr>
                    <w:rFonts w:ascii="Cambria Math" w:hAnsi="Cambria Math"/>
                    <w:i/>
                    <w:sz w:val="20"/>
                    <w:lang w:val="en-GB"/>
                  </w:rPr>
                </m:ctrlPr>
              </m:sSubPr>
              <m:e>
                <m:r>
                  <w:rPr>
                    <w:rFonts w:ascii="Cambria Math" w:hAnsi="Cambria Math"/>
                    <w:sz w:val="20"/>
                    <w:lang w:val="en-GB"/>
                  </w:rPr>
                  <m:t>i←i</m:t>
                </m:r>
              </m:e>
              <m:sub>
                <m:r>
                  <w:rPr>
                    <w:rFonts w:ascii="Cambria Math" w:hAnsi="Cambria Math"/>
                    <w:sz w:val="20"/>
                    <w:lang w:val="en-GB"/>
                  </w:rPr>
                  <m:t>imp</m:t>
                </m:r>
              </m:sub>
            </m:sSub>
            <m:r>
              <w:rPr>
                <w:rFonts w:ascii="Cambria Math" w:hAnsi="Cambria Math"/>
                <w:sz w:val="20"/>
                <w:lang w:val="en-GB"/>
              </w:rPr>
              <m:t>, SSP</m:t>
            </m:r>
          </m:sub>
          <m:sup>
            <m:r>
              <w:rPr>
                <w:rFonts w:ascii="Cambria Math" w:hAnsi="Cambria Math"/>
                <w:sz w:val="20"/>
                <w:lang w:val="en-GB"/>
              </w:rPr>
              <m:t>2050</m:t>
            </m:r>
          </m:sup>
        </m:sSubSup>
      </m:oMath>
      <w:r w:rsidR="0098511A" w:rsidRPr="00A141D2">
        <w:rPr>
          <w:sz w:val="20"/>
          <w:lang w:val="en-GB"/>
        </w:rPr>
        <w:t xml:space="preserve">: Further adjusted imports by sector </w:t>
      </w:r>
      <w:r w:rsidR="0098511A" w:rsidRPr="00A141D2">
        <w:rPr>
          <w:rFonts w:ascii="Cambria Math" w:hAnsi="Cambria Math" w:cs="Cambria Math"/>
          <w:sz w:val="20"/>
          <w:lang w:val="en-GB"/>
        </w:rPr>
        <w:t>𝑗</w:t>
      </w:r>
      <w:r w:rsidR="0098511A" w:rsidRPr="00A141D2">
        <w:rPr>
          <w:sz w:val="20"/>
          <w:lang w:val="en-GB"/>
        </w:rPr>
        <w:t xml:space="preserve"> from sector </w:t>
      </w:r>
      <w:r w:rsidR="0098511A" w:rsidRPr="00A141D2">
        <w:rPr>
          <w:i/>
          <w:iCs/>
          <w:sz w:val="20"/>
          <w:lang w:val="en-GB"/>
        </w:rPr>
        <w:t>i</w:t>
      </w:r>
      <w:r w:rsidR="0098511A" w:rsidRPr="00A141D2">
        <w:rPr>
          <w:sz w:val="20"/>
          <w:lang w:val="en-GB"/>
        </w:rPr>
        <w:t xml:space="preserve"> in 2050 under the SSP scenario</w:t>
      </w:r>
    </w:p>
    <w:p w14:paraId="0C85627B"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oMath>
      <w:r w:rsidR="0098511A" w:rsidRPr="00A141D2">
        <w:rPr>
          <w:sz w:val="20"/>
          <w:lang w:val="en-GB"/>
        </w:rPr>
        <w:t xml:space="preserve">: Adjusted final demand for sector </w:t>
      </w:r>
      <w:r w:rsidR="0098511A" w:rsidRPr="00A141D2">
        <w:rPr>
          <w:i/>
          <w:iCs/>
          <w:sz w:val="20"/>
          <w:lang w:val="en-GB"/>
        </w:rPr>
        <w:t>i</w:t>
      </w:r>
      <w:r w:rsidR="0098511A" w:rsidRPr="00A141D2">
        <w:rPr>
          <w:sz w:val="20"/>
          <w:lang w:val="en-GB"/>
        </w:rPr>
        <w:t xml:space="preserve"> in 2050 for an SSP scenario</w:t>
      </w:r>
    </w:p>
    <w:p w14:paraId="741FB929" w14:textId="77777777" w:rsidR="0098511A" w:rsidRPr="00A141D2" w:rsidRDefault="00CB690B" w:rsidP="0098511A">
      <w:pPr>
        <w:ind w:firstLine="720"/>
        <w:rPr>
          <w:sz w:val="20"/>
          <w:lang w:val="en-GB"/>
        </w:rPr>
      </w:pPr>
      <m:oMath>
        <m:sSubSup>
          <m:sSubSupPr>
            <m:ctrlPr>
              <w:rPr>
                <w:rFonts w:ascii="Cambria Math" w:hAnsi="Cambria Math"/>
                <w:i/>
                <w:sz w:val="20"/>
                <w:lang w:val="en-GB"/>
              </w:rPr>
            </m:ctrlPr>
          </m:sSubSupPr>
          <m:e>
            <m:r>
              <w:rPr>
                <w:rFonts w:ascii="Cambria Math" w:hAnsi="Cambria Math"/>
                <w:sz w:val="20"/>
                <w:lang w:val="en-GB"/>
              </w:rPr>
              <m:t>FD</m:t>
            </m:r>
          </m:e>
          <m:sub>
            <m:r>
              <w:rPr>
                <w:rFonts w:ascii="Cambria Math" w:hAnsi="Cambria Math"/>
                <w:sz w:val="20"/>
                <w:lang w:val="en-GB"/>
              </w:rPr>
              <m:t>i,  SSP</m:t>
            </m:r>
          </m:sub>
          <m:sup>
            <m:r>
              <w:rPr>
                <w:rFonts w:ascii="Cambria Math" w:hAnsi="Cambria Math"/>
                <w:sz w:val="20"/>
                <w:lang w:val="en-GB"/>
              </w:rPr>
              <m:t>2050</m:t>
            </m:r>
          </m:sup>
        </m:sSubSup>
      </m:oMath>
      <w:r w:rsidR="0098511A" w:rsidRPr="00A141D2">
        <w:rPr>
          <w:sz w:val="20"/>
          <w:lang w:val="en-GB"/>
        </w:rPr>
        <w:t xml:space="preserve">: Original final demand for sector </w:t>
      </w:r>
      <w:r w:rsidR="0098511A" w:rsidRPr="00A141D2">
        <w:rPr>
          <w:i/>
          <w:iCs/>
          <w:sz w:val="20"/>
          <w:lang w:val="en-GB"/>
        </w:rPr>
        <w:t>i</w:t>
      </w:r>
      <w:r w:rsidR="0098511A" w:rsidRPr="00A141D2">
        <w:rPr>
          <w:sz w:val="20"/>
          <w:lang w:val="en-GB"/>
        </w:rPr>
        <w:t xml:space="preserve"> in 2050 for an SSP scenario</w:t>
      </w:r>
    </w:p>
    <w:p w14:paraId="18D6E295" w14:textId="77777777" w:rsidR="00C869FC" w:rsidRPr="00A141D2" w:rsidRDefault="00C869FC">
      <w:pPr>
        <w:jc w:val="left"/>
        <w:rPr>
          <w:rFonts w:eastAsia="Times New Roman"/>
          <w:b/>
          <w:kern w:val="28"/>
          <w:szCs w:val="24"/>
          <w:lang w:val="en-GB"/>
        </w:rPr>
      </w:pPr>
      <w:r w:rsidRPr="00A141D2">
        <w:rPr>
          <w:b/>
          <w:bCs/>
          <w:lang w:val="en-GB"/>
        </w:rPr>
        <w:br w:type="page"/>
      </w:r>
    </w:p>
    <w:p w14:paraId="7B402ECF" w14:textId="348E5783" w:rsidR="002026B6" w:rsidRPr="00A141D2" w:rsidRDefault="00884F2D" w:rsidP="004D5427">
      <w:pPr>
        <w:pStyle w:val="Heading-Secondary"/>
        <w:rPr>
          <w:lang w:val="en-GB"/>
        </w:rPr>
      </w:pPr>
      <w:r w:rsidRPr="00A141D2">
        <w:rPr>
          <w:lang w:val="en-GB"/>
        </w:rPr>
        <w:lastRenderedPageBreak/>
        <w:t xml:space="preserve">Appendix </w:t>
      </w:r>
      <w:r w:rsidR="003F5F3A" w:rsidRPr="00A141D2">
        <w:rPr>
          <w:lang w:val="en-GB"/>
        </w:rPr>
        <w:t>C</w:t>
      </w:r>
      <w:r w:rsidRPr="00A141D2">
        <w:rPr>
          <w:lang w:val="en-GB"/>
        </w:rPr>
        <w:t xml:space="preserve">: Building </w:t>
      </w:r>
      <w:r w:rsidR="00676DD4" w:rsidRPr="00A141D2">
        <w:rPr>
          <w:lang w:val="en-GB"/>
        </w:rPr>
        <w:t>C</w:t>
      </w:r>
      <w:r w:rsidRPr="00A141D2">
        <w:rPr>
          <w:lang w:val="en-GB"/>
        </w:rPr>
        <w:t>lassification</w:t>
      </w:r>
    </w:p>
    <w:p w14:paraId="6850B58E" w14:textId="1EBF122D" w:rsidR="002026B6" w:rsidRPr="00A141D2" w:rsidRDefault="002026B6" w:rsidP="004A16A7">
      <w:pPr>
        <w:pStyle w:val="Caption"/>
        <w:keepNext/>
        <w:jc w:val="left"/>
        <w:rPr>
          <w:lang w:val="en-GB"/>
        </w:rPr>
      </w:pPr>
      <w:r w:rsidRPr="00A141D2">
        <w:rPr>
          <w:b/>
          <w:bCs/>
          <w:lang w:val="en-GB"/>
        </w:rPr>
        <w:t xml:space="preserve">Table </w:t>
      </w:r>
      <w:r w:rsidR="003F5F3A" w:rsidRPr="00A141D2">
        <w:rPr>
          <w:b/>
          <w:bCs/>
          <w:lang w:val="en-GB"/>
        </w:rPr>
        <w:t>C</w:t>
      </w:r>
      <w:r w:rsidRPr="00A141D2">
        <w:rPr>
          <w:b/>
          <w:bCs/>
          <w:lang w:val="en-GB"/>
        </w:rPr>
        <w:t>.</w:t>
      </w:r>
      <w:r w:rsidR="004A16A7" w:rsidRPr="00A141D2">
        <w:rPr>
          <w:b/>
          <w:bCs/>
          <w:lang w:val="en-GB"/>
        </w:rPr>
        <w:t>1</w:t>
      </w:r>
      <w:r w:rsidRPr="00A141D2">
        <w:rPr>
          <w:lang w:val="en-GB"/>
        </w:rPr>
        <w:t>: Aggregation of land use class</w:t>
      </w:r>
      <w:r w:rsidRPr="00A141D2">
        <w:rPr>
          <w:noProof/>
          <w:lang w:val="en-GB"/>
        </w:rPr>
        <w:t>es</w:t>
      </w:r>
    </w:p>
    <w:tbl>
      <w:tblPr>
        <w:tblW w:w="4360" w:type="dxa"/>
        <w:jc w:val="center"/>
        <w:tblLook w:val="04A0" w:firstRow="1" w:lastRow="0" w:firstColumn="1" w:lastColumn="0" w:noHBand="0" w:noVBand="1"/>
      </w:tblPr>
      <w:tblGrid>
        <w:gridCol w:w="1231"/>
        <w:gridCol w:w="3129"/>
      </w:tblGrid>
      <w:tr w:rsidR="002026B6" w:rsidRPr="00A141D2" w14:paraId="291456B0" w14:textId="77777777" w:rsidTr="00086520">
        <w:trPr>
          <w:trHeight w:val="288"/>
          <w:jc w:val="center"/>
        </w:trPr>
        <w:tc>
          <w:tcPr>
            <w:tcW w:w="1231" w:type="dxa"/>
            <w:tcBorders>
              <w:top w:val="single" w:sz="4" w:space="0" w:color="auto"/>
              <w:left w:val="nil"/>
              <w:bottom w:val="nil"/>
              <w:right w:val="nil"/>
            </w:tcBorders>
            <w:shd w:val="clear" w:color="auto" w:fill="auto"/>
            <w:hideMark/>
          </w:tcPr>
          <w:p w14:paraId="7B51FA40"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Sector</w:t>
            </w:r>
          </w:p>
        </w:tc>
        <w:tc>
          <w:tcPr>
            <w:tcW w:w="3129" w:type="dxa"/>
            <w:tcBorders>
              <w:top w:val="single" w:sz="4" w:space="0" w:color="auto"/>
              <w:left w:val="nil"/>
              <w:bottom w:val="nil"/>
              <w:right w:val="nil"/>
            </w:tcBorders>
            <w:shd w:val="clear" w:color="auto" w:fill="auto"/>
            <w:hideMark/>
          </w:tcPr>
          <w:p w14:paraId="12FA5826"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LUISA Land Use Class</w:t>
            </w:r>
          </w:p>
        </w:tc>
      </w:tr>
      <w:tr w:rsidR="002026B6" w:rsidRPr="00A141D2" w14:paraId="2C8FBC2A" w14:textId="77777777" w:rsidTr="00086520">
        <w:trPr>
          <w:trHeight w:val="288"/>
          <w:jc w:val="center"/>
        </w:trPr>
        <w:tc>
          <w:tcPr>
            <w:tcW w:w="1231" w:type="dxa"/>
            <w:tcBorders>
              <w:top w:val="single" w:sz="4" w:space="0" w:color="auto"/>
              <w:left w:val="nil"/>
              <w:bottom w:val="nil"/>
              <w:right w:val="nil"/>
            </w:tcBorders>
            <w:shd w:val="clear" w:color="auto" w:fill="auto"/>
            <w:hideMark/>
          </w:tcPr>
          <w:p w14:paraId="0C4E7036"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Forestry</w:t>
            </w:r>
          </w:p>
        </w:tc>
        <w:tc>
          <w:tcPr>
            <w:tcW w:w="3129" w:type="dxa"/>
            <w:tcBorders>
              <w:top w:val="single" w:sz="4" w:space="0" w:color="auto"/>
              <w:left w:val="nil"/>
              <w:bottom w:val="nil"/>
              <w:right w:val="nil"/>
            </w:tcBorders>
            <w:shd w:val="clear" w:color="auto" w:fill="auto"/>
            <w:hideMark/>
          </w:tcPr>
          <w:p w14:paraId="38338C07"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Agro-forestry areas</w:t>
            </w:r>
          </w:p>
        </w:tc>
      </w:tr>
      <w:tr w:rsidR="002026B6" w:rsidRPr="00A141D2" w14:paraId="41E096AF" w14:textId="77777777" w:rsidTr="00086520">
        <w:trPr>
          <w:trHeight w:val="288"/>
          <w:jc w:val="center"/>
        </w:trPr>
        <w:tc>
          <w:tcPr>
            <w:tcW w:w="1231" w:type="dxa"/>
            <w:tcBorders>
              <w:top w:val="nil"/>
              <w:left w:val="nil"/>
              <w:bottom w:val="nil"/>
              <w:right w:val="nil"/>
            </w:tcBorders>
            <w:shd w:val="clear" w:color="auto" w:fill="auto"/>
            <w:hideMark/>
          </w:tcPr>
          <w:p w14:paraId="21326602"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258030E5"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 xml:space="preserve">Broad-leaved forest </w:t>
            </w:r>
          </w:p>
        </w:tc>
      </w:tr>
      <w:tr w:rsidR="002026B6" w:rsidRPr="00A141D2" w14:paraId="00FC5700" w14:textId="77777777" w:rsidTr="00086520">
        <w:trPr>
          <w:trHeight w:val="288"/>
          <w:jc w:val="center"/>
        </w:trPr>
        <w:tc>
          <w:tcPr>
            <w:tcW w:w="1231" w:type="dxa"/>
            <w:tcBorders>
              <w:top w:val="nil"/>
              <w:left w:val="nil"/>
              <w:bottom w:val="nil"/>
              <w:right w:val="nil"/>
            </w:tcBorders>
            <w:shd w:val="clear" w:color="auto" w:fill="auto"/>
            <w:hideMark/>
          </w:tcPr>
          <w:p w14:paraId="60019B14"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38A7307F"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 xml:space="preserve">Coniferous forest </w:t>
            </w:r>
          </w:p>
        </w:tc>
      </w:tr>
      <w:tr w:rsidR="002026B6" w:rsidRPr="00A141D2" w14:paraId="212D2E9C" w14:textId="77777777" w:rsidTr="00086520">
        <w:trPr>
          <w:trHeight w:val="288"/>
          <w:jc w:val="center"/>
        </w:trPr>
        <w:tc>
          <w:tcPr>
            <w:tcW w:w="1231" w:type="dxa"/>
            <w:tcBorders>
              <w:top w:val="nil"/>
              <w:left w:val="nil"/>
              <w:bottom w:val="nil"/>
              <w:right w:val="nil"/>
            </w:tcBorders>
            <w:shd w:val="clear" w:color="auto" w:fill="auto"/>
            <w:hideMark/>
          </w:tcPr>
          <w:p w14:paraId="6BA24CD3"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4C6A32D7"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Mixed forest</w:t>
            </w:r>
          </w:p>
        </w:tc>
      </w:tr>
      <w:tr w:rsidR="002026B6" w:rsidRPr="00A141D2" w14:paraId="484AB33C" w14:textId="77777777" w:rsidTr="00086520">
        <w:trPr>
          <w:trHeight w:val="552"/>
          <w:jc w:val="center"/>
        </w:trPr>
        <w:tc>
          <w:tcPr>
            <w:tcW w:w="1231" w:type="dxa"/>
            <w:tcBorders>
              <w:top w:val="nil"/>
              <w:left w:val="nil"/>
              <w:bottom w:val="nil"/>
              <w:right w:val="nil"/>
            </w:tcBorders>
            <w:shd w:val="clear" w:color="auto" w:fill="auto"/>
            <w:hideMark/>
          </w:tcPr>
          <w:p w14:paraId="5D61DB9B"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Agriculture</w:t>
            </w:r>
          </w:p>
        </w:tc>
        <w:tc>
          <w:tcPr>
            <w:tcW w:w="3129" w:type="dxa"/>
            <w:tcBorders>
              <w:top w:val="nil"/>
              <w:left w:val="nil"/>
              <w:bottom w:val="nil"/>
              <w:right w:val="nil"/>
            </w:tcBorders>
            <w:shd w:val="clear" w:color="auto" w:fill="auto"/>
            <w:hideMark/>
          </w:tcPr>
          <w:p w14:paraId="0E32A759"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Non irrigated arable land</w:t>
            </w:r>
          </w:p>
        </w:tc>
      </w:tr>
      <w:tr w:rsidR="002026B6" w:rsidRPr="00A141D2" w14:paraId="123EE763" w14:textId="77777777" w:rsidTr="00086520">
        <w:trPr>
          <w:trHeight w:val="288"/>
          <w:jc w:val="center"/>
        </w:trPr>
        <w:tc>
          <w:tcPr>
            <w:tcW w:w="1231" w:type="dxa"/>
            <w:tcBorders>
              <w:top w:val="nil"/>
              <w:left w:val="nil"/>
              <w:bottom w:val="nil"/>
              <w:right w:val="nil"/>
            </w:tcBorders>
            <w:shd w:val="clear" w:color="auto" w:fill="auto"/>
            <w:hideMark/>
          </w:tcPr>
          <w:p w14:paraId="74CADD96"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25A3A6B3"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Permanently irrigated land</w:t>
            </w:r>
          </w:p>
        </w:tc>
      </w:tr>
      <w:tr w:rsidR="002026B6" w:rsidRPr="00A141D2" w14:paraId="38DE1D38" w14:textId="77777777" w:rsidTr="00086520">
        <w:trPr>
          <w:trHeight w:val="288"/>
          <w:jc w:val="center"/>
        </w:trPr>
        <w:tc>
          <w:tcPr>
            <w:tcW w:w="1231" w:type="dxa"/>
            <w:tcBorders>
              <w:top w:val="nil"/>
              <w:left w:val="nil"/>
              <w:bottom w:val="nil"/>
              <w:right w:val="nil"/>
            </w:tcBorders>
            <w:shd w:val="clear" w:color="auto" w:fill="auto"/>
            <w:hideMark/>
          </w:tcPr>
          <w:p w14:paraId="123F89F3"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2A9BDF9C"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Rice fields</w:t>
            </w:r>
          </w:p>
        </w:tc>
      </w:tr>
      <w:tr w:rsidR="002026B6" w:rsidRPr="00A141D2" w14:paraId="5C10BFC4" w14:textId="77777777" w:rsidTr="00086520">
        <w:trPr>
          <w:trHeight w:val="288"/>
          <w:jc w:val="center"/>
        </w:trPr>
        <w:tc>
          <w:tcPr>
            <w:tcW w:w="1231" w:type="dxa"/>
            <w:tcBorders>
              <w:top w:val="nil"/>
              <w:left w:val="nil"/>
              <w:bottom w:val="nil"/>
              <w:right w:val="nil"/>
            </w:tcBorders>
            <w:shd w:val="clear" w:color="auto" w:fill="auto"/>
            <w:hideMark/>
          </w:tcPr>
          <w:p w14:paraId="3C13B400"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5AED48DA"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Vineyards</w:t>
            </w:r>
          </w:p>
        </w:tc>
      </w:tr>
      <w:tr w:rsidR="002026B6" w:rsidRPr="00A141D2" w14:paraId="6CA0F777" w14:textId="77777777" w:rsidTr="00086520">
        <w:trPr>
          <w:trHeight w:val="288"/>
          <w:jc w:val="center"/>
        </w:trPr>
        <w:tc>
          <w:tcPr>
            <w:tcW w:w="1231" w:type="dxa"/>
            <w:tcBorders>
              <w:top w:val="nil"/>
              <w:left w:val="nil"/>
              <w:bottom w:val="nil"/>
              <w:right w:val="nil"/>
            </w:tcBorders>
            <w:shd w:val="clear" w:color="auto" w:fill="auto"/>
            <w:hideMark/>
          </w:tcPr>
          <w:p w14:paraId="0999A39D"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6626769B"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Fruit trees and berry plantations</w:t>
            </w:r>
          </w:p>
        </w:tc>
      </w:tr>
      <w:tr w:rsidR="002026B6" w:rsidRPr="00A141D2" w14:paraId="79FEC4AE" w14:textId="77777777" w:rsidTr="00086520">
        <w:trPr>
          <w:trHeight w:val="288"/>
          <w:jc w:val="center"/>
        </w:trPr>
        <w:tc>
          <w:tcPr>
            <w:tcW w:w="1231" w:type="dxa"/>
            <w:tcBorders>
              <w:top w:val="nil"/>
              <w:left w:val="nil"/>
              <w:bottom w:val="nil"/>
              <w:right w:val="nil"/>
            </w:tcBorders>
            <w:shd w:val="clear" w:color="auto" w:fill="auto"/>
            <w:hideMark/>
          </w:tcPr>
          <w:p w14:paraId="7642844B"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70DA1905"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Olive groves</w:t>
            </w:r>
          </w:p>
        </w:tc>
      </w:tr>
      <w:tr w:rsidR="002026B6" w:rsidRPr="00A141D2" w14:paraId="3CFF4A42" w14:textId="77777777" w:rsidTr="00086520">
        <w:trPr>
          <w:trHeight w:val="288"/>
          <w:jc w:val="center"/>
        </w:trPr>
        <w:tc>
          <w:tcPr>
            <w:tcW w:w="1231" w:type="dxa"/>
            <w:tcBorders>
              <w:top w:val="nil"/>
              <w:left w:val="nil"/>
              <w:bottom w:val="nil"/>
              <w:right w:val="nil"/>
            </w:tcBorders>
            <w:shd w:val="clear" w:color="auto" w:fill="auto"/>
            <w:hideMark/>
          </w:tcPr>
          <w:p w14:paraId="3DCC4EC2"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61F63294"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Pastures</w:t>
            </w:r>
          </w:p>
        </w:tc>
      </w:tr>
      <w:tr w:rsidR="002026B6" w:rsidRPr="00A141D2" w14:paraId="49BE5E56" w14:textId="77777777" w:rsidTr="00086520">
        <w:trPr>
          <w:trHeight w:val="552"/>
          <w:jc w:val="center"/>
        </w:trPr>
        <w:tc>
          <w:tcPr>
            <w:tcW w:w="1231" w:type="dxa"/>
            <w:tcBorders>
              <w:top w:val="nil"/>
              <w:left w:val="nil"/>
              <w:bottom w:val="nil"/>
              <w:right w:val="nil"/>
            </w:tcBorders>
            <w:shd w:val="clear" w:color="auto" w:fill="auto"/>
            <w:hideMark/>
          </w:tcPr>
          <w:p w14:paraId="28D08E6F"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63F50499"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 xml:space="preserve">Annual crops associated with permanent crops </w:t>
            </w:r>
          </w:p>
        </w:tc>
      </w:tr>
      <w:tr w:rsidR="002026B6" w:rsidRPr="00A141D2" w14:paraId="703EC332" w14:textId="77777777" w:rsidTr="00086520">
        <w:trPr>
          <w:trHeight w:val="288"/>
          <w:jc w:val="center"/>
        </w:trPr>
        <w:tc>
          <w:tcPr>
            <w:tcW w:w="1231" w:type="dxa"/>
            <w:tcBorders>
              <w:top w:val="nil"/>
              <w:left w:val="nil"/>
              <w:bottom w:val="nil"/>
              <w:right w:val="nil"/>
            </w:tcBorders>
            <w:shd w:val="clear" w:color="auto" w:fill="auto"/>
            <w:hideMark/>
          </w:tcPr>
          <w:p w14:paraId="2735F3A4" w14:textId="77777777" w:rsidR="002026B6" w:rsidRPr="00A141D2" w:rsidRDefault="002026B6" w:rsidP="00086520">
            <w:pPr>
              <w:rPr>
                <w:rFonts w:eastAsia="Times New Roman"/>
                <w:color w:val="000000"/>
                <w:sz w:val="18"/>
                <w:szCs w:val="16"/>
                <w:lang w:val="en-GB" w:eastAsia="en-GB"/>
              </w:rPr>
            </w:pPr>
          </w:p>
        </w:tc>
        <w:tc>
          <w:tcPr>
            <w:tcW w:w="3129" w:type="dxa"/>
            <w:tcBorders>
              <w:top w:val="nil"/>
              <w:left w:val="nil"/>
              <w:bottom w:val="nil"/>
              <w:right w:val="nil"/>
            </w:tcBorders>
            <w:shd w:val="clear" w:color="auto" w:fill="auto"/>
            <w:hideMark/>
          </w:tcPr>
          <w:p w14:paraId="5BD0B1B8"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 xml:space="preserve"> Complex cultivation patterns</w:t>
            </w:r>
          </w:p>
        </w:tc>
      </w:tr>
      <w:tr w:rsidR="002026B6" w:rsidRPr="00A141D2" w14:paraId="6A933DA3" w14:textId="77777777" w:rsidTr="00086520">
        <w:trPr>
          <w:trHeight w:val="564"/>
          <w:jc w:val="center"/>
        </w:trPr>
        <w:tc>
          <w:tcPr>
            <w:tcW w:w="1231" w:type="dxa"/>
            <w:tcBorders>
              <w:top w:val="nil"/>
              <w:left w:val="nil"/>
              <w:bottom w:val="double" w:sz="6" w:space="0" w:color="auto"/>
              <w:right w:val="nil"/>
            </w:tcBorders>
            <w:shd w:val="clear" w:color="auto" w:fill="auto"/>
            <w:hideMark/>
          </w:tcPr>
          <w:p w14:paraId="32D34FD3"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 </w:t>
            </w:r>
          </w:p>
        </w:tc>
        <w:tc>
          <w:tcPr>
            <w:tcW w:w="3129" w:type="dxa"/>
            <w:tcBorders>
              <w:top w:val="nil"/>
              <w:left w:val="nil"/>
              <w:bottom w:val="double" w:sz="6" w:space="0" w:color="auto"/>
              <w:right w:val="nil"/>
            </w:tcBorders>
            <w:shd w:val="clear" w:color="auto" w:fill="auto"/>
            <w:hideMark/>
          </w:tcPr>
          <w:p w14:paraId="6FAA1276" w14:textId="77777777" w:rsidR="002026B6" w:rsidRPr="00A141D2" w:rsidRDefault="002026B6" w:rsidP="00086520">
            <w:pPr>
              <w:rPr>
                <w:rFonts w:eastAsia="Times New Roman"/>
                <w:color w:val="000000"/>
                <w:sz w:val="18"/>
                <w:szCs w:val="16"/>
                <w:lang w:val="en-GB" w:eastAsia="en-GB"/>
              </w:rPr>
            </w:pPr>
            <w:r w:rsidRPr="00A141D2">
              <w:rPr>
                <w:rFonts w:eastAsia="Times New Roman"/>
                <w:color w:val="000000"/>
                <w:sz w:val="18"/>
                <w:szCs w:val="16"/>
                <w:lang w:val="en-GB" w:eastAsia="en-GB"/>
              </w:rPr>
              <w:t>Land principally occupied by agriculture</w:t>
            </w:r>
          </w:p>
        </w:tc>
      </w:tr>
    </w:tbl>
    <w:p w14:paraId="2DB09153" w14:textId="77777777" w:rsidR="002026B6" w:rsidRPr="00A141D2" w:rsidRDefault="002026B6" w:rsidP="002026B6">
      <w:pPr>
        <w:rPr>
          <w:sz w:val="20"/>
          <w:szCs w:val="16"/>
          <w:lang w:val="en-GB"/>
        </w:rPr>
      </w:pPr>
    </w:p>
    <w:p w14:paraId="69C3E156" w14:textId="4F5922EC" w:rsidR="002026B6" w:rsidRPr="00A141D2" w:rsidRDefault="002026B6" w:rsidP="004D5427">
      <w:pPr>
        <w:pStyle w:val="Caption"/>
        <w:jc w:val="left"/>
        <w:rPr>
          <w:lang w:val="en-GB"/>
        </w:rPr>
      </w:pPr>
      <w:r w:rsidRPr="00A141D2">
        <w:rPr>
          <w:b/>
          <w:bCs/>
          <w:lang w:val="en-GB"/>
        </w:rPr>
        <w:t xml:space="preserve">Table </w:t>
      </w:r>
      <w:r w:rsidR="003F5F3A" w:rsidRPr="00A141D2">
        <w:rPr>
          <w:b/>
          <w:bCs/>
          <w:lang w:val="en-GB"/>
        </w:rPr>
        <w:t>C</w:t>
      </w:r>
      <w:r w:rsidRPr="00A141D2">
        <w:rPr>
          <w:b/>
          <w:bCs/>
          <w:lang w:val="en-GB"/>
        </w:rPr>
        <w:t>.</w:t>
      </w:r>
      <w:r w:rsidR="004A16A7" w:rsidRPr="00A141D2">
        <w:rPr>
          <w:b/>
          <w:bCs/>
          <w:lang w:val="en-GB"/>
        </w:rPr>
        <w:t>2</w:t>
      </w:r>
      <w:r w:rsidRPr="00A141D2">
        <w:rPr>
          <w:lang w:val="en-GB"/>
        </w:rPr>
        <w:t>: classification of building footprints based on OSM and LUISA data</w:t>
      </w:r>
    </w:p>
    <w:tbl>
      <w:tblPr>
        <w:tblW w:w="8667" w:type="dxa"/>
        <w:jc w:val="center"/>
        <w:tblLook w:val="04A0" w:firstRow="1" w:lastRow="0" w:firstColumn="1" w:lastColumn="0" w:noHBand="0" w:noVBand="1"/>
      </w:tblPr>
      <w:tblGrid>
        <w:gridCol w:w="1560"/>
        <w:gridCol w:w="4107"/>
        <w:gridCol w:w="1540"/>
        <w:gridCol w:w="1460"/>
      </w:tblGrid>
      <w:tr w:rsidR="002026B6" w:rsidRPr="00A141D2" w14:paraId="545C9E31" w14:textId="77777777" w:rsidTr="00086520">
        <w:trPr>
          <w:trHeight w:val="300"/>
          <w:jc w:val="center"/>
        </w:trPr>
        <w:tc>
          <w:tcPr>
            <w:tcW w:w="1560" w:type="dxa"/>
            <w:tcBorders>
              <w:top w:val="single" w:sz="4" w:space="0" w:color="auto"/>
              <w:left w:val="nil"/>
              <w:bottom w:val="double" w:sz="6" w:space="0" w:color="auto"/>
              <w:right w:val="nil"/>
            </w:tcBorders>
            <w:shd w:val="clear" w:color="auto" w:fill="auto"/>
            <w:vAlign w:val="center"/>
          </w:tcPr>
          <w:p w14:paraId="1AA88553" w14:textId="77777777" w:rsidR="002026B6" w:rsidRPr="00A141D2" w:rsidRDefault="002026B6" w:rsidP="00086520">
            <w:pPr>
              <w:rPr>
                <w:rFonts w:eastAsia="Times New Roman" w:cs="Calibri"/>
                <w:color w:val="000000"/>
                <w:sz w:val="18"/>
                <w:szCs w:val="16"/>
                <w:lang w:val="en-GB" w:eastAsia="en-GB"/>
              </w:rPr>
            </w:pPr>
            <w:r w:rsidRPr="00A141D2">
              <w:rPr>
                <w:rFonts w:cs="Calibri"/>
                <w:color w:val="000000"/>
                <w:sz w:val="18"/>
                <w:szCs w:val="16"/>
                <w:lang w:val="en-GB"/>
              </w:rPr>
              <w:t>Assigned footprint class</w:t>
            </w:r>
          </w:p>
        </w:tc>
        <w:tc>
          <w:tcPr>
            <w:tcW w:w="4107" w:type="dxa"/>
            <w:tcBorders>
              <w:top w:val="single" w:sz="4" w:space="0" w:color="auto"/>
              <w:left w:val="nil"/>
              <w:bottom w:val="double" w:sz="6" w:space="0" w:color="auto"/>
              <w:right w:val="nil"/>
            </w:tcBorders>
            <w:shd w:val="clear" w:color="auto" w:fill="auto"/>
            <w:noWrap/>
            <w:vAlign w:val="center"/>
          </w:tcPr>
          <w:p w14:paraId="4E0F75E7" w14:textId="77777777" w:rsidR="002026B6" w:rsidRPr="00A141D2" w:rsidRDefault="002026B6" w:rsidP="00086520">
            <w:pPr>
              <w:rPr>
                <w:rFonts w:eastAsia="Times New Roman" w:cs="Calibri"/>
                <w:color w:val="000000"/>
                <w:sz w:val="18"/>
                <w:szCs w:val="16"/>
                <w:lang w:val="en-GB" w:eastAsia="en-GB"/>
              </w:rPr>
            </w:pPr>
            <w:r w:rsidRPr="00A141D2">
              <w:rPr>
                <w:rFonts w:cs="Calibri"/>
                <w:color w:val="000000"/>
                <w:sz w:val="18"/>
                <w:szCs w:val="16"/>
                <w:lang w:val="en-GB"/>
              </w:rPr>
              <w:t>LUISA</w:t>
            </w:r>
          </w:p>
        </w:tc>
        <w:tc>
          <w:tcPr>
            <w:tcW w:w="1540" w:type="dxa"/>
            <w:tcBorders>
              <w:top w:val="single" w:sz="4" w:space="0" w:color="auto"/>
              <w:left w:val="nil"/>
              <w:bottom w:val="double" w:sz="6" w:space="0" w:color="auto"/>
              <w:right w:val="nil"/>
            </w:tcBorders>
            <w:shd w:val="clear" w:color="auto" w:fill="auto"/>
            <w:noWrap/>
            <w:vAlign w:val="center"/>
          </w:tcPr>
          <w:p w14:paraId="422AF3F6" w14:textId="77777777" w:rsidR="002026B6" w:rsidRPr="00A141D2" w:rsidRDefault="002026B6" w:rsidP="00086520">
            <w:pPr>
              <w:rPr>
                <w:rFonts w:eastAsia="Times New Roman" w:cs="Calibri"/>
                <w:color w:val="000000"/>
                <w:sz w:val="18"/>
                <w:szCs w:val="16"/>
                <w:lang w:val="en-GB" w:eastAsia="en-GB"/>
              </w:rPr>
            </w:pPr>
            <w:r w:rsidRPr="00A141D2">
              <w:rPr>
                <w:rFonts w:cs="Calibri"/>
                <w:color w:val="000000"/>
                <w:sz w:val="18"/>
                <w:szCs w:val="16"/>
                <w:lang w:val="en-GB"/>
              </w:rPr>
              <w:t>OSM Landuse</w:t>
            </w:r>
          </w:p>
        </w:tc>
        <w:tc>
          <w:tcPr>
            <w:tcW w:w="1460" w:type="dxa"/>
            <w:tcBorders>
              <w:top w:val="single" w:sz="4" w:space="0" w:color="auto"/>
              <w:left w:val="nil"/>
              <w:bottom w:val="double" w:sz="6" w:space="0" w:color="auto"/>
              <w:right w:val="nil"/>
            </w:tcBorders>
            <w:shd w:val="clear" w:color="auto" w:fill="auto"/>
            <w:vAlign w:val="center"/>
          </w:tcPr>
          <w:p w14:paraId="04DE046E" w14:textId="77777777" w:rsidR="002026B6" w:rsidRPr="00A141D2" w:rsidRDefault="002026B6" w:rsidP="00086520">
            <w:pPr>
              <w:rPr>
                <w:rFonts w:eastAsia="Times New Roman" w:cs="Calibri"/>
                <w:color w:val="000000"/>
                <w:sz w:val="18"/>
                <w:szCs w:val="16"/>
                <w:lang w:val="en-GB" w:eastAsia="en-GB"/>
              </w:rPr>
            </w:pPr>
            <w:r w:rsidRPr="00A141D2">
              <w:rPr>
                <w:rFonts w:cs="Calibri"/>
                <w:color w:val="000000"/>
                <w:sz w:val="18"/>
                <w:szCs w:val="16"/>
                <w:lang w:val="en-GB"/>
              </w:rPr>
              <w:t>OSM Amenities</w:t>
            </w:r>
          </w:p>
        </w:tc>
      </w:tr>
      <w:tr w:rsidR="002026B6" w:rsidRPr="00A141D2" w14:paraId="3B771F69" w14:textId="77777777" w:rsidTr="00086520">
        <w:trPr>
          <w:trHeight w:val="300"/>
          <w:jc w:val="center"/>
        </w:trPr>
        <w:tc>
          <w:tcPr>
            <w:tcW w:w="1560" w:type="dxa"/>
            <w:tcBorders>
              <w:top w:val="nil"/>
              <w:left w:val="nil"/>
              <w:bottom w:val="nil"/>
              <w:right w:val="nil"/>
            </w:tcBorders>
            <w:shd w:val="clear" w:color="auto" w:fill="auto"/>
            <w:noWrap/>
            <w:vAlign w:val="bottom"/>
            <w:hideMark/>
          </w:tcPr>
          <w:p w14:paraId="002D9A6B"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Industrial</w:t>
            </w:r>
          </w:p>
        </w:tc>
        <w:tc>
          <w:tcPr>
            <w:tcW w:w="4107" w:type="dxa"/>
            <w:tcBorders>
              <w:top w:val="nil"/>
              <w:left w:val="nil"/>
              <w:bottom w:val="nil"/>
              <w:right w:val="nil"/>
            </w:tcBorders>
            <w:shd w:val="clear" w:color="auto" w:fill="auto"/>
            <w:noWrap/>
            <w:vAlign w:val="bottom"/>
            <w:hideMark/>
          </w:tcPr>
          <w:p w14:paraId="70899B76"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Industrial or commercial units</w:t>
            </w:r>
          </w:p>
        </w:tc>
        <w:tc>
          <w:tcPr>
            <w:tcW w:w="1540" w:type="dxa"/>
            <w:tcBorders>
              <w:top w:val="nil"/>
              <w:left w:val="nil"/>
              <w:bottom w:val="nil"/>
              <w:right w:val="nil"/>
            </w:tcBorders>
            <w:shd w:val="clear" w:color="auto" w:fill="auto"/>
            <w:noWrap/>
            <w:vAlign w:val="bottom"/>
            <w:hideMark/>
          </w:tcPr>
          <w:p w14:paraId="6A1DFE98"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industrial</w:t>
            </w:r>
          </w:p>
        </w:tc>
        <w:tc>
          <w:tcPr>
            <w:tcW w:w="1460" w:type="dxa"/>
            <w:tcBorders>
              <w:top w:val="nil"/>
              <w:left w:val="nil"/>
              <w:bottom w:val="nil"/>
              <w:right w:val="nil"/>
            </w:tcBorders>
            <w:shd w:val="clear" w:color="auto" w:fill="auto"/>
            <w:noWrap/>
            <w:vAlign w:val="bottom"/>
            <w:hideMark/>
          </w:tcPr>
          <w:p w14:paraId="1BBCF7B2"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industrial</w:t>
            </w:r>
          </w:p>
        </w:tc>
      </w:tr>
      <w:tr w:rsidR="002026B6" w:rsidRPr="00A141D2" w14:paraId="17CE4AE0"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63FCDE60"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6EC03E7"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Road and rail networks and associated land</w:t>
            </w:r>
          </w:p>
        </w:tc>
        <w:tc>
          <w:tcPr>
            <w:tcW w:w="1540" w:type="dxa"/>
            <w:tcBorders>
              <w:top w:val="nil"/>
              <w:left w:val="nil"/>
              <w:bottom w:val="nil"/>
              <w:right w:val="nil"/>
            </w:tcBorders>
            <w:shd w:val="clear" w:color="auto" w:fill="auto"/>
            <w:noWrap/>
            <w:vAlign w:val="bottom"/>
            <w:hideMark/>
          </w:tcPr>
          <w:p w14:paraId="575EBEDC"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construction</w:t>
            </w:r>
          </w:p>
        </w:tc>
        <w:tc>
          <w:tcPr>
            <w:tcW w:w="1460" w:type="dxa"/>
            <w:tcBorders>
              <w:top w:val="nil"/>
              <w:left w:val="nil"/>
              <w:bottom w:val="nil"/>
              <w:right w:val="nil"/>
            </w:tcBorders>
            <w:shd w:val="clear" w:color="auto" w:fill="auto"/>
            <w:noWrap/>
            <w:vAlign w:val="bottom"/>
            <w:hideMark/>
          </w:tcPr>
          <w:p w14:paraId="68CCE732"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construction</w:t>
            </w:r>
          </w:p>
        </w:tc>
      </w:tr>
      <w:tr w:rsidR="002026B6" w:rsidRPr="00A141D2" w14:paraId="5E242A1B"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601B2174"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0BDF542F"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Major stations</w:t>
            </w:r>
          </w:p>
        </w:tc>
        <w:tc>
          <w:tcPr>
            <w:tcW w:w="1540" w:type="dxa"/>
            <w:tcBorders>
              <w:top w:val="nil"/>
              <w:left w:val="nil"/>
              <w:bottom w:val="nil"/>
              <w:right w:val="nil"/>
            </w:tcBorders>
            <w:shd w:val="clear" w:color="auto" w:fill="auto"/>
            <w:noWrap/>
            <w:vAlign w:val="bottom"/>
            <w:hideMark/>
          </w:tcPr>
          <w:p w14:paraId="11AD37EA"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military</w:t>
            </w:r>
          </w:p>
        </w:tc>
        <w:tc>
          <w:tcPr>
            <w:tcW w:w="1460" w:type="dxa"/>
            <w:tcBorders>
              <w:top w:val="nil"/>
              <w:left w:val="nil"/>
              <w:bottom w:val="nil"/>
              <w:right w:val="nil"/>
            </w:tcBorders>
            <w:shd w:val="clear" w:color="auto" w:fill="auto"/>
            <w:noWrap/>
            <w:vAlign w:val="bottom"/>
            <w:hideMark/>
          </w:tcPr>
          <w:p w14:paraId="3D46BF42"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military</w:t>
            </w:r>
          </w:p>
        </w:tc>
      </w:tr>
      <w:tr w:rsidR="002026B6" w:rsidRPr="00A141D2" w14:paraId="7D7E3AE3"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2C703390"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6776E869"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Port areas</w:t>
            </w:r>
          </w:p>
        </w:tc>
        <w:tc>
          <w:tcPr>
            <w:tcW w:w="1540" w:type="dxa"/>
            <w:tcBorders>
              <w:top w:val="nil"/>
              <w:left w:val="nil"/>
              <w:bottom w:val="nil"/>
              <w:right w:val="nil"/>
            </w:tcBorders>
            <w:shd w:val="clear" w:color="auto" w:fill="auto"/>
            <w:noWrap/>
            <w:vAlign w:val="bottom"/>
            <w:hideMark/>
          </w:tcPr>
          <w:p w14:paraId="57BF00D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quarry</w:t>
            </w:r>
          </w:p>
        </w:tc>
        <w:tc>
          <w:tcPr>
            <w:tcW w:w="1460" w:type="dxa"/>
            <w:tcBorders>
              <w:top w:val="nil"/>
              <w:left w:val="nil"/>
              <w:bottom w:val="nil"/>
              <w:right w:val="nil"/>
            </w:tcBorders>
            <w:shd w:val="clear" w:color="auto" w:fill="auto"/>
            <w:noWrap/>
            <w:vAlign w:val="bottom"/>
            <w:hideMark/>
          </w:tcPr>
          <w:p w14:paraId="558F821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quarry</w:t>
            </w:r>
          </w:p>
        </w:tc>
      </w:tr>
      <w:tr w:rsidR="002026B6" w:rsidRPr="00A141D2" w14:paraId="1627DA4A"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6EA61FCE"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61F2016"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Airport areas</w:t>
            </w:r>
          </w:p>
        </w:tc>
        <w:tc>
          <w:tcPr>
            <w:tcW w:w="1540" w:type="dxa"/>
            <w:tcBorders>
              <w:top w:val="nil"/>
              <w:left w:val="nil"/>
              <w:bottom w:val="nil"/>
              <w:right w:val="nil"/>
            </w:tcBorders>
            <w:shd w:val="clear" w:color="auto" w:fill="auto"/>
            <w:noWrap/>
            <w:vAlign w:val="bottom"/>
            <w:hideMark/>
          </w:tcPr>
          <w:p w14:paraId="231EEEBF"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railway</w:t>
            </w:r>
          </w:p>
        </w:tc>
        <w:tc>
          <w:tcPr>
            <w:tcW w:w="1460" w:type="dxa"/>
            <w:tcBorders>
              <w:top w:val="nil"/>
              <w:left w:val="nil"/>
              <w:bottom w:val="nil"/>
              <w:right w:val="nil"/>
            </w:tcBorders>
            <w:shd w:val="clear" w:color="auto" w:fill="auto"/>
            <w:noWrap/>
            <w:vAlign w:val="bottom"/>
            <w:hideMark/>
          </w:tcPr>
          <w:p w14:paraId="74B9C78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railway</w:t>
            </w:r>
          </w:p>
        </w:tc>
      </w:tr>
      <w:tr w:rsidR="002026B6" w:rsidRPr="00A141D2" w14:paraId="548992FE"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11EDF95D"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1842C44"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Airport terminals</w:t>
            </w:r>
          </w:p>
        </w:tc>
        <w:tc>
          <w:tcPr>
            <w:tcW w:w="1540" w:type="dxa"/>
            <w:tcBorders>
              <w:top w:val="nil"/>
              <w:left w:val="nil"/>
              <w:bottom w:val="nil"/>
              <w:right w:val="nil"/>
            </w:tcBorders>
            <w:shd w:val="clear" w:color="auto" w:fill="auto"/>
            <w:noWrap/>
            <w:vAlign w:val="bottom"/>
            <w:hideMark/>
          </w:tcPr>
          <w:p w14:paraId="76A3117B"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barn</w:t>
            </w:r>
          </w:p>
        </w:tc>
        <w:tc>
          <w:tcPr>
            <w:tcW w:w="1460" w:type="dxa"/>
            <w:tcBorders>
              <w:top w:val="nil"/>
              <w:left w:val="nil"/>
              <w:bottom w:val="nil"/>
              <w:right w:val="nil"/>
            </w:tcBorders>
            <w:shd w:val="clear" w:color="auto" w:fill="auto"/>
            <w:noWrap/>
            <w:vAlign w:val="bottom"/>
            <w:hideMark/>
          </w:tcPr>
          <w:p w14:paraId="68E2815C"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barn</w:t>
            </w:r>
          </w:p>
        </w:tc>
      </w:tr>
      <w:tr w:rsidR="002026B6" w:rsidRPr="00A141D2" w14:paraId="7F45FD74"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3CD8FBAE"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6B3C212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Mineral extraction sites</w:t>
            </w:r>
          </w:p>
        </w:tc>
        <w:tc>
          <w:tcPr>
            <w:tcW w:w="1540" w:type="dxa"/>
            <w:tcBorders>
              <w:top w:val="nil"/>
              <w:left w:val="nil"/>
              <w:bottom w:val="nil"/>
              <w:right w:val="nil"/>
            </w:tcBorders>
            <w:shd w:val="clear" w:color="auto" w:fill="auto"/>
            <w:noWrap/>
            <w:vAlign w:val="bottom"/>
            <w:hideMark/>
          </w:tcPr>
          <w:p w14:paraId="7CD06799"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greenhouse</w:t>
            </w:r>
          </w:p>
        </w:tc>
        <w:tc>
          <w:tcPr>
            <w:tcW w:w="1460" w:type="dxa"/>
            <w:tcBorders>
              <w:top w:val="nil"/>
              <w:left w:val="nil"/>
              <w:bottom w:val="nil"/>
              <w:right w:val="nil"/>
            </w:tcBorders>
            <w:shd w:val="clear" w:color="auto" w:fill="auto"/>
            <w:noWrap/>
            <w:vAlign w:val="bottom"/>
            <w:hideMark/>
          </w:tcPr>
          <w:p w14:paraId="62234CCB"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greenhouse</w:t>
            </w:r>
          </w:p>
        </w:tc>
      </w:tr>
      <w:tr w:rsidR="002026B6" w:rsidRPr="00A141D2" w14:paraId="27DDCE7A"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3B19590E"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567A491F"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Dump sites</w:t>
            </w:r>
          </w:p>
        </w:tc>
        <w:tc>
          <w:tcPr>
            <w:tcW w:w="1540" w:type="dxa"/>
            <w:tcBorders>
              <w:top w:val="nil"/>
              <w:left w:val="nil"/>
              <w:bottom w:val="nil"/>
              <w:right w:val="nil"/>
            </w:tcBorders>
            <w:shd w:val="clear" w:color="auto" w:fill="auto"/>
            <w:noWrap/>
            <w:vAlign w:val="bottom"/>
            <w:hideMark/>
          </w:tcPr>
          <w:p w14:paraId="2C541EB4"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hangar</w:t>
            </w:r>
          </w:p>
        </w:tc>
        <w:tc>
          <w:tcPr>
            <w:tcW w:w="1460" w:type="dxa"/>
            <w:tcBorders>
              <w:top w:val="nil"/>
              <w:left w:val="nil"/>
              <w:bottom w:val="nil"/>
              <w:right w:val="nil"/>
            </w:tcBorders>
            <w:shd w:val="clear" w:color="auto" w:fill="auto"/>
            <w:noWrap/>
            <w:vAlign w:val="bottom"/>
            <w:hideMark/>
          </w:tcPr>
          <w:p w14:paraId="322A9D3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hangar</w:t>
            </w:r>
          </w:p>
        </w:tc>
      </w:tr>
      <w:tr w:rsidR="002026B6" w:rsidRPr="00A141D2" w14:paraId="3B47CD8A"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0346D818"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4FDCC5EB"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Construction sites</w:t>
            </w:r>
          </w:p>
        </w:tc>
        <w:tc>
          <w:tcPr>
            <w:tcW w:w="1540" w:type="dxa"/>
            <w:tcBorders>
              <w:top w:val="nil"/>
              <w:left w:val="nil"/>
              <w:bottom w:val="nil"/>
              <w:right w:val="nil"/>
            </w:tcBorders>
            <w:shd w:val="clear" w:color="auto" w:fill="auto"/>
            <w:noWrap/>
            <w:vAlign w:val="bottom"/>
            <w:hideMark/>
          </w:tcPr>
          <w:p w14:paraId="63A1A0DD"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garages</w:t>
            </w:r>
          </w:p>
        </w:tc>
        <w:tc>
          <w:tcPr>
            <w:tcW w:w="1460" w:type="dxa"/>
            <w:tcBorders>
              <w:top w:val="nil"/>
              <w:left w:val="nil"/>
              <w:bottom w:val="nil"/>
              <w:right w:val="nil"/>
            </w:tcBorders>
            <w:shd w:val="clear" w:color="auto" w:fill="auto"/>
            <w:noWrap/>
            <w:vAlign w:val="bottom"/>
            <w:hideMark/>
          </w:tcPr>
          <w:p w14:paraId="4AA51C9F"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garages</w:t>
            </w:r>
          </w:p>
        </w:tc>
      </w:tr>
      <w:tr w:rsidR="002026B6" w:rsidRPr="00A141D2" w14:paraId="7B0C4C81"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4CA4EF7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Commercial</w:t>
            </w:r>
          </w:p>
        </w:tc>
        <w:tc>
          <w:tcPr>
            <w:tcW w:w="4107" w:type="dxa"/>
            <w:tcBorders>
              <w:top w:val="nil"/>
              <w:left w:val="nil"/>
              <w:bottom w:val="nil"/>
              <w:right w:val="nil"/>
            </w:tcBorders>
            <w:shd w:val="clear" w:color="auto" w:fill="auto"/>
            <w:noWrap/>
            <w:vAlign w:val="bottom"/>
            <w:hideMark/>
          </w:tcPr>
          <w:p w14:paraId="6E828063" w14:textId="77777777" w:rsidR="002026B6" w:rsidRPr="00A141D2" w:rsidRDefault="002026B6" w:rsidP="00086520">
            <w:pPr>
              <w:rPr>
                <w:rFonts w:eastAsia="Times New Roman" w:cs="Calibri"/>
                <w:color w:val="000000"/>
                <w:sz w:val="18"/>
                <w:szCs w:val="16"/>
                <w:lang w:val="en-GB" w:eastAsia="en-GB"/>
              </w:rPr>
            </w:pPr>
          </w:p>
        </w:tc>
        <w:tc>
          <w:tcPr>
            <w:tcW w:w="1540" w:type="dxa"/>
            <w:tcBorders>
              <w:top w:val="nil"/>
              <w:left w:val="nil"/>
              <w:bottom w:val="nil"/>
              <w:right w:val="nil"/>
            </w:tcBorders>
            <w:shd w:val="clear" w:color="auto" w:fill="auto"/>
            <w:noWrap/>
            <w:vAlign w:val="bottom"/>
            <w:hideMark/>
          </w:tcPr>
          <w:p w14:paraId="1F845AF7"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church</w:t>
            </w:r>
          </w:p>
        </w:tc>
        <w:tc>
          <w:tcPr>
            <w:tcW w:w="1460" w:type="dxa"/>
            <w:tcBorders>
              <w:top w:val="nil"/>
              <w:left w:val="nil"/>
              <w:bottom w:val="nil"/>
              <w:right w:val="nil"/>
            </w:tcBorders>
            <w:shd w:val="clear" w:color="auto" w:fill="auto"/>
            <w:noWrap/>
            <w:vAlign w:val="bottom"/>
            <w:hideMark/>
          </w:tcPr>
          <w:p w14:paraId="33A27918"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church</w:t>
            </w:r>
          </w:p>
        </w:tc>
      </w:tr>
      <w:tr w:rsidR="002026B6" w:rsidRPr="00A141D2" w14:paraId="012ECF60"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21DFF94F"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286C1CB3"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5695C01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commercial</w:t>
            </w:r>
          </w:p>
        </w:tc>
        <w:tc>
          <w:tcPr>
            <w:tcW w:w="1460" w:type="dxa"/>
            <w:tcBorders>
              <w:top w:val="nil"/>
              <w:left w:val="nil"/>
              <w:bottom w:val="nil"/>
              <w:right w:val="nil"/>
            </w:tcBorders>
            <w:shd w:val="clear" w:color="auto" w:fill="auto"/>
            <w:noWrap/>
            <w:vAlign w:val="bottom"/>
            <w:hideMark/>
          </w:tcPr>
          <w:p w14:paraId="49F6192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commercial</w:t>
            </w:r>
          </w:p>
        </w:tc>
      </w:tr>
      <w:tr w:rsidR="002026B6" w:rsidRPr="00A141D2" w14:paraId="783E973B"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7BD634D1"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63B536CD"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3A044C09"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hospital</w:t>
            </w:r>
          </w:p>
        </w:tc>
        <w:tc>
          <w:tcPr>
            <w:tcW w:w="1460" w:type="dxa"/>
            <w:tcBorders>
              <w:top w:val="nil"/>
              <w:left w:val="nil"/>
              <w:bottom w:val="nil"/>
              <w:right w:val="nil"/>
            </w:tcBorders>
            <w:shd w:val="clear" w:color="auto" w:fill="auto"/>
            <w:noWrap/>
            <w:vAlign w:val="bottom"/>
            <w:hideMark/>
          </w:tcPr>
          <w:p w14:paraId="51E5CEE2"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hospital</w:t>
            </w:r>
          </w:p>
        </w:tc>
      </w:tr>
      <w:tr w:rsidR="002026B6" w:rsidRPr="00A141D2" w14:paraId="627721BD"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143C9830"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3A736B0"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70E9E23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hotel</w:t>
            </w:r>
          </w:p>
        </w:tc>
        <w:tc>
          <w:tcPr>
            <w:tcW w:w="1460" w:type="dxa"/>
            <w:tcBorders>
              <w:top w:val="nil"/>
              <w:left w:val="nil"/>
              <w:bottom w:val="nil"/>
              <w:right w:val="nil"/>
            </w:tcBorders>
            <w:shd w:val="clear" w:color="auto" w:fill="auto"/>
            <w:noWrap/>
            <w:vAlign w:val="bottom"/>
            <w:hideMark/>
          </w:tcPr>
          <w:p w14:paraId="57974D2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hotel</w:t>
            </w:r>
          </w:p>
        </w:tc>
      </w:tr>
      <w:tr w:rsidR="002026B6" w:rsidRPr="00A141D2" w14:paraId="0947F143"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0F562A54"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7A283BF"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30A52F2C"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retail</w:t>
            </w:r>
          </w:p>
        </w:tc>
        <w:tc>
          <w:tcPr>
            <w:tcW w:w="1460" w:type="dxa"/>
            <w:tcBorders>
              <w:top w:val="nil"/>
              <w:left w:val="nil"/>
              <w:bottom w:val="nil"/>
              <w:right w:val="nil"/>
            </w:tcBorders>
            <w:shd w:val="clear" w:color="auto" w:fill="auto"/>
            <w:noWrap/>
            <w:vAlign w:val="bottom"/>
            <w:hideMark/>
          </w:tcPr>
          <w:p w14:paraId="4C0F7D5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retail</w:t>
            </w:r>
          </w:p>
        </w:tc>
      </w:tr>
      <w:tr w:rsidR="002026B6" w:rsidRPr="00A141D2" w14:paraId="46C66168"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27FF407A"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06595773"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2C7C831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school</w:t>
            </w:r>
          </w:p>
        </w:tc>
        <w:tc>
          <w:tcPr>
            <w:tcW w:w="1460" w:type="dxa"/>
            <w:tcBorders>
              <w:top w:val="nil"/>
              <w:left w:val="nil"/>
              <w:bottom w:val="nil"/>
              <w:right w:val="nil"/>
            </w:tcBorders>
            <w:shd w:val="clear" w:color="auto" w:fill="auto"/>
            <w:noWrap/>
            <w:vAlign w:val="bottom"/>
            <w:hideMark/>
          </w:tcPr>
          <w:p w14:paraId="3FBCBDB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school</w:t>
            </w:r>
          </w:p>
        </w:tc>
      </w:tr>
      <w:tr w:rsidR="002026B6" w:rsidRPr="00A141D2" w14:paraId="5270BB1F"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4393A367"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11F09158"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55049829"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service</w:t>
            </w:r>
          </w:p>
        </w:tc>
        <w:tc>
          <w:tcPr>
            <w:tcW w:w="1460" w:type="dxa"/>
            <w:tcBorders>
              <w:top w:val="nil"/>
              <w:left w:val="nil"/>
              <w:bottom w:val="nil"/>
              <w:right w:val="nil"/>
            </w:tcBorders>
            <w:shd w:val="clear" w:color="auto" w:fill="auto"/>
            <w:noWrap/>
            <w:vAlign w:val="bottom"/>
            <w:hideMark/>
          </w:tcPr>
          <w:p w14:paraId="2C4E49C4"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service</w:t>
            </w:r>
          </w:p>
        </w:tc>
      </w:tr>
      <w:tr w:rsidR="002026B6" w:rsidRPr="00A141D2" w14:paraId="6A31D356"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49C762B6"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0122C0C7"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2D4A51E9"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synagogue</w:t>
            </w:r>
          </w:p>
        </w:tc>
        <w:tc>
          <w:tcPr>
            <w:tcW w:w="1460" w:type="dxa"/>
            <w:tcBorders>
              <w:top w:val="nil"/>
              <w:left w:val="nil"/>
              <w:bottom w:val="nil"/>
              <w:right w:val="nil"/>
            </w:tcBorders>
            <w:shd w:val="clear" w:color="auto" w:fill="auto"/>
            <w:noWrap/>
            <w:vAlign w:val="bottom"/>
            <w:hideMark/>
          </w:tcPr>
          <w:p w14:paraId="1735134B"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synagogue</w:t>
            </w:r>
          </w:p>
        </w:tc>
      </w:tr>
      <w:tr w:rsidR="002026B6" w:rsidRPr="00A141D2" w14:paraId="13A61526"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14857D73"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602A4F7C"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5238366A"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university</w:t>
            </w:r>
          </w:p>
        </w:tc>
        <w:tc>
          <w:tcPr>
            <w:tcW w:w="1460" w:type="dxa"/>
            <w:tcBorders>
              <w:top w:val="nil"/>
              <w:left w:val="nil"/>
              <w:bottom w:val="nil"/>
              <w:right w:val="nil"/>
            </w:tcBorders>
            <w:shd w:val="clear" w:color="auto" w:fill="auto"/>
            <w:noWrap/>
            <w:vAlign w:val="bottom"/>
            <w:hideMark/>
          </w:tcPr>
          <w:p w14:paraId="518C6FB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university</w:t>
            </w:r>
          </w:p>
        </w:tc>
      </w:tr>
      <w:tr w:rsidR="002026B6" w:rsidRPr="00A141D2" w14:paraId="0E4716F6"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65861497"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63D0D120"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5CF3A48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supermarket</w:t>
            </w:r>
          </w:p>
        </w:tc>
        <w:tc>
          <w:tcPr>
            <w:tcW w:w="1460" w:type="dxa"/>
            <w:tcBorders>
              <w:top w:val="nil"/>
              <w:left w:val="nil"/>
              <w:bottom w:val="nil"/>
              <w:right w:val="nil"/>
            </w:tcBorders>
            <w:shd w:val="clear" w:color="auto" w:fill="auto"/>
            <w:noWrap/>
            <w:vAlign w:val="bottom"/>
            <w:hideMark/>
          </w:tcPr>
          <w:p w14:paraId="09FB71BD"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supermarket</w:t>
            </w:r>
          </w:p>
        </w:tc>
      </w:tr>
      <w:tr w:rsidR="002026B6" w:rsidRPr="00A141D2" w14:paraId="18629482"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584890CA"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2E782C6"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3690EDA0"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office</w:t>
            </w:r>
          </w:p>
        </w:tc>
        <w:tc>
          <w:tcPr>
            <w:tcW w:w="1460" w:type="dxa"/>
            <w:tcBorders>
              <w:top w:val="nil"/>
              <w:left w:val="nil"/>
              <w:bottom w:val="nil"/>
              <w:right w:val="nil"/>
            </w:tcBorders>
            <w:shd w:val="clear" w:color="auto" w:fill="auto"/>
            <w:noWrap/>
            <w:vAlign w:val="bottom"/>
            <w:hideMark/>
          </w:tcPr>
          <w:p w14:paraId="70F8EB2A"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office</w:t>
            </w:r>
          </w:p>
        </w:tc>
      </w:tr>
      <w:tr w:rsidR="002026B6" w:rsidRPr="00A141D2" w14:paraId="684D8766"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18E80896"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189E0F4D"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02BDC848"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mosque</w:t>
            </w:r>
          </w:p>
        </w:tc>
        <w:tc>
          <w:tcPr>
            <w:tcW w:w="1460" w:type="dxa"/>
            <w:tcBorders>
              <w:top w:val="nil"/>
              <w:left w:val="nil"/>
              <w:bottom w:val="nil"/>
              <w:right w:val="nil"/>
            </w:tcBorders>
            <w:shd w:val="clear" w:color="auto" w:fill="auto"/>
            <w:noWrap/>
            <w:vAlign w:val="bottom"/>
            <w:hideMark/>
          </w:tcPr>
          <w:p w14:paraId="45B9145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mosque</w:t>
            </w:r>
          </w:p>
        </w:tc>
      </w:tr>
      <w:tr w:rsidR="002026B6" w:rsidRPr="00A141D2" w14:paraId="738BC39F" w14:textId="77777777" w:rsidTr="00086520">
        <w:trPr>
          <w:trHeight w:val="288"/>
          <w:jc w:val="center"/>
        </w:trPr>
        <w:tc>
          <w:tcPr>
            <w:tcW w:w="1560" w:type="dxa"/>
            <w:tcBorders>
              <w:top w:val="nil"/>
              <w:left w:val="nil"/>
              <w:bottom w:val="nil"/>
              <w:right w:val="nil"/>
            </w:tcBorders>
            <w:shd w:val="clear" w:color="auto" w:fill="auto"/>
            <w:noWrap/>
            <w:vAlign w:val="bottom"/>
            <w:hideMark/>
          </w:tcPr>
          <w:p w14:paraId="01503D55" w14:textId="77777777" w:rsidR="002026B6" w:rsidRPr="00A141D2" w:rsidRDefault="002026B6" w:rsidP="00086520">
            <w:pPr>
              <w:rPr>
                <w:rFonts w:eastAsia="Times New Roman" w:cs="Calibri"/>
                <w:color w:val="000000"/>
                <w:sz w:val="18"/>
                <w:szCs w:val="16"/>
                <w:lang w:val="en-GB" w:eastAsia="en-GB"/>
              </w:rPr>
            </w:pPr>
          </w:p>
        </w:tc>
        <w:tc>
          <w:tcPr>
            <w:tcW w:w="4107" w:type="dxa"/>
            <w:tcBorders>
              <w:top w:val="nil"/>
              <w:left w:val="nil"/>
              <w:bottom w:val="nil"/>
              <w:right w:val="nil"/>
            </w:tcBorders>
            <w:shd w:val="clear" w:color="auto" w:fill="auto"/>
            <w:noWrap/>
            <w:vAlign w:val="bottom"/>
            <w:hideMark/>
          </w:tcPr>
          <w:p w14:paraId="7E4DA138" w14:textId="77777777" w:rsidR="002026B6" w:rsidRPr="00A141D2" w:rsidRDefault="002026B6" w:rsidP="00086520">
            <w:pPr>
              <w:rPr>
                <w:rFonts w:eastAsia="Times New Roman"/>
                <w:sz w:val="20"/>
                <w:szCs w:val="16"/>
                <w:lang w:val="en-GB" w:eastAsia="en-GB"/>
              </w:rPr>
            </w:pPr>
          </w:p>
        </w:tc>
        <w:tc>
          <w:tcPr>
            <w:tcW w:w="1540" w:type="dxa"/>
            <w:tcBorders>
              <w:top w:val="nil"/>
              <w:left w:val="nil"/>
              <w:bottom w:val="nil"/>
              <w:right w:val="nil"/>
            </w:tcBorders>
            <w:shd w:val="clear" w:color="auto" w:fill="auto"/>
            <w:noWrap/>
            <w:vAlign w:val="bottom"/>
            <w:hideMark/>
          </w:tcPr>
          <w:p w14:paraId="032EDC28"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kindergarten</w:t>
            </w:r>
          </w:p>
        </w:tc>
        <w:tc>
          <w:tcPr>
            <w:tcW w:w="1460" w:type="dxa"/>
            <w:tcBorders>
              <w:top w:val="nil"/>
              <w:left w:val="nil"/>
              <w:bottom w:val="nil"/>
              <w:right w:val="nil"/>
            </w:tcBorders>
            <w:shd w:val="clear" w:color="auto" w:fill="auto"/>
            <w:noWrap/>
            <w:vAlign w:val="bottom"/>
            <w:hideMark/>
          </w:tcPr>
          <w:p w14:paraId="37C09E75"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kindergarten</w:t>
            </w:r>
          </w:p>
        </w:tc>
      </w:tr>
      <w:tr w:rsidR="002026B6" w:rsidRPr="00A141D2" w14:paraId="29057E22" w14:textId="77777777" w:rsidTr="00086520">
        <w:trPr>
          <w:trHeight w:val="300"/>
          <w:jc w:val="center"/>
        </w:trPr>
        <w:tc>
          <w:tcPr>
            <w:tcW w:w="1560" w:type="dxa"/>
            <w:tcBorders>
              <w:top w:val="nil"/>
              <w:left w:val="nil"/>
              <w:bottom w:val="double" w:sz="6" w:space="0" w:color="auto"/>
              <w:right w:val="nil"/>
            </w:tcBorders>
            <w:shd w:val="clear" w:color="auto" w:fill="auto"/>
            <w:noWrap/>
            <w:vAlign w:val="bottom"/>
            <w:hideMark/>
          </w:tcPr>
          <w:p w14:paraId="53DCA8CA"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 </w:t>
            </w:r>
          </w:p>
        </w:tc>
        <w:tc>
          <w:tcPr>
            <w:tcW w:w="4107" w:type="dxa"/>
            <w:tcBorders>
              <w:top w:val="nil"/>
              <w:left w:val="nil"/>
              <w:bottom w:val="double" w:sz="6" w:space="0" w:color="auto"/>
              <w:right w:val="nil"/>
            </w:tcBorders>
            <w:shd w:val="clear" w:color="auto" w:fill="auto"/>
            <w:noWrap/>
            <w:vAlign w:val="bottom"/>
            <w:hideMark/>
          </w:tcPr>
          <w:p w14:paraId="53443B4D"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 </w:t>
            </w:r>
          </w:p>
        </w:tc>
        <w:tc>
          <w:tcPr>
            <w:tcW w:w="1540" w:type="dxa"/>
            <w:tcBorders>
              <w:top w:val="nil"/>
              <w:left w:val="nil"/>
              <w:bottom w:val="double" w:sz="6" w:space="0" w:color="auto"/>
              <w:right w:val="nil"/>
            </w:tcBorders>
            <w:shd w:val="clear" w:color="auto" w:fill="auto"/>
            <w:noWrap/>
            <w:vAlign w:val="bottom"/>
            <w:hideMark/>
          </w:tcPr>
          <w:p w14:paraId="7BA3E4B7"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social_facility</w:t>
            </w:r>
          </w:p>
        </w:tc>
        <w:tc>
          <w:tcPr>
            <w:tcW w:w="1460" w:type="dxa"/>
            <w:tcBorders>
              <w:top w:val="nil"/>
              <w:left w:val="nil"/>
              <w:bottom w:val="double" w:sz="6" w:space="0" w:color="auto"/>
              <w:right w:val="nil"/>
            </w:tcBorders>
            <w:shd w:val="clear" w:color="auto" w:fill="auto"/>
            <w:noWrap/>
            <w:vAlign w:val="bottom"/>
            <w:hideMark/>
          </w:tcPr>
          <w:p w14:paraId="598A4853" w14:textId="77777777" w:rsidR="002026B6" w:rsidRPr="00A141D2" w:rsidRDefault="002026B6" w:rsidP="00086520">
            <w:pPr>
              <w:rPr>
                <w:rFonts w:eastAsia="Times New Roman" w:cs="Calibri"/>
                <w:color w:val="000000"/>
                <w:sz w:val="18"/>
                <w:szCs w:val="16"/>
                <w:lang w:val="en-GB" w:eastAsia="en-GB"/>
              </w:rPr>
            </w:pPr>
            <w:r w:rsidRPr="00A141D2">
              <w:rPr>
                <w:rFonts w:eastAsia="Times New Roman" w:cs="Calibri"/>
                <w:color w:val="000000"/>
                <w:sz w:val="18"/>
                <w:szCs w:val="16"/>
                <w:lang w:val="en-GB" w:eastAsia="en-GB"/>
              </w:rPr>
              <w:t>social_facility</w:t>
            </w:r>
          </w:p>
        </w:tc>
      </w:tr>
    </w:tbl>
    <w:p w14:paraId="11701DB3" w14:textId="12C272E1" w:rsidR="001B79CD" w:rsidRPr="00A141D2" w:rsidRDefault="001B79CD" w:rsidP="003B356B">
      <w:pPr>
        <w:rPr>
          <w:lang w:val="en-GB"/>
        </w:rPr>
      </w:pPr>
      <w:r w:rsidRPr="00A141D2">
        <w:rPr>
          <w:lang w:val="en-GB" w:eastAsia="ja-JP"/>
        </w:rPr>
        <w:br w:type="page"/>
      </w:r>
    </w:p>
    <w:p w14:paraId="44BDC621" w14:textId="46ADBE44" w:rsidR="001B79CD" w:rsidRPr="00A141D2" w:rsidRDefault="001B79CD" w:rsidP="003855D5">
      <w:pPr>
        <w:pStyle w:val="Heading-Secondary"/>
        <w:rPr>
          <w:lang w:val="en-GB" w:eastAsia="ja-JP"/>
        </w:rPr>
      </w:pPr>
      <w:r w:rsidRPr="00A141D2">
        <w:rPr>
          <w:lang w:val="en-GB" w:eastAsia="ja-JP"/>
        </w:rPr>
        <w:lastRenderedPageBreak/>
        <w:t xml:space="preserve">Appendix </w:t>
      </w:r>
      <w:r w:rsidR="00FE6DF1" w:rsidRPr="00A141D2">
        <w:rPr>
          <w:lang w:val="en-GB" w:eastAsia="ja-JP"/>
        </w:rPr>
        <w:t>D</w:t>
      </w:r>
      <w:r w:rsidRPr="00A141D2">
        <w:rPr>
          <w:lang w:val="en-GB" w:eastAsia="ja-JP"/>
        </w:rPr>
        <w:t>:</w:t>
      </w:r>
      <w:r w:rsidR="00FE6DF1" w:rsidRPr="00A141D2">
        <w:rPr>
          <w:lang w:val="en-GB" w:eastAsia="ja-JP"/>
        </w:rPr>
        <w:t xml:space="preserve"> </w:t>
      </w:r>
      <w:r w:rsidR="004603B4" w:rsidRPr="00A141D2">
        <w:rPr>
          <w:lang w:val="en-GB" w:eastAsia="ja-JP"/>
        </w:rPr>
        <w:t xml:space="preserve">Demand Change Through </w:t>
      </w:r>
      <w:r w:rsidR="00F86638" w:rsidRPr="00A141D2">
        <w:rPr>
          <w:lang w:val="en-GB" w:eastAsia="ja-JP"/>
        </w:rPr>
        <w:t>T</w:t>
      </w:r>
      <w:r w:rsidR="004603B4" w:rsidRPr="00A141D2">
        <w:rPr>
          <w:lang w:val="en-GB" w:eastAsia="ja-JP"/>
        </w:rPr>
        <w:t xml:space="preserve">he Leontief Inverse </w:t>
      </w:r>
    </w:p>
    <w:p w14:paraId="5091D00C" w14:textId="1ABEA5D9" w:rsidR="001D365C" w:rsidRPr="00A141D2" w:rsidRDefault="001D365C" w:rsidP="001D365C">
      <w:pPr>
        <w:rPr>
          <w:lang w:val="en-GB"/>
        </w:rPr>
      </w:pPr>
      <w:r w:rsidRPr="00A141D2">
        <w:rPr>
          <w:lang w:val="en-GB"/>
        </w:rPr>
        <w:t>Additional demand pressures on the national construction sector and its supply chain are derived from the direct structural losses. Cascading demand changes are found by multiplying the demand increase in the construction sector equal to the reconstruction costs with the Leontief inverse. The Leontief inverse, represented by (I-A)</w:t>
      </w:r>
      <w:r w:rsidRPr="00A141D2">
        <w:rPr>
          <w:vertAlign w:val="superscript"/>
          <w:lang w:val="en-GB"/>
        </w:rPr>
        <w:t>-1</w:t>
      </w:r>
      <w:r w:rsidRPr="00A141D2">
        <w:rPr>
          <w:lang w:val="en-GB"/>
        </w:rPr>
        <w:t>, is created using the national input-output tables. The input-output table is the basis for developing the technical coefficient matrix A. This matrix formulates the direct input requirements for producing one output unit in each sector. Each element a</w:t>
      </w:r>
      <w:r w:rsidRPr="00A141D2">
        <w:rPr>
          <w:vertAlign w:val="subscript"/>
          <w:lang w:val="en-GB"/>
        </w:rPr>
        <w:t>ij</w:t>
      </w:r>
      <w:r w:rsidRPr="00A141D2">
        <w:rPr>
          <w:lang w:val="en-GB"/>
        </w:rPr>
        <w:t xml:space="preserve"> in matrix A represents the input of sector i to sector j, divided by the total output of j. Using this matrix, we can use the following equation to find the demand changes across the economy. </w:t>
      </w:r>
    </w:p>
    <w:p w14:paraId="04E72AAA" w14:textId="77777777" w:rsidR="001D365C" w:rsidRPr="00A141D2" w:rsidRDefault="001D365C" w:rsidP="001D365C">
      <w:pPr>
        <w:rPr>
          <w:rFonts w:eastAsiaTheme="minorEastAsia"/>
          <w:b/>
          <w:bCs/>
          <w:lang w:val="en-GB"/>
        </w:rPr>
      </w:pPr>
      <m:oMathPara>
        <m:oMath>
          <m:r>
            <m:rPr>
              <m:sty m:val="bi"/>
            </m:rPr>
            <w:rPr>
              <w:rFonts w:ascii="Cambria Math" w:hAnsi="Cambria Math"/>
              <w:lang w:val="en-GB"/>
            </w:rPr>
            <m:t>∆x</m:t>
          </m:r>
          <m:r>
            <w:rPr>
              <w:rFonts w:ascii="Cambria Math" w:hAnsi="Cambria Math"/>
              <w:lang w:val="en-GB"/>
            </w:rPr>
            <m:t>=</m:t>
          </m:r>
          <m:sSup>
            <m:sSupPr>
              <m:ctrlPr>
                <w:rPr>
                  <w:rFonts w:ascii="Cambria Math" w:hAnsi="Cambria Math"/>
                  <w:i/>
                  <w:lang w:val="en-GB"/>
                </w:rPr>
              </m:ctrlPr>
            </m:sSupPr>
            <m:e>
              <m:d>
                <m:dPr>
                  <m:ctrlPr>
                    <w:rPr>
                      <w:rFonts w:ascii="Cambria Math" w:hAnsi="Cambria Math"/>
                      <w:i/>
                      <w:lang w:val="en-GB"/>
                    </w:rPr>
                  </m:ctrlPr>
                </m:dPr>
                <m:e>
                  <m:r>
                    <m:rPr>
                      <m:sty m:val="bi"/>
                    </m:rPr>
                    <w:rPr>
                      <w:rFonts w:ascii="Cambria Math" w:hAnsi="Cambria Math"/>
                      <w:lang w:val="en-GB"/>
                    </w:rPr>
                    <m:t>I</m:t>
                  </m:r>
                  <m:r>
                    <w:rPr>
                      <w:rFonts w:ascii="Cambria Math" w:hAnsi="Cambria Math"/>
                      <w:lang w:val="en-GB"/>
                    </w:rPr>
                    <m:t>-</m:t>
                  </m:r>
                  <m:r>
                    <m:rPr>
                      <m:sty m:val="bi"/>
                    </m:rPr>
                    <w:rPr>
                      <w:rFonts w:ascii="Cambria Math" w:hAnsi="Cambria Math"/>
                      <w:lang w:val="en-GB"/>
                    </w:rPr>
                    <m:t>A</m:t>
                  </m:r>
                </m:e>
              </m:d>
            </m:e>
            <m:sup>
              <m:r>
                <w:rPr>
                  <w:rFonts w:ascii="Cambria Math" w:hAnsi="Cambria Math"/>
                  <w:lang w:val="en-GB"/>
                </w:rPr>
                <m:t>-1</m:t>
              </m:r>
            </m:sup>
          </m:sSup>
          <m:r>
            <m:rPr>
              <m:sty m:val="bi"/>
            </m:rPr>
            <w:rPr>
              <w:rFonts w:ascii="Cambria Math" w:hAnsi="Cambria Math"/>
              <w:lang w:val="en-GB"/>
            </w:rPr>
            <m:t>∆f</m:t>
          </m:r>
        </m:oMath>
      </m:oMathPara>
    </w:p>
    <w:p w14:paraId="335C681E" w14:textId="77777777" w:rsidR="001D365C" w:rsidRPr="00A141D2" w:rsidRDefault="001D365C" w:rsidP="001D365C">
      <w:pPr>
        <w:rPr>
          <w:lang w:val="en-GB"/>
        </w:rPr>
      </w:pPr>
      <w:r w:rsidRPr="00A141D2">
        <w:rPr>
          <w:lang w:val="en-GB"/>
        </w:rPr>
        <w:t>Where:</w:t>
      </w:r>
    </w:p>
    <w:p w14:paraId="7B130EC0" w14:textId="77777777" w:rsidR="001D365C" w:rsidRPr="00A141D2" w:rsidRDefault="001D365C" w:rsidP="001D365C">
      <w:pPr>
        <w:rPr>
          <w:rFonts w:cstheme="minorHAnsi"/>
          <w:lang w:val="en-GB"/>
        </w:rPr>
      </w:pPr>
      <w:r w:rsidRPr="00A141D2">
        <w:rPr>
          <w:rFonts w:cstheme="minorHAnsi"/>
          <w:i/>
          <w:iCs/>
          <w:lang w:val="en-GB"/>
        </w:rPr>
        <w:t>∆x</w:t>
      </w:r>
      <w:r w:rsidRPr="00A141D2">
        <w:rPr>
          <w:rFonts w:cstheme="minorHAnsi"/>
          <w:lang w:val="en-GB"/>
        </w:rPr>
        <w:t>: vector of total output change for each sector.</w:t>
      </w:r>
    </w:p>
    <w:p w14:paraId="2529E35F" w14:textId="77777777" w:rsidR="001D365C" w:rsidRPr="00A141D2" w:rsidRDefault="001D365C" w:rsidP="001D365C">
      <w:pPr>
        <w:rPr>
          <w:rFonts w:eastAsiaTheme="minorEastAsia" w:cstheme="minorHAnsi"/>
          <w:lang w:val="en-GB"/>
        </w:rPr>
      </w:pPr>
      <w:r w:rsidRPr="00A141D2">
        <w:rPr>
          <w:rFonts w:cstheme="minorHAnsi"/>
          <w:i/>
          <w:iCs/>
          <w:lang w:val="en-GB"/>
        </w:rPr>
        <w:t xml:space="preserve">I: </w:t>
      </w:r>
      <w:r w:rsidRPr="00A141D2">
        <w:rPr>
          <w:rFonts w:cstheme="minorHAnsi"/>
          <w:lang w:val="en-GB"/>
        </w:rPr>
        <w:t xml:space="preserve"> identity matrix</w:t>
      </w:r>
    </w:p>
    <w:p w14:paraId="530484A9" w14:textId="77777777" w:rsidR="001D365C" w:rsidRPr="00A141D2" w:rsidRDefault="001D365C" w:rsidP="001D365C">
      <w:pPr>
        <w:rPr>
          <w:rFonts w:cstheme="minorHAnsi"/>
          <w:lang w:val="en-GB"/>
        </w:rPr>
      </w:pPr>
      <w:r w:rsidRPr="00A141D2">
        <w:rPr>
          <w:rFonts w:ascii="Cambria Math" w:hAnsi="Cambria Math" w:cs="Cambria Math"/>
          <w:lang w:val="en-GB"/>
        </w:rPr>
        <w:t>𝐴</w:t>
      </w:r>
      <w:r w:rsidRPr="00A141D2">
        <w:rPr>
          <w:rFonts w:cstheme="minorHAnsi"/>
          <w:lang w:val="en-GB"/>
        </w:rPr>
        <w:t>: technical coefficient matrix</w:t>
      </w:r>
    </w:p>
    <w:p w14:paraId="6F62165E" w14:textId="77777777" w:rsidR="001D365C" w:rsidRPr="00A141D2" w:rsidRDefault="001D365C" w:rsidP="001D365C">
      <w:pPr>
        <w:rPr>
          <w:rFonts w:cstheme="minorHAnsi"/>
          <w:lang w:val="en-GB"/>
        </w:rPr>
      </w:pPr>
      <w:r w:rsidRPr="00A141D2">
        <w:rPr>
          <w:rFonts w:cstheme="minorHAnsi"/>
          <w:lang w:val="en-GB"/>
        </w:rPr>
        <w:t>∆</w:t>
      </w:r>
      <w:r w:rsidRPr="00A141D2">
        <w:rPr>
          <w:rFonts w:ascii="Cambria Math" w:hAnsi="Cambria Math" w:cs="Cambria Math"/>
          <w:lang w:val="en-GB"/>
        </w:rPr>
        <w:t>𝑓</w:t>
      </w:r>
      <w:r w:rsidRPr="00A141D2">
        <w:rPr>
          <w:rFonts w:cstheme="minorHAnsi"/>
          <w:lang w:val="en-GB"/>
        </w:rPr>
        <w:t>: vector with demand change of each sector</w:t>
      </w:r>
    </w:p>
    <w:p w14:paraId="5DC08DA5" w14:textId="77777777" w:rsidR="001D365C" w:rsidRPr="00A141D2" w:rsidRDefault="001D365C" w:rsidP="001D365C">
      <w:pPr>
        <w:rPr>
          <w:lang w:val="en-GB" w:eastAsia="ja-JP"/>
        </w:rPr>
      </w:pPr>
    </w:p>
    <w:p w14:paraId="52742FCD" w14:textId="77777777" w:rsidR="001B79CD" w:rsidRPr="00A141D2" w:rsidRDefault="001B79CD" w:rsidP="001B79CD">
      <w:pPr>
        <w:rPr>
          <w:lang w:val="en-GB" w:eastAsia="ja-JP"/>
        </w:rPr>
      </w:pPr>
    </w:p>
    <w:sectPr w:rsidR="001B79CD" w:rsidRPr="00A141D2" w:rsidSect="00BD47BB">
      <w:headerReference w:type="default" r:id="rId26"/>
      <w:footerReference w:type="default" r:id="rId27"/>
      <w:headerReference w:type="first" r:id="rId28"/>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B2309A" w14:textId="77777777" w:rsidR="005048C5" w:rsidRDefault="005048C5" w:rsidP="000379AB">
      <w:r>
        <w:separator/>
      </w:r>
    </w:p>
  </w:endnote>
  <w:endnote w:type="continuationSeparator" w:id="0">
    <w:p w14:paraId="0995247C" w14:textId="77777777" w:rsidR="005048C5" w:rsidRDefault="005048C5" w:rsidP="000379AB">
      <w:r>
        <w:continuationSeparator/>
      </w:r>
    </w:p>
  </w:endnote>
  <w:endnote w:type="continuationNotice" w:id="1">
    <w:p w14:paraId="19FD79C8" w14:textId="77777777" w:rsidR="005048C5" w:rsidRDefault="005048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44797728"/>
      <w:docPartObj>
        <w:docPartGallery w:val="Page Numbers (Bottom of Page)"/>
        <w:docPartUnique/>
      </w:docPartObj>
    </w:sdtPr>
    <w:sdtEndPr>
      <w:rPr>
        <w:noProof/>
      </w:rPr>
    </w:sdtEndPr>
    <w:sdtContent>
      <w:p w14:paraId="4AB6CCE0" w14:textId="4198D4AB" w:rsidR="00594369" w:rsidRDefault="0059436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D66282" w14:textId="77777777" w:rsidR="005048C5" w:rsidRDefault="005048C5" w:rsidP="000379AB">
      <w:r>
        <w:separator/>
      </w:r>
    </w:p>
  </w:footnote>
  <w:footnote w:type="continuationSeparator" w:id="0">
    <w:p w14:paraId="4058170F" w14:textId="77777777" w:rsidR="005048C5" w:rsidRDefault="005048C5" w:rsidP="000379AB">
      <w:r>
        <w:continuationSeparator/>
      </w:r>
    </w:p>
  </w:footnote>
  <w:footnote w:type="continuationNotice" w:id="1">
    <w:p w14:paraId="62A3213F" w14:textId="77777777" w:rsidR="005048C5" w:rsidRDefault="005048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03BAED" w14:textId="459752F4" w:rsidR="00F92B6C" w:rsidRDefault="002500DD" w:rsidP="00F92B6C">
    <w:pPr>
      <w:pStyle w:val="Header"/>
      <w:jc w:val="center"/>
    </w:pPr>
    <w:r>
      <w:t xml:space="preserve">manuscript submitted to </w:t>
    </w:r>
    <w:r w:rsidR="00F92B6C" w:rsidRPr="002500DD">
      <w:rPr>
        <w:i/>
        <w:iCs/>
      </w:rPr>
      <w:t>Earth’s Future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607DD"/>
    <w:multiLevelType w:val="hybridMultilevel"/>
    <w:tmpl w:val="6E14751A"/>
    <w:lvl w:ilvl="0" w:tplc="29CE1A46">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7D4888"/>
    <w:multiLevelType w:val="multilevel"/>
    <w:tmpl w:val="9036D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840014"/>
    <w:multiLevelType w:val="hybridMultilevel"/>
    <w:tmpl w:val="31363B38"/>
    <w:lvl w:ilvl="0" w:tplc="4D7CE484">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C825BE9"/>
    <w:multiLevelType w:val="multilevel"/>
    <w:tmpl w:val="86C4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A61D63"/>
    <w:multiLevelType w:val="hybridMultilevel"/>
    <w:tmpl w:val="E63E6A32"/>
    <w:lvl w:ilvl="0" w:tplc="776E271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D024F2"/>
    <w:multiLevelType w:val="hybridMultilevel"/>
    <w:tmpl w:val="8078E6E4"/>
    <w:lvl w:ilvl="0" w:tplc="BBB6E108">
      <w:start w:val="5"/>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9"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3961C65"/>
    <w:multiLevelType w:val="hybridMultilevel"/>
    <w:tmpl w:val="F5402A1E"/>
    <w:lvl w:ilvl="0" w:tplc="04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F007AAE"/>
    <w:multiLevelType w:val="hybridMultilevel"/>
    <w:tmpl w:val="185C00CA"/>
    <w:lvl w:ilvl="0" w:tplc="364E9CFC">
      <w:start w:val="5"/>
      <w:numFmt w:val="bullet"/>
      <w:lvlText w:val="-"/>
      <w:lvlJc w:val="left"/>
      <w:pPr>
        <w:ind w:left="530" w:hanging="360"/>
      </w:pPr>
      <w:rPr>
        <w:rFonts w:ascii="Times New Roman" w:eastAsia="Times New Roman" w:hAnsi="Times New Roman" w:cs="Times New Roman"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14"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55CB0C28"/>
    <w:multiLevelType w:val="multilevel"/>
    <w:tmpl w:val="32123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C9E5E4A"/>
    <w:multiLevelType w:val="hybridMultilevel"/>
    <w:tmpl w:val="34E22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6356E8"/>
    <w:multiLevelType w:val="hybridMultilevel"/>
    <w:tmpl w:val="B5145800"/>
    <w:lvl w:ilvl="0" w:tplc="0413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9" w15:restartNumberingAfterBreak="0">
    <w:nsid w:val="5E04122C"/>
    <w:multiLevelType w:val="hybridMultilevel"/>
    <w:tmpl w:val="0CB28418"/>
    <w:lvl w:ilvl="0" w:tplc="3AE83920">
      <w:start w:val="5"/>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367CB3"/>
    <w:multiLevelType w:val="hybridMultilevel"/>
    <w:tmpl w:val="7A6E5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24" w15:restartNumberingAfterBreak="0">
    <w:nsid w:val="6C1F35DC"/>
    <w:multiLevelType w:val="hybridMultilevel"/>
    <w:tmpl w:val="0D024D3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5" w15:restartNumberingAfterBreak="0">
    <w:nsid w:val="6D4075E6"/>
    <w:multiLevelType w:val="hybridMultilevel"/>
    <w:tmpl w:val="3F1C6A9E"/>
    <w:lvl w:ilvl="0" w:tplc="24F061E6">
      <w:start w:val="5"/>
      <w:numFmt w:val="bullet"/>
      <w:lvlText w:val="-"/>
      <w:lvlJc w:val="left"/>
      <w:pPr>
        <w:ind w:left="530" w:hanging="360"/>
      </w:pPr>
      <w:rPr>
        <w:rFonts w:ascii="Times New Roman" w:eastAsia="Calibri" w:hAnsi="Times New Roman" w:cs="Times New Roman"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26"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5"/>
  </w:num>
  <w:num w:numId="2" w16cid:durableId="906064874">
    <w:abstractNumId w:val="3"/>
  </w:num>
  <w:num w:numId="3" w16cid:durableId="124200908">
    <w:abstractNumId w:val="23"/>
  </w:num>
  <w:num w:numId="4" w16cid:durableId="983047291">
    <w:abstractNumId w:val="10"/>
  </w:num>
  <w:num w:numId="5" w16cid:durableId="1416437152">
    <w:abstractNumId w:val="11"/>
  </w:num>
  <w:num w:numId="6" w16cid:durableId="25494253">
    <w:abstractNumId w:val="16"/>
  </w:num>
  <w:num w:numId="7" w16cid:durableId="119541995">
    <w:abstractNumId w:val="20"/>
  </w:num>
  <w:num w:numId="8" w16cid:durableId="1958756824">
    <w:abstractNumId w:val="21"/>
  </w:num>
  <w:num w:numId="9" w16cid:durableId="928124450">
    <w:abstractNumId w:val="7"/>
  </w:num>
  <w:num w:numId="10" w16cid:durableId="1962152298">
    <w:abstractNumId w:val="14"/>
  </w:num>
  <w:num w:numId="11" w16cid:durableId="17976862">
    <w:abstractNumId w:val="9"/>
  </w:num>
  <w:num w:numId="12" w16cid:durableId="1237283164">
    <w:abstractNumId w:val="26"/>
  </w:num>
  <w:num w:numId="13" w16cid:durableId="439767255">
    <w:abstractNumId w:val="1"/>
  </w:num>
  <w:num w:numId="14" w16cid:durableId="1745298116">
    <w:abstractNumId w:val="24"/>
  </w:num>
  <w:num w:numId="15" w16cid:durableId="430785123">
    <w:abstractNumId w:val="13"/>
  </w:num>
  <w:num w:numId="16" w16cid:durableId="1087992666">
    <w:abstractNumId w:val="25"/>
  </w:num>
  <w:num w:numId="17" w16cid:durableId="1578055796">
    <w:abstractNumId w:val="22"/>
  </w:num>
  <w:num w:numId="18" w16cid:durableId="340015742">
    <w:abstractNumId w:val="4"/>
  </w:num>
  <w:num w:numId="19" w16cid:durableId="1822043791">
    <w:abstractNumId w:val="17"/>
  </w:num>
  <w:num w:numId="20" w16cid:durableId="180244710">
    <w:abstractNumId w:val="12"/>
  </w:num>
  <w:num w:numId="21" w16cid:durableId="1837377480">
    <w:abstractNumId w:val="18"/>
  </w:num>
  <w:num w:numId="22" w16cid:durableId="1820071377">
    <w:abstractNumId w:val="0"/>
  </w:num>
  <w:num w:numId="23" w16cid:durableId="1915309710">
    <w:abstractNumId w:val="8"/>
  </w:num>
  <w:num w:numId="24" w16cid:durableId="474562691">
    <w:abstractNumId w:val="19"/>
  </w:num>
  <w:num w:numId="25" w16cid:durableId="391271474">
    <w:abstractNumId w:val="6"/>
  </w:num>
  <w:num w:numId="26" w16cid:durableId="2123762485">
    <w:abstractNumId w:val="2"/>
  </w:num>
  <w:num w:numId="27" w16cid:durableId="132474476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E0sTQ3MrM0MzeyMDFS0lEKTi0uzszPAykwM6gFAI+qaDstAAAA"/>
  </w:docVars>
  <w:rsids>
    <w:rsidRoot w:val="008A6077"/>
    <w:rsid w:val="0000049D"/>
    <w:rsid w:val="000010E7"/>
    <w:rsid w:val="00001414"/>
    <w:rsid w:val="000018BA"/>
    <w:rsid w:val="000023CA"/>
    <w:rsid w:val="000026CD"/>
    <w:rsid w:val="00002999"/>
    <w:rsid w:val="00002C07"/>
    <w:rsid w:val="0000309F"/>
    <w:rsid w:val="00003189"/>
    <w:rsid w:val="000032F1"/>
    <w:rsid w:val="00003338"/>
    <w:rsid w:val="000034B1"/>
    <w:rsid w:val="0000402F"/>
    <w:rsid w:val="000047AA"/>
    <w:rsid w:val="000058CF"/>
    <w:rsid w:val="00005FC8"/>
    <w:rsid w:val="00005FFE"/>
    <w:rsid w:val="0000609E"/>
    <w:rsid w:val="00006373"/>
    <w:rsid w:val="00006A7C"/>
    <w:rsid w:val="00006F32"/>
    <w:rsid w:val="00006F86"/>
    <w:rsid w:val="00006F9F"/>
    <w:rsid w:val="0000734E"/>
    <w:rsid w:val="000078B6"/>
    <w:rsid w:val="00007CA4"/>
    <w:rsid w:val="00007D16"/>
    <w:rsid w:val="0001060D"/>
    <w:rsid w:val="000108E2"/>
    <w:rsid w:val="00011602"/>
    <w:rsid w:val="00011CD4"/>
    <w:rsid w:val="00012AE8"/>
    <w:rsid w:val="00012E48"/>
    <w:rsid w:val="00013594"/>
    <w:rsid w:val="00013851"/>
    <w:rsid w:val="00013F7A"/>
    <w:rsid w:val="000143E1"/>
    <w:rsid w:val="0001474C"/>
    <w:rsid w:val="00015A98"/>
    <w:rsid w:val="00015F97"/>
    <w:rsid w:val="00016549"/>
    <w:rsid w:val="00016673"/>
    <w:rsid w:val="00016B5A"/>
    <w:rsid w:val="00016BA6"/>
    <w:rsid w:val="000177F3"/>
    <w:rsid w:val="0002023D"/>
    <w:rsid w:val="00020C30"/>
    <w:rsid w:val="000218F1"/>
    <w:rsid w:val="0002216C"/>
    <w:rsid w:val="000221B5"/>
    <w:rsid w:val="00022344"/>
    <w:rsid w:val="000228E9"/>
    <w:rsid w:val="00022AA9"/>
    <w:rsid w:val="00022B37"/>
    <w:rsid w:val="00022B98"/>
    <w:rsid w:val="00023235"/>
    <w:rsid w:val="00023A40"/>
    <w:rsid w:val="00023FCB"/>
    <w:rsid w:val="00024464"/>
    <w:rsid w:val="000245BB"/>
    <w:rsid w:val="000254FF"/>
    <w:rsid w:val="00025760"/>
    <w:rsid w:val="000262C3"/>
    <w:rsid w:val="00026D79"/>
    <w:rsid w:val="000270AA"/>
    <w:rsid w:val="00027433"/>
    <w:rsid w:val="0003012F"/>
    <w:rsid w:val="00030B7A"/>
    <w:rsid w:val="00030CBD"/>
    <w:rsid w:val="00031214"/>
    <w:rsid w:val="00031573"/>
    <w:rsid w:val="0003157A"/>
    <w:rsid w:val="00031829"/>
    <w:rsid w:val="00031BA1"/>
    <w:rsid w:val="00031BAF"/>
    <w:rsid w:val="00031C63"/>
    <w:rsid w:val="00032878"/>
    <w:rsid w:val="00032B95"/>
    <w:rsid w:val="00033158"/>
    <w:rsid w:val="00035DF1"/>
    <w:rsid w:val="000364C9"/>
    <w:rsid w:val="00036ADB"/>
    <w:rsid w:val="00036C59"/>
    <w:rsid w:val="00036F10"/>
    <w:rsid w:val="000376FF"/>
    <w:rsid w:val="000379AB"/>
    <w:rsid w:val="00037A9D"/>
    <w:rsid w:val="00040889"/>
    <w:rsid w:val="00040983"/>
    <w:rsid w:val="0004102F"/>
    <w:rsid w:val="00041212"/>
    <w:rsid w:val="00041B31"/>
    <w:rsid w:val="00041C32"/>
    <w:rsid w:val="00041CE5"/>
    <w:rsid w:val="00042673"/>
    <w:rsid w:val="000436DC"/>
    <w:rsid w:val="00043997"/>
    <w:rsid w:val="00043F8D"/>
    <w:rsid w:val="00044058"/>
    <w:rsid w:val="00044192"/>
    <w:rsid w:val="00044738"/>
    <w:rsid w:val="000447F7"/>
    <w:rsid w:val="00044934"/>
    <w:rsid w:val="00044BCB"/>
    <w:rsid w:val="00044BEF"/>
    <w:rsid w:val="000452E9"/>
    <w:rsid w:val="00045C36"/>
    <w:rsid w:val="00045DD4"/>
    <w:rsid w:val="0004616B"/>
    <w:rsid w:val="00046A0C"/>
    <w:rsid w:val="00046C66"/>
    <w:rsid w:val="0004714E"/>
    <w:rsid w:val="000473A9"/>
    <w:rsid w:val="00047660"/>
    <w:rsid w:val="00050BFF"/>
    <w:rsid w:val="0005117C"/>
    <w:rsid w:val="000511FB"/>
    <w:rsid w:val="00051460"/>
    <w:rsid w:val="00051EA2"/>
    <w:rsid w:val="0005215B"/>
    <w:rsid w:val="000537E6"/>
    <w:rsid w:val="00054829"/>
    <w:rsid w:val="00054C5A"/>
    <w:rsid w:val="00054CBF"/>
    <w:rsid w:val="00054E54"/>
    <w:rsid w:val="000558C5"/>
    <w:rsid w:val="0005591E"/>
    <w:rsid w:val="00055B52"/>
    <w:rsid w:val="00056961"/>
    <w:rsid w:val="00057462"/>
    <w:rsid w:val="0005794D"/>
    <w:rsid w:val="00060184"/>
    <w:rsid w:val="00060BE1"/>
    <w:rsid w:val="0006158F"/>
    <w:rsid w:val="00062DE1"/>
    <w:rsid w:val="00062E5F"/>
    <w:rsid w:val="00064CDC"/>
    <w:rsid w:val="00064EF3"/>
    <w:rsid w:val="00065922"/>
    <w:rsid w:val="0006679A"/>
    <w:rsid w:val="00066F68"/>
    <w:rsid w:val="000671C5"/>
    <w:rsid w:val="000675B8"/>
    <w:rsid w:val="00067C98"/>
    <w:rsid w:val="00067E87"/>
    <w:rsid w:val="0007063E"/>
    <w:rsid w:val="0007082A"/>
    <w:rsid w:val="00070F1B"/>
    <w:rsid w:val="000715D0"/>
    <w:rsid w:val="0007260A"/>
    <w:rsid w:val="00072904"/>
    <w:rsid w:val="0007306F"/>
    <w:rsid w:val="00073793"/>
    <w:rsid w:val="000737D8"/>
    <w:rsid w:val="0007414F"/>
    <w:rsid w:val="00074FBD"/>
    <w:rsid w:val="000751E1"/>
    <w:rsid w:val="00075525"/>
    <w:rsid w:val="0007592F"/>
    <w:rsid w:val="00076039"/>
    <w:rsid w:val="00076290"/>
    <w:rsid w:val="000769F4"/>
    <w:rsid w:val="000771B0"/>
    <w:rsid w:val="000778BF"/>
    <w:rsid w:val="00077CA0"/>
    <w:rsid w:val="000801C2"/>
    <w:rsid w:val="0008148D"/>
    <w:rsid w:val="00081899"/>
    <w:rsid w:val="0008234F"/>
    <w:rsid w:val="00082403"/>
    <w:rsid w:val="000828FC"/>
    <w:rsid w:val="0008356C"/>
    <w:rsid w:val="00084648"/>
    <w:rsid w:val="00085838"/>
    <w:rsid w:val="00085ADD"/>
    <w:rsid w:val="00086022"/>
    <w:rsid w:val="00086520"/>
    <w:rsid w:val="00086966"/>
    <w:rsid w:val="00086A2B"/>
    <w:rsid w:val="00086D83"/>
    <w:rsid w:val="00086E00"/>
    <w:rsid w:val="00087193"/>
    <w:rsid w:val="0008723C"/>
    <w:rsid w:val="000875EE"/>
    <w:rsid w:val="00087B2C"/>
    <w:rsid w:val="00090C38"/>
    <w:rsid w:val="00090D95"/>
    <w:rsid w:val="00091BC5"/>
    <w:rsid w:val="000927E8"/>
    <w:rsid w:val="00092C23"/>
    <w:rsid w:val="00092D63"/>
    <w:rsid w:val="00093247"/>
    <w:rsid w:val="00094025"/>
    <w:rsid w:val="0009446E"/>
    <w:rsid w:val="00095D67"/>
    <w:rsid w:val="000968C4"/>
    <w:rsid w:val="00096954"/>
    <w:rsid w:val="000977AC"/>
    <w:rsid w:val="000A0014"/>
    <w:rsid w:val="000A024D"/>
    <w:rsid w:val="000A0E36"/>
    <w:rsid w:val="000A0EE1"/>
    <w:rsid w:val="000A0F92"/>
    <w:rsid w:val="000A125D"/>
    <w:rsid w:val="000A1342"/>
    <w:rsid w:val="000A1ADC"/>
    <w:rsid w:val="000A4486"/>
    <w:rsid w:val="000A45E0"/>
    <w:rsid w:val="000A48A9"/>
    <w:rsid w:val="000A48D4"/>
    <w:rsid w:val="000A5BDC"/>
    <w:rsid w:val="000A5DFD"/>
    <w:rsid w:val="000A5FEC"/>
    <w:rsid w:val="000A6C9D"/>
    <w:rsid w:val="000A75D5"/>
    <w:rsid w:val="000A76DE"/>
    <w:rsid w:val="000A794E"/>
    <w:rsid w:val="000A7E65"/>
    <w:rsid w:val="000A7FA6"/>
    <w:rsid w:val="000A7FB7"/>
    <w:rsid w:val="000A7FBD"/>
    <w:rsid w:val="000B0C49"/>
    <w:rsid w:val="000B0C5A"/>
    <w:rsid w:val="000B0DD2"/>
    <w:rsid w:val="000B0FE6"/>
    <w:rsid w:val="000B1518"/>
    <w:rsid w:val="000B192C"/>
    <w:rsid w:val="000B2292"/>
    <w:rsid w:val="000B28CE"/>
    <w:rsid w:val="000B2C1F"/>
    <w:rsid w:val="000B2FF6"/>
    <w:rsid w:val="000B3016"/>
    <w:rsid w:val="000B3704"/>
    <w:rsid w:val="000B374B"/>
    <w:rsid w:val="000B3881"/>
    <w:rsid w:val="000B3FB0"/>
    <w:rsid w:val="000B4452"/>
    <w:rsid w:val="000B4EF6"/>
    <w:rsid w:val="000B5802"/>
    <w:rsid w:val="000B589B"/>
    <w:rsid w:val="000B594E"/>
    <w:rsid w:val="000B5BA0"/>
    <w:rsid w:val="000B5BA5"/>
    <w:rsid w:val="000B62E2"/>
    <w:rsid w:val="000B644D"/>
    <w:rsid w:val="000B6E7E"/>
    <w:rsid w:val="000B7BF2"/>
    <w:rsid w:val="000B7D95"/>
    <w:rsid w:val="000C1203"/>
    <w:rsid w:val="000C13B5"/>
    <w:rsid w:val="000C25CA"/>
    <w:rsid w:val="000C26BC"/>
    <w:rsid w:val="000C29D5"/>
    <w:rsid w:val="000C37AE"/>
    <w:rsid w:val="000C3966"/>
    <w:rsid w:val="000C481C"/>
    <w:rsid w:val="000C5C04"/>
    <w:rsid w:val="000C5E96"/>
    <w:rsid w:val="000C69EB"/>
    <w:rsid w:val="000C7743"/>
    <w:rsid w:val="000C7D5F"/>
    <w:rsid w:val="000D01F2"/>
    <w:rsid w:val="000D06EE"/>
    <w:rsid w:val="000D08F7"/>
    <w:rsid w:val="000D0FD8"/>
    <w:rsid w:val="000D1DEF"/>
    <w:rsid w:val="000D21B7"/>
    <w:rsid w:val="000D2509"/>
    <w:rsid w:val="000D28E1"/>
    <w:rsid w:val="000D32D9"/>
    <w:rsid w:val="000D34EF"/>
    <w:rsid w:val="000D3D6C"/>
    <w:rsid w:val="000D3E7B"/>
    <w:rsid w:val="000D4740"/>
    <w:rsid w:val="000D4FA9"/>
    <w:rsid w:val="000D54B1"/>
    <w:rsid w:val="000D65B6"/>
    <w:rsid w:val="000D688A"/>
    <w:rsid w:val="000D6A31"/>
    <w:rsid w:val="000E01B7"/>
    <w:rsid w:val="000E0A9F"/>
    <w:rsid w:val="000E0C72"/>
    <w:rsid w:val="000E0E71"/>
    <w:rsid w:val="000E0F36"/>
    <w:rsid w:val="000E109F"/>
    <w:rsid w:val="000E112E"/>
    <w:rsid w:val="000E179C"/>
    <w:rsid w:val="000E185D"/>
    <w:rsid w:val="000E351E"/>
    <w:rsid w:val="000E3748"/>
    <w:rsid w:val="000E3808"/>
    <w:rsid w:val="000E3D2C"/>
    <w:rsid w:val="000E4312"/>
    <w:rsid w:val="000E447C"/>
    <w:rsid w:val="000E4FE1"/>
    <w:rsid w:val="000E54AF"/>
    <w:rsid w:val="000E59E6"/>
    <w:rsid w:val="000E5C49"/>
    <w:rsid w:val="000E5F2C"/>
    <w:rsid w:val="000E6E56"/>
    <w:rsid w:val="000F107A"/>
    <w:rsid w:val="000F1178"/>
    <w:rsid w:val="000F141F"/>
    <w:rsid w:val="000F17A9"/>
    <w:rsid w:val="000F183D"/>
    <w:rsid w:val="000F1C83"/>
    <w:rsid w:val="000F27CD"/>
    <w:rsid w:val="000F2D41"/>
    <w:rsid w:val="000F3960"/>
    <w:rsid w:val="000F3A62"/>
    <w:rsid w:val="000F4154"/>
    <w:rsid w:val="000F4382"/>
    <w:rsid w:val="000F4453"/>
    <w:rsid w:val="000F450C"/>
    <w:rsid w:val="000F5D96"/>
    <w:rsid w:val="000F5EED"/>
    <w:rsid w:val="000F6B36"/>
    <w:rsid w:val="000F6E48"/>
    <w:rsid w:val="000F7FCB"/>
    <w:rsid w:val="00100CEE"/>
    <w:rsid w:val="00100D5B"/>
    <w:rsid w:val="00100E4C"/>
    <w:rsid w:val="00101800"/>
    <w:rsid w:val="00102348"/>
    <w:rsid w:val="00102AB5"/>
    <w:rsid w:val="00102ADE"/>
    <w:rsid w:val="00103742"/>
    <w:rsid w:val="001041DD"/>
    <w:rsid w:val="00104911"/>
    <w:rsid w:val="00104ADF"/>
    <w:rsid w:val="00104BF7"/>
    <w:rsid w:val="00105010"/>
    <w:rsid w:val="001050C2"/>
    <w:rsid w:val="00105AFF"/>
    <w:rsid w:val="001068CE"/>
    <w:rsid w:val="00111D51"/>
    <w:rsid w:val="00112D53"/>
    <w:rsid w:val="001133F4"/>
    <w:rsid w:val="00113E76"/>
    <w:rsid w:val="00114682"/>
    <w:rsid w:val="0011534E"/>
    <w:rsid w:val="00115664"/>
    <w:rsid w:val="00115A96"/>
    <w:rsid w:val="00115EB4"/>
    <w:rsid w:val="00116E74"/>
    <w:rsid w:val="00117DCC"/>
    <w:rsid w:val="00120A70"/>
    <w:rsid w:val="0012183F"/>
    <w:rsid w:val="00121F2C"/>
    <w:rsid w:val="00122AEE"/>
    <w:rsid w:val="00122C4C"/>
    <w:rsid w:val="00122F06"/>
    <w:rsid w:val="001232A5"/>
    <w:rsid w:val="0012337E"/>
    <w:rsid w:val="00123A07"/>
    <w:rsid w:val="00123F46"/>
    <w:rsid w:val="00124E4E"/>
    <w:rsid w:val="001256E7"/>
    <w:rsid w:val="001258F5"/>
    <w:rsid w:val="00125A22"/>
    <w:rsid w:val="0012608C"/>
    <w:rsid w:val="00126BA6"/>
    <w:rsid w:val="001272F8"/>
    <w:rsid w:val="00130417"/>
    <w:rsid w:val="001307AC"/>
    <w:rsid w:val="001309B4"/>
    <w:rsid w:val="0013161D"/>
    <w:rsid w:val="00131FBE"/>
    <w:rsid w:val="0013269D"/>
    <w:rsid w:val="00133280"/>
    <w:rsid w:val="001332E0"/>
    <w:rsid w:val="0013388D"/>
    <w:rsid w:val="00133D16"/>
    <w:rsid w:val="00133EE4"/>
    <w:rsid w:val="001348B6"/>
    <w:rsid w:val="00134B73"/>
    <w:rsid w:val="00134CB7"/>
    <w:rsid w:val="0013577B"/>
    <w:rsid w:val="001365D4"/>
    <w:rsid w:val="00136773"/>
    <w:rsid w:val="0013699D"/>
    <w:rsid w:val="00136CD6"/>
    <w:rsid w:val="00136F15"/>
    <w:rsid w:val="00137286"/>
    <w:rsid w:val="0013762D"/>
    <w:rsid w:val="001379A6"/>
    <w:rsid w:val="00141AA7"/>
    <w:rsid w:val="0014212B"/>
    <w:rsid w:val="00142842"/>
    <w:rsid w:val="001432E7"/>
    <w:rsid w:val="0014331A"/>
    <w:rsid w:val="00143789"/>
    <w:rsid w:val="001437BD"/>
    <w:rsid w:val="001444D4"/>
    <w:rsid w:val="00144A7C"/>
    <w:rsid w:val="00144C25"/>
    <w:rsid w:val="00146947"/>
    <w:rsid w:val="00146BEB"/>
    <w:rsid w:val="00146F22"/>
    <w:rsid w:val="0014738F"/>
    <w:rsid w:val="00147605"/>
    <w:rsid w:val="001503FA"/>
    <w:rsid w:val="001508FE"/>
    <w:rsid w:val="001525DC"/>
    <w:rsid w:val="00152819"/>
    <w:rsid w:val="00153045"/>
    <w:rsid w:val="00153088"/>
    <w:rsid w:val="001535F1"/>
    <w:rsid w:val="00153D43"/>
    <w:rsid w:val="00153DD8"/>
    <w:rsid w:val="0015409E"/>
    <w:rsid w:val="0015435C"/>
    <w:rsid w:val="001543A5"/>
    <w:rsid w:val="001548D4"/>
    <w:rsid w:val="001549EE"/>
    <w:rsid w:val="00154F6C"/>
    <w:rsid w:val="00154FC2"/>
    <w:rsid w:val="00155D67"/>
    <w:rsid w:val="00156222"/>
    <w:rsid w:val="001565F6"/>
    <w:rsid w:val="00157D7F"/>
    <w:rsid w:val="00160FCD"/>
    <w:rsid w:val="0016106C"/>
    <w:rsid w:val="001614A7"/>
    <w:rsid w:val="001614AB"/>
    <w:rsid w:val="00161D7F"/>
    <w:rsid w:val="001620F7"/>
    <w:rsid w:val="001626D3"/>
    <w:rsid w:val="0016280C"/>
    <w:rsid w:val="00163AF4"/>
    <w:rsid w:val="00163E11"/>
    <w:rsid w:val="0016426E"/>
    <w:rsid w:val="001654FD"/>
    <w:rsid w:val="0016568D"/>
    <w:rsid w:val="00165871"/>
    <w:rsid w:val="0016623F"/>
    <w:rsid w:val="00166482"/>
    <w:rsid w:val="00166692"/>
    <w:rsid w:val="0016693A"/>
    <w:rsid w:val="00166EF7"/>
    <w:rsid w:val="00167206"/>
    <w:rsid w:val="001673B3"/>
    <w:rsid w:val="00167475"/>
    <w:rsid w:val="001675FE"/>
    <w:rsid w:val="00167C1D"/>
    <w:rsid w:val="00170E28"/>
    <w:rsid w:val="001713F1"/>
    <w:rsid w:val="00171550"/>
    <w:rsid w:val="00171955"/>
    <w:rsid w:val="001721D8"/>
    <w:rsid w:val="001727F1"/>
    <w:rsid w:val="00173288"/>
    <w:rsid w:val="001738D9"/>
    <w:rsid w:val="0017397C"/>
    <w:rsid w:val="00173E4D"/>
    <w:rsid w:val="0017409E"/>
    <w:rsid w:val="00174A9E"/>
    <w:rsid w:val="00174D6F"/>
    <w:rsid w:val="001753E7"/>
    <w:rsid w:val="0017549B"/>
    <w:rsid w:val="0017577F"/>
    <w:rsid w:val="001757CF"/>
    <w:rsid w:val="00176377"/>
    <w:rsid w:val="0017658D"/>
    <w:rsid w:val="001778A0"/>
    <w:rsid w:val="00177B17"/>
    <w:rsid w:val="00177BE3"/>
    <w:rsid w:val="0018008E"/>
    <w:rsid w:val="001810EB"/>
    <w:rsid w:val="0018190D"/>
    <w:rsid w:val="00181AB6"/>
    <w:rsid w:val="001822FD"/>
    <w:rsid w:val="00182A9C"/>
    <w:rsid w:val="00184B21"/>
    <w:rsid w:val="00184C29"/>
    <w:rsid w:val="0018512D"/>
    <w:rsid w:val="00186482"/>
    <w:rsid w:val="00186AD2"/>
    <w:rsid w:val="001870B9"/>
    <w:rsid w:val="00187493"/>
    <w:rsid w:val="00187FD4"/>
    <w:rsid w:val="0019108B"/>
    <w:rsid w:val="0019192E"/>
    <w:rsid w:val="00191BD0"/>
    <w:rsid w:val="00191C74"/>
    <w:rsid w:val="00191F21"/>
    <w:rsid w:val="0019203F"/>
    <w:rsid w:val="001922AD"/>
    <w:rsid w:val="00192B06"/>
    <w:rsid w:val="00193AE7"/>
    <w:rsid w:val="001942B0"/>
    <w:rsid w:val="00194B69"/>
    <w:rsid w:val="00195319"/>
    <w:rsid w:val="00195670"/>
    <w:rsid w:val="00195DAA"/>
    <w:rsid w:val="001966BD"/>
    <w:rsid w:val="00196A9C"/>
    <w:rsid w:val="00197488"/>
    <w:rsid w:val="001A0540"/>
    <w:rsid w:val="001A0D7F"/>
    <w:rsid w:val="001A0E66"/>
    <w:rsid w:val="001A1176"/>
    <w:rsid w:val="001A15AD"/>
    <w:rsid w:val="001A1652"/>
    <w:rsid w:val="001A18B5"/>
    <w:rsid w:val="001A242F"/>
    <w:rsid w:val="001A28D3"/>
    <w:rsid w:val="001A31DE"/>
    <w:rsid w:val="001A3802"/>
    <w:rsid w:val="001A390D"/>
    <w:rsid w:val="001A5207"/>
    <w:rsid w:val="001A5C2B"/>
    <w:rsid w:val="001A673E"/>
    <w:rsid w:val="001A68CD"/>
    <w:rsid w:val="001A77A3"/>
    <w:rsid w:val="001B010D"/>
    <w:rsid w:val="001B0F8F"/>
    <w:rsid w:val="001B1CE7"/>
    <w:rsid w:val="001B2117"/>
    <w:rsid w:val="001B2382"/>
    <w:rsid w:val="001B26DB"/>
    <w:rsid w:val="001B3A90"/>
    <w:rsid w:val="001B400A"/>
    <w:rsid w:val="001B4455"/>
    <w:rsid w:val="001B5778"/>
    <w:rsid w:val="001B5910"/>
    <w:rsid w:val="001B5D4E"/>
    <w:rsid w:val="001B5FBE"/>
    <w:rsid w:val="001B6044"/>
    <w:rsid w:val="001B6BC9"/>
    <w:rsid w:val="001B71F5"/>
    <w:rsid w:val="001B745A"/>
    <w:rsid w:val="001B7918"/>
    <w:rsid w:val="001B79CD"/>
    <w:rsid w:val="001B7AA2"/>
    <w:rsid w:val="001C01A4"/>
    <w:rsid w:val="001C02EF"/>
    <w:rsid w:val="001C07BC"/>
    <w:rsid w:val="001C12AA"/>
    <w:rsid w:val="001C1D12"/>
    <w:rsid w:val="001C2A7D"/>
    <w:rsid w:val="001C2B0D"/>
    <w:rsid w:val="001C3B34"/>
    <w:rsid w:val="001C3E89"/>
    <w:rsid w:val="001C4213"/>
    <w:rsid w:val="001C4ECE"/>
    <w:rsid w:val="001C5FE7"/>
    <w:rsid w:val="001C63D3"/>
    <w:rsid w:val="001C63E8"/>
    <w:rsid w:val="001D0629"/>
    <w:rsid w:val="001D077F"/>
    <w:rsid w:val="001D0E2A"/>
    <w:rsid w:val="001D12BF"/>
    <w:rsid w:val="001D12E9"/>
    <w:rsid w:val="001D1B0D"/>
    <w:rsid w:val="001D2769"/>
    <w:rsid w:val="001D28EE"/>
    <w:rsid w:val="001D2979"/>
    <w:rsid w:val="001D3245"/>
    <w:rsid w:val="001D365C"/>
    <w:rsid w:val="001D3ABC"/>
    <w:rsid w:val="001D3F96"/>
    <w:rsid w:val="001D441D"/>
    <w:rsid w:val="001D5EDC"/>
    <w:rsid w:val="001D5FD2"/>
    <w:rsid w:val="001D612E"/>
    <w:rsid w:val="001D6160"/>
    <w:rsid w:val="001D65A4"/>
    <w:rsid w:val="001D6AAD"/>
    <w:rsid w:val="001D70DF"/>
    <w:rsid w:val="001D7102"/>
    <w:rsid w:val="001D71BC"/>
    <w:rsid w:val="001D75A3"/>
    <w:rsid w:val="001E0778"/>
    <w:rsid w:val="001E0C69"/>
    <w:rsid w:val="001E0CCD"/>
    <w:rsid w:val="001E170D"/>
    <w:rsid w:val="001E1C79"/>
    <w:rsid w:val="001E1F26"/>
    <w:rsid w:val="001E20BF"/>
    <w:rsid w:val="001E2618"/>
    <w:rsid w:val="001E280B"/>
    <w:rsid w:val="001E2AA2"/>
    <w:rsid w:val="001E31D8"/>
    <w:rsid w:val="001E33EF"/>
    <w:rsid w:val="001E3AAD"/>
    <w:rsid w:val="001E3B75"/>
    <w:rsid w:val="001E3BA2"/>
    <w:rsid w:val="001E445E"/>
    <w:rsid w:val="001E4484"/>
    <w:rsid w:val="001E49C8"/>
    <w:rsid w:val="001E5A31"/>
    <w:rsid w:val="001E5B3E"/>
    <w:rsid w:val="001E5E36"/>
    <w:rsid w:val="001E630D"/>
    <w:rsid w:val="001E6338"/>
    <w:rsid w:val="001E649B"/>
    <w:rsid w:val="001E720F"/>
    <w:rsid w:val="001E7584"/>
    <w:rsid w:val="001F0874"/>
    <w:rsid w:val="001F0CCA"/>
    <w:rsid w:val="001F0F60"/>
    <w:rsid w:val="001F164A"/>
    <w:rsid w:val="001F16E9"/>
    <w:rsid w:val="001F17A4"/>
    <w:rsid w:val="001F1A83"/>
    <w:rsid w:val="001F20CC"/>
    <w:rsid w:val="001F20E0"/>
    <w:rsid w:val="001F2446"/>
    <w:rsid w:val="001F3302"/>
    <w:rsid w:val="001F3921"/>
    <w:rsid w:val="001F45B3"/>
    <w:rsid w:val="001F4AE2"/>
    <w:rsid w:val="001F5147"/>
    <w:rsid w:val="001F55A3"/>
    <w:rsid w:val="001F5CF3"/>
    <w:rsid w:val="001F5F9F"/>
    <w:rsid w:val="001F5FDD"/>
    <w:rsid w:val="001F69F0"/>
    <w:rsid w:val="001F6AE9"/>
    <w:rsid w:val="001F6E96"/>
    <w:rsid w:val="001F6FA9"/>
    <w:rsid w:val="001F7079"/>
    <w:rsid w:val="002003ED"/>
    <w:rsid w:val="0020041F"/>
    <w:rsid w:val="00200A6A"/>
    <w:rsid w:val="00200FBB"/>
    <w:rsid w:val="0020118E"/>
    <w:rsid w:val="00201A96"/>
    <w:rsid w:val="00201BEF"/>
    <w:rsid w:val="00201EEC"/>
    <w:rsid w:val="00202635"/>
    <w:rsid w:val="002026B6"/>
    <w:rsid w:val="00202709"/>
    <w:rsid w:val="0020281E"/>
    <w:rsid w:val="0020334F"/>
    <w:rsid w:val="00203589"/>
    <w:rsid w:val="0020363F"/>
    <w:rsid w:val="00203F95"/>
    <w:rsid w:val="0020482E"/>
    <w:rsid w:val="00205265"/>
    <w:rsid w:val="0020532E"/>
    <w:rsid w:val="0020621F"/>
    <w:rsid w:val="0020623F"/>
    <w:rsid w:val="002067B5"/>
    <w:rsid w:val="00206B5C"/>
    <w:rsid w:val="0020760B"/>
    <w:rsid w:val="0021004B"/>
    <w:rsid w:val="00210347"/>
    <w:rsid w:val="00210A22"/>
    <w:rsid w:val="00210E4F"/>
    <w:rsid w:val="002112B8"/>
    <w:rsid w:val="00211408"/>
    <w:rsid w:val="00211577"/>
    <w:rsid w:val="00211B22"/>
    <w:rsid w:val="00212E51"/>
    <w:rsid w:val="0021373F"/>
    <w:rsid w:val="00213AA2"/>
    <w:rsid w:val="002142C3"/>
    <w:rsid w:val="00214812"/>
    <w:rsid w:val="00215397"/>
    <w:rsid w:val="00215730"/>
    <w:rsid w:val="00216993"/>
    <w:rsid w:val="00216FC7"/>
    <w:rsid w:val="0021729A"/>
    <w:rsid w:val="00217432"/>
    <w:rsid w:val="00217774"/>
    <w:rsid w:val="00217D61"/>
    <w:rsid w:val="00217F3A"/>
    <w:rsid w:val="00221508"/>
    <w:rsid w:val="002219C9"/>
    <w:rsid w:val="00221AA8"/>
    <w:rsid w:val="00222588"/>
    <w:rsid w:val="00223476"/>
    <w:rsid w:val="0022347C"/>
    <w:rsid w:val="00223631"/>
    <w:rsid w:val="00224184"/>
    <w:rsid w:val="0022443F"/>
    <w:rsid w:val="00224A91"/>
    <w:rsid w:val="00224B62"/>
    <w:rsid w:val="002254F7"/>
    <w:rsid w:val="0022602B"/>
    <w:rsid w:val="00226423"/>
    <w:rsid w:val="0022775C"/>
    <w:rsid w:val="00227B1D"/>
    <w:rsid w:val="00227C70"/>
    <w:rsid w:val="00230646"/>
    <w:rsid w:val="0023089B"/>
    <w:rsid w:val="00230E2D"/>
    <w:rsid w:val="00231322"/>
    <w:rsid w:val="00233183"/>
    <w:rsid w:val="002333E1"/>
    <w:rsid w:val="00233D51"/>
    <w:rsid w:val="00233EDA"/>
    <w:rsid w:val="00234041"/>
    <w:rsid w:val="0023513F"/>
    <w:rsid w:val="00235B2D"/>
    <w:rsid w:val="0023653D"/>
    <w:rsid w:val="0023709E"/>
    <w:rsid w:val="00237759"/>
    <w:rsid w:val="00240493"/>
    <w:rsid w:val="00240557"/>
    <w:rsid w:val="00240AA1"/>
    <w:rsid w:val="00240CB5"/>
    <w:rsid w:val="00241775"/>
    <w:rsid w:val="00241E34"/>
    <w:rsid w:val="00242EFA"/>
    <w:rsid w:val="0024321A"/>
    <w:rsid w:val="002432C0"/>
    <w:rsid w:val="002433C5"/>
    <w:rsid w:val="00243E0E"/>
    <w:rsid w:val="00243E59"/>
    <w:rsid w:val="0024400F"/>
    <w:rsid w:val="00244B00"/>
    <w:rsid w:val="002457D3"/>
    <w:rsid w:val="00245F39"/>
    <w:rsid w:val="0024617D"/>
    <w:rsid w:val="002469AA"/>
    <w:rsid w:val="00247C3F"/>
    <w:rsid w:val="00247FAA"/>
    <w:rsid w:val="002500DD"/>
    <w:rsid w:val="00250240"/>
    <w:rsid w:val="0025062B"/>
    <w:rsid w:val="002519D8"/>
    <w:rsid w:val="00253151"/>
    <w:rsid w:val="0025317A"/>
    <w:rsid w:val="002532C4"/>
    <w:rsid w:val="00253D4C"/>
    <w:rsid w:val="002543ED"/>
    <w:rsid w:val="0025455B"/>
    <w:rsid w:val="002547DF"/>
    <w:rsid w:val="00254BB1"/>
    <w:rsid w:val="00255B61"/>
    <w:rsid w:val="00255EE3"/>
    <w:rsid w:val="00256152"/>
    <w:rsid w:val="00257253"/>
    <w:rsid w:val="002577EF"/>
    <w:rsid w:val="00257A15"/>
    <w:rsid w:val="00257CC7"/>
    <w:rsid w:val="00257D39"/>
    <w:rsid w:val="00257E4C"/>
    <w:rsid w:val="002609F1"/>
    <w:rsid w:val="00260B8B"/>
    <w:rsid w:val="00261500"/>
    <w:rsid w:val="00261501"/>
    <w:rsid w:val="00261911"/>
    <w:rsid w:val="00262DA7"/>
    <w:rsid w:val="00263B8C"/>
    <w:rsid w:val="00263D1E"/>
    <w:rsid w:val="00263F50"/>
    <w:rsid w:val="00265B1F"/>
    <w:rsid w:val="0026640A"/>
    <w:rsid w:val="00266503"/>
    <w:rsid w:val="002666E1"/>
    <w:rsid w:val="002671FA"/>
    <w:rsid w:val="00267A08"/>
    <w:rsid w:val="002726A5"/>
    <w:rsid w:val="0027371F"/>
    <w:rsid w:val="00274A86"/>
    <w:rsid w:val="00274CD5"/>
    <w:rsid w:val="00274CDB"/>
    <w:rsid w:val="00274CDD"/>
    <w:rsid w:val="00274DAA"/>
    <w:rsid w:val="002754AE"/>
    <w:rsid w:val="002754C4"/>
    <w:rsid w:val="0027558C"/>
    <w:rsid w:val="00275766"/>
    <w:rsid w:val="0027581F"/>
    <w:rsid w:val="00276995"/>
    <w:rsid w:val="00277E81"/>
    <w:rsid w:val="00280BDA"/>
    <w:rsid w:val="00280F64"/>
    <w:rsid w:val="00281313"/>
    <w:rsid w:val="00281F21"/>
    <w:rsid w:val="0028218A"/>
    <w:rsid w:val="0028285E"/>
    <w:rsid w:val="0028302C"/>
    <w:rsid w:val="002831D8"/>
    <w:rsid w:val="002838B2"/>
    <w:rsid w:val="00283C65"/>
    <w:rsid w:val="00283FE5"/>
    <w:rsid w:val="00284518"/>
    <w:rsid w:val="002853B0"/>
    <w:rsid w:val="00285619"/>
    <w:rsid w:val="00286459"/>
    <w:rsid w:val="00286502"/>
    <w:rsid w:val="002866D6"/>
    <w:rsid w:val="002866EE"/>
    <w:rsid w:val="00286DA0"/>
    <w:rsid w:val="0028708A"/>
    <w:rsid w:val="00287418"/>
    <w:rsid w:val="00287F24"/>
    <w:rsid w:val="00290575"/>
    <w:rsid w:val="0029083A"/>
    <w:rsid w:val="00290CCF"/>
    <w:rsid w:val="00290DBB"/>
    <w:rsid w:val="0029263C"/>
    <w:rsid w:val="002926C1"/>
    <w:rsid w:val="00292EF7"/>
    <w:rsid w:val="00293989"/>
    <w:rsid w:val="00294D72"/>
    <w:rsid w:val="002957FE"/>
    <w:rsid w:val="002959B1"/>
    <w:rsid w:val="0029615D"/>
    <w:rsid w:val="00296579"/>
    <w:rsid w:val="0029662D"/>
    <w:rsid w:val="00297179"/>
    <w:rsid w:val="00297768"/>
    <w:rsid w:val="00297C64"/>
    <w:rsid w:val="00297FDD"/>
    <w:rsid w:val="002A00B0"/>
    <w:rsid w:val="002A037C"/>
    <w:rsid w:val="002A0419"/>
    <w:rsid w:val="002A0BBA"/>
    <w:rsid w:val="002A0C81"/>
    <w:rsid w:val="002A18F5"/>
    <w:rsid w:val="002A1ABD"/>
    <w:rsid w:val="002A1C3A"/>
    <w:rsid w:val="002A1DC0"/>
    <w:rsid w:val="002A20F2"/>
    <w:rsid w:val="002A2C0B"/>
    <w:rsid w:val="002A2DEA"/>
    <w:rsid w:val="002A5560"/>
    <w:rsid w:val="002A6585"/>
    <w:rsid w:val="002A7AA1"/>
    <w:rsid w:val="002B04FC"/>
    <w:rsid w:val="002B04FE"/>
    <w:rsid w:val="002B0550"/>
    <w:rsid w:val="002B1995"/>
    <w:rsid w:val="002B2147"/>
    <w:rsid w:val="002B2920"/>
    <w:rsid w:val="002B351E"/>
    <w:rsid w:val="002B3D31"/>
    <w:rsid w:val="002B402B"/>
    <w:rsid w:val="002B511F"/>
    <w:rsid w:val="002B51FE"/>
    <w:rsid w:val="002B570E"/>
    <w:rsid w:val="002B587D"/>
    <w:rsid w:val="002B5931"/>
    <w:rsid w:val="002B668B"/>
    <w:rsid w:val="002B6F74"/>
    <w:rsid w:val="002B738D"/>
    <w:rsid w:val="002B7CB1"/>
    <w:rsid w:val="002C0217"/>
    <w:rsid w:val="002C0224"/>
    <w:rsid w:val="002C0260"/>
    <w:rsid w:val="002C03D3"/>
    <w:rsid w:val="002C1194"/>
    <w:rsid w:val="002C119A"/>
    <w:rsid w:val="002C15BE"/>
    <w:rsid w:val="002C1C35"/>
    <w:rsid w:val="002C2EC6"/>
    <w:rsid w:val="002C3108"/>
    <w:rsid w:val="002C3241"/>
    <w:rsid w:val="002C3263"/>
    <w:rsid w:val="002C332D"/>
    <w:rsid w:val="002C39B3"/>
    <w:rsid w:val="002C3A92"/>
    <w:rsid w:val="002C3D84"/>
    <w:rsid w:val="002C3FA7"/>
    <w:rsid w:val="002C4E21"/>
    <w:rsid w:val="002C5208"/>
    <w:rsid w:val="002C5247"/>
    <w:rsid w:val="002C5F15"/>
    <w:rsid w:val="002C5F77"/>
    <w:rsid w:val="002C614F"/>
    <w:rsid w:val="002C6DA0"/>
    <w:rsid w:val="002C7B34"/>
    <w:rsid w:val="002D02BB"/>
    <w:rsid w:val="002D02C4"/>
    <w:rsid w:val="002D086B"/>
    <w:rsid w:val="002D0AD5"/>
    <w:rsid w:val="002D1297"/>
    <w:rsid w:val="002D19A1"/>
    <w:rsid w:val="002D23D1"/>
    <w:rsid w:val="002D2977"/>
    <w:rsid w:val="002D307E"/>
    <w:rsid w:val="002D30A2"/>
    <w:rsid w:val="002D34EF"/>
    <w:rsid w:val="002D3796"/>
    <w:rsid w:val="002D37DD"/>
    <w:rsid w:val="002D4039"/>
    <w:rsid w:val="002D410E"/>
    <w:rsid w:val="002D44B5"/>
    <w:rsid w:val="002D5DC9"/>
    <w:rsid w:val="002D627D"/>
    <w:rsid w:val="002D62F1"/>
    <w:rsid w:val="002D65E2"/>
    <w:rsid w:val="002E0195"/>
    <w:rsid w:val="002E1022"/>
    <w:rsid w:val="002E1C36"/>
    <w:rsid w:val="002E1E2C"/>
    <w:rsid w:val="002E2152"/>
    <w:rsid w:val="002E3872"/>
    <w:rsid w:val="002E38D8"/>
    <w:rsid w:val="002E4060"/>
    <w:rsid w:val="002E4285"/>
    <w:rsid w:val="002E55AD"/>
    <w:rsid w:val="002E5DF6"/>
    <w:rsid w:val="002E60EE"/>
    <w:rsid w:val="002E650A"/>
    <w:rsid w:val="002E67E3"/>
    <w:rsid w:val="002E7898"/>
    <w:rsid w:val="002E791B"/>
    <w:rsid w:val="002F07CD"/>
    <w:rsid w:val="002F14E7"/>
    <w:rsid w:val="002F1580"/>
    <w:rsid w:val="002F170E"/>
    <w:rsid w:val="002F1929"/>
    <w:rsid w:val="002F2289"/>
    <w:rsid w:val="002F2352"/>
    <w:rsid w:val="002F2679"/>
    <w:rsid w:val="002F2FEE"/>
    <w:rsid w:val="002F379E"/>
    <w:rsid w:val="002F397F"/>
    <w:rsid w:val="002F3AFF"/>
    <w:rsid w:val="002F3B11"/>
    <w:rsid w:val="002F49E6"/>
    <w:rsid w:val="002F4D4E"/>
    <w:rsid w:val="002F67A7"/>
    <w:rsid w:val="002F6D77"/>
    <w:rsid w:val="002F6DA9"/>
    <w:rsid w:val="002F6DFD"/>
    <w:rsid w:val="003000DA"/>
    <w:rsid w:val="003003B1"/>
    <w:rsid w:val="00300EF1"/>
    <w:rsid w:val="003017E8"/>
    <w:rsid w:val="0030194B"/>
    <w:rsid w:val="00301F78"/>
    <w:rsid w:val="00301FE0"/>
    <w:rsid w:val="0030392D"/>
    <w:rsid w:val="00303D3E"/>
    <w:rsid w:val="003046E3"/>
    <w:rsid w:val="0030692E"/>
    <w:rsid w:val="00307997"/>
    <w:rsid w:val="003079CE"/>
    <w:rsid w:val="00307EC6"/>
    <w:rsid w:val="0031145F"/>
    <w:rsid w:val="003115E8"/>
    <w:rsid w:val="00311676"/>
    <w:rsid w:val="00311A22"/>
    <w:rsid w:val="00311BE9"/>
    <w:rsid w:val="00311D07"/>
    <w:rsid w:val="00311D6C"/>
    <w:rsid w:val="003122F9"/>
    <w:rsid w:val="003125FA"/>
    <w:rsid w:val="00312CD6"/>
    <w:rsid w:val="0031360A"/>
    <w:rsid w:val="003137C3"/>
    <w:rsid w:val="003138DE"/>
    <w:rsid w:val="003150E0"/>
    <w:rsid w:val="0031595D"/>
    <w:rsid w:val="00315E49"/>
    <w:rsid w:val="003161A2"/>
    <w:rsid w:val="00317BCD"/>
    <w:rsid w:val="00317E32"/>
    <w:rsid w:val="00317F6E"/>
    <w:rsid w:val="00320050"/>
    <w:rsid w:val="0032008D"/>
    <w:rsid w:val="00320311"/>
    <w:rsid w:val="003203FD"/>
    <w:rsid w:val="00320A7F"/>
    <w:rsid w:val="00320D5C"/>
    <w:rsid w:val="00320FEB"/>
    <w:rsid w:val="003210B9"/>
    <w:rsid w:val="003211A6"/>
    <w:rsid w:val="00321357"/>
    <w:rsid w:val="00321596"/>
    <w:rsid w:val="003216A3"/>
    <w:rsid w:val="003216AF"/>
    <w:rsid w:val="00322F7E"/>
    <w:rsid w:val="003237A4"/>
    <w:rsid w:val="00323D01"/>
    <w:rsid w:val="003241F9"/>
    <w:rsid w:val="00324231"/>
    <w:rsid w:val="00324705"/>
    <w:rsid w:val="00324B6D"/>
    <w:rsid w:val="00325639"/>
    <w:rsid w:val="003257A0"/>
    <w:rsid w:val="00325890"/>
    <w:rsid w:val="00326089"/>
    <w:rsid w:val="00326824"/>
    <w:rsid w:val="00327480"/>
    <w:rsid w:val="00330A72"/>
    <w:rsid w:val="00330EF8"/>
    <w:rsid w:val="003313B8"/>
    <w:rsid w:val="0033153F"/>
    <w:rsid w:val="0033195F"/>
    <w:rsid w:val="00331BED"/>
    <w:rsid w:val="00331C5C"/>
    <w:rsid w:val="003323B1"/>
    <w:rsid w:val="003327F9"/>
    <w:rsid w:val="0033308F"/>
    <w:rsid w:val="0033336F"/>
    <w:rsid w:val="00333473"/>
    <w:rsid w:val="003335EE"/>
    <w:rsid w:val="0033376E"/>
    <w:rsid w:val="00333BD7"/>
    <w:rsid w:val="00334117"/>
    <w:rsid w:val="00334A06"/>
    <w:rsid w:val="00335074"/>
    <w:rsid w:val="00335364"/>
    <w:rsid w:val="00335441"/>
    <w:rsid w:val="003366F6"/>
    <w:rsid w:val="00337209"/>
    <w:rsid w:val="003403D4"/>
    <w:rsid w:val="00340429"/>
    <w:rsid w:val="0034083B"/>
    <w:rsid w:val="00341A06"/>
    <w:rsid w:val="00342052"/>
    <w:rsid w:val="00342253"/>
    <w:rsid w:val="00342BFD"/>
    <w:rsid w:val="00343227"/>
    <w:rsid w:val="003448B2"/>
    <w:rsid w:val="00344B2D"/>
    <w:rsid w:val="00344D08"/>
    <w:rsid w:val="00344F40"/>
    <w:rsid w:val="00345E0B"/>
    <w:rsid w:val="00345F1D"/>
    <w:rsid w:val="00346AD0"/>
    <w:rsid w:val="00346F1D"/>
    <w:rsid w:val="00350326"/>
    <w:rsid w:val="0035060E"/>
    <w:rsid w:val="00350DF4"/>
    <w:rsid w:val="0035109F"/>
    <w:rsid w:val="00352534"/>
    <w:rsid w:val="00352792"/>
    <w:rsid w:val="003529EE"/>
    <w:rsid w:val="00352B6C"/>
    <w:rsid w:val="00352CA0"/>
    <w:rsid w:val="003541A5"/>
    <w:rsid w:val="0035457F"/>
    <w:rsid w:val="00354871"/>
    <w:rsid w:val="00355861"/>
    <w:rsid w:val="00355F01"/>
    <w:rsid w:val="0035646C"/>
    <w:rsid w:val="0035671F"/>
    <w:rsid w:val="00356CEA"/>
    <w:rsid w:val="00356F5E"/>
    <w:rsid w:val="00356F79"/>
    <w:rsid w:val="00357777"/>
    <w:rsid w:val="00357BE4"/>
    <w:rsid w:val="003601D9"/>
    <w:rsid w:val="00360377"/>
    <w:rsid w:val="00360566"/>
    <w:rsid w:val="003605EE"/>
    <w:rsid w:val="003609FC"/>
    <w:rsid w:val="00360C59"/>
    <w:rsid w:val="00361413"/>
    <w:rsid w:val="00361631"/>
    <w:rsid w:val="00361855"/>
    <w:rsid w:val="00361C12"/>
    <w:rsid w:val="00361DC3"/>
    <w:rsid w:val="003621C2"/>
    <w:rsid w:val="0036226E"/>
    <w:rsid w:val="003623DF"/>
    <w:rsid w:val="00362B7F"/>
    <w:rsid w:val="00362F47"/>
    <w:rsid w:val="003632D0"/>
    <w:rsid w:val="003635AB"/>
    <w:rsid w:val="00363632"/>
    <w:rsid w:val="003639E8"/>
    <w:rsid w:val="00364223"/>
    <w:rsid w:val="00364416"/>
    <w:rsid w:val="00364512"/>
    <w:rsid w:val="00364A61"/>
    <w:rsid w:val="00365356"/>
    <w:rsid w:val="00365D68"/>
    <w:rsid w:val="00365F21"/>
    <w:rsid w:val="00366917"/>
    <w:rsid w:val="00366B54"/>
    <w:rsid w:val="00366DBE"/>
    <w:rsid w:val="00370CAF"/>
    <w:rsid w:val="003720CF"/>
    <w:rsid w:val="0037240C"/>
    <w:rsid w:val="00373007"/>
    <w:rsid w:val="003730AA"/>
    <w:rsid w:val="00374001"/>
    <w:rsid w:val="0037466A"/>
    <w:rsid w:val="00374EBD"/>
    <w:rsid w:val="0037556F"/>
    <w:rsid w:val="003757BF"/>
    <w:rsid w:val="0037586B"/>
    <w:rsid w:val="00375D02"/>
    <w:rsid w:val="0037621C"/>
    <w:rsid w:val="00376A11"/>
    <w:rsid w:val="00376E74"/>
    <w:rsid w:val="003771F4"/>
    <w:rsid w:val="00377425"/>
    <w:rsid w:val="00377991"/>
    <w:rsid w:val="00377FDD"/>
    <w:rsid w:val="00380706"/>
    <w:rsid w:val="003808C1"/>
    <w:rsid w:val="00380DB1"/>
    <w:rsid w:val="00380E18"/>
    <w:rsid w:val="003811E5"/>
    <w:rsid w:val="0038140C"/>
    <w:rsid w:val="0038221A"/>
    <w:rsid w:val="0038229E"/>
    <w:rsid w:val="0038243D"/>
    <w:rsid w:val="003835AD"/>
    <w:rsid w:val="0038389F"/>
    <w:rsid w:val="0038444F"/>
    <w:rsid w:val="003854D4"/>
    <w:rsid w:val="003855D5"/>
    <w:rsid w:val="00386082"/>
    <w:rsid w:val="0038657E"/>
    <w:rsid w:val="00386EE5"/>
    <w:rsid w:val="0038756D"/>
    <w:rsid w:val="00387C57"/>
    <w:rsid w:val="00390220"/>
    <w:rsid w:val="00390278"/>
    <w:rsid w:val="00390973"/>
    <w:rsid w:val="00390AE6"/>
    <w:rsid w:val="00391361"/>
    <w:rsid w:val="0039188D"/>
    <w:rsid w:val="00391AD4"/>
    <w:rsid w:val="003938EA"/>
    <w:rsid w:val="00393962"/>
    <w:rsid w:val="00393CA6"/>
    <w:rsid w:val="003941FB"/>
    <w:rsid w:val="0039562A"/>
    <w:rsid w:val="0039571C"/>
    <w:rsid w:val="003969FA"/>
    <w:rsid w:val="003971A4"/>
    <w:rsid w:val="003A0490"/>
    <w:rsid w:val="003A0537"/>
    <w:rsid w:val="003A05C6"/>
    <w:rsid w:val="003A08A9"/>
    <w:rsid w:val="003A0976"/>
    <w:rsid w:val="003A0CD8"/>
    <w:rsid w:val="003A2D45"/>
    <w:rsid w:val="003A38FE"/>
    <w:rsid w:val="003A43CF"/>
    <w:rsid w:val="003A4873"/>
    <w:rsid w:val="003A5B9F"/>
    <w:rsid w:val="003A60E8"/>
    <w:rsid w:val="003A61EC"/>
    <w:rsid w:val="003A6728"/>
    <w:rsid w:val="003A6A21"/>
    <w:rsid w:val="003A6C5F"/>
    <w:rsid w:val="003A6CAC"/>
    <w:rsid w:val="003A7F59"/>
    <w:rsid w:val="003A7FF3"/>
    <w:rsid w:val="003B04B3"/>
    <w:rsid w:val="003B0852"/>
    <w:rsid w:val="003B0A00"/>
    <w:rsid w:val="003B13BC"/>
    <w:rsid w:val="003B27EA"/>
    <w:rsid w:val="003B2A35"/>
    <w:rsid w:val="003B323D"/>
    <w:rsid w:val="003B33B1"/>
    <w:rsid w:val="003B356B"/>
    <w:rsid w:val="003B406A"/>
    <w:rsid w:val="003B4642"/>
    <w:rsid w:val="003B55E8"/>
    <w:rsid w:val="003B5874"/>
    <w:rsid w:val="003B5CDD"/>
    <w:rsid w:val="003B5F86"/>
    <w:rsid w:val="003B66E9"/>
    <w:rsid w:val="003B680A"/>
    <w:rsid w:val="003B6B78"/>
    <w:rsid w:val="003B7427"/>
    <w:rsid w:val="003C04F9"/>
    <w:rsid w:val="003C0CAA"/>
    <w:rsid w:val="003C1F45"/>
    <w:rsid w:val="003C22B8"/>
    <w:rsid w:val="003C2FAD"/>
    <w:rsid w:val="003C33EC"/>
    <w:rsid w:val="003C62A5"/>
    <w:rsid w:val="003C6549"/>
    <w:rsid w:val="003C6557"/>
    <w:rsid w:val="003C67B9"/>
    <w:rsid w:val="003C739C"/>
    <w:rsid w:val="003C759A"/>
    <w:rsid w:val="003C7D35"/>
    <w:rsid w:val="003C7E1A"/>
    <w:rsid w:val="003D0064"/>
    <w:rsid w:val="003D0183"/>
    <w:rsid w:val="003D0887"/>
    <w:rsid w:val="003D0E30"/>
    <w:rsid w:val="003D0E93"/>
    <w:rsid w:val="003D11D1"/>
    <w:rsid w:val="003D15CF"/>
    <w:rsid w:val="003D1751"/>
    <w:rsid w:val="003D234D"/>
    <w:rsid w:val="003D32D6"/>
    <w:rsid w:val="003D35D7"/>
    <w:rsid w:val="003D3625"/>
    <w:rsid w:val="003D3919"/>
    <w:rsid w:val="003D544D"/>
    <w:rsid w:val="003D5AC4"/>
    <w:rsid w:val="003D5B7A"/>
    <w:rsid w:val="003D5D37"/>
    <w:rsid w:val="003D6085"/>
    <w:rsid w:val="003D63F0"/>
    <w:rsid w:val="003D6752"/>
    <w:rsid w:val="003D6C05"/>
    <w:rsid w:val="003E0691"/>
    <w:rsid w:val="003E0952"/>
    <w:rsid w:val="003E0D65"/>
    <w:rsid w:val="003E1792"/>
    <w:rsid w:val="003E1D46"/>
    <w:rsid w:val="003E1F34"/>
    <w:rsid w:val="003E2150"/>
    <w:rsid w:val="003E2682"/>
    <w:rsid w:val="003E3209"/>
    <w:rsid w:val="003E387A"/>
    <w:rsid w:val="003E408E"/>
    <w:rsid w:val="003E61C9"/>
    <w:rsid w:val="003E65F2"/>
    <w:rsid w:val="003E660A"/>
    <w:rsid w:val="003E6B91"/>
    <w:rsid w:val="003E6CEA"/>
    <w:rsid w:val="003E6D4C"/>
    <w:rsid w:val="003E73BC"/>
    <w:rsid w:val="003E7D95"/>
    <w:rsid w:val="003F1128"/>
    <w:rsid w:val="003F199B"/>
    <w:rsid w:val="003F244F"/>
    <w:rsid w:val="003F24FA"/>
    <w:rsid w:val="003F260A"/>
    <w:rsid w:val="003F28E9"/>
    <w:rsid w:val="003F2F23"/>
    <w:rsid w:val="003F3122"/>
    <w:rsid w:val="003F31A4"/>
    <w:rsid w:val="003F346F"/>
    <w:rsid w:val="003F3AD9"/>
    <w:rsid w:val="003F3B44"/>
    <w:rsid w:val="003F3B9D"/>
    <w:rsid w:val="003F3D1B"/>
    <w:rsid w:val="003F4239"/>
    <w:rsid w:val="003F501A"/>
    <w:rsid w:val="003F52CD"/>
    <w:rsid w:val="003F5C98"/>
    <w:rsid w:val="003F5F3A"/>
    <w:rsid w:val="003F62C4"/>
    <w:rsid w:val="003F66DF"/>
    <w:rsid w:val="003F7F16"/>
    <w:rsid w:val="0040014B"/>
    <w:rsid w:val="00400425"/>
    <w:rsid w:val="004009A6"/>
    <w:rsid w:val="00400A37"/>
    <w:rsid w:val="00400A9A"/>
    <w:rsid w:val="00400CAD"/>
    <w:rsid w:val="00402B4B"/>
    <w:rsid w:val="00402CFC"/>
    <w:rsid w:val="00403410"/>
    <w:rsid w:val="0040397F"/>
    <w:rsid w:val="00403D18"/>
    <w:rsid w:val="00404323"/>
    <w:rsid w:val="00404417"/>
    <w:rsid w:val="004044A5"/>
    <w:rsid w:val="00404837"/>
    <w:rsid w:val="0040587C"/>
    <w:rsid w:val="00406537"/>
    <w:rsid w:val="00406DBC"/>
    <w:rsid w:val="0041010C"/>
    <w:rsid w:val="004106D3"/>
    <w:rsid w:val="00410F4A"/>
    <w:rsid w:val="004125D4"/>
    <w:rsid w:val="00413DBE"/>
    <w:rsid w:val="00414016"/>
    <w:rsid w:val="00414208"/>
    <w:rsid w:val="00414735"/>
    <w:rsid w:val="0041485A"/>
    <w:rsid w:val="00414A15"/>
    <w:rsid w:val="00414BC4"/>
    <w:rsid w:val="00414E6C"/>
    <w:rsid w:val="00415242"/>
    <w:rsid w:val="00415509"/>
    <w:rsid w:val="00415807"/>
    <w:rsid w:val="00415ACB"/>
    <w:rsid w:val="00415DB5"/>
    <w:rsid w:val="00415E84"/>
    <w:rsid w:val="00415F8C"/>
    <w:rsid w:val="00416726"/>
    <w:rsid w:val="00417869"/>
    <w:rsid w:val="00417FDE"/>
    <w:rsid w:val="0042098E"/>
    <w:rsid w:val="00421757"/>
    <w:rsid w:val="00422477"/>
    <w:rsid w:val="004225ED"/>
    <w:rsid w:val="0042281A"/>
    <w:rsid w:val="004230E2"/>
    <w:rsid w:val="0042342F"/>
    <w:rsid w:val="00423C9C"/>
    <w:rsid w:val="00423CFF"/>
    <w:rsid w:val="00424114"/>
    <w:rsid w:val="00425A30"/>
    <w:rsid w:val="00425BDB"/>
    <w:rsid w:val="00425BE9"/>
    <w:rsid w:val="00425D85"/>
    <w:rsid w:val="00426141"/>
    <w:rsid w:val="0042618B"/>
    <w:rsid w:val="004273A8"/>
    <w:rsid w:val="0043046E"/>
    <w:rsid w:val="0043074F"/>
    <w:rsid w:val="00430E13"/>
    <w:rsid w:val="00431384"/>
    <w:rsid w:val="00431573"/>
    <w:rsid w:val="0043182A"/>
    <w:rsid w:val="00431AE4"/>
    <w:rsid w:val="004320FC"/>
    <w:rsid w:val="00432ECC"/>
    <w:rsid w:val="00433140"/>
    <w:rsid w:val="00433481"/>
    <w:rsid w:val="00433FBF"/>
    <w:rsid w:val="0043434D"/>
    <w:rsid w:val="0043435F"/>
    <w:rsid w:val="0043521E"/>
    <w:rsid w:val="004363C2"/>
    <w:rsid w:val="004374BC"/>
    <w:rsid w:val="004404B6"/>
    <w:rsid w:val="00440734"/>
    <w:rsid w:val="00440A22"/>
    <w:rsid w:val="00441122"/>
    <w:rsid w:val="0044196A"/>
    <w:rsid w:val="00441E6C"/>
    <w:rsid w:val="00442315"/>
    <w:rsid w:val="00443C0A"/>
    <w:rsid w:val="00443DC7"/>
    <w:rsid w:val="0044410F"/>
    <w:rsid w:val="00444A46"/>
    <w:rsid w:val="00444D23"/>
    <w:rsid w:val="00445F00"/>
    <w:rsid w:val="00445F1E"/>
    <w:rsid w:val="004461B1"/>
    <w:rsid w:val="00446250"/>
    <w:rsid w:val="00446494"/>
    <w:rsid w:val="00446B76"/>
    <w:rsid w:val="00447665"/>
    <w:rsid w:val="00447698"/>
    <w:rsid w:val="00447D10"/>
    <w:rsid w:val="0045008B"/>
    <w:rsid w:val="004501C1"/>
    <w:rsid w:val="00450421"/>
    <w:rsid w:val="00450EC9"/>
    <w:rsid w:val="00451415"/>
    <w:rsid w:val="00451A37"/>
    <w:rsid w:val="00451D83"/>
    <w:rsid w:val="00452F54"/>
    <w:rsid w:val="004546F8"/>
    <w:rsid w:val="00455946"/>
    <w:rsid w:val="00455955"/>
    <w:rsid w:val="0045720A"/>
    <w:rsid w:val="00457AB0"/>
    <w:rsid w:val="00457B09"/>
    <w:rsid w:val="0046027F"/>
    <w:rsid w:val="004603B4"/>
    <w:rsid w:val="00461395"/>
    <w:rsid w:val="004627DD"/>
    <w:rsid w:val="00464203"/>
    <w:rsid w:val="004645A5"/>
    <w:rsid w:val="00464815"/>
    <w:rsid w:val="00464A29"/>
    <w:rsid w:val="00464E64"/>
    <w:rsid w:val="00464EA3"/>
    <w:rsid w:val="00466158"/>
    <w:rsid w:val="0046620E"/>
    <w:rsid w:val="0046632D"/>
    <w:rsid w:val="004664D1"/>
    <w:rsid w:val="00466549"/>
    <w:rsid w:val="004668AC"/>
    <w:rsid w:val="00466A64"/>
    <w:rsid w:val="00466CF5"/>
    <w:rsid w:val="0046739F"/>
    <w:rsid w:val="00467A8C"/>
    <w:rsid w:val="00467ABA"/>
    <w:rsid w:val="00467FD5"/>
    <w:rsid w:val="00470E39"/>
    <w:rsid w:val="004721F0"/>
    <w:rsid w:val="00472404"/>
    <w:rsid w:val="0047240B"/>
    <w:rsid w:val="004726CF"/>
    <w:rsid w:val="00472C69"/>
    <w:rsid w:val="00473287"/>
    <w:rsid w:val="004734CC"/>
    <w:rsid w:val="00473755"/>
    <w:rsid w:val="00473D5F"/>
    <w:rsid w:val="004741AB"/>
    <w:rsid w:val="004751CC"/>
    <w:rsid w:val="004753A0"/>
    <w:rsid w:val="004759CD"/>
    <w:rsid w:val="00475FC4"/>
    <w:rsid w:val="00475FF8"/>
    <w:rsid w:val="004764E0"/>
    <w:rsid w:val="004768BE"/>
    <w:rsid w:val="0047715E"/>
    <w:rsid w:val="004778CD"/>
    <w:rsid w:val="00480066"/>
    <w:rsid w:val="004807B1"/>
    <w:rsid w:val="00480ED2"/>
    <w:rsid w:val="004817EE"/>
    <w:rsid w:val="00481CAA"/>
    <w:rsid w:val="004828B3"/>
    <w:rsid w:val="004832A1"/>
    <w:rsid w:val="0048463A"/>
    <w:rsid w:val="00484A26"/>
    <w:rsid w:val="0048504B"/>
    <w:rsid w:val="00485152"/>
    <w:rsid w:val="0048536D"/>
    <w:rsid w:val="00486270"/>
    <w:rsid w:val="00486D96"/>
    <w:rsid w:val="00486E03"/>
    <w:rsid w:val="004875D9"/>
    <w:rsid w:val="00487FE5"/>
    <w:rsid w:val="00490B09"/>
    <w:rsid w:val="004912D8"/>
    <w:rsid w:val="00491CEF"/>
    <w:rsid w:val="0049470A"/>
    <w:rsid w:val="00494752"/>
    <w:rsid w:val="004949C1"/>
    <w:rsid w:val="00494A17"/>
    <w:rsid w:val="00494A72"/>
    <w:rsid w:val="00494F8F"/>
    <w:rsid w:val="004954F6"/>
    <w:rsid w:val="00495644"/>
    <w:rsid w:val="00496238"/>
    <w:rsid w:val="004962F9"/>
    <w:rsid w:val="00496B23"/>
    <w:rsid w:val="00496FA8"/>
    <w:rsid w:val="00496FF5"/>
    <w:rsid w:val="00497243"/>
    <w:rsid w:val="00497649"/>
    <w:rsid w:val="00497670"/>
    <w:rsid w:val="004A051E"/>
    <w:rsid w:val="004A0E8C"/>
    <w:rsid w:val="004A1609"/>
    <w:rsid w:val="004A16A7"/>
    <w:rsid w:val="004A1739"/>
    <w:rsid w:val="004A17A9"/>
    <w:rsid w:val="004A1A0E"/>
    <w:rsid w:val="004A1A68"/>
    <w:rsid w:val="004A43DA"/>
    <w:rsid w:val="004A43DD"/>
    <w:rsid w:val="004A47BE"/>
    <w:rsid w:val="004A4BAE"/>
    <w:rsid w:val="004A60C0"/>
    <w:rsid w:val="004A6BC0"/>
    <w:rsid w:val="004A6CDB"/>
    <w:rsid w:val="004A7E25"/>
    <w:rsid w:val="004B0B33"/>
    <w:rsid w:val="004B0C71"/>
    <w:rsid w:val="004B190F"/>
    <w:rsid w:val="004B1D8D"/>
    <w:rsid w:val="004B23F3"/>
    <w:rsid w:val="004B4540"/>
    <w:rsid w:val="004B50AA"/>
    <w:rsid w:val="004B64C5"/>
    <w:rsid w:val="004B70C9"/>
    <w:rsid w:val="004B7305"/>
    <w:rsid w:val="004B7D3D"/>
    <w:rsid w:val="004C00B4"/>
    <w:rsid w:val="004C0146"/>
    <w:rsid w:val="004C0B5C"/>
    <w:rsid w:val="004C1B69"/>
    <w:rsid w:val="004C1D7D"/>
    <w:rsid w:val="004C21C9"/>
    <w:rsid w:val="004C247D"/>
    <w:rsid w:val="004C30A6"/>
    <w:rsid w:val="004C3718"/>
    <w:rsid w:val="004C3EFB"/>
    <w:rsid w:val="004C3F0C"/>
    <w:rsid w:val="004C4045"/>
    <w:rsid w:val="004C411A"/>
    <w:rsid w:val="004C412D"/>
    <w:rsid w:val="004C47F9"/>
    <w:rsid w:val="004C4F54"/>
    <w:rsid w:val="004C526C"/>
    <w:rsid w:val="004C675F"/>
    <w:rsid w:val="004C6808"/>
    <w:rsid w:val="004C6AEA"/>
    <w:rsid w:val="004C77F4"/>
    <w:rsid w:val="004C7C28"/>
    <w:rsid w:val="004D1C77"/>
    <w:rsid w:val="004D31B3"/>
    <w:rsid w:val="004D348B"/>
    <w:rsid w:val="004D3FA2"/>
    <w:rsid w:val="004D4395"/>
    <w:rsid w:val="004D43BB"/>
    <w:rsid w:val="004D4419"/>
    <w:rsid w:val="004D4BC2"/>
    <w:rsid w:val="004D4C95"/>
    <w:rsid w:val="004D5288"/>
    <w:rsid w:val="004D5427"/>
    <w:rsid w:val="004D55AA"/>
    <w:rsid w:val="004D5D2E"/>
    <w:rsid w:val="004D6220"/>
    <w:rsid w:val="004D6519"/>
    <w:rsid w:val="004D65F0"/>
    <w:rsid w:val="004D72AC"/>
    <w:rsid w:val="004E0086"/>
    <w:rsid w:val="004E09E2"/>
    <w:rsid w:val="004E0B44"/>
    <w:rsid w:val="004E1871"/>
    <w:rsid w:val="004E18FC"/>
    <w:rsid w:val="004E2152"/>
    <w:rsid w:val="004E2788"/>
    <w:rsid w:val="004E2BC7"/>
    <w:rsid w:val="004E6174"/>
    <w:rsid w:val="004E623C"/>
    <w:rsid w:val="004E63E3"/>
    <w:rsid w:val="004E66E2"/>
    <w:rsid w:val="004E6F67"/>
    <w:rsid w:val="004F023A"/>
    <w:rsid w:val="004F0496"/>
    <w:rsid w:val="004F0DA8"/>
    <w:rsid w:val="004F117E"/>
    <w:rsid w:val="004F14CF"/>
    <w:rsid w:val="004F1534"/>
    <w:rsid w:val="004F20AE"/>
    <w:rsid w:val="004F2651"/>
    <w:rsid w:val="004F2AC0"/>
    <w:rsid w:val="004F2EDF"/>
    <w:rsid w:val="004F3128"/>
    <w:rsid w:val="004F3959"/>
    <w:rsid w:val="004F3E37"/>
    <w:rsid w:val="004F5201"/>
    <w:rsid w:val="004F6EC9"/>
    <w:rsid w:val="004F7063"/>
    <w:rsid w:val="004F734A"/>
    <w:rsid w:val="004F785C"/>
    <w:rsid w:val="004F7AAD"/>
    <w:rsid w:val="004F7B23"/>
    <w:rsid w:val="004F7C6A"/>
    <w:rsid w:val="005011D6"/>
    <w:rsid w:val="00501263"/>
    <w:rsid w:val="00501367"/>
    <w:rsid w:val="00501510"/>
    <w:rsid w:val="00501CE7"/>
    <w:rsid w:val="005032AC"/>
    <w:rsid w:val="00503D6E"/>
    <w:rsid w:val="005048C5"/>
    <w:rsid w:val="00504B0B"/>
    <w:rsid w:val="00504F2E"/>
    <w:rsid w:val="005055AB"/>
    <w:rsid w:val="00506000"/>
    <w:rsid w:val="0050600A"/>
    <w:rsid w:val="005060F7"/>
    <w:rsid w:val="0050612A"/>
    <w:rsid w:val="0051039B"/>
    <w:rsid w:val="005103B3"/>
    <w:rsid w:val="005106CA"/>
    <w:rsid w:val="0051073F"/>
    <w:rsid w:val="00511060"/>
    <w:rsid w:val="005111D9"/>
    <w:rsid w:val="0051141A"/>
    <w:rsid w:val="005116F1"/>
    <w:rsid w:val="0051190D"/>
    <w:rsid w:val="00511DD2"/>
    <w:rsid w:val="005137B5"/>
    <w:rsid w:val="00514B45"/>
    <w:rsid w:val="00514B64"/>
    <w:rsid w:val="00515390"/>
    <w:rsid w:val="00515AE5"/>
    <w:rsid w:val="00515F17"/>
    <w:rsid w:val="00516061"/>
    <w:rsid w:val="005167EA"/>
    <w:rsid w:val="005173E6"/>
    <w:rsid w:val="005177D6"/>
    <w:rsid w:val="00517C88"/>
    <w:rsid w:val="00520193"/>
    <w:rsid w:val="005215C4"/>
    <w:rsid w:val="0052185F"/>
    <w:rsid w:val="00521A9D"/>
    <w:rsid w:val="00522039"/>
    <w:rsid w:val="005221C5"/>
    <w:rsid w:val="00522DCA"/>
    <w:rsid w:val="00523985"/>
    <w:rsid w:val="00523A18"/>
    <w:rsid w:val="00523A45"/>
    <w:rsid w:val="00523E47"/>
    <w:rsid w:val="00523ED9"/>
    <w:rsid w:val="005248D3"/>
    <w:rsid w:val="00524CD7"/>
    <w:rsid w:val="00525064"/>
    <w:rsid w:val="00525D22"/>
    <w:rsid w:val="00526AFE"/>
    <w:rsid w:val="00526E8D"/>
    <w:rsid w:val="00527C65"/>
    <w:rsid w:val="00527F3F"/>
    <w:rsid w:val="0053022D"/>
    <w:rsid w:val="00530F1B"/>
    <w:rsid w:val="005319E8"/>
    <w:rsid w:val="00532AE9"/>
    <w:rsid w:val="00533950"/>
    <w:rsid w:val="0053412C"/>
    <w:rsid w:val="00534971"/>
    <w:rsid w:val="00534FF6"/>
    <w:rsid w:val="0053578C"/>
    <w:rsid w:val="005358D5"/>
    <w:rsid w:val="00536086"/>
    <w:rsid w:val="00536365"/>
    <w:rsid w:val="00540C89"/>
    <w:rsid w:val="00540F80"/>
    <w:rsid w:val="0054241D"/>
    <w:rsid w:val="005425D3"/>
    <w:rsid w:val="005433BF"/>
    <w:rsid w:val="00543E10"/>
    <w:rsid w:val="00543F2E"/>
    <w:rsid w:val="00544912"/>
    <w:rsid w:val="00544DF1"/>
    <w:rsid w:val="00545211"/>
    <w:rsid w:val="005453C0"/>
    <w:rsid w:val="00545B6C"/>
    <w:rsid w:val="00545BE4"/>
    <w:rsid w:val="00546BE7"/>
    <w:rsid w:val="00547708"/>
    <w:rsid w:val="00547AE3"/>
    <w:rsid w:val="00547FAF"/>
    <w:rsid w:val="00550430"/>
    <w:rsid w:val="00550896"/>
    <w:rsid w:val="00550A68"/>
    <w:rsid w:val="005516D1"/>
    <w:rsid w:val="00551CC7"/>
    <w:rsid w:val="00552412"/>
    <w:rsid w:val="005526C9"/>
    <w:rsid w:val="00553446"/>
    <w:rsid w:val="00553848"/>
    <w:rsid w:val="00554523"/>
    <w:rsid w:val="00554FCB"/>
    <w:rsid w:val="005553D8"/>
    <w:rsid w:val="00555521"/>
    <w:rsid w:val="0055576C"/>
    <w:rsid w:val="005557F6"/>
    <w:rsid w:val="00555D71"/>
    <w:rsid w:val="00556371"/>
    <w:rsid w:val="005568E5"/>
    <w:rsid w:val="00557449"/>
    <w:rsid w:val="0055759D"/>
    <w:rsid w:val="005575AF"/>
    <w:rsid w:val="00557BEE"/>
    <w:rsid w:val="00557F33"/>
    <w:rsid w:val="00557FC2"/>
    <w:rsid w:val="00560038"/>
    <w:rsid w:val="00561CF0"/>
    <w:rsid w:val="00561EDB"/>
    <w:rsid w:val="00562024"/>
    <w:rsid w:val="005623B0"/>
    <w:rsid w:val="00562C2C"/>
    <w:rsid w:val="00562C9F"/>
    <w:rsid w:val="00562D64"/>
    <w:rsid w:val="00563A99"/>
    <w:rsid w:val="0056435F"/>
    <w:rsid w:val="005643BE"/>
    <w:rsid w:val="00564482"/>
    <w:rsid w:val="00564A5E"/>
    <w:rsid w:val="005652FD"/>
    <w:rsid w:val="005653EA"/>
    <w:rsid w:val="00565490"/>
    <w:rsid w:val="005655A5"/>
    <w:rsid w:val="00565DC6"/>
    <w:rsid w:val="00566A95"/>
    <w:rsid w:val="0056738A"/>
    <w:rsid w:val="00570258"/>
    <w:rsid w:val="00572BA5"/>
    <w:rsid w:val="0057414A"/>
    <w:rsid w:val="0057441D"/>
    <w:rsid w:val="00574B71"/>
    <w:rsid w:val="005750E5"/>
    <w:rsid w:val="00575681"/>
    <w:rsid w:val="00575C0B"/>
    <w:rsid w:val="00575D1F"/>
    <w:rsid w:val="005763A7"/>
    <w:rsid w:val="00576839"/>
    <w:rsid w:val="00577616"/>
    <w:rsid w:val="00577FA7"/>
    <w:rsid w:val="00580C07"/>
    <w:rsid w:val="00580EA7"/>
    <w:rsid w:val="00581255"/>
    <w:rsid w:val="005813C4"/>
    <w:rsid w:val="005813D5"/>
    <w:rsid w:val="0058238D"/>
    <w:rsid w:val="00582770"/>
    <w:rsid w:val="00582D16"/>
    <w:rsid w:val="00583058"/>
    <w:rsid w:val="005833B7"/>
    <w:rsid w:val="0058356D"/>
    <w:rsid w:val="00583F45"/>
    <w:rsid w:val="005846ED"/>
    <w:rsid w:val="0058473F"/>
    <w:rsid w:val="00584A22"/>
    <w:rsid w:val="00584CED"/>
    <w:rsid w:val="00584E27"/>
    <w:rsid w:val="00584F19"/>
    <w:rsid w:val="0058505B"/>
    <w:rsid w:val="005858F3"/>
    <w:rsid w:val="00585CF5"/>
    <w:rsid w:val="00586C3C"/>
    <w:rsid w:val="00587955"/>
    <w:rsid w:val="00590827"/>
    <w:rsid w:val="00590EED"/>
    <w:rsid w:val="00591096"/>
    <w:rsid w:val="005911E4"/>
    <w:rsid w:val="00591242"/>
    <w:rsid w:val="0059152C"/>
    <w:rsid w:val="00591D5C"/>
    <w:rsid w:val="0059301D"/>
    <w:rsid w:val="00593108"/>
    <w:rsid w:val="005939BF"/>
    <w:rsid w:val="00593FB4"/>
    <w:rsid w:val="00594369"/>
    <w:rsid w:val="00594F23"/>
    <w:rsid w:val="00594F58"/>
    <w:rsid w:val="00595485"/>
    <w:rsid w:val="00595843"/>
    <w:rsid w:val="005959D3"/>
    <w:rsid w:val="00595E93"/>
    <w:rsid w:val="005973CD"/>
    <w:rsid w:val="005A0C2A"/>
    <w:rsid w:val="005A15E4"/>
    <w:rsid w:val="005A1C2D"/>
    <w:rsid w:val="005A1F86"/>
    <w:rsid w:val="005A2506"/>
    <w:rsid w:val="005A2B71"/>
    <w:rsid w:val="005A2C7F"/>
    <w:rsid w:val="005A3E26"/>
    <w:rsid w:val="005A41F8"/>
    <w:rsid w:val="005A4882"/>
    <w:rsid w:val="005A4D58"/>
    <w:rsid w:val="005A5708"/>
    <w:rsid w:val="005A5AA9"/>
    <w:rsid w:val="005A5BAF"/>
    <w:rsid w:val="005A5D06"/>
    <w:rsid w:val="005A640C"/>
    <w:rsid w:val="005A6991"/>
    <w:rsid w:val="005A6BED"/>
    <w:rsid w:val="005A6EA9"/>
    <w:rsid w:val="005A7D75"/>
    <w:rsid w:val="005B0851"/>
    <w:rsid w:val="005B0C0D"/>
    <w:rsid w:val="005B10C5"/>
    <w:rsid w:val="005B156E"/>
    <w:rsid w:val="005B26A9"/>
    <w:rsid w:val="005B3004"/>
    <w:rsid w:val="005B3B6E"/>
    <w:rsid w:val="005B3D7C"/>
    <w:rsid w:val="005B41CD"/>
    <w:rsid w:val="005B4619"/>
    <w:rsid w:val="005B4BF4"/>
    <w:rsid w:val="005B4CE3"/>
    <w:rsid w:val="005B4D69"/>
    <w:rsid w:val="005B4E8C"/>
    <w:rsid w:val="005B4F1B"/>
    <w:rsid w:val="005B4F1D"/>
    <w:rsid w:val="005B509C"/>
    <w:rsid w:val="005B5A0C"/>
    <w:rsid w:val="005B60A8"/>
    <w:rsid w:val="005B64EA"/>
    <w:rsid w:val="005B73FB"/>
    <w:rsid w:val="005C03D2"/>
    <w:rsid w:val="005C03FD"/>
    <w:rsid w:val="005C0871"/>
    <w:rsid w:val="005C0D5C"/>
    <w:rsid w:val="005C0EA5"/>
    <w:rsid w:val="005C19F9"/>
    <w:rsid w:val="005C1C13"/>
    <w:rsid w:val="005C1C4A"/>
    <w:rsid w:val="005C1D4B"/>
    <w:rsid w:val="005C241C"/>
    <w:rsid w:val="005C26B9"/>
    <w:rsid w:val="005C2CAA"/>
    <w:rsid w:val="005C33E5"/>
    <w:rsid w:val="005C3ABB"/>
    <w:rsid w:val="005C3D52"/>
    <w:rsid w:val="005C41D8"/>
    <w:rsid w:val="005C4E76"/>
    <w:rsid w:val="005C5CA8"/>
    <w:rsid w:val="005C6005"/>
    <w:rsid w:val="005C6213"/>
    <w:rsid w:val="005C6FAC"/>
    <w:rsid w:val="005C7383"/>
    <w:rsid w:val="005C7587"/>
    <w:rsid w:val="005C7C82"/>
    <w:rsid w:val="005D0002"/>
    <w:rsid w:val="005D0162"/>
    <w:rsid w:val="005D08D8"/>
    <w:rsid w:val="005D0D97"/>
    <w:rsid w:val="005D1396"/>
    <w:rsid w:val="005D2387"/>
    <w:rsid w:val="005D29BA"/>
    <w:rsid w:val="005D2F4E"/>
    <w:rsid w:val="005D2FBA"/>
    <w:rsid w:val="005D30E9"/>
    <w:rsid w:val="005D3C3D"/>
    <w:rsid w:val="005D4530"/>
    <w:rsid w:val="005D4B12"/>
    <w:rsid w:val="005D4E27"/>
    <w:rsid w:val="005D58DB"/>
    <w:rsid w:val="005D5C01"/>
    <w:rsid w:val="005D659A"/>
    <w:rsid w:val="005D6879"/>
    <w:rsid w:val="005D7A02"/>
    <w:rsid w:val="005E002F"/>
    <w:rsid w:val="005E02B3"/>
    <w:rsid w:val="005E0453"/>
    <w:rsid w:val="005E1969"/>
    <w:rsid w:val="005E19FC"/>
    <w:rsid w:val="005E1AAF"/>
    <w:rsid w:val="005E1D03"/>
    <w:rsid w:val="005E24C2"/>
    <w:rsid w:val="005E2702"/>
    <w:rsid w:val="005E2ABB"/>
    <w:rsid w:val="005E3137"/>
    <w:rsid w:val="005E36C7"/>
    <w:rsid w:val="005E3C35"/>
    <w:rsid w:val="005E3C49"/>
    <w:rsid w:val="005E41F8"/>
    <w:rsid w:val="005E51E3"/>
    <w:rsid w:val="005E5735"/>
    <w:rsid w:val="005E5B23"/>
    <w:rsid w:val="005E5D0D"/>
    <w:rsid w:val="005E7083"/>
    <w:rsid w:val="005E7C79"/>
    <w:rsid w:val="005E7EC7"/>
    <w:rsid w:val="005F08FA"/>
    <w:rsid w:val="005F1108"/>
    <w:rsid w:val="005F1826"/>
    <w:rsid w:val="005F1A15"/>
    <w:rsid w:val="005F1D62"/>
    <w:rsid w:val="005F1E98"/>
    <w:rsid w:val="005F2121"/>
    <w:rsid w:val="005F2148"/>
    <w:rsid w:val="005F27FA"/>
    <w:rsid w:val="005F2907"/>
    <w:rsid w:val="005F3232"/>
    <w:rsid w:val="005F3737"/>
    <w:rsid w:val="005F3BDF"/>
    <w:rsid w:val="005F3D03"/>
    <w:rsid w:val="005F3E05"/>
    <w:rsid w:val="005F5143"/>
    <w:rsid w:val="005F5250"/>
    <w:rsid w:val="005F5873"/>
    <w:rsid w:val="005F61C5"/>
    <w:rsid w:val="005F65B9"/>
    <w:rsid w:val="005F6660"/>
    <w:rsid w:val="005F669D"/>
    <w:rsid w:val="005F6AFC"/>
    <w:rsid w:val="005F76B5"/>
    <w:rsid w:val="00600027"/>
    <w:rsid w:val="0060030F"/>
    <w:rsid w:val="006007E7"/>
    <w:rsid w:val="006011FD"/>
    <w:rsid w:val="00601704"/>
    <w:rsid w:val="0060193B"/>
    <w:rsid w:val="00601A04"/>
    <w:rsid w:val="00601CCD"/>
    <w:rsid w:val="00601D0D"/>
    <w:rsid w:val="00602B8C"/>
    <w:rsid w:val="00603452"/>
    <w:rsid w:val="00603E11"/>
    <w:rsid w:val="00604834"/>
    <w:rsid w:val="00605D99"/>
    <w:rsid w:val="00606120"/>
    <w:rsid w:val="00606680"/>
    <w:rsid w:val="006078E9"/>
    <w:rsid w:val="00607FF9"/>
    <w:rsid w:val="0061105C"/>
    <w:rsid w:val="006110F7"/>
    <w:rsid w:val="0061112A"/>
    <w:rsid w:val="006113D0"/>
    <w:rsid w:val="006115B9"/>
    <w:rsid w:val="00611A05"/>
    <w:rsid w:val="00611A78"/>
    <w:rsid w:val="00612705"/>
    <w:rsid w:val="006130B3"/>
    <w:rsid w:val="00613575"/>
    <w:rsid w:val="006147FA"/>
    <w:rsid w:val="00614FC8"/>
    <w:rsid w:val="006158DE"/>
    <w:rsid w:val="00615E67"/>
    <w:rsid w:val="00616586"/>
    <w:rsid w:val="00616741"/>
    <w:rsid w:val="00616F22"/>
    <w:rsid w:val="006204C4"/>
    <w:rsid w:val="006207A4"/>
    <w:rsid w:val="006207B7"/>
    <w:rsid w:val="00620914"/>
    <w:rsid w:val="00620D57"/>
    <w:rsid w:val="00620EE3"/>
    <w:rsid w:val="00621386"/>
    <w:rsid w:val="00621EB3"/>
    <w:rsid w:val="00622320"/>
    <w:rsid w:val="006225CE"/>
    <w:rsid w:val="006226A1"/>
    <w:rsid w:val="006228E8"/>
    <w:rsid w:val="00624BD7"/>
    <w:rsid w:val="00624D80"/>
    <w:rsid w:val="00625560"/>
    <w:rsid w:val="00625B57"/>
    <w:rsid w:val="00626DDA"/>
    <w:rsid w:val="006274A2"/>
    <w:rsid w:val="00627A84"/>
    <w:rsid w:val="00627F7A"/>
    <w:rsid w:val="006301F9"/>
    <w:rsid w:val="006304C4"/>
    <w:rsid w:val="0063055A"/>
    <w:rsid w:val="0063097F"/>
    <w:rsid w:val="00630B96"/>
    <w:rsid w:val="0063255C"/>
    <w:rsid w:val="00633026"/>
    <w:rsid w:val="006337BD"/>
    <w:rsid w:val="006338C3"/>
    <w:rsid w:val="006339B8"/>
    <w:rsid w:val="006339D5"/>
    <w:rsid w:val="00633A45"/>
    <w:rsid w:val="00633B05"/>
    <w:rsid w:val="00634553"/>
    <w:rsid w:val="006350BE"/>
    <w:rsid w:val="00635133"/>
    <w:rsid w:val="00635B64"/>
    <w:rsid w:val="00635F27"/>
    <w:rsid w:val="00635F3C"/>
    <w:rsid w:val="00636956"/>
    <w:rsid w:val="006377E9"/>
    <w:rsid w:val="006378BF"/>
    <w:rsid w:val="00640D0E"/>
    <w:rsid w:val="006416C8"/>
    <w:rsid w:val="006431FB"/>
    <w:rsid w:val="006436F8"/>
    <w:rsid w:val="006442F1"/>
    <w:rsid w:val="00644D2D"/>
    <w:rsid w:val="00644DA6"/>
    <w:rsid w:val="006456FF"/>
    <w:rsid w:val="00645DE2"/>
    <w:rsid w:val="00646FAA"/>
    <w:rsid w:val="0064787B"/>
    <w:rsid w:val="00647B09"/>
    <w:rsid w:val="006500A6"/>
    <w:rsid w:val="00650390"/>
    <w:rsid w:val="00650683"/>
    <w:rsid w:val="00651482"/>
    <w:rsid w:val="006519F3"/>
    <w:rsid w:val="00651E06"/>
    <w:rsid w:val="00652DD1"/>
    <w:rsid w:val="00653297"/>
    <w:rsid w:val="006532EE"/>
    <w:rsid w:val="006533E9"/>
    <w:rsid w:val="00653961"/>
    <w:rsid w:val="00654214"/>
    <w:rsid w:val="00654247"/>
    <w:rsid w:val="00654622"/>
    <w:rsid w:val="006548BA"/>
    <w:rsid w:val="00654A92"/>
    <w:rsid w:val="00655B27"/>
    <w:rsid w:val="00655BFB"/>
    <w:rsid w:val="00655FE4"/>
    <w:rsid w:val="006568F9"/>
    <w:rsid w:val="00656D6F"/>
    <w:rsid w:val="006570A3"/>
    <w:rsid w:val="006572BC"/>
    <w:rsid w:val="0065757A"/>
    <w:rsid w:val="00657599"/>
    <w:rsid w:val="00657C0B"/>
    <w:rsid w:val="00657F3A"/>
    <w:rsid w:val="00660F98"/>
    <w:rsid w:val="00661317"/>
    <w:rsid w:val="00661789"/>
    <w:rsid w:val="00661AF1"/>
    <w:rsid w:val="00661CF8"/>
    <w:rsid w:val="006625B4"/>
    <w:rsid w:val="00662FFF"/>
    <w:rsid w:val="0066325B"/>
    <w:rsid w:val="00663F03"/>
    <w:rsid w:val="00664671"/>
    <w:rsid w:val="00664D1A"/>
    <w:rsid w:val="00665098"/>
    <w:rsid w:val="00665BC8"/>
    <w:rsid w:val="0066621C"/>
    <w:rsid w:val="0066665A"/>
    <w:rsid w:val="0066674D"/>
    <w:rsid w:val="006670A7"/>
    <w:rsid w:val="006673D8"/>
    <w:rsid w:val="006673E8"/>
    <w:rsid w:val="00667774"/>
    <w:rsid w:val="006700A5"/>
    <w:rsid w:val="00670143"/>
    <w:rsid w:val="00670F33"/>
    <w:rsid w:val="00670F61"/>
    <w:rsid w:val="0067181D"/>
    <w:rsid w:val="00671FDF"/>
    <w:rsid w:val="006726E9"/>
    <w:rsid w:val="00672843"/>
    <w:rsid w:val="006728C5"/>
    <w:rsid w:val="00673126"/>
    <w:rsid w:val="006747FC"/>
    <w:rsid w:val="00674C6C"/>
    <w:rsid w:val="00674EE9"/>
    <w:rsid w:val="006757F8"/>
    <w:rsid w:val="006758D0"/>
    <w:rsid w:val="0067615F"/>
    <w:rsid w:val="00676477"/>
    <w:rsid w:val="006767E9"/>
    <w:rsid w:val="00676B93"/>
    <w:rsid w:val="00676DD4"/>
    <w:rsid w:val="006770C7"/>
    <w:rsid w:val="006772C0"/>
    <w:rsid w:val="00677E40"/>
    <w:rsid w:val="00677E69"/>
    <w:rsid w:val="00677EA1"/>
    <w:rsid w:val="00680892"/>
    <w:rsid w:val="006809BA"/>
    <w:rsid w:val="00681DBE"/>
    <w:rsid w:val="00683103"/>
    <w:rsid w:val="00683658"/>
    <w:rsid w:val="00683D20"/>
    <w:rsid w:val="006842EE"/>
    <w:rsid w:val="006847D3"/>
    <w:rsid w:val="00684AA5"/>
    <w:rsid w:val="00684B38"/>
    <w:rsid w:val="006871DE"/>
    <w:rsid w:val="00690907"/>
    <w:rsid w:val="00690937"/>
    <w:rsid w:val="00691278"/>
    <w:rsid w:val="006917AA"/>
    <w:rsid w:val="00692349"/>
    <w:rsid w:val="00692D43"/>
    <w:rsid w:val="00693532"/>
    <w:rsid w:val="00694EBA"/>
    <w:rsid w:val="0069515D"/>
    <w:rsid w:val="00695977"/>
    <w:rsid w:val="00695D56"/>
    <w:rsid w:val="006966F7"/>
    <w:rsid w:val="006972A8"/>
    <w:rsid w:val="0069730A"/>
    <w:rsid w:val="006A0428"/>
    <w:rsid w:val="006A07AE"/>
    <w:rsid w:val="006A09CA"/>
    <w:rsid w:val="006A0A30"/>
    <w:rsid w:val="006A0E28"/>
    <w:rsid w:val="006A159B"/>
    <w:rsid w:val="006A24CF"/>
    <w:rsid w:val="006A2C31"/>
    <w:rsid w:val="006A311E"/>
    <w:rsid w:val="006A3471"/>
    <w:rsid w:val="006A3FC9"/>
    <w:rsid w:val="006A4134"/>
    <w:rsid w:val="006A43F5"/>
    <w:rsid w:val="006A472E"/>
    <w:rsid w:val="006A4967"/>
    <w:rsid w:val="006A596F"/>
    <w:rsid w:val="006A5CA8"/>
    <w:rsid w:val="006A63AD"/>
    <w:rsid w:val="006A6499"/>
    <w:rsid w:val="006A66FD"/>
    <w:rsid w:val="006A670A"/>
    <w:rsid w:val="006A695E"/>
    <w:rsid w:val="006A6A36"/>
    <w:rsid w:val="006A6D1D"/>
    <w:rsid w:val="006A70B2"/>
    <w:rsid w:val="006A74AC"/>
    <w:rsid w:val="006A7C6C"/>
    <w:rsid w:val="006A7DA0"/>
    <w:rsid w:val="006B037E"/>
    <w:rsid w:val="006B0711"/>
    <w:rsid w:val="006B12AC"/>
    <w:rsid w:val="006B15B9"/>
    <w:rsid w:val="006B395A"/>
    <w:rsid w:val="006B3D0D"/>
    <w:rsid w:val="006B3E3F"/>
    <w:rsid w:val="006B424A"/>
    <w:rsid w:val="006B6093"/>
    <w:rsid w:val="006B66D1"/>
    <w:rsid w:val="006B6A24"/>
    <w:rsid w:val="006B7751"/>
    <w:rsid w:val="006C0662"/>
    <w:rsid w:val="006C0730"/>
    <w:rsid w:val="006C08E2"/>
    <w:rsid w:val="006C09D1"/>
    <w:rsid w:val="006C0DE0"/>
    <w:rsid w:val="006C0EFE"/>
    <w:rsid w:val="006C1114"/>
    <w:rsid w:val="006C18D6"/>
    <w:rsid w:val="006C29E6"/>
    <w:rsid w:val="006C2CC6"/>
    <w:rsid w:val="006C2FC6"/>
    <w:rsid w:val="006C3294"/>
    <w:rsid w:val="006C3AD0"/>
    <w:rsid w:val="006C3C24"/>
    <w:rsid w:val="006C3DD6"/>
    <w:rsid w:val="006C430D"/>
    <w:rsid w:val="006C4608"/>
    <w:rsid w:val="006C4619"/>
    <w:rsid w:val="006C4C3F"/>
    <w:rsid w:val="006C4D06"/>
    <w:rsid w:val="006C4F65"/>
    <w:rsid w:val="006C51E1"/>
    <w:rsid w:val="006C5980"/>
    <w:rsid w:val="006C69F7"/>
    <w:rsid w:val="006C6D9A"/>
    <w:rsid w:val="006C7ABA"/>
    <w:rsid w:val="006D0287"/>
    <w:rsid w:val="006D0575"/>
    <w:rsid w:val="006D0AE2"/>
    <w:rsid w:val="006D1125"/>
    <w:rsid w:val="006D13B4"/>
    <w:rsid w:val="006D198F"/>
    <w:rsid w:val="006D19B4"/>
    <w:rsid w:val="006D2B34"/>
    <w:rsid w:val="006D3154"/>
    <w:rsid w:val="006D33E7"/>
    <w:rsid w:val="006D3486"/>
    <w:rsid w:val="006D4357"/>
    <w:rsid w:val="006D4DED"/>
    <w:rsid w:val="006D5E42"/>
    <w:rsid w:val="006D6256"/>
    <w:rsid w:val="006D65E8"/>
    <w:rsid w:val="006D6E68"/>
    <w:rsid w:val="006D766E"/>
    <w:rsid w:val="006D77BA"/>
    <w:rsid w:val="006D7BEE"/>
    <w:rsid w:val="006D7C3A"/>
    <w:rsid w:val="006D7D55"/>
    <w:rsid w:val="006E00E0"/>
    <w:rsid w:val="006E0620"/>
    <w:rsid w:val="006E073B"/>
    <w:rsid w:val="006E12A9"/>
    <w:rsid w:val="006E14C8"/>
    <w:rsid w:val="006E1C8C"/>
    <w:rsid w:val="006E2039"/>
    <w:rsid w:val="006E2607"/>
    <w:rsid w:val="006E2B4B"/>
    <w:rsid w:val="006E318B"/>
    <w:rsid w:val="006E3C6E"/>
    <w:rsid w:val="006E4371"/>
    <w:rsid w:val="006E47C6"/>
    <w:rsid w:val="006E4D30"/>
    <w:rsid w:val="006E5D2A"/>
    <w:rsid w:val="006E5E21"/>
    <w:rsid w:val="006E7842"/>
    <w:rsid w:val="006F073D"/>
    <w:rsid w:val="006F0814"/>
    <w:rsid w:val="006F0B43"/>
    <w:rsid w:val="006F0D4D"/>
    <w:rsid w:val="006F0DA4"/>
    <w:rsid w:val="006F1520"/>
    <w:rsid w:val="006F1B73"/>
    <w:rsid w:val="006F267D"/>
    <w:rsid w:val="006F2C1C"/>
    <w:rsid w:val="006F42B2"/>
    <w:rsid w:val="006F4517"/>
    <w:rsid w:val="006F517C"/>
    <w:rsid w:val="006F57A5"/>
    <w:rsid w:val="006F5989"/>
    <w:rsid w:val="006F6515"/>
    <w:rsid w:val="006F662E"/>
    <w:rsid w:val="006F6E4B"/>
    <w:rsid w:val="006F70CF"/>
    <w:rsid w:val="006F70D0"/>
    <w:rsid w:val="006F7D42"/>
    <w:rsid w:val="00700E3A"/>
    <w:rsid w:val="0070118B"/>
    <w:rsid w:val="00701442"/>
    <w:rsid w:val="007022DE"/>
    <w:rsid w:val="00702444"/>
    <w:rsid w:val="00702809"/>
    <w:rsid w:val="00702AAE"/>
    <w:rsid w:val="0070314E"/>
    <w:rsid w:val="00703479"/>
    <w:rsid w:val="007053BC"/>
    <w:rsid w:val="007078D6"/>
    <w:rsid w:val="00710373"/>
    <w:rsid w:val="00710992"/>
    <w:rsid w:val="00711020"/>
    <w:rsid w:val="00711040"/>
    <w:rsid w:val="0071165A"/>
    <w:rsid w:val="00711AD3"/>
    <w:rsid w:val="00711B31"/>
    <w:rsid w:val="007123EC"/>
    <w:rsid w:val="00712F15"/>
    <w:rsid w:val="00713149"/>
    <w:rsid w:val="007143D4"/>
    <w:rsid w:val="00714CF0"/>
    <w:rsid w:val="00716B13"/>
    <w:rsid w:val="00717C5B"/>
    <w:rsid w:val="0072053E"/>
    <w:rsid w:val="00720D3E"/>
    <w:rsid w:val="00720F5F"/>
    <w:rsid w:val="00723B19"/>
    <w:rsid w:val="00724034"/>
    <w:rsid w:val="00724929"/>
    <w:rsid w:val="00724980"/>
    <w:rsid w:val="00724C8E"/>
    <w:rsid w:val="00724DC2"/>
    <w:rsid w:val="00725FEA"/>
    <w:rsid w:val="0072698A"/>
    <w:rsid w:val="00727060"/>
    <w:rsid w:val="00727296"/>
    <w:rsid w:val="007275B2"/>
    <w:rsid w:val="00727A8E"/>
    <w:rsid w:val="0073068E"/>
    <w:rsid w:val="0073136B"/>
    <w:rsid w:val="0073162D"/>
    <w:rsid w:val="00731A52"/>
    <w:rsid w:val="00731F62"/>
    <w:rsid w:val="00732F89"/>
    <w:rsid w:val="007332A7"/>
    <w:rsid w:val="0073369F"/>
    <w:rsid w:val="00733B3C"/>
    <w:rsid w:val="00733E30"/>
    <w:rsid w:val="00733F23"/>
    <w:rsid w:val="007340B1"/>
    <w:rsid w:val="0073443E"/>
    <w:rsid w:val="007346CC"/>
    <w:rsid w:val="007346DE"/>
    <w:rsid w:val="00735733"/>
    <w:rsid w:val="007367F1"/>
    <w:rsid w:val="007369EF"/>
    <w:rsid w:val="00736A86"/>
    <w:rsid w:val="00737973"/>
    <w:rsid w:val="00740709"/>
    <w:rsid w:val="00741500"/>
    <w:rsid w:val="00742125"/>
    <w:rsid w:val="0074248D"/>
    <w:rsid w:val="00742989"/>
    <w:rsid w:val="00743360"/>
    <w:rsid w:val="00743E5D"/>
    <w:rsid w:val="00743EED"/>
    <w:rsid w:val="007440CA"/>
    <w:rsid w:val="00744A68"/>
    <w:rsid w:val="00745426"/>
    <w:rsid w:val="00745521"/>
    <w:rsid w:val="00745A97"/>
    <w:rsid w:val="00746E5F"/>
    <w:rsid w:val="00747286"/>
    <w:rsid w:val="0074756A"/>
    <w:rsid w:val="00747DDF"/>
    <w:rsid w:val="0075012A"/>
    <w:rsid w:val="00750353"/>
    <w:rsid w:val="007513B2"/>
    <w:rsid w:val="00751449"/>
    <w:rsid w:val="007525D0"/>
    <w:rsid w:val="007530DE"/>
    <w:rsid w:val="00753168"/>
    <w:rsid w:val="00753357"/>
    <w:rsid w:val="0075372F"/>
    <w:rsid w:val="007539BC"/>
    <w:rsid w:val="007539E8"/>
    <w:rsid w:val="00753B27"/>
    <w:rsid w:val="00754006"/>
    <w:rsid w:val="00754590"/>
    <w:rsid w:val="007549ED"/>
    <w:rsid w:val="0075570C"/>
    <w:rsid w:val="00755FB0"/>
    <w:rsid w:val="00756B18"/>
    <w:rsid w:val="00756DB5"/>
    <w:rsid w:val="00756EF7"/>
    <w:rsid w:val="00760C05"/>
    <w:rsid w:val="00761C3C"/>
    <w:rsid w:val="00761D85"/>
    <w:rsid w:val="00762698"/>
    <w:rsid w:val="007627FE"/>
    <w:rsid w:val="007634D3"/>
    <w:rsid w:val="007639FB"/>
    <w:rsid w:val="00763ED2"/>
    <w:rsid w:val="00764CDD"/>
    <w:rsid w:val="00765217"/>
    <w:rsid w:val="0076598B"/>
    <w:rsid w:val="00765BDB"/>
    <w:rsid w:val="00766E21"/>
    <w:rsid w:val="007671FD"/>
    <w:rsid w:val="00767284"/>
    <w:rsid w:val="00767491"/>
    <w:rsid w:val="00767596"/>
    <w:rsid w:val="00767DA5"/>
    <w:rsid w:val="00770109"/>
    <w:rsid w:val="00770B07"/>
    <w:rsid w:val="00771857"/>
    <w:rsid w:val="00771EB6"/>
    <w:rsid w:val="00772336"/>
    <w:rsid w:val="00772638"/>
    <w:rsid w:val="0077291A"/>
    <w:rsid w:val="00773375"/>
    <w:rsid w:val="00773B27"/>
    <w:rsid w:val="00773CD7"/>
    <w:rsid w:val="0077466C"/>
    <w:rsid w:val="00774F23"/>
    <w:rsid w:val="00775031"/>
    <w:rsid w:val="0077542D"/>
    <w:rsid w:val="00775CD3"/>
    <w:rsid w:val="00775D66"/>
    <w:rsid w:val="00775E8D"/>
    <w:rsid w:val="00776F14"/>
    <w:rsid w:val="00777722"/>
    <w:rsid w:val="007778ED"/>
    <w:rsid w:val="00777FFD"/>
    <w:rsid w:val="007800C2"/>
    <w:rsid w:val="0078135B"/>
    <w:rsid w:val="007815D1"/>
    <w:rsid w:val="007816A7"/>
    <w:rsid w:val="00781C0C"/>
    <w:rsid w:val="00781E0D"/>
    <w:rsid w:val="007820E7"/>
    <w:rsid w:val="00782540"/>
    <w:rsid w:val="00782615"/>
    <w:rsid w:val="00782735"/>
    <w:rsid w:val="0078284E"/>
    <w:rsid w:val="00782B10"/>
    <w:rsid w:val="0078309A"/>
    <w:rsid w:val="007831FB"/>
    <w:rsid w:val="007834A3"/>
    <w:rsid w:val="007836EC"/>
    <w:rsid w:val="00783DD2"/>
    <w:rsid w:val="0078452C"/>
    <w:rsid w:val="00784A55"/>
    <w:rsid w:val="00784B64"/>
    <w:rsid w:val="007859D3"/>
    <w:rsid w:val="0078676C"/>
    <w:rsid w:val="007871F0"/>
    <w:rsid w:val="00787E08"/>
    <w:rsid w:val="00791986"/>
    <w:rsid w:val="00791F64"/>
    <w:rsid w:val="00792CFE"/>
    <w:rsid w:val="00793023"/>
    <w:rsid w:val="00793DFA"/>
    <w:rsid w:val="007940A2"/>
    <w:rsid w:val="00794255"/>
    <w:rsid w:val="00794CCC"/>
    <w:rsid w:val="0079511F"/>
    <w:rsid w:val="00795EEF"/>
    <w:rsid w:val="00795F2C"/>
    <w:rsid w:val="00796315"/>
    <w:rsid w:val="007965E4"/>
    <w:rsid w:val="00796C22"/>
    <w:rsid w:val="00796CB4"/>
    <w:rsid w:val="00796FB8"/>
    <w:rsid w:val="00797011"/>
    <w:rsid w:val="00797576"/>
    <w:rsid w:val="007A02BB"/>
    <w:rsid w:val="007A02DB"/>
    <w:rsid w:val="007A02EB"/>
    <w:rsid w:val="007A0821"/>
    <w:rsid w:val="007A15E2"/>
    <w:rsid w:val="007A2109"/>
    <w:rsid w:val="007A2DD8"/>
    <w:rsid w:val="007A3076"/>
    <w:rsid w:val="007A323B"/>
    <w:rsid w:val="007A32AD"/>
    <w:rsid w:val="007A4285"/>
    <w:rsid w:val="007A4409"/>
    <w:rsid w:val="007A50AB"/>
    <w:rsid w:val="007A5810"/>
    <w:rsid w:val="007A5858"/>
    <w:rsid w:val="007A592E"/>
    <w:rsid w:val="007A64C0"/>
    <w:rsid w:val="007A6A49"/>
    <w:rsid w:val="007A7277"/>
    <w:rsid w:val="007A7996"/>
    <w:rsid w:val="007A7D67"/>
    <w:rsid w:val="007A7E68"/>
    <w:rsid w:val="007B1058"/>
    <w:rsid w:val="007B1726"/>
    <w:rsid w:val="007B2217"/>
    <w:rsid w:val="007B255B"/>
    <w:rsid w:val="007B3600"/>
    <w:rsid w:val="007B3AE6"/>
    <w:rsid w:val="007B3D2C"/>
    <w:rsid w:val="007B4B93"/>
    <w:rsid w:val="007B4CF3"/>
    <w:rsid w:val="007B57CC"/>
    <w:rsid w:val="007B5877"/>
    <w:rsid w:val="007B5A45"/>
    <w:rsid w:val="007B6CCA"/>
    <w:rsid w:val="007B6F6E"/>
    <w:rsid w:val="007B76E2"/>
    <w:rsid w:val="007B7F71"/>
    <w:rsid w:val="007C0493"/>
    <w:rsid w:val="007C054A"/>
    <w:rsid w:val="007C07B1"/>
    <w:rsid w:val="007C0F76"/>
    <w:rsid w:val="007C10F6"/>
    <w:rsid w:val="007C1A39"/>
    <w:rsid w:val="007C2067"/>
    <w:rsid w:val="007C2560"/>
    <w:rsid w:val="007C3477"/>
    <w:rsid w:val="007C377D"/>
    <w:rsid w:val="007C381F"/>
    <w:rsid w:val="007C3A41"/>
    <w:rsid w:val="007C3EC3"/>
    <w:rsid w:val="007C3EE9"/>
    <w:rsid w:val="007C5A6F"/>
    <w:rsid w:val="007C7E28"/>
    <w:rsid w:val="007D1A7B"/>
    <w:rsid w:val="007D1F6D"/>
    <w:rsid w:val="007D1FE4"/>
    <w:rsid w:val="007D22FC"/>
    <w:rsid w:val="007D24BD"/>
    <w:rsid w:val="007D453A"/>
    <w:rsid w:val="007D4961"/>
    <w:rsid w:val="007D4A5F"/>
    <w:rsid w:val="007D55AD"/>
    <w:rsid w:val="007D5807"/>
    <w:rsid w:val="007D6400"/>
    <w:rsid w:val="007D6A2F"/>
    <w:rsid w:val="007D7049"/>
    <w:rsid w:val="007D787F"/>
    <w:rsid w:val="007E001C"/>
    <w:rsid w:val="007E05B2"/>
    <w:rsid w:val="007E0A66"/>
    <w:rsid w:val="007E0DA8"/>
    <w:rsid w:val="007E10AF"/>
    <w:rsid w:val="007E1382"/>
    <w:rsid w:val="007E2153"/>
    <w:rsid w:val="007E2781"/>
    <w:rsid w:val="007E3840"/>
    <w:rsid w:val="007E4033"/>
    <w:rsid w:val="007E40CA"/>
    <w:rsid w:val="007E4F9A"/>
    <w:rsid w:val="007E53AC"/>
    <w:rsid w:val="007E547D"/>
    <w:rsid w:val="007F04D5"/>
    <w:rsid w:val="007F057F"/>
    <w:rsid w:val="007F0F86"/>
    <w:rsid w:val="007F173E"/>
    <w:rsid w:val="007F1758"/>
    <w:rsid w:val="007F1769"/>
    <w:rsid w:val="007F17E2"/>
    <w:rsid w:val="007F1DF5"/>
    <w:rsid w:val="007F237F"/>
    <w:rsid w:val="007F3990"/>
    <w:rsid w:val="007F39D1"/>
    <w:rsid w:val="007F412A"/>
    <w:rsid w:val="007F4381"/>
    <w:rsid w:val="007F4750"/>
    <w:rsid w:val="007F4C26"/>
    <w:rsid w:val="007F4CD1"/>
    <w:rsid w:val="007F51DE"/>
    <w:rsid w:val="007F59B9"/>
    <w:rsid w:val="007F5F93"/>
    <w:rsid w:val="007F6968"/>
    <w:rsid w:val="007F6E6E"/>
    <w:rsid w:val="007F75F1"/>
    <w:rsid w:val="007F7AA6"/>
    <w:rsid w:val="00800192"/>
    <w:rsid w:val="00800916"/>
    <w:rsid w:val="0080114F"/>
    <w:rsid w:val="00801475"/>
    <w:rsid w:val="00801961"/>
    <w:rsid w:val="00801A87"/>
    <w:rsid w:val="00802804"/>
    <w:rsid w:val="00803143"/>
    <w:rsid w:val="0080368E"/>
    <w:rsid w:val="0080424B"/>
    <w:rsid w:val="008042DC"/>
    <w:rsid w:val="00805042"/>
    <w:rsid w:val="0080556F"/>
    <w:rsid w:val="00805EDA"/>
    <w:rsid w:val="008061D3"/>
    <w:rsid w:val="00806544"/>
    <w:rsid w:val="0080767D"/>
    <w:rsid w:val="008076BB"/>
    <w:rsid w:val="008077E4"/>
    <w:rsid w:val="00807884"/>
    <w:rsid w:val="00810BCE"/>
    <w:rsid w:val="0081192F"/>
    <w:rsid w:val="00812283"/>
    <w:rsid w:val="00812371"/>
    <w:rsid w:val="008127A4"/>
    <w:rsid w:val="00812D67"/>
    <w:rsid w:val="00813315"/>
    <w:rsid w:val="0081361E"/>
    <w:rsid w:val="00813CEC"/>
    <w:rsid w:val="00814729"/>
    <w:rsid w:val="0081505F"/>
    <w:rsid w:val="008157B6"/>
    <w:rsid w:val="008157F0"/>
    <w:rsid w:val="00815FB4"/>
    <w:rsid w:val="00816123"/>
    <w:rsid w:val="008163B1"/>
    <w:rsid w:val="00816793"/>
    <w:rsid w:val="00820EC2"/>
    <w:rsid w:val="00821C25"/>
    <w:rsid w:val="0082204B"/>
    <w:rsid w:val="00822584"/>
    <w:rsid w:val="00822821"/>
    <w:rsid w:val="00822CEF"/>
    <w:rsid w:val="00825ADB"/>
    <w:rsid w:val="00825E1B"/>
    <w:rsid w:val="00826D8B"/>
    <w:rsid w:val="008270E8"/>
    <w:rsid w:val="00827253"/>
    <w:rsid w:val="00827306"/>
    <w:rsid w:val="0082748B"/>
    <w:rsid w:val="00827B82"/>
    <w:rsid w:val="00830979"/>
    <w:rsid w:val="008313F0"/>
    <w:rsid w:val="00831DBF"/>
    <w:rsid w:val="00832525"/>
    <w:rsid w:val="008325D3"/>
    <w:rsid w:val="008326BC"/>
    <w:rsid w:val="008335F1"/>
    <w:rsid w:val="0083371D"/>
    <w:rsid w:val="00834236"/>
    <w:rsid w:val="00834580"/>
    <w:rsid w:val="0083514C"/>
    <w:rsid w:val="00835228"/>
    <w:rsid w:val="00835F51"/>
    <w:rsid w:val="00835FAF"/>
    <w:rsid w:val="008368CC"/>
    <w:rsid w:val="00837540"/>
    <w:rsid w:val="00837723"/>
    <w:rsid w:val="00840496"/>
    <w:rsid w:val="0084075D"/>
    <w:rsid w:val="0084189C"/>
    <w:rsid w:val="008418F0"/>
    <w:rsid w:val="00842357"/>
    <w:rsid w:val="0084235F"/>
    <w:rsid w:val="008425E8"/>
    <w:rsid w:val="008429FF"/>
    <w:rsid w:val="00842C3A"/>
    <w:rsid w:val="0084318A"/>
    <w:rsid w:val="00843FE8"/>
    <w:rsid w:val="008441CB"/>
    <w:rsid w:val="00844321"/>
    <w:rsid w:val="008445ED"/>
    <w:rsid w:val="0084479E"/>
    <w:rsid w:val="008449B6"/>
    <w:rsid w:val="00844CFE"/>
    <w:rsid w:val="00845197"/>
    <w:rsid w:val="00845DFD"/>
    <w:rsid w:val="008464FF"/>
    <w:rsid w:val="008471F9"/>
    <w:rsid w:val="0084737D"/>
    <w:rsid w:val="00847482"/>
    <w:rsid w:val="0084751A"/>
    <w:rsid w:val="008477ED"/>
    <w:rsid w:val="00847B53"/>
    <w:rsid w:val="00850542"/>
    <w:rsid w:val="00850691"/>
    <w:rsid w:val="0085081F"/>
    <w:rsid w:val="00850C47"/>
    <w:rsid w:val="00851252"/>
    <w:rsid w:val="008519E2"/>
    <w:rsid w:val="00853A7B"/>
    <w:rsid w:val="008547DB"/>
    <w:rsid w:val="0085545F"/>
    <w:rsid w:val="00855B07"/>
    <w:rsid w:val="008563BA"/>
    <w:rsid w:val="0085705A"/>
    <w:rsid w:val="008577B7"/>
    <w:rsid w:val="008600CF"/>
    <w:rsid w:val="00860198"/>
    <w:rsid w:val="0086059C"/>
    <w:rsid w:val="0086092E"/>
    <w:rsid w:val="00860DB4"/>
    <w:rsid w:val="00860EE1"/>
    <w:rsid w:val="00860F89"/>
    <w:rsid w:val="00862359"/>
    <w:rsid w:val="00862DC8"/>
    <w:rsid w:val="00863558"/>
    <w:rsid w:val="00863BB4"/>
    <w:rsid w:val="0086490D"/>
    <w:rsid w:val="00864A9F"/>
    <w:rsid w:val="00864CB4"/>
    <w:rsid w:val="008651F0"/>
    <w:rsid w:val="00866B13"/>
    <w:rsid w:val="00867144"/>
    <w:rsid w:val="00867368"/>
    <w:rsid w:val="008702AD"/>
    <w:rsid w:val="00870AD5"/>
    <w:rsid w:val="008717D9"/>
    <w:rsid w:val="00871D4C"/>
    <w:rsid w:val="00871FF7"/>
    <w:rsid w:val="008723D8"/>
    <w:rsid w:val="00872B23"/>
    <w:rsid w:val="00872BBD"/>
    <w:rsid w:val="0087355E"/>
    <w:rsid w:val="008738C0"/>
    <w:rsid w:val="00874100"/>
    <w:rsid w:val="00874219"/>
    <w:rsid w:val="00874B77"/>
    <w:rsid w:val="00874F50"/>
    <w:rsid w:val="00874FD6"/>
    <w:rsid w:val="008751C7"/>
    <w:rsid w:val="00875416"/>
    <w:rsid w:val="00875825"/>
    <w:rsid w:val="0087723D"/>
    <w:rsid w:val="00877608"/>
    <w:rsid w:val="00877719"/>
    <w:rsid w:val="0088069E"/>
    <w:rsid w:val="00880982"/>
    <w:rsid w:val="00880C2A"/>
    <w:rsid w:val="008813A5"/>
    <w:rsid w:val="00881500"/>
    <w:rsid w:val="00881701"/>
    <w:rsid w:val="00881864"/>
    <w:rsid w:val="008821CD"/>
    <w:rsid w:val="00882737"/>
    <w:rsid w:val="00882A19"/>
    <w:rsid w:val="00883A67"/>
    <w:rsid w:val="00883AF1"/>
    <w:rsid w:val="00883ED0"/>
    <w:rsid w:val="00884079"/>
    <w:rsid w:val="008847A7"/>
    <w:rsid w:val="00884AF3"/>
    <w:rsid w:val="00884F2D"/>
    <w:rsid w:val="00885731"/>
    <w:rsid w:val="00886281"/>
    <w:rsid w:val="00886846"/>
    <w:rsid w:val="008868A2"/>
    <w:rsid w:val="00886C8C"/>
    <w:rsid w:val="00886E09"/>
    <w:rsid w:val="00887879"/>
    <w:rsid w:val="008905BE"/>
    <w:rsid w:val="008908B2"/>
    <w:rsid w:val="0089171A"/>
    <w:rsid w:val="008917A9"/>
    <w:rsid w:val="00891CC2"/>
    <w:rsid w:val="00891E53"/>
    <w:rsid w:val="00892136"/>
    <w:rsid w:val="00892261"/>
    <w:rsid w:val="00892479"/>
    <w:rsid w:val="008927D6"/>
    <w:rsid w:val="0089290F"/>
    <w:rsid w:val="00892DD3"/>
    <w:rsid w:val="0089303C"/>
    <w:rsid w:val="00893A17"/>
    <w:rsid w:val="00893D56"/>
    <w:rsid w:val="00894188"/>
    <w:rsid w:val="008947C7"/>
    <w:rsid w:val="00895352"/>
    <w:rsid w:val="00895578"/>
    <w:rsid w:val="0089570F"/>
    <w:rsid w:val="0089579B"/>
    <w:rsid w:val="0089583B"/>
    <w:rsid w:val="00895C1B"/>
    <w:rsid w:val="00896194"/>
    <w:rsid w:val="00896E34"/>
    <w:rsid w:val="00897ACF"/>
    <w:rsid w:val="008A0427"/>
    <w:rsid w:val="008A078E"/>
    <w:rsid w:val="008A0989"/>
    <w:rsid w:val="008A0DB1"/>
    <w:rsid w:val="008A16AB"/>
    <w:rsid w:val="008A1D22"/>
    <w:rsid w:val="008A223B"/>
    <w:rsid w:val="008A2B17"/>
    <w:rsid w:val="008A2B8D"/>
    <w:rsid w:val="008A2BC5"/>
    <w:rsid w:val="008A30D8"/>
    <w:rsid w:val="008A348A"/>
    <w:rsid w:val="008A3576"/>
    <w:rsid w:val="008A3B9A"/>
    <w:rsid w:val="008A40D1"/>
    <w:rsid w:val="008A56AA"/>
    <w:rsid w:val="008A58E6"/>
    <w:rsid w:val="008A5E0A"/>
    <w:rsid w:val="008A5FF0"/>
    <w:rsid w:val="008A6077"/>
    <w:rsid w:val="008A61DF"/>
    <w:rsid w:val="008A65BB"/>
    <w:rsid w:val="008A6B89"/>
    <w:rsid w:val="008A7448"/>
    <w:rsid w:val="008A7A96"/>
    <w:rsid w:val="008B1304"/>
    <w:rsid w:val="008B1466"/>
    <w:rsid w:val="008B1F36"/>
    <w:rsid w:val="008B263A"/>
    <w:rsid w:val="008B28AE"/>
    <w:rsid w:val="008B28DC"/>
    <w:rsid w:val="008B2A92"/>
    <w:rsid w:val="008B2F8B"/>
    <w:rsid w:val="008B2FFA"/>
    <w:rsid w:val="008B39E5"/>
    <w:rsid w:val="008B3C26"/>
    <w:rsid w:val="008B436B"/>
    <w:rsid w:val="008B4560"/>
    <w:rsid w:val="008B4AAE"/>
    <w:rsid w:val="008B4F74"/>
    <w:rsid w:val="008B5976"/>
    <w:rsid w:val="008B5EF4"/>
    <w:rsid w:val="008B7485"/>
    <w:rsid w:val="008B74F9"/>
    <w:rsid w:val="008B780B"/>
    <w:rsid w:val="008B79CF"/>
    <w:rsid w:val="008B7B52"/>
    <w:rsid w:val="008B7F8D"/>
    <w:rsid w:val="008B7FEE"/>
    <w:rsid w:val="008C05F7"/>
    <w:rsid w:val="008C1D91"/>
    <w:rsid w:val="008C3EE2"/>
    <w:rsid w:val="008C3FDB"/>
    <w:rsid w:val="008C40BF"/>
    <w:rsid w:val="008C4981"/>
    <w:rsid w:val="008C4F98"/>
    <w:rsid w:val="008C5506"/>
    <w:rsid w:val="008C6A04"/>
    <w:rsid w:val="008C73DC"/>
    <w:rsid w:val="008C73F0"/>
    <w:rsid w:val="008C7C8E"/>
    <w:rsid w:val="008C7FFE"/>
    <w:rsid w:val="008D007C"/>
    <w:rsid w:val="008D14B3"/>
    <w:rsid w:val="008D1758"/>
    <w:rsid w:val="008D1F3C"/>
    <w:rsid w:val="008D2218"/>
    <w:rsid w:val="008D286E"/>
    <w:rsid w:val="008D294A"/>
    <w:rsid w:val="008D3087"/>
    <w:rsid w:val="008D310A"/>
    <w:rsid w:val="008D31E1"/>
    <w:rsid w:val="008D3B3D"/>
    <w:rsid w:val="008D44DF"/>
    <w:rsid w:val="008D4C49"/>
    <w:rsid w:val="008D5005"/>
    <w:rsid w:val="008D5121"/>
    <w:rsid w:val="008D52B4"/>
    <w:rsid w:val="008D55E0"/>
    <w:rsid w:val="008D563E"/>
    <w:rsid w:val="008D5A28"/>
    <w:rsid w:val="008D5A39"/>
    <w:rsid w:val="008D5C52"/>
    <w:rsid w:val="008D5DA7"/>
    <w:rsid w:val="008D686A"/>
    <w:rsid w:val="008D6C2E"/>
    <w:rsid w:val="008D6FF5"/>
    <w:rsid w:val="008D7279"/>
    <w:rsid w:val="008D7320"/>
    <w:rsid w:val="008D79E7"/>
    <w:rsid w:val="008D7E57"/>
    <w:rsid w:val="008E283D"/>
    <w:rsid w:val="008E37D9"/>
    <w:rsid w:val="008E3CB7"/>
    <w:rsid w:val="008E3F75"/>
    <w:rsid w:val="008E58E5"/>
    <w:rsid w:val="008E5F29"/>
    <w:rsid w:val="008E6655"/>
    <w:rsid w:val="008E6D80"/>
    <w:rsid w:val="008E7803"/>
    <w:rsid w:val="008F0374"/>
    <w:rsid w:val="008F096D"/>
    <w:rsid w:val="008F0E33"/>
    <w:rsid w:val="008F17F6"/>
    <w:rsid w:val="008F2383"/>
    <w:rsid w:val="008F2FAB"/>
    <w:rsid w:val="008F3441"/>
    <w:rsid w:val="008F3E82"/>
    <w:rsid w:val="008F4124"/>
    <w:rsid w:val="008F4234"/>
    <w:rsid w:val="008F47B0"/>
    <w:rsid w:val="008F589D"/>
    <w:rsid w:val="008F5AD6"/>
    <w:rsid w:val="008F6578"/>
    <w:rsid w:val="008F7485"/>
    <w:rsid w:val="008F75BF"/>
    <w:rsid w:val="008F7613"/>
    <w:rsid w:val="008F787A"/>
    <w:rsid w:val="008F7E76"/>
    <w:rsid w:val="008F7FB6"/>
    <w:rsid w:val="009004AD"/>
    <w:rsid w:val="00900D9C"/>
    <w:rsid w:val="00900FFD"/>
    <w:rsid w:val="00901B77"/>
    <w:rsid w:val="00901BE7"/>
    <w:rsid w:val="009026CE"/>
    <w:rsid w:val="00903781"/>
    <w:rsid w:val="00904608"/>
    <w:rsid w:val="00904E68"/>
    <w:rsid w:val="0090501B"/>
    <w:rsid w:val="00905437"/>
    <w:rsid w:val="00905690"/>
    <w:rsid w:val="009065E7"/>
    <w:rsid w:val="00907D54"/>
    <w:rsid w:val="00907E41"/>
    <w:rsid w:val="00907F4C"/>
    <w:rsid w:val="009104DA"/>
    <w:rsid w:val="00910944"/>
    <w:rsid w:val="009109B0"/>
    <w:rsid w:val="00910F5B"/>
    <w:rsid w:val="00911BAF"/>
    <w:rsid w:val="00911C47"/>
    <w:rsid w:val="00911E84"/>
    <w:rsid w:val="00912989"/>
    <w:rsid w:val="00912ADE"/>
    <w:rsid w:val="00912C53"/>
    <w:rsid w:val="00913054"/>
    <w:rsid w:val="00913B51"/>
    <w:rsid w:val="009142F7"/>
    <w:rsid w:val="00914729"/>
    <w:rsid w:val="00914BBB"/>
    <w:rsid w:val="00915985"/>
    <w:rsid w:val="00915C52"/>
    <w:rsid w:val="00916994"/>
    <w:rsid w:val="00916B29"/>
    <w:rsid w:val="009177D5"/>
    <w:rsid w:val="00917A2F"/>
    <w:rsid w:val="009203BB"/>
    <w:rsid w:val="0092078C"/>
    <w:rsid w:val="00920A25"/>
    <w:rsid w:val="00920E08"/>
    <w:rsid w:val="00921319"/>
    <w:rsid w:val="00922140"/>
    <w:rsid w:val="00922C28"/>
    <w:rsid w:val="00922D17"/>
    <w:rsid w:val="00923BAB"/>
    <w:rsid w:val="00924862"/>
    <w:rsid w:val="00924CA7"/>
    <w:rsid w:val="00924D42"/>
    <w:rsid w:val="0092538F"/>
    <w:rsid w:val="00925F0B"/>
    <w:rsid w:val="00926F8E"/>
    <w:rsid w:val="0092772F"/>
    <w:rsid w:val="00927E4A"/>
    <w:rsid w:val="00927FDC"/>
    <w:rsid w:val="0093039F"/>
    <w:rsid w:val="00930ACF"/>
    <w:rsid w:val="00931951"/>
    <w:rsid w:val="00931B9F"/>
    <w:rsid w:val="00931EF3"/>
    <w:rsid w:val="009338C2"/>
    <w:rsid w:val="00934089"/>
    <w:rsid w:val="00934387"/>
    <w:rsid w:val="00935239"/>
    <w:rsid w:val="00936A77"/>
    <w:rsid w:val="009374A8"/>
    <w:rsid w:val="00937772"/>
    <w:rsid w:val="00940244"/>
    <w:rsid w:val="0094035A"/>
    <w:rsid w:val="009408EF"/>
    <w:rsid w:val="00941221"/>
    <w:rsid w:val="00941BF3"/>
    <w:rsid w:val="00942844"/>
    <w:rsid w:val="00944145"/>
    <w:rsid w:val="00944671"/>
    <w:rsid w:val="00944D26"/>
    <w:rsid w:val="0094566E"/>
    <w:rsid w:val="00945EBA"/>
    <w:rsid w:val="009460BB"/>
    <w:rsid w:val="009465D9"/>
    <w:rsid w:val="00946651"/>
    <w:rsid w:val="00947199"/>
    <w:rsid w:val="009475E9"/>
    <w:rsid w:val="00952041"/>
    <w:rsid w:val="009541B2"/>
    <w:rsid w:val="009542E8"/>
    <w:rsid w:val="009546FF"/>
    <w:rsid w:val="00954F05"/>
    <w:rsid w:val="00955217"/>
    <w:rsid w:val="009553FD"/>
    <w:rsid w:val="009562FB"/>
    <w:rsid w:val="009571B6"/>
    <w:rsid w:val="009571F3"/>
    <w:rsid w:val="00957441"/>
    <w:rsid w:val="00957D0B"/>
    <w:rsid w:val="0096018F"/>
    <w:rsid w:val="009608C1"/>
    <w:rsid w:val="00960CD3"/>
    <w:rsid w:val="0096182B"/>
    <w:rsid w:val="00962014"/>
    <w:rsid w:val="009622F8"/>
    <w:rsid w:val="009637B0"/>
    <w:rsid w:val="00964AA7"/>
    <w:rsid w:val="00965E4D"/>
    <w:rsid w:val="00965EF3"/>
    <w:rsid w:val="00966350"/>
    <w:rsid w:val="00967BFA"/>
    <w:rsid w:val="00967D84"/>
    <w:rsid w:val="00967EC7"/>
    <w:rsid w:val="00970628"/>
    <w:rsid w:val="009720A7"/>
    <w:rsid w:val="0097213C"/>
    <w:rsid w:val="009724A8"/>
    <w:rsid w:val="00972BAD"/>
    <w:rsid w:val="009738F6"/>
    <w:rsid w:val="00974B8D"/>
    <w:rsid w:val="00974D15"/>
    <w:rsid w:val="00975D9D"/>
    <w:rsid w:val="009761D3"/>
    <w:rsid w:val="009767A8"/>
    <w:rsid w:val="00977CAA"/>
    <w:rsid w:val="009806D6"/>
    <w:rsid w:val="00980B4B"/>
    <w:rsid w:val="0098112E"/>
    <w:rsid w:val="00981A2F"/>
    <w:rsid w:val="00982C65"/>
    <w:rsid w:val="00982CD8"/>
    <w:rsid w:val="00982E34"/>
    <w:rsid w:val="009831E8"/>
    <w:rsid w:val="00983256"/>
    <w:rsid w:val="0098337F"/>
    <w:rsid w:val="00983391"/>
    <w:rsid w:val="0098381A"/>
    <w:rsid w:val="00984A22"/>
    <w:rsid w:val="00984A64"/>
    <w:rsid w:val="0098511A"/>
    <w:rsid w:val="009858CA"/>
    <w:rsid w:val="00985DCF"/>
    <w:rsid w:val="00985F59"/>
    <w:rsid w:val="009863F5"/>
    <w:rsid w:val="00986BD8"/>
    <w:rsid w:val="00986F7C"/>
    <w:rsid w:val="0098730F"/>
    <w:rsid w:val="00987429"/>
    <w:rsid w:val="00987989"/>
    <w:rsid w:val="009905CD"/>
    <w:rsid w:val="009909B9"/>
    <w:rsid w:val="00990B08"/>
    <w:rsid w:val="00990EEF"/>
    <w:rsid w:val="00992101"/>
    <w:rsid w:val="00993295"/>
    <w:rsid w:val="009933B8"/>
    <w:rsid w:val="009936A1"/>
    <w:rsid w:val="00995269"/>
    <w:rsid w:val="00995CA7"/>
    <w:rsid w:val="00995CAA"/>
    <w:rsid w:val="009A000C"/>
    <w:rsid w:val="009A0153"/>
    <w:rsid w:val="009A0540"/>
    <w:rsid w:val="009A05E0"/>
    <w:rsid w:val="009A084B"/>
    <w:rsid w:val="009A1149"/>
    <w:rsid w:val="009A1C1F"/>
    <w:rsid w:val="009A1CC2"/>
    <w:rsid w:val="009A2167"/>
    <w:rsid w:val="009A260C"/>
    <w:rsid w:val="009A2F0F"/>
    <w:rsid w:val="009A2F96"/>
    <w:rsid w:val="009A2FD3"/>
    <w:rsid w:val="009A38DE"/>
    <w:rsid w:val="009A452A"/>
    <w:rsid w:val="009A511D"/>
    <w:rsid w:val="009A67BA"/>
    <w:rsid w:val="009A775D"/>
    <w:rsid w:val="009B08F3"/>
    <w:rsid w:val="009B0B2A"/>
    <w:rsid w:val="009B2308"/>
    <w:rsid w:val="009B3406"/>
    <w:rsid w:val="009B347C"/>
    <w:rsid w:val="009B365C"/>
    <w:rsid w:val="009B4133"/>
    <w:rsid w:val="009B4AED"/>
    <w:rsid w:val="009B5233"/>
    <w:rsid w:val="009B6541"/>
    <w:rsid w:val="009B68DA"/>
    <w:rsid w:val="009B6A90"/>
    <w:rsid w:val="009B6AF1"/>
    <w:rsid w:val="009B6BD7"/>
    <w:rsid w:val="009B6E21"/>
    <w:rsid w:val="009B7180"/>
    <w:rsid w:val="009B740C"/>
    <w:rsid w:val="009B751B"/>
    <w:rsid w:val="009B7636"/>
    <w:rsid w:val="009B7DC3"/>
    <w:rsid w:val="009B7EED"/>
    <w:rsid w:val="009C0705"/>
    <w:rsid w:val="009C0D60"/>
    <w:rsid w:val="009C0E73"/>
    <w:rsid w:val="009C11B4"/>
    <w:rsid w:val="009C1CC3"/>
    <w:rsid w:val="009C1D9A"/>
    <w:rsid w:val="009C1F5D"/>
    <w:rsid w:val="009C224F"/>
    <w:rsid w:val="009C2DA2"/>
    <w:rsid w:val="009C3099"/>
    <w:rsid w:val="009C3DDD"/>
    <w:rsid w:val="009C4A62"/>
    <w:rsid w:val="009C4E58"/>
    <w:rsid w:val="009C59FF"/>
    <w:rsid w:val="009C5A57"/>
    <w:rsid w:val="009C5BF1"/>
    <w:rsid w:val="009C5CCD"/>
    <w:rsid w:val="009C63D9"/>
    <w:rsid w:val="009C6501"/>
    <w:rsid w:val="009C650F"/>
    <w:rsid w:val="009C6A42"/>
    <w:rsid w:val="009C6D10"/>
    <w:rsid w:val="009C6DF3"/>
    <w:rsid w:val="009C761A"/>
    <w:rsid w:val="009C7D25"/>
    <w:rsid w:val="009C7F20"/>
    <w:rsid w:val="009D0A92"/>
    <w:rsid w:val="009D12D1"/>
    <w:rsid w:val="009D14E1"/>
    <w:rsid w:val="009D1D8F"/>
    <w:rsid w:val="009D2340"/>
    <w:rsid w:val="009D2761"/>
    <w:rsid w:val="009D2993"/>
    <w:rsid w:val="009D31B2"/>
    <w:rsid w:val="009D3912"/>
    <w:rsid w:val="009D427A"/>
    <w:rsid w:val="009D4C73"/>
    <w:rsid w:val="009D7904"/>
    <w:rsid w:val="009D7B69"/>
    <w:rsid w:val="009E035E"/>
    <w:rsid w:val="009E0C4D"/>
    <w:rsid w:val="009E17FE"/>
    <w:rsid w:val="009E21EF"/>
    <w:rsid w:val="009E2CFA"/>
    <w:rsid w:val="009E53C4"/>
    <w:rsid w:val="009E589F"/>
    <w:rsid w:val="009E674D"/>
    <w:rsid w:val="009E6777"/>
    <w:rsid w:val="009E682D"/>
    <w:rsid w:val="009E68AD"/>
    <w:rsid w:val="009E68CA"/>
    <w:rsid w:val="009E6E97"/>
    <w:rsid w:val="009E79F7"/>
    <w:rsid w:val="009E7A93"/>
    <w:rsid w:val="009F08BB"/>
    <w:rsid w:val="009F1A77"/>
    <w:rsid w:val="009F20CE"/>
    <w:rsid w:val="009F25F9"/>
    <w:rsid w:val="009F2CBA"/>
    <w:rsid w:val="009F348A"/>
    <w:rsid w:val="009F3E94"/>
    <w:rsid w:val="009F430E"/>
    <w:rsid w:val="009F4CC7"/>
    <w:rsid w:val="009F4ECF"/>
    <w:rsid w:val="009F5603"/>
    <w:rsid w:val="009F5EA8"/>
    <w:rsid w:val="009F698F"/>
    <w:rsid w:val="009F6A8A"/>
    <w:rsid w:val="009F6EE4"/>
    <w:rsid w:val="00A006DD"/>
    <w:rsid w:val="00A0116C"/>
    <w:rsid w:val="00A0125F"/>
    <w:rsid w:val="00A019F6"/>
    <w:rsid w:val="00A01A78"/>
    <w:rsid w:val="00A01C3E"/>
    <w:rsid w:val="00A01E5B"/>
    <w:rsid w:val="00A0262A"/>
    <w:rsid w:val="00A03772"/>
    <w:rsid w:val="00A039D5"/>
    <w:rsid w:val="00A04230"/>
    <w:rsid w:val="00A04594"/>
    <w:rsid w:val="00A05028"/>
    <w:rsid w:val="00A05878"/>
    <w:rsid w:val="00A059AA"/>
    <w:rsid w:val="00A05CE1"/>
    <w:rsid w:val="00A05DDE"/>
    <w:rsid w:val="00A069D7"/>
    <w:rsid w:val="00A06AB0"/>
    <w:rsid w:val="00A06B5D"/>
    <w:rsid w:val="00A0737F"/>
    <w:rsid w:val="00A07D74"/>
    <w:rsid w:val="00A1013D"/>
    <w:rsid w:val="00A10175"/>
    <w:rsid w:val="00A1073D"/>
    <w:rsid w:val="00A10969"/>
    <w:rsid w:val="00A10ECB"/>
    <w:rsid w:val="00A11517"/>
    <w:rsid w:val="00A12D30"/>
    <w:rsid w:val="00A13130"/>
    <w:rsid w:val="00A13CA3"/>
    <w:rsid w:val="00A13D68"/>
    <w:rsid w:val="00A141D2"/>
    <w:rsid w:val="00A158A0"/>
    <w:rsid w:val="00A15D76"/>
    <w:rsid w:val="00A15D93"/>
    <w:rsid w:val="00A15E60"/>
    <w:rsid w:val="00A16984"/>
    <w:rsid w:val="00A17B72"/>
    <w:rsid w:val="00A20C5B"/>
    <w:rsid w:val="00A2120C"/>
    <w:rsid w:val="00A21555"/>
    <w:rsid w:val="00A21A2F"/>
    <w:rsid w:val="00A228BF"/>
    <w:rsid w:val="00A23059"/>
    <w:rsid w:val="00A234D6"/>
    <w:rsid w:val="00A23A84"/>
    <w:rsid w:val="00A24DAF"/>
    <w:rsid w:val="00A252AC"/>
    <w:rsid w:val="00A253CD"/>
    <w:rsid w:val="00A256B2"/>
    <w:rsid w:val="00A2582D"/>
    <w:rsid w:val="00A259A2"/>
    <w:rsid w:val="00A261FF"/>
    <w:rsid w:val="00A26701"/>
    <w:rsid w:val="00A26939"/>
    <w:rsid w:val="00A26C77"/>
    <w:rsid w:val="00A27FA9"/>
    <w:rsid w:val="00A3031D"/>
    <w:rsid w:val="00A303B6"/>
    <w:rsid w:val="00A307A6"/>
    <w:rsid w:val="00A30AC9"/>
    <w:rsid w:val="00A31208"/>
    <w:rsid w:val="00A3153A"/>
    <w:rsid w:val="00A3194C"/>
    <w:rsid w:val="00A32CA5"/>
    <w:rsid w:val="00A3311E"/>
    <w:rsid w:val="00A33A52"/>
    <w:rsid w:val="00A34000"/>
    <w:rsid w:val="00A3426C"/>
    <w:rsid w:val="00A348C2"/>
    <w:rsid w:val="00A350A0"/>
    <w:rsid w:val="00A352A0"/>
    <w:rsid w:val="00A35F0D"/>
    <w:rsid w:val="00A35FB5"/>
    <w:rsid w:val="00A3648E"/>
    <w:rsid w:val="00A36739"/>
    <w:rsid w:val="00A36955"/>
    <w:rsid w:val="00A371A1"/>
    <w:rsid w:val="00A37591"/>
    <w:rsid w:val="00A37B38"/>
    <w:rsid w:val="00A37FE0"/>
    <w:rsid w:val="00A405FA"/>
    <w:rsid w:val="00A410CC"/>
    <w:rsid w:val="00A415C9"/>
    <w:rsid w:val="00A4164A"/>
    <w:rsid w:val="00A41AE5"/>
    <w:rsid w:val="00A41E58"/>
    <w:rsid w:val="00A426FA"/>
    <w:rsid w:val="00A43008"/>
    <w:rsid w:val="00A437D0"/>
    <w:rsid w:val="00A43CF5"/>
    <w:rsid w:val="00A43E44"/>
    <w:rsid w:val="00A4422F"/>
    <w:rsid w:val="00A44E37"/>
    <w:rsid w:val="00A450FF"/>
    <w:rsid w:val="00A45198"/>
    <w:rsid w:val="00A451E5"/>
    <w:rsid w:val="00A4541A"/>
    <w:rsid w:val="00A45BE3"/>
    <w:rsid w:val="00A45C6E"/>
    <w:rsid w:val="00A45D99"/>
    <w:rsid w:val="00A45DE2"/>
    <w:rsid w:val="00A4608F"/>
    <w:rsid w:val="00A464C0"/>
    <w:rsid w:val="00A4792B"/>
    <w:rsid w:val="00A47E61"/>
    <w:rsid w:val="00A512CB"/>
    <w:rsid w:val="00A5181F"/>
    <w:rsid w:val="00A52266"/>
    <w:rsid w:val="00A522E8"/>
    <w:rsid w:val="00A525DD"/>
    <w:rsid w:val="00A52B1A"/>
    <w:rsid w:val="00A5319F"/>
    <w:rsid w:val="00A5339C"/>
    <w:rsid w:val="00A54380"/>
    <w:rsid w:val="00A543C2"/>
    <w:rsid w:val="00A54CC9"/>
    <w:rsid w:val="00A54EA4"/>
    <w:rsid w:val="00A55773"/>
    <w:rsid w:val="00A561AB"/>
    <w:rsid w:val="00A563FE"/>
    <w:rsid w:val="00A6030C"/>
    <w:rsid w:val="00A605EB"/>
    <w:rsid w:val="00A60BB1"/>
    <w:rsid w:val="00A60CC6"/>
    <w:rsid w:val="00A61476"/>
    <w:rsid w:val="00A62931"/>
    <w:rsid w:val="00A634A6"/>
    <w:rsid w:val="00A639AD"/>
    <w:rsid w:val="00A641EE"/>
    <w:rsid w:val="00A645D9"/>
    <w:rsid w:val="00A655C8"/>
    <w:rsid w:val="00A65AD6"/>
    <w:rsid w:val="00A6618B"/>
    <w:rsid w:val="00A66A1E"/>
    <w:rsid w:val="00A70FAD"/>
    <w:rsid w:val="00A7111C"/>
    <w:rsid w:val="00A729A4"/>
    <w:rsid w:val="00A72E9A"/>
    <w:rsid w:val="00A7344E"/>
    <w:rsid w:val="00A73609"/>
    <w:rsid w:val="00A73B9E"/>
    <w:rsid w:val="00A73C5E"/>
    <w:rsid w:val="00A74100"/>
    <w:rsid w:val="00A74AF2"/>
    <w:rsid w:val="00A74F2B"/>
    <w:rsid w:val="00A74F52"/>
    <w:rsid w:val="00A750EE"/>
    <w:rsid w:val="00A754AA"/>
    <w:rsid w:val="00A7570D"/>
    <w:rsid w:val="00A76411"/>
    <w:rsid w:val="00A764AE"/>
    <w:rsid w:val="00A766D2"/>
    <w:rsid w:val="00A776E3"/>
    <w:rsid w:val="00A77886"/>
    <w:rsid w:val="00A77893"/>
    <w:rsid w:val="00A80011"/>
    <w:rsid w:val="00A8030B"/>
    <w:rsid w:val="00A808D0"/>
    <w:rsid w:val="00A80968"/>
    <w:rsid w:val="00A809C8"/>
    <w:rsid w:val="00A80ADB"/>
    <w:rsid w:val="00A81171"/>
    <w:rsid w:val="00A8231C"/>
    <w:rsid w:val="00A82495"/>
    <w:rsid w:val="00A825E3"/>
    <w:rsid w:val="00A82A30"/>
    <w:rsid w:val="00A8315B"/>
    <w:rsid w:val="00A83445"/>
    <w:rsid w:val="00A8454F"/>
    <w:rsid w:val="00A85773"/>
    <w:rsid w:val="00A85CAD"/>
    <w:rsid w:val="00A85CB6"/>
    <w:rsid w:val="00A85F6A"/>
    <w:rsid w:val="00A8677E"/>
    <w:rsid w:val="00A876B6"/>
    <w:rsid w:val="00A87FBF"/>
    <w:rsid w:val="00A902EF"/>
    <w:rsid w:val="00A90731"/>
    <w:rsid w:val="00A9129C"/>
    <w:rsid w:val="00A91EB9"/>
    <w:rsid w:val="00A92C27"/>
    <w:rsid w:val="00A9399E"/>
    <w:rsid w:val="00A93E2F"/>
    <w:rsid w:val="00A945D4"/>
    <w:rsid w:val="00A94F6D"/>
    <w:rsid w:val="00A951A3"/>
    <w:rsid w:val="00A951B1"/>
    <w:rsid w:val="00A95B31"/>
    <w:rsid w:val="00A95FF0"/>
    <w:rsid w:val="00A96388"/>
    <w:rsid w:val="00A9697A"/>
    <w:rsid w:val="00A977B5"/>
    <w:rsid w:val="00A97EFD"/>
    <w:rsid w:val="00AA024B"/>
    <w:rsid w:val="00AA0BAC"/>
    <w:rsid w:val="00AA11F3"/>
    <w:rsid w:val="00AA1CA2"/>
    <w:rsid w:val="00AA2FFC"/>
    <w:rsid w:val="00AA34A1"/>
    <w:rsid w:val="00AA3F13"/>
    <w:rsid w:val="00AA44EC"/>
    <w:rsid w:val="00AA4AF0"/>
    <w:rsid w:val="00AA6142"/>
    <w:rsid w:val="00AA61F4"/>
    <w:rsid w:val="00AA6344"/>
    <w:rsid w:val="00AA6F44"/>
    <w:rsid w:val="00AA787E"/>
    <w:rsid w:val="00AA7A20"/>
    <w:rsid w:val="00AB04A3"/>
    <w:rsid w:val="00AB06AB"/>
    <w:rsid w:val="00AB0D4C"/>
    <w:rsid w:val="00AB0E33"/>
    <w:rsid w:val="00AB1F95"/>
    <w:rsid w:val="00AB27CB"/>
    <w:rsid w:val="00AB2F45"/>
    <w:rsid w:val="00AB4332"/>
    <w:rsid w:val="00AB46CF"/>
    <w:rsid w:val="00AB4E1F"/>
    <w:rsid w:val="00AB5134"/>
    <w:rsid w:val="00AB58BC"/>
    <w:rsid w:val="00AB65CA"/>
    <w:rsid w:val="00AB668A"/>
    <w:rsid w:val="00AB66F0"/>
    <w:rsid w:val="00AB7941"/>
    <w:rsid w:val="00AC07FC"/>
    <w:rsid w:val="00AC0F87"/>
    <w:rsid w:val="00AC1A4A"/>
    <w:rsid w:val="00AC1CD6"/>
    <w:rsid w:val="00AC1D33"/>
    <w:rsid w:val="00AC1FE8"/>
    <w:rsid w:val="00AC2091"/>
    <w:rsid w:val="00AC2F7C"/>
    <w:rsid w:val="00AC302C"/>
    <w:rsid w:val="00AC3428"/>
    <w:rsid w:val="00AC3B09"/>
    <w:rsid w:val="00AC4297"/>
    <w:rsid w:val="00AC6C0A"/>
    <w:rsid w:val="00AC75D7"/>
    <w:rsid w:val="00AC7946"/>
    <w:rsid w:val="00AC7AB3"/>
    <w:rsid w:val="00AD03B0"/>
    <w:rsid w:val="00AD0B48"/>
    <w:rsid w:val="00AD1387"/>
    <w:rsid w:val="00AD1C00"/>
    <w:rsid w:val="00AD1DC8"/>
    <w:rsid w:val="00AD1F1E"/>
    <w:rsid w:val="00AD206A"/>
    <w:rsid w:val="00AD3306"/>
    <w:rsid w:val="00AD38C6"/>
    <w:rsid w:val="00AD3F81"/>
    <w:rsid w:val="00AD4A7A"/>
    <w:rsid w:val="00AD4D94"/>
    <w:rsid w:val="00AD568A"/>
    <w:rsid w:val="00AD5E7B"/>
    <w:rsid w:val="00AD6071"/>
    <w:rsid w:val="00AD77E9"/>
    <w:rsid w:val="00AD7C37"/>
    <w:rsid w:val="00AD7EC9"/>
    <w:rsid w:val="00AE00E7"/>
    <w:rsid w:val="00AE0173"/>
    <w:rsid w:val="00AE144B"/>
    <w:rsid w:val="00AE1605"/>
    <w:rsid w:val="00AE1663"/>
    <w:rsid w:val="00AE16F5"/>
    <w:rsid w:val="00AE1D91"/>
    <w:rsid w:val="00AE1EBF"/>
    <w:rsid w:val="00AE2000"/>
    <w:rsid w:val="00AE21E8"/>
    <w:rsid w:val="00AE2F20"/>
    <w:rsid w:val="00AE2F74"/>
    <w:rsid w:val="00AE34A3"/>
    <w:rsid w:val="00AE403B"/>
    <w:rsid w:val="00AE4407"/>
    <w:rsid w:val="00AE4704"/>
    <w:rsid w:val="00AE53E3"/>
    <w:rsid w:val="00AE5C62"/>
    <w:rsid w:val="00AE5D9A"/>
    <w:rsid w:val="00AE7B3F"/>
    <w:rsid w:val="00AE7B46"/>
    <w:rsid w:val="00AF18CB"/>
    <w:rsid w:val="00AF295D"/>
    <w:rsid w:val="00AF2C59"/>
    <w:rsid w:val="00AF3243"/>
    <w:rsid w:val="00AF33DA"/>
    <w:rsid w:val="00AF3C66"/>
    <w:rsid w:val="00AF3E37"/>
    <w:rsid w:val="00AF47B0"/>
    <w:rsid w:val="00AF4A82"/>
    <w:rsid w:val="00AF4FB4"/>
    <w:rsid w:val="00AF5A65"/>
    <w:rsid w:val="00AF5CF3"/>
    <w:rsid w:val="00AF5D09"/>
    <w:rsid w:val="00AF5E59"/>
    <w:rsid w:val="00AF5EB1"/>
    <w:rsid w:val="00AF600E"/>
    <w:rsid w:val="00AF6140"/>
    <w:rsid w:val="00AF71AE"/>
    <w:rsid w:val="00AF74DC"/>
    <w:rsid w:val="00AF79E4"/>
    <w:rsid w:val="00AF7CCA"/>
    <w:rsid w:val="00AF7EB9"/>
    <w:rsid w:val="00AFAD9A"/>
    <w:rsid w:val="00B00FFF"/>
    <w:rsid w:val="00B0126E"/>
    <w:rsid w:val="00B0160D"/>
    <w:rsid w:val="00B01830"/>
    <w:rsid w:val="00B02039"/>
    <w:rsid w:val="00B0233F"/>
    <w:rsid w:val="00B02506"/>
    <w:rsid w:val="00B03251"/>
    <w:rsid w:val="00B0456D"/>
    <w:rsid w:val="00B06625"/>
    <w:rsid w:val="00B0696B"/>
    <w:rsid w:val="00B06A2C"/>
    <w:rsid w:val="00B06E5B"/>
    <w:rsid w:val="00B074F9"/>
    <w:rsid w:val="00B0765D"/>
    <w:rsid w:val="00B07E03"/>
    <w:rsid w:val="00B07F2F"/>
    <w:rsid w:val="00B102F9"/>
    <w:rsid w:val="00B106FF"/>
    <w:rsid w:val="00B109FA"/>
    <w:rsid w:val="00B10CFF"/>
    <w:rsid w:val="00B1200C"/>
    <w:rsid w:val="00B120F3"/>
    <w:rsid w:val="00B1212D"/>
    <w:rsid w:val="00B123F2"/>
    <w:rsid w:val="00B12B94"/>
    <w:rsid w:val="00B12C10"/>
    <w:rsid w:val="00B1304D"/>
    <w:rsid w:val="00B13ACC"/>
    <w:rsid w:val="00B13CFE"/>
    <w:rsid w:val="00B147D9"/>
    <w:rsid w:val="00B149E9"/>
    <w:rsid w:val="00B14BF5"/>
    <w:rsid w:val="00B152C6"/>
    <w:rsid w:val="00B152CF"/>
    <w:rsid w:val="00B15835"/>
    <w:rsid w:val="00B15C71"/>
    <w:rsid w:val="00B16395"/>
    <w:rsid w:val="00B16DBA"/>
    <w:rsid w:val="00B17DD2"/>
    <w:rsid w:val="00B20C25"/>
    <w:rsid w:val="00B20FD2"/>
    <w:rsid w:val="00B222D5"/>
    <w:rsid w:val="00B22700"/>
    <w:rsid w:val="00B22B88"/>
    <w:rsid w:val="00B23102"/>
    <w:rsid w:val="00B23C91"/>
    <w:rsid w:val="00B24185"/>
    <w:rsid w:val="00B247A4"/>
    <w:rsid w:val="00B2480F"/>
    <w:rsid w:val="00B24B61"/>
    <w:rsid w:val="00B25627"/>
    <w:rsid w:val="00B257F6"/>
    <w:rsid w:val="00B261F1"/>
    <w:rsid w:val="00B26A68"/>
    <w:rsid w:val="00B26D9F"/>
    <w:rsid w:val="00B306D7"/>
    <w:rsid w:val="00B31583"/>
    <w:rsid w:val="00B32B14"/>
    <w:rsid w:val="00B33560"/>
    <w:rsid w:val="00B335D0"/>
    <w:rsid w:val="00B33AA5"/>
    <w:rsid w:val="00B33AB5"/>
    <w:rsid w:val="00B344BC"/>
    <w:rsid w:val="00B34A11"/>
    <w:rsid w:val="00B34B84"/>
    <w:rsid w:val="00B35E86"/>
    <w:rsid w:val="00B3605F"/>
    <w:rsid w:val="00B3638C"/>
    <w:rsid w:val="00B37FDD"/>
    <w:rsid w:val="00B40E6D"/>
    <w:rsid w:val="00B413FD"/>
    <w:rsid w:val="00B41401"/>
    <w:rsid w:val="00B4217B"/>
    <w:rsid w:val="00B42569"/>
    <w:rsid w:val="00B42B28"/>
    <w:rsid w:val="00B42DDF"/>
    <w:rsid w:val="00B42F7D"/>
    <w:rsid w:val="00B431E3"/>
    <w:rsid w:val="00B43BB5"/>
    <w:rsid w:val="00B43DDB"/>
    <w:rsid w:val="00B4415C"/>
    <w:rsid w:val="00B4485D"/>
    <w:rsid w:val="00B45899"/>
    <w:rsid w:val="00B45A49"/>
    <w:rsid w:val="00B45EC4"/>
    <w:rsid w:val="00B46075"/>
    <w:rsid w:val="00B462C1"/>
    <w:rsid w:val="00B464AF"/>
    <w:rsid w:val="00B46A37"/>
    <w:rsid w:val="00B46E7D"/>
    <w:rsid w:val="00B47A75"/>
    <w:rsid w:val="00B509EC"/>
    <w:rsid w:val="00B50C44"/>
    <w:rsid w:val="00B5175C"/>
    <w:rsid w:val="00B530BF"/>
    <w:rsid w:val="00B53127"/>
    <w:rsid w:val="00B533FE"/>
    <w:rsid w:val="00B53BB5"/>
    <w:rsid w:val="00B53E02"/>
    <w:rsid w:val="00B53FC7"/>
    <w:rsid w:val="00B543D7"/>
    <w:rsid w:val="00B5444F"/>
    <w:rsid w:val="00B5579A"/>
    <w:rsid w:val="00B5589F"/>
    <w:rsid w:val="00B55B23"/>
    <w:rsid w:val="00B576A7"/>
    <w:rsid w:val="00B57B2A"/>
    <w:rsid w:val="00B60031"/>
    <w:rsid w:val="00B6092E"/>
    <w:rsid w:val="00B629E5"/>
    <w:rsid w:val="00B635DB"/>
    <w:rsid w:val="00B63D5C"/>
    <w:rsid w:val="00B6428D"/>
    <w:rsid w:val="00B64949"/>
    <w:rsid w:val="00B64B52"/>
    <w:rsid w:val="00B64DD0"/>
    <w:rsid w:val="00B6513D"/>
    <w:rsid w:val="00B651C8"/>
    <w:rsid w:val="00B651F7"/>
    <w:rsid w:val="00B6672C"/>
    <w:rsid w:val="00B66C03"/>
    <w:rsid w:val="00B67488"/>
    <w:rsid w:val="00B674D8"/>
    <w:rsid w:val="00B67AE3"/>
    <w:rsid w:val="00B70008"/>
    <w:rsid w:val="00B71060"/>
    <w:rsid w:val="00B713C7"/>
    <w:rsid w:val="00B713DF"/>
    <w:rsid w:val="00B719C8"/>
    <w:rsid w:val="00B721D5"/>
    <w:rsid w:val="00B725B6"/>
    <w:rsid w:val="00B729F2"/>
    <w:rsid w:val="00B732C9"/>
    <w:rsid w:val="00B738A2"/>
    <w:rsid w:val="00B73974"/>
    <w:rsid w:val="00B73993"/>
    <w:rsid w:val="00B74C25"/>
    <w:rsid w:val="00B75168"/>
    <w:rsid w:val="00B756A7"/>
    <w:rsid w:val="00B756C5"/>
    <w:rsid w:val="00B75CD2"/>
    <w:rsid w:val="00B771E4"/>
    <w:rsid w:val="00B77EA6"/>
    <w:rsid w:val="00B77ECF"/>
    <w:rsid w:val="00B7E947"/>
    <w:rsid w:val="00B8081D"/>
    <w:rsid w:val="00B8127E"/>
    <w:rsid w:val="00B81C3B"/>
    <w:rsid w:val="00B81C79"/>
    <w:rsid w:val="00B81F32"/>
    <w:rsid w:val="00B82556"/>
    <w:rsid w:val="00B82562"/>
    <w:rsid w:val="00B828C4"/>
    <w:rsid w:val="00B82DA6"/>
    <w:rsid w:val="00B82DD2"/>
    <w:rsid w:val="00B835FA"/>
    <w:rsid w:val="00B83897"/>
    <w:rsid w:val="00B83C9E"/>
    <w:rsid w:val="00B83E8F"/>
    <w:rsid w:val="00B842C7"/>
    <w:rsid w:val="00B84FC8"/>
    <w:rsid w:val="00B85A89"/>
    <w:rsid w:val="00B86368"/>
    <w:rsid w:val="00B86376"/>
    <w:rsid w:val="00B867E3"/>
    <w:rsid w:val="00B86962"/>
    <w:rsid w:val="00B86D78"/>
    <w:rsid w:val="00B87BAD"/>
    <w:rsid w:val="00B90199"/>
    <w:rsid w:val="00B9057F"/>
    <w:rsid w:val="00B90DB5"/>
    <w:rsid w:val="00B914F9"/>
    <w:rsid w:val="00B9158B"/>
    <w:rsid w:val="00B922A7"/>
    <w:rsid w:val="00B92317"/>
    <w:rsid w:val="00B92391"/>
    <w:rsid w:val="00B928E7"/>
    <w:rsid w:val="00B93EAD"/>
    <w:rsid w:val="00B958AB"/>
    <w:rsid w:val="00B95A6E"/>
    <w:rsid w:val="00B96744"/>
    <w:rsid w:val="00B96A9E"/>
    <w:rsid w:val="00B97672"/>
    <w:rsid w:val="00B97E32"/>
    <w:rsid w:val="00B97ECD"/>
    <w:rsid w:val="00BA0296"/>
    <w:rsid w:val="00BA0353"/>
    <w:rsid w:val="00BA041B"/>
    <w:rsid w:val="00BA046E"/>
    <w:rsid w:val="00BA1654"/>
    <w:rsid w:val="00BA26A6"/>
    <w:rsid w:val="00BA27C8"/>
    <w:rsid w:val="00BA293A"/>
    <w:rsid w:val="00BA33C5"/>
    <w:rsid w:val="00BA4057"/>
    <w:rsid w:val="00BA48C7"/>
    <w:rsid w:val="00BA4988"/>
    <w:rsid w:val="00BA4ABA"/>
    <w:rsid w:val="00BA4CE0"/>
    <w:rsid w:val="00BA57A9"/>
    <w:rsid w:val="00BA6228"/>
    <w:rsid w:val="00BA64C8"/>
    <w:rsid w:val="00BA67E8"/>
    <w:rsid w:val="00BA6AE0"/>
    <w:rsid w:val="00BA739F"/>
    <w:rsid w:val="00BA73EF"/>
    <w:rsid w:val="00BB0281"/>
    <w:rsid w:val="00BB0CB6"/>
    <w:rsid w:val="00BB0E81"/>
    <w:rsid w:val="00BB0F7C"/>
    <w:rsid w:val="00BB14B9"/>
    <w:rsid w:val="00BB1538"/>
    <w:rsid w:val="00BB2A73"/>
    <w:rsid w:val="00BB2FD5"/>
    <w:rsid w:val="00BB32F3"/>
    <w:rsid w:val="00BB34B2"/>
    <w:rsid w:val="00BB376F"/>
    <w:rsid w:val="00BB38CA"/>
    <w:rsid w:val="00BB3E31"/>
    <w:rsid w:val="00BB48E9"/>
    <w:rsid w:val="00BB4F00"/>
    <w:rsid w:val="00BB5087"/>
    <w:rsid w:val="00BB5277"/>
    <w:rsid w:val="00BB5288"/>
    <w:rsid w:val="00BB5DE9"/>
    <w:rsid w:val="00BB6019"/>
    <w:rsid w:val="00BB6D4B"/>
    <w:rsid w:val="00BB764B"/>
    <w:rsid w:val="00BB7A93"/>
    <w:rsid w:val="00BC009A"/>
    <w:rsid w:val="00BC055D"/>
    <w:rsid w:val="00BC125C"/>
    <w:rsid w:val="00BC17AB"/>
    <w:rsid w:val="00BC1D89"/>
    <w:rsid w:val="00BC215B"/>
    <w:rsid w:val="00BC39A6"/>
    <w:rsid w:val="00BC3A16"/>
    <w:rsid w:val="00BC43E7"/>
    <w:rsid w:val="00BC4A72"/>
    <w:rsid w:val="00BC4EA5"/>
    <w:rsid w:val="00BC5376"/>
    <w:rsid w:val="00BC5505"/>
    <w:rsid w:val="00BC6E40"/>
    <w:rsid w:val="00BD0682"/>
    <w:rsid w:val="00BD0B77"/>
    <w:rsid w:val="00BD19B3"/>
    <w:rsid w:val="00BD23CA"/>
    <w:rsid w:val="00BD2432"/>
    <w:rsid w:val="00BD2B2E"/>
    <w:rsid w:val="00BD3370"/>
    <w:rsid w:val="00BD33AB"/>
    <w:rsid w:val="00BD3679"/>
    <w:rsid w:val="00BD3A71"/>
    <w:rsid w:val="00BD3AD2"/>
    <w:rsid w:val="00BD3BC4"/>
    <w:rsid w:val="00BD47BB"/>
    <w:rsid w:val="00BD48F4"/>
    <w:rsid w:val="00BD4A0E"/>
    <w:rsid w:val="00BD4B33"/>
    <w:rsid w:val="00BD4CBC"/>
    <w:rsid w:val="00BD5037"/>
    <w:rsid w:val="00BD559A"/>
    <w:rsid w:val="00BD5848"/>
    <w:rsid w:val="00BD6398"/>
    <w:rsid w:val="00BD72A1"/>
    <w:rsid w:val="00BD73EE"/>
    <w:rsid w:val="00BD7D45"/>
    <w:rsid w:val="00BE0018"/>
    <w:rsid w:val="00BE0C1B"/>
    <w:rsid w:val="00BE1382"/>
    <w:rsid w:val="00BE2DC3"/>
    <w:rsid w:val="00BE34EE"/>
    <w:rsid w:val="00BE3899"/>
    <w:rsid w:val="00BE4446"/>
    <w:rsid w:val="00BE487E"/>
    <w:rsid w:val="00BE4CF8"/>
    <w:rsid w:val="00BE4DAB"/>
    <w:rsid w:val="00BE5E7C"/>
    <w:rsid w:val="00BE67A2"/>
    <w:rsid w:val="00BE7020"/>
    <w:rsid w:val="00BE712C"/>
    <w:rsid w:val="00BE7247"/>
    <w:rsid w:val="00BE7F2B"/>
    <w:rsid w:val="00BE7F5A"/>
    <w:rsid w:val="00BF0028"/>
    <w:rsid w:val="00BF0A46"/>
    <w:rsid w:val="00BF0BE9"/>
    <w:rsid w:val="00BF0E5F"/>
    <w:rsid w:val="00BF189B"/>
    <w:rsid w:val="00BF1D2D"/>
    <w:rsid w:val="00BF264F"/>
    <w:rsid w:val="00BF2A3B"/>
    <w:rsid w:val="00BF3BA1"/>
    <w:rsid w:val="00BF3DBB"/>
    <w:rsid w:val="00BF42A5"/>
    <w:rsid w:val="00BF43F4"/>
    <w:rsid w:val="00BF4664"/>
    <w:rsid w:val="00BF4E58"/>
    <w:rsid w:val="00BF625B"/>
    <w:rsid w:val="00BF647C"/>
    <w:rsid w:val="00BF6618"/>
    <w:rsid w:val="00BF6FB0"/>
    <w:rsid w:val="00BF7670"/>
    <w:rsid w:val="00BF7924"/>
    <w:rsid w:val="00BF7D0A"/>
    <w:rsid w:val="00C003B5"/>
    <w:rsid w:val="00C00473"/>
    <w:rsid w:val="00C00597"/>
    <w:rsid w:val="00C00954"/>
    <w:rsid w:val="00C00F8A"/>
    <w:rsid w:val="00C01FE5"/>
    <w:rsid w:val="00C027F5"/>
    <w:rsid w:val="00C02C08"/>
    <w:rsid w:val="00C03394"/>
    <w:rsid w:val="00C0364B"/>
    <w:rsid w:val="00C04BD7"/>
    <w:rsid w:val="00C063BC"/>
    <w:rsid w:val="00C0689E"/>
    <w:rsid w:val="00C06C51"/>
    <w:rsid w:val="00C06EA1"/>
    <w:rsid w:val="00C076C7"/>
    <w:rsid w:val="00C07B75"/>
    <w:rsid w:val="00C1088F"/>
    <w:rsid w:val="00C1214A"/>
    <w:rsid w:val="00C12B11"/>
    <w:rsid w:val="00C12D37"/>
    <w:rsid w:val="00C131D4"/>
    <w:rsid w:val="00C134A9"/>
    <w:rsid w:val="00C13648"/>
    <w:rsid w:val="00C1392E"/>
    <w:rsid w:val="00C14350"/>
    <w:rsid w:val="00C147B4"/>
    <w:rsid w:val="00C15186"/>
    <w:rsid w:val="00C15502"/>
    <w:rsid w:val="00C158B9"/>
    <w:rsid w:val="00C15B8E"/>
    <w:rsid w:val="00C15BDA"/>
    <w:rsid w:val="00C16A66"/>
    <w:rsid w:val="00C1709C"/>
    <w:rsid w:val="00C17148"/>
    <w:rsid w:val="00C17760"/>
    <w:rsid w:val="00C17A07"/>
    <w:rsid w:val="00C20091"/>
    <w:rsid w:val="00C20B75"/>
    <w:rsid w:val="00C215B4"/>
    <w:rsid w:val="00C21B71"/>
    <w:rsid w:val="00C21B8B"/>
    <w:rsid w:val="00C22958"/>
    <w:rsid w:val="00C22D9D"/>
    <w:rsid w:val="00C22F38"/>
    <w:rsid w:val="00C24DC9"/>
    <w:rsid w:val="00C25089"/>
    <w:rsid w:val="00C251F7"/>
    <w:rsid w:val="00C252B4"/>
    <w:rsid w:val="00C2600E"/>
    <w:rsid w:val="00C267C1"/>
    <w:rsid w:val="00C26BCD"/>
    <w:rsid w:val="00C2712F"/>
    <w:rsid w:val="00C27DC6"/>
    <w:rsid w:val="00C30166"/>
    <w:rsid w:val="00C30217"/>
    <w:rsid w:val="00C30309"/>
    <w:rsid w:val="00C3076D"/>
    <w:rsid w:val="00C30BBA"/>
    <w:rsid w:val="00C3194D"/>
    <w:rsid w:val="00C3226C"/>
    <w:rsid w:val="00C322AC"/>
    <w:rsid w:val="00C32F05"/>
    <w:rsid w:val="00C32F44"/>
    <w:rsid w:val="00C33D4F"/>
    <w:rsid w:val="00C33F7B"/>
    <w:rsid w:val="00C341AF"/>
    <w:rsid w:val="00C3475A"/>
    <w:rsid w:val="00C348B6"/>
    <w:rsid w:val="00C36770"/>
    <w:rsid w:val="00C36832"/>
    <w:rsid w:val="00C36928"/>
    <w:rsid w:val="00C37EC3"/>
    <w:rsid w:val="00C40825"/>
    <w:rsid w:val="00C40B15"/>
    <w:rsid w:val="00C40E99"/>
    <w:rsid w:val="00C41187"/>
    <w:rsid w:val="00C41193"/>
    <w:rsid w:val="00C416FD"/>
    <w:rsid w:val="00C41FB4"/>
    <w:rsid w:val="00C4310B"/>
    <w:rsid w:val="00C4495C"/>
    <w:rsid w:val="00C44976"/>
    <w:rsid w:val="00C44ABB"/>
    <w:rsid w:val="00C44D3E"/>
    <w:rsid w:val="00C4536A"/>
    <w:rsid w:val="00C458D0"/>
    <w:rsid w:val="00C46727"/>
    <w:rsid w:val="00C4700F"/>
    <w:rsid w:val="00C47092"/>
    <w:rsid w:val="00C50A3C"/>
    <w:rsid w:val="00C51799"/>
    <w:rsid w:val="00C51D26"/>
    <w:rsid w:val="00C51EB4"/>
    <w:rsid w:val="00C52048"/>
    <w:rsid w:val="00C5224F"/>
    <w:rsid w:val="00C52606"/>
    <w:rsid w:val="00C52A5A"/>
    <w:rsid w:val="00C52DA1"/>
    <w:rsid w:val="00C5306C"/>
    <w:rsid w:val="00C5385C"/>
    <w:rsid w:val="00C5388A"/>
    <w:rsid w:val="00C55718"/>
    <w:rsid w:val="00C55C13"/>
    <w:rsid w:val="00C5608C"/>
    <w:rsid w:val="00C56616"/>
    <w:rsid w:val="00C56B00"/>
    <w:rsid w:val="00C572AD"/>
    <w:rsid w:val="00C57BD6"/>
    <w:rsid w:val="00C57EC3"/>
    <w:rsid w:val="00C6015F"/>
    <w:rsid w:val="00C60602"/>
    <w:rsid w:val="00C6063C"/>
    <w:rsid w:val="00C606F2"/>
    <w:rsid w:val="00C60A90"/>
    <w:rsid w:val="00C60F9B"/>
    <w:rsid w:val="00C612EF"/>
    <w:rsid w:val="00C61762"/>
    <w:rsid w:val="00C62528"/>
    <w:rsid w:val="00C62748"/>
    <w:rsid w:val="00C62C9C"/>
    <w:rsid w:val="00C63DE8"/>
    <w:rsid w:val="00C65E95"/>
    <w:rsid w:val="00C65F6D"/>
    <w:rsid w:val="00C66751"/>
    <w:rsid w:val="00C67791"/>
    <w:rsid w:val="00C700C2"/>
    <w:rsid w:val="00C70562"/>
    <w:rsid w:val="00C705C5"/>
    <w:rsid w:val="00C70FB7"/>
    <w:rsid w:val="00C7149D"/>
    <w:rsid w:val="00C72411"/>
    <w:rsid w:val="00C727A9"/>
    <w:rsid w:val="00C72F13"/>
    <w:rsid w:val="00C7312F"/>
    <w:rsid w:val="00C7316E"/>
    <w:rsid w:val="00C73A01"/>
    <w:rsid w:val="00C73BE9"/>
    <w:rsid w:val="00C73D9E"/>
    <w:rsid w:val="00C74299"/>
    <w:rsid w:val="00C7526B"/>
    <w:rsid w:val="00C7595E"/>
    <w:rsid w:val="00C75A22"/>
    <w:rsid w:val="00C76BC6"/>
    <w:rsid w:val="00C804CB"/>
    <w:rsid w:val="00C80701"/>
    <w:rsid w:val="00C80A3F"/>
    <w:rsid w:val="00C81368"/>
    <w:rsid w:val="00C813E1"/>
    <w:rsid w:val="00C81692"/>
    <w:rsid w:val="00C835C8"/>
    <w:rsid w:val="00C83B6E"/>
    <w:rsid w:val="00C848C7"/>
    <w:rsid w:val="00C84ACC"/>
    <w:rsid w:val="00C85120"/>
    <w:rsid w:val="00C863A9"/>
    <w:rsid w:val="00C8662F"/>
    <w:rsid w:val="00C867C6"/>
    <w:rsid w:val="00C869FC"/>
    <w:rsid w:val="00C87496"/>
    <w:rsid w:val="00C876BB"/>
    <w:rsid w:val="00C87806"/>
    <w:rsid w:val="00C87B1C"/>
    <w:rsid w:val="00C906C7"/>
    <w:rsid w:val="00C90B57"/>
    <w:rsid w:val="00C90EA6"/>
    <w:rsid w:val="00C92466"/>
    <w:rsid w:val="00C9248E"/>
    <w:rsid w:val="00C92AA3"/>
    <w:rsid w:val="00C92B2C"/>
    <w:rsid w:val="00C9330B"/>
    <w:rsid w:val="00C93CD1"/>
    <w:rsid w:val="00C94AA5"/>
    <w:rsid w:val="00C96483"/>
    <w:rsid w:val="00C96AC5"/>
    <w:rsid w:val="00C97447"/>
    <w:rsid w:val="00C975FF"/>
    <w:rsid w:val="00C97C03"/>
    <w:rsid w:val="00CA1084"/>
    <w:rsid w:val="00CA1305"/>
    <w:rsid w:val="00CA192C"/>
    <w:rsid w:val="00CA2719"/>
    <w:rsid w:val="00CA28A4"/>
    <w:rsid w:val="00CA2A07"/>
    <w:rsid w:val="00CA2FE0"/>
    <w:rsid w:val="00CA3090"/>
    <w:rsid w:val="00CA36B3"/>
    <w:rsid w:val="00CA36DC"/>
    <w:rsid w:val="00CA3CDD"/>
    <w:rsid w:val="00CA3F3F"/>
    <w:rsid w:val="00CA46A0"/>
    <w:rsid w:val="00CA4DCC"/>
    <w:rsid w:val="00CA57E9"/>
    <w:rsid w:val="00CA63E5"/>
    <w:rsid w:val="00CA6A4E"/>
    <w:rsid w:val="00CA7122"/>
    <w:rsid w:val="00CB1227"/>
    <w:rsid w:val="00CB1A23"/>
    <w:rsid w:val="00CB21AF"/>
    <w:rsid w:val="00CB24D4"/>
    <w:rsid w:val="00CB260F"/>
    <w:rsid w:val="00CB2ACF"/>
    <w:rsid w:val="00CB3A44"/>
    <w:rsid w:val="00CB4572"/>
    <w:rsid w:val="00CB471C"/>
    <w:rsid w:val="00CB5AAB"/>
    <w:rsid w:val="00CB66EC"/>
    <w:rsid w:val="00CB6717"/>
    <w:rsid w:val="00CB690B"/>
    <w:rsid w:val="00CB7273"/>
    <w:rsid w:val="00CB7331"/>
    <w:rsid w:val="00CB7716"/>
    <w:rsid w:val="00CB7BED"/>
    <w:rsid w:val="00CC07CF"/>
    <w:rsid w:val="00CC0E2B"/>
    <w:rsid w:val="00CC11A9"/>
    <w:rsid w:val="00CC242B"/>
    <w:rsid w:val="00CC2D4D"/>
    <w:rsid w:val="00CC3081"/>
    <w:rsid w:val="00CC35FF"/>
    <w:rsid w:val="00CC42D3"/>
    <w:rsid w:val="00CC42DD"/>
    <w:rsid w:val="00CC47A1"/>
    <w:rsid w:val="00CC4CBE"/>
    <w:rsid w:val="00CC4ECF"/>
    <w:rsid w:val="00CC5335"/>
    <w:rsid w:val="00CC5636"/>
    <w:rsid w:val="00CC5CD4"/>
    <w:rsid w:val="00CC5D9A"/>
    <w:rsid w:val="00CC68A8"/>
    <w:rsid w:val="00CC6F39"/>
    <w:rsid w:val="00CC6FDC"/>
    <w:rsid w:val="00CC7209"/>
    <w:rsid w:val="00CC7528"/>
    <w:rsid w:val="00CC77F3"/>
    <w:rsid w:val="00CC7FA8"/>
    <w:rsid w:val="00CD12DF"/>
    <w:rsid w:val="00CD244A"/>
    <w:rsid w:val="00CD294D"/>
    <w:rsid w:val="00CD2B64"/>
    <w:rsid w:val="00CD361F"/>
    <w:rsid w:val="00CD3B4B"/>
    <w:rsid w:val="00CD3DAF"/>
    <w:rsid w:val="00CD4AC3"/>
    <w:rsid w:val="00CD4F3D"/>
    <w:rsid w:val="00CD51B0"/>
    <w:rsid w:val="00CD583F"/>
    <w:rsid w:val="00CD5AFD"/>
    <w:rsid w:val="00CD6287"/>
    <w:rsid w:val="00CD78D7"/>
    <w:rsid w:val="00CD7983"/>
    <w:rsid w:val="00CD7EE4"/>
    <w:rsid w:val="00CD7F0C"/>
    <w:rsid w:val="00CE054C"/>
    <w:rsid w:val="00CE077B"/>
    <w:rsid w:val="00CE095E"/>
    <w:rsid w:val="00CE0C11"/>
    <w:rsid w:val="00CE0EF6"/>
    <w:rsid w:val="00CE18A6"/>
    <w:rsid w:val="00CE1B33"/>
    <w:rsid w:val="00CE1F04"/>
    <w:rsid w:val="00CE2B83"/>
    <w:rsid w:val="00CE397E"/>
    <w:rsid w:val="00CE3A72"/>
    <w:rsid w:val="00CE41ED"/>
    <w:rsid w:val="00CE445B"/>
    <w:rsid w:val="00CE4AA7"/>
    <w:rsid w:val="00CE546D"/>
    <w:rsid w:val="00CE62CA"/>
    <w:rsid w:val="00CE69CB"/>
    <w:rsid w:val="00CE6CBA"/>
    <w:rsid w:val="00CE6F09"/>
    <w:rsid w:val="00CE70BA"/>
    <w:rsid w:val="00CE7D08"/>
    <w:rsid w:val="00CF1417"/>
    <w:rsid w:val="00CF1B93"/>
    <w:rsid w:val="00CF230D"/>
    <w:rsid w:val="00CF295C"/>
    <w:rsid w:val="00CF3304"/>
    <w:rsid w:val="00CF3DEE"/>
    <w:rsid w:val="00CF45FE"/>
    <w:rsid w:val="00CF4C14"/>
    <w:rsid w:val="00CF5361"/>
    <w:rsid w:val="00CF5517"/>
    <w:rsid w:val="00CF5795"/>
    <w:rsid w:val="00CF5AFD"/>
    <w:rsid w:val="00CF5B04"/>
    <w:rsid w:val="00CF615B"/>
    <w:rsid w:val="00CF752C"/>
    <w:rsid w:val="00CF770C"/>
    <w:rsid w:val="00CF777F"/>
    <w:rsid w:val="00CF78F6"/>
    <w:rsid w:val="00CF7B2E"/>
    <w:rsid w:val="00CF7ED8"/>
    <w:rsid w:val="00CF7FE4"/>
    <w:rsid w:val="00D001C1"/>
    <w:rsid w:val="00D0105D"/>
    <w:rsid w:val="00D02641"/>
    <w:rsid w:val="00D03238"/>
    <w:rsid w:val="00D03311"/>
    <w:rsid w:val="00D033BA"/>
    <w:rsid w:val="00D039F9"/>
    <w:rsid w:val="00D04152"/>
    <w:rsid w:val="00D0516F"/>
    <w:rsid w:val="00D05B07"/>
    <w:rsid w:val="00D0687C"/>
    <w:rsid w:val="00D0730E"/>
    <w:rsid w:val="00D07813"/>
    <w:rsid w:val="00D07997"/>
    <w:rsid w:val="00D079B7"/>
    <w:rsid w:val="00D11CD9"/>
    <w:rsid w:val="00D12070"/>
    <w:rsid w:val="00D125AE"/>
    <w:rsid w:val="00D1274C"/>
    <w:rsid w:val="00D13F2A"/>
    <w:rsid w:val="00D14022"/>
    <w:rsid w:val="00D144C1"/>
    <w:rsid w:val="00D15275"/>
    <w:rsid w:val="00D163B6"/>
    <w:rsid w:val="00D17996"/>
    <w:rsid w:val="00D20307"/>
    <w:rsid w:val="00D2050F"/>
    <w:rsid w:val="00D20B4C"/>
    <w:rsid w:val="00D20E3A"/>
    <w:rsid w:val="00D21A33"/>
    <w:rsid w:val="00D21AFB"/>
    <w:rsid w:val="00D21C19"/>
    <w:rsid w:val="00D21C75"/>
    <w:rsid w:val="00D21C8B"/>
    <w:rsid w:val="00D22105"/>
    <w:rsid w:val="00D233E2"/>
    <w:rsid w:val="00D268BC"/>
    <w:rsid w:val="00D26B1B"/>
    <w:rsid w:val="00D26DF7"/>
    <w:rsid w:val="00D2712F"/>
    <w:rsid w:val="00D273C5"/>
    <w:rsid w:val="00D276B3"/>
    <w:rsid w:val="00D27D1E"/>
    <w:rsid w:val="00D305A7"/>
    <w:rsid w:val="00D3082A"/>
    <w:rsid w:val="00D30BEA"/>
    <w:rsid w:val="00D30FB3"/>
    <w:rsid w:val="00D31613"/>
    <w:rsid w:val="00D31898"/>
    <w:rsid w:val="00D31A4D"/>
    <w:rsid w:val="00D321D0"/>
    <w:rsid w:val="00D3232C"/>
    <w:rsid w:val="00D32A3E"/>
    <w:rsid w:val="00D32AD6"/>
    <w:rsid w:val="00D34395"/>
    <w:rsid w:val="00D3483D"/>
    <w:rsid w:val="00D34A50"/>
    <w:rsid w:val="00D35400"/>
    <w:rsid w:val="00D3555C"/>
    <w:rsid w:val="00D3561A"/>
    <w:rsid w:val="00D35775"/>
    <w:rsid w:val="00D366E7"/>
    <w:rsid w:val="00D36DA0"/>
    <w:rsid w:val="00D36F33"/>
    <w:rsid w:val="00D3713C"/>
    <w:rsid w:val="00D3779D"/>
    <w:rsid w:val="00D42009"/>
    <w:rsid w:val="00D426A8"/>
    <w:rsid w:val="00D4336A"/>
    <w:rsid w:val="00D436C6"/>
    <w:rsid w:val="00D436F3"/>
    <w:rsid w:val="00D43953"/>
    <w:rsid w:val="00D44477"/>
    <w:rsid w:val="00D44F1E"/>
    <w:rsid w:val="00D452E4"/>
    <w:rsid w:val="00D45CAF"/>
    <w:rsid w:val="00D46081"/>
    <w:rsid w:val="00D46116"/>
    <w:rsid w:val="00D46774"/>
    <w:rsid w:val="00D467C8"/>
    <w:rsid w:val="00D47109"/>
    <w:rsid w:val="00D50193"/>
    <w:rsid w:val="00D503BC"/>
    <w:rsid w:val="00D50430"/>
    <w:rsid w:val="00D50572"/>
    <w:rsid w:val="00D50A01"/>
    <w:rsid w:val="00D50B17"/>
    <w:rsid w:val="00D50E4C"/>
    <w:rsid w:val="00D5202B"/>
    <w:rsid w:val="00D52096"/>
    <w:rsid w:val="00D52727"/>
    <w:rsid w:val="00D5370C"/>
    <w:rsid w:val="00D548D4"/>
    <w:rsid w:val="00D54C39"/>
    <w:rsid w:val="00D54DD9"/>
    <w:rsid w:val="00D5503F"/>
    <w:rsid w:val="00D555DD"/>
    <w:rsid w:val="00D55887"/>
    <w:rsid w:val="00D576A6"/>
    <w:rsid w:val="00D577FA"/>
    <w:rsid w:val="00D57958"/>
    <w:rsid w:val="00D600E1"/>
    <w:rsid w:val="00D606F7"/>
    <w:rsid w:val="00D6089F"/>
    <w:rsid w:val="00D60972"/>
    <w:rsid w:val="00D62698"/>
    <w:rsid w:val="00D62768"/>
    <w:rsid w:val="00D6290E"/>
    <w:rsid w:val="00D62EAD"/>
    <w:rsid w:val="00D62F8F"/>
    <w:rsid w:val="00D63F87"/>
    <w:rsid w:val="00D6405A"/>
    <w:rsid w:val="00D65F0C"/>
    <w:rsid w:val="00D664E6"/>
    <w:rsid w:val="00D66562"/>
    <w:rsid w:val="00D667E0"/>
    <w:rsid w:val="00D66AD2"/>
    <w:rsid w:val="00D67074"/>
    <w:rsid w:val="00D6736C"/>
    <w:rsid w:val="00D67376"/>
    <w:rsid w:val="00D67A86"/>
    <w:rsid w:val="00D70471"/>
    <w:rsid w:val="00D70FDD"/>
    <w:rsid w:val="00D716D8"/>
    <w:rsid w:val="00D717AF"/>
    <w:rsid w:val="00D728EF"/>
    <w:rsid w:val="00D72CA4"/>
    <w:rsid w:val="00D72E38"/>
    <w:rsid w:val="00D7343A"/>
    <w:rsid w:val="00D739DA"/>
    <w:rsid w:val="00D73D28"/>
    <w:rsid w:val="00D73EE3"/>
    <w:rsid w:val="00D74324"/>
    <w:rsid w:val="00D743BA"/>
    <w:rsid w:val="00D7445E"/>
    <w:rsid w:val="00D74A89"/>
    <w:rsid w:val="00D74E08"/>
    <w:rsid w:val="00D758D6"/>
    <w:rsid w:val="00D75D7E"/>
    <w:rsid w:val="00D76376"/>
    <w:rsid w:val="00D76E80"/>
    <w:rsid w:val="00D77143"/>
    <w:rsid w:val="00D77DA3"/>
    <w:rsid w:val="00D77E2F"/>
    <w:rsid w:val="00D77FDE"/>
    <w:rsid w:val="00D80249"/>
    <w:rsid w:val="00D80999"/>
    <w:rsid w:val="00D80A44"/>
    <w:rsid w:val="00D80BAF"/>
    <w:rsid w:val="00D810E5"/>
    <w:rsid w:val="00D810FB"/>
    <w:rsid w:val="00D81FE9"/>
    <w:rsid w:val="00D82E8B"/>
    <w:rsid w:val="00D83445"/>
    <w:rsid w:val="00D846F0"/>
    <w:rsid w:val="00D8476C"/>
    <w:rsid w:val="00D84CFF"/>
    <w:rsid w:val="00D84D6D"/>
    <w:rsid w:val="00D86E23"/>
    <w:rsid w:val="00D87012"/>
    <w:rsid w:val="00D872DF"/>
    <w:rsid w:val="00D902DD"/>
    <w:rsid w:val="00D903A6"/>
    <w:rsid w:val="00D90A58"/>
    <w:rsid w:val="00D910D3"/>
    <w:rsid w:val="00D91723"/>
    <w:rsid w:val="00D922C0"/>
    <w:rsid w:val="00D926FE"/>
    <w:rsid w:val="00D92847"/>
    <w:rsid w:val="00D92A0B"/>
    <w:rsid w:val="00D92F1F"/>
    <w:rsid w:val="00D94839"/>
    <w:rsid w:val="00D9528F"/>
    <w:rsid w:val="00D953EF"/>
    <w:rsid w:val="00D96629"/>
    <w:rsid w:val="00D97173"/>
    <w:rsid w:val="00D971FC"/>
    <w:rsid w:val="00D977DC"/>
    <w:rsid w:val="00D97F4B"/>
    <w:rsid w:val="00DA07FA"/>
    <w:rsid w:val="00DA0CAB"/>
    <w:rsid w:val="00DA0DA7"/>
    <w:rsid w:val="00DA0F6B"/>
    <w:rsid w:val="00DA16A4"/>
    <w:rsid w:val="00DA2F3A"/>
    <w:rsid w:val="00DA3078"/>
    <w:rsid w:val="00DA39A3"/>
    <w:rsid w:val="00DA3D7E"/>
    <w:rsid w:val="00DA4214"/>
    <w:rsid w:val="00DA4354"/>
    <w:rsid w:val="00DA4AB2"/>
    <w:rsid w:val="00DA4B87"/>
    <w:rsid w:val="00DA4F51"/>
    <w:rsid w:val="00DA520D"/>
    <w:rsid w:val="00DA52BF"/>
    <w:rsid w:val="00DA5A13"/>
    <w:rsid w:val="00DA66C4"/>
    <w:rsid w:val="00DA6E57"/>
    <w:rsid w:val="00DA6EED"/>
    <w:rsid w:val="00DA6FC5"/>
    <w:rsid w:val="00DA702D"/>
    <w:rsid w:val="00DA7754"/>
    <w:rsid w:val="00DA78D0"/>
    <w:rsid w:val="00DA7B17"/>
    <w:rsid w:val="00DB0311"/>
    <w:rsid w:val="00DB07F4"/>
    <w:rsid w:val="00DB09A6"/>
    <w:rsid w:val="00DB18AF"/>
    <w:rsid w:val="00DB1DA8"/>
    <w:rsid w:val="00DB28E5"/>
    <w:rsid w:val="00DB2A00"/>
    <w:rsid w:val="00DB2CAD"/>
    <w:rsid w:val="00DB3355"/>
    <w:rsid w:val="00DB3A52"/>
    <w:rsid w:val="00DB465D"/>
    <w:rsid w:val="00DB5DCC"/>
    <w:rsid w:val="00DB6690"/>
    <w:rsid w:val="00DB6972"/>
    <w:rsid w:val="00DB6B49"/>
    <w:rsid w:val="00DB6D62"/>
    <w:rsid w:val="00DB706D"/>
    <w:rsid w:val="00DB7BE2"/>
    <w:rsid w:val="00DB7C41"/>
    <w:rsid w:val="00DC0073"/>
    <w:rsid w:val="00DC020A"/>
    <w:rsid w:val="00DC0A44"/>
    <w:rsid w:val="00DC12B3"/>
    <w:rsid w:val="00DC1338"/>
    <w:rsid w:val="00DC1406"/>
    <w:rsid w:val="00DC154B"/>
    <w:rsid w:val="00DC16FA"/>
    <w:rsid w:val="00DC1B2A"/>
    <w:rsid w:val="00DC237D"/>
    <w:rsid w:val="00DC2FE5"/>
    <w:rsid w:val="00DC4437"/>
    <w:rsid w:val="00DC57D7"/>
    <w:rsid w:val="00DC59E1"/>
    <w:rsid w:val="00DC5FB9"/>
    <w:rsid w:val="00DC690A"/>
    <w:rsid w:val="00DC7110"/>
    <w:rsid w:val="00DC7C47"/>
    <w:rsid w:val="00DC7D86"/>
    <w:rsid w:val="00DD0432"/>
    <w:rsid w:val="00DD04C2"/>
    <w:rsid w:val="00DD05F7"/>
    <w:rsid w:val="00DD0DD2"/>
    <w:rsid w:val="00DD0E2F"/>
    <w:rsid w:val="00DD1160"/>
    <w:rsid w:val="00DD208E"/>
    <w:rsid w:val="00DD2608"/>
    <w:rsid w:val="00DD27E0"/>
    <w:rsid w:val="00DD2E4E"/>
    <w:rsid w:val="00DD2F7C"/>
    <w:rsid w:val="00DD3682"/>
    <w:rsid w:val="00DD391B"/>
    <w:rsid w:val="00DD3C26"/>
    <w:rsid w:val="00DD4517"/>
    <w:rsid w:val="00DD47C1"/>
    <w:rsid w:val="00DD5373"/>
    <w:rsid w:val="00DD565B"/>
    <w:rsid w:val="00DD5858"/>
    <w:rsid w:val="00DD6745"/>
    <w:rsid w:val="00DD7332"/>
    <w:rsid w:val="00DD74A7"/>
    <w:rsid w:val="00DD7702"/>
    <w:rsid w:val="00DD772A"/>
    <w:rsid w:val="00DE09D7"/>
    <w:rsid w:val="00DE3612"/>
    <w:rsid w:val="00DE3B93"/>
    <w:rsid w:val="00DE3F91"/>
    <w:rsid w:val="00DE41DA"/>
    <w:rsid w:val="00DE44EB"/>
    <w:rsid w:val="00DE468B"/>
    <w:rsid w:val="00DE5089"/>
    <w:rsid w:val="00DE51C5"/>
    <w:rsid w:val="00DE56C3"/>
    <w:rsid w:val="00DE5C4B"/>
    <w:rsid w:val="00DE5C76"/>
    <w:rsid w:val="00DE5E81"/>
    <w:rsid w:val="00DE60FE"/>
    <w:rsid w:val="00DE73A3"/>
    <w:rsid w:val="00DE78A3"/>
    <w:rsid w:val="00DE7E09"/>
    <w:rsid w:val="00DF0010"/>
    <w:rsid w:val="00DF0249"/>
    <w:rsid w:val="00DF2882"/>
    <w:rsid w:val="00DF3B50"/>
    <w:rsid w:val="00DF3CE5"/>
    <w:rsid w:val="00DF472D"/>
    <w:rsid w:val="00DF5252"/>
    <w:rsid w:val="00DF6651"/>
    <w:rsid w:val="00DF689B"/>
    <w:rsid w:val="00DF695A"/>
    <w:rsid w:val="00DF73B8"/>
    <w:rsid w:val="00DF762B"/>
    <w:rsid w:val="00DF766A"/>
    <w:rsid w:val="00E004A6"/>
    <w:rsid w:val="00E00617"/>
    <w:rsid w:val="00E00F66"/>
    <w:rsid w:val="00E0145B"/>
    <w:rsid w:val="00E01476"/>
    <w:rsid w:val="00E03381"/>
    <w:rsid w:val="00E03387"/>
    <w:rsid w:val="00E0428B"/>
    <w:rsid w:val="00E04678"/>
    <w:rsid w:val="00E046C7"/>
    <w:rsid w:val="00E04FD0"/>
    <w:rsid w:val="00E053A0"/>
    <w:rsid w:val="00E07C29"/>
    <w:rsid w:val="00E07C47"/>
    <w:rsid w:val="00E12A41"/>
    <w:rsid w:val="00E12A9A"/>
    <w:rsid w:val="00E12BF9"/>
    <w:rsid w:val="00E12D50"/>
    <w:rsid w:val="00E1339A"/>
    <w:rsid w:val="00E139BF"/>
    <w:rsid w:val="00E13E67"/>
    <w:rsid w:val="00E14C8B"/>
    <w:rsid w:val="00E15127"/>
    <w:rsid w:val="00E15419"/>
    <w:rsid w:val="00E15495"/>
    <w:rsid w:val="00E16458"/>
    <w:rsid w:val="00E1733E"/>
    <w:rsid w:val="00E17824"/>
    <w:rsid w:val="00E202A0"/>
    <w:rsid w:val="00E212F8"/>
    <w:rsid w:val="00E21B4F"/>
    <w:rsid w:val="00E22C04"/>
    <w:rsid w:val="00E2362C"/>
    <w:rsid w:val="00E23969"/>
    <w:rsid w:val="00E23F6A"/>
    <w:rsid w:val="00E24BCF"/>
    <w:rsid w:val="00E276F8"/>
    <w:rsid w:val="00E27A3D"/>
    <w:rsid w:val="00E27CBB"/>
    <w:rsid w:val="00E303E0"/>
    <w:rsid w:val="00E31019"/>
    <w:rsid w:val="00E31186"/>
    <w:rsid w:val="00E31404"/>
    <w:rsid w:val="00E3140C"/>
    <w:rsid w:val="00E31415"/>
    <w:rsid w:val="00E31513"/>
    <w:rsid w:val="00E31C64"/>
    <w:rsid w:val="00E31DE0"/>
    <w:rsid w:val="00E3284E"/>
    <w:rsid w:val="00E32A28"/>
    <w:rsid w:val="00E34126"/>
    <w:rsid w:val="00E34181"/>
    <w:rsid w:val="00E34211"/>
    <w:rsid w:val="00E34C45"/>
    <w:rsid w:val="00E34FC9"/>
    <w:rsid w:val="00E36780"/>
    <w:rsid w:val="00E36E3B"/>
    <w:rsid w:val="00E370F4"/>
    <w:rsid w:val="00E375AB"/>
    <w:rsid w:val="00E37C74"/>
    <w:rsid w:val="00E37E0C"/>
    <w:rsid w:val="00E407BF"/>
    <w:rsid w:val="00E41025"/>
    <w:rsid w:val="00E4143C"/>
    <w:rsid w:val="00E41692"/>
    <w:rsid w:val="00E41C3B"/>
    <w:rsid w:val="00E4335F"/>
    <w:rsid w:val="00E438A6"/>
    <w:rsid w:val="00E43F8F"/>
    <w:rsid w:val="00E442D1"/>
    <w:rsid w:val="00E44A11"/>
    <w:rsid w:val="00E44F9E"/>
    <w:rsid w:val="00E4523B"/>
    <w:rsid w:val="00E456F0"/>
    <w:rsid w:val="00E4596C"/>
    <w:rsid w:val="00E45E2D"/>
    <w:rsid w:val="00E45FC2"/>
    <w:rsid w:val="00E463D5"/>
    <w:rsid w:val="00E46CD5"/>
    <w:rsid w:val="00E508A4"/>
    <w:rsid w:val="00E518A6"/>
    <w:rsid w:val="00E51906"/>
    <w:rsid w:val="00E51B0B"/>
    <w:rsid w:val="00E52224"/>
    <w:rsid w:val="00E529CD"/>
    <w:rsid w:val="00E52BE1"/>
    <w:rsid w:val="00E52CAC"/>
    <w:rsid w:val="00E52EA0"/>
    <w:rsid w:val="00E52EAB"/>
    <w:rsid w:val="00E54F27"/>
    <w:rsid w:val="00E54F7C"/>
    <w:rsid w:val="00E55464"/>
    <w:rsid w:val="00E559E0"/>
    <w:rsid w:val="00E55ED2"/>
    <w:rsid w:val="00E56C4F"/>
    <w:rsid w:val="00E5742B"/>
    <w:rsid w:val="00E575BC"/>
    <w:rsid w:val="00E57758"/>
    <w:rsid w:val="00E577E7"/>
    <w:rsid w:val="00E60860"/>
    <w:rsid w:val="00E61337"/>
    <w:rsid w:val="00E613EE"/>
    <w:rsid w:val="00E6189F"/>
    <w:rsid w:val="00E61953"/>
    <w:rsid w:val="00E61995"/>
    <w:rsid w:val="00E6238F"/>
    <w:rsid w:val="00E62822"/>
    <w:rsid w:val="00E636A6"/>
    <w:rsid w:val="00E646CF"/>
    <w:rsid w:val="00E64E9C"/>
    <w:rsid w:val="00E6572B"/>
    <w:rsid w:val="00E65AE8"/>
    <w:rsid w:val="00E65C2E"/>
    <w:rsid w:val="00E664DF"/>
    <w:rsid w:val="00E67AC5"/>
    <w:rsid w:val="00E67B96"/>
    <w:rsid w:val="00E7024C"/>
    <w:rsid w:val="00E7093B"/>
    <w:rsid w:val="00E70F85"/>
    <w:rsid w:val="00E711BD"/>
    <w:rsid w:val="00E7197A"/>
    <w:rsid w:val="00E71AA9"/>
    <w:rsid w:val="00E71CC6"/>
    <w:rsid w:val="00E7273F"/>
    <w:rsid w:val="00E7279E"/>
    <w:rsid w:val="00E72AFC"/>
    <w:rsid w:val="00E75DF6"/>
    <w:rsid w:val="00E76093"/>
    <w:rsid w:val="00E7621C"/>
    <w:rsid w:val="00E76417"/>
    <w:rsid w:val="00E76FA1"/>
    <w:rsid w:val="00E76FB1"/>
    <w:rsid w:val="00E77ADD"/>
    <w:rsid w:val="00E804BE"/>
    <w:rsid w:val="00E806AB"/>
    <w:rsid w:val="00E80787"/>
    <w:rsid w:val="00E81E8F"/>
    <w:rsid w:val="00E8296F"/>
    <w:rsid w:val="00E82A70"/>
    <w:rsid w:val="00E83039"/>
    <w:rsid w:val="00E83310"/>
    <w:rsid w:val="00E83AEB"/>
    <w:rsid w:val="00E83E2B"/>
    <w:rsid w:val="00E85136"/>
    <w:rsid w:val="00E859A0"/>
    <w:rsid w:val="00E86499"/>
    <w:rsid w:val="00E86824"/>
    <w:rsid w:val="00E86CDE"/>
    <w:rsid w:val="00E86D8F"/>
    <w:rsid w:val="00E86F13"/>
    <w:rsid w:val="00E876E7"/>
    <w:rsid w:val="00E87C4B"/>
    <w:rsid w:val="00E8CEC4"/>
    <w:rsid w:val="00E9024E"/>
    <w:rsid w:val="00E9050B"/>
    <w:rsid w:val="00E9078D"/>
    <w:rsid w:val="00E909CA"/>
    <w:rsid w:val="00E91102"/>
    <w:rsid w:val="00E9164F"/>
    <w:rsid w:val="00E92782"/>
    <w:rsid w:val="00E93340"/>
    <w:rsid w:val="00E94204"/>
    <w:rsid w:val="00E9446C"/>
    <w:rsid w:val="00E948E1"/>
    <w:rsid w:val="00E9570D"/>
    <w:rsid w:val="00E95EBB"/>
    <w:rsid w:val="00E97DE5"/>
    <w:rsid w:val="00EA02AF"/>
    <w:rsid w:val="00EA049A"/>
    <w:rsid w:val="00EA18F2"/>
    <w:rsid w:val="00EA302E"/>
    <w:rsid w:val="00EA317C"/>
    <w:rsid w:val="00EA3C8A"/>
    <w:rsid w:val="00EA3D4A"/>
    <w:rsid w:val="00EA3F15"/>
    <w:rsid w:val="00EA4754"/>
    <w:rsid w:val="00EA4994"/>
    <w:rsid w:val="00EA52BF"/>
    <w:rsid w:val="00EA558A"/>
    <w:rsid w:val="00EA580C"/>
    <w:rsid w:val="00EA60F7"/>
    <w:rsid w:val="00EA6204"/>
    <w:rsid w:val="00EA62C9"/>
    <w:rsid w:val="00EA6459"/>
    <w:rsid w:val="00EA6C6A"/>
    <w:rsid w:val="00EA71DA"/>
    <w:rsid w:val="00EB02D3"/>
    <w:rsid w:val="00EB21D1"/>
    <w:rsid w:val="00EB2910"/>
    <w:rsid w:val="00EB323C"/>
    <w:rsid w:val="00EB3E29"/>
    <w:rsid w:val="00EB4381"/>
    <w:rsid w:val="00EB4884"/>
    <w:rsid w:val="00EB4D8D"/>
    <w:rsid w:val="00EB5624"/>
    <w:rsid w:val="00EB585B"/>
    <w:rsid w:val="00EB6BEB"/>
    <w:rsid w:val="00EB6F77"/>
    <w:rsid w:val="00EB7486"/>
    <w:rsid w:val="00EB7879"/>
    <w:rsid w:val="00EB7927"/>
    <w:rsid w:val="00EB7ACF"/>
    <w:rsid w:val="00EC0569"/>
    <w:rsid w:val="00EC0B95"/>
    <w:rsid w:val="00EC0BE7"/>
    <w:rsid w:val="00EC14F2"/>
    <w:rsid w:val="00EC1837"/>
    <w:rsid w:val="00EC1CED"/>
    <w:rsid w:val="00EC215D"/>
    <w:rsid w:val="00EC2920"/>
    <w:rsid w:val="00EC2A08"/>
    <w:rsid w:val="00EC2CF3"/>
    <w:rsid w:val="00EC3301"/>
    <w:rsid w:val="00EC3AC8"/>
    <w:rsid w:val="00EC3C3B"/>
    <w:rsid w:val="00EC3D51"/>
    <w:rsid w:val="00EC4FDA"/>
    <w:rsid w:val="00EC5A55"/>
    <w:rsid w:val="00EC664A"/>
    <w:rsid w:val="00EC68C9"/>
    <w:rsid w:val="00EC6E96"/>
    <w:rsid w:val="00EC7371"/>
    <w:rsid w:val="00EC79B1"/>
    <w:rsid w:val="00EC7A95"/>
    <w:rsid w:val="00ED05EF"/>
    <w:rsid w:val="00ED0ABD"/>
    <w:rsid w:val="00ED133B"/>
    <w:rsid w:val="00ED19BE"/>
    <w:rsid w:val="00ED1F00"/>
    <w:rsid w:val="00ED1F52"/>
    <w:rsid w:val="00ED35A2"/>
    <w:rsid w:val="00ED3E48"/>
    <w:rsid w:val="00ED44E0"/>
    <w:rsid w:val="00ED59FD"/>
    <w:rsid w:val="00ED5FAE"/>
    <w:rsid w:val="00ED6903"/>
    <w:rsid w:val="00ED7697"/>
    <w:rsid w:val="00ED78D0"/>
    <w:rsid w:val="00EE0121"/>
    <w:rsid w:val="00EE034B"/>
    <w:rsid w:val="00EE0FA2"/>
    <w:rsid w:val="00EE1E32"/>
    <w:rsid w:val="00EE27D6"/>
    <w:rsid w:val="00EE3C79"/>
    <w:rsid w:val="00EE3CF1"/>
    <w:rsid w:val="00EE433D"/>
    <w:rsid w:val="00EE4CB2"/>
    <w:rsid w:val="00EE589F"/>
    <w:rsid w:val="00EE5BD6"/>
    <w:rsid w:val="00EE643A"/>
    <w:rsid w:val="00EE68E2"/>
    <w:rsid w:val="00EE70BA"/>
    <w:rsid w:val="00EE7D80"/>
    <w:rsid w:val="00EF04CF"/>
    <w:rsid w:val="00EF104D"/>
    <w:rsid w:val="00EF1AC7"/>
    <w:rsid w:val="00EF22CA"/>
    <w:rsid w:val="00EF2C30"/>
    <w:rsid w:val="00EF31FC"/>
    <w:rsid w:val="00EF350A"/>
    <w:rsid w:val="00EF3F57"/>
    <w:rsid w:val="00EF4022"/>
    <w:rsid w:val="00EF4449"/>
    <w:rsid w:val="00EF4F79"/>
    <w:rsid w:val="00EF513E"/>
    <w:rsid w:val="00EF537E"/>
    <w:rsid w:val="00EF66B7"/>
    <w:rsid w:val="00EF6B03"/>
    <w:rsid w:val="00EF6C5F"/>
    <w:rsid w:val="00EF76CB"/>
    <w:rsid w:val="00EF7B4F"/>
    <w:rsid w:val="00F0088F"/>
    <w:rsid w:val="00F00C12"/>
    <w:rsid w:val="00F00C5A"/>
    <w:rsid w:val="00F00D3A"/>
    <w:rsid w:val="00F01D9B"/>
    <w:rsid w:val="00F01F91"/>
    <w:rsid w:val="00F02160"/>
    <w:rsid w:val="00F02D0C"/>
    <w:rsid w:val="00F02FE9"/>
    <w:rsid w:val="00F03378"/>
    <w:rsid w:val="00F03765"/>
    <w:rsid w:val="00F03CF9"/>
    <w:rsid w:val="00F05698"/>
    <w:rsid w:val="00F0610D"/>
    <w:rsid w:val="00F0639D"/>
    <w:rsid w:val="00F06E33"/>
    <w:rsid w:val="00F06F41"/>
    <w:rsid w:val="00F0770C"/>
    <w:rsid w:val="00F079CF"/>
    <w:rsid w:val="00F07F42"/>
    <w:rsid w:val="00F1037F"/>
    <w:rsid w:val="00F11212"/>
    <w:rsid w:val="00F1136D"/>
    <w:rsid w:val="00F119D8"/>
    <w:rsid w:val="00F11A02"/>
    <w:rsid w:val="00F11B4F"/>
    <w:rsid w:val="00F11BBE"/>
    <w:rsid w:val="00F12A4D"/>
    <w:rsid w:val="00F12EC0"/>
    <w:rsid w:val="00F13598"/>
    <w:rsid w:val="00F149EB"/>
    <w:rsid w:val="00F153F3"/>
    <w:rsid w:val="00F16349"/>
    <w:rsid w:val="00F174CF"/>
    <w:rsid w:val="00F176A0"/>
    <w:rsid w:val="00F20495"/>
    <w:rsid w:val="00F21080"/>
    <w:rsid w:val="00F21770"/>
    <w:rsid w:val="00F21927"/>
    <w:rsid w:val="00F22DEA"/>
    <w:rsid w:val="00F238A0"/>
    <w:rsid w:val="00F23C12"/>
    <w:rsid w:val="00F23CC7"/>
    <w:rsid w:val="00F23F99"/>
    <w:rsid w:val="00F24E7B"/>
    <w:rsid w:val="00F252F2"/>
    <w:rsid w:val="00F25788"/>
    <w:rsid w:val="00F268C4"/>
    <w:rsid w:val="00F27A69"/>
    <w:rsid w:val="00F30076"/>
    <w:rsid w:val="00F308B0"/>
    <w:rsid w:val="00F317BE"/>
    <w:rsid w:val="00F31995"/>
    <w:rsid w:val="00F3240D"/>
    <w:rsid w:val="00F33010"/>
    <w:rsid w:val="00F3385B"/>
    <w:rsid w:val="00F3445B"/>
    <w:rsid w:val="00F34E0A"/>
    <w:rsid w:val="00F34E18"/>
    <w:rsid w:val="00F34FCD"/>
    <w:rsid w:val="00F35378"/>
    <w:rsid w:val="00F35F31"/>
    <w:rsid w:val="00F361B5"/>
    <w:rsid w:val="00F36445"/>
    <w:rsid w:val="00F3652F"/>
    <w:rsid w:val="00F36C31"/>
    <w:rsid w:val="00F36EE8"/>
    <w:rsid w:val="00F36F63"/>
    <w:rsid w:val="00F3716A"/>
    <w:rsid w:val="00F373E7"/>
    <w:rsid w:val="00F37540"/>
    <w:rsid w:val="00F37C48"/>
    <w:rsid w:val="00F37D21"/>
    <w:rsid w:val="00F40953"/>
    <w:rsid w:val="00F41363"/>
    <w:rsid w:val="00F41AAB"/>
    <w:rsid w:val="00F41C14"/>
    <w:rsid w:val="00F41E92"/>
    <w:rsid w:val="00F42C01"/>
    <w:rsid w:val="00F43D9B"/>
    <w:rsid w:val="00F446C6"/>
    <w:rsid w:val="00F44793"/>
    <w:rsid w:val="00F451F9"/>
    <w:rsid w:val="00F4547A"/>
    <w:rsid w:val="00F45E57"/>
    <w:rsid w:val="00F46947"/>
    <w:rsid w:val="00F46C14"/>
    <w:rsid w:val="00F47396"/>
    <w:rsid w:val="00F47772"/>
    <w:rsid w:val="00F5197C"/>
    <w:rsid w:val="00F51CAE"/>
    <w:rsid w:val="00F5223F"/>
    <w:rsid w:val="00F530E3"/>
    <w:rsid w:val="00F53552"/>
    <w:rsid w:val="00F53ABC"/>
    <w:rsid w:val="00F54163"/>
    <w:rsid w:val="00F54D5C"/>
    <w:rsid w:val="00F54D5D"/>
    <w:rsid w:val="00F54D69"/>
    <w:rsid w:val="00F55D4B"/>
    <w:rsid w:val="00F5686C"/>
    <w:rsid w:val="00F574E9"/>
    <w:rsid w:val="00F577C4"/>
    <w:rsid w:val="00F61164"/>
    <w:rsid w:val="00F61817"/>
    <w:rsid w:val="00F61B11"/>
    <w:rsid w:val="00F625B3"/>
    <w:rsid w:val="00F63075"/>
    <w:rsid w:val="00F63540"/>
    <w:rsid w:val="00F6388E"/>
    <w:rsid w:val="00F6421F"/>
    <w:rsid w:val="00F6428D"/>
    <w:rsid w:val="00F64EE1"/>
    <w:rsid w:val="00F65180"/>
    <w:rsid w:val="00F6528A"/>
    <w:rsid w:val="00F6536E"/>
    <w:rsid w:val="00F6567F"/>
    <w:rsid w:val="00F65E6A"/>
    <w:rsid w:val="00F65E7C"/>
    <w:rsid w:val="00F66B25"/>
    <w:rsid w:val="00F673AF"/>
    <w:rsid w:val="00F67A59"/>
    <w:rsid w:val="00F67E2B"/>
    <w:rsid w:val="00F67E2E"/>
    <w:rsid w:val="00F702B8"/>
    <w:rsid w:val="00F70EE2"/>
    <w:rsid w:val="00F71CD1"/>
    <w:rsid w:val="00F734C3"/>
    <w:rsid w:val="00F738E9"/>
    <w:rsid w:val="00F741AC"/>
    <w:rsid w:val="00F750DE"/>
    <w:rsid w:val="00F75B2C"/>
    <w:rsid w:val="00F7615A"/>
    <w:rsid w:val="00F76609"/>
    <w:rsid w:val="00F7680F"/>
    <w:rsid w:val="00F768CB"/>
    <w:rsid w:val="00F769B2"/>
    <w:rsid w:val="00F76C77"/>
    <w:rsid w:val="00F77974"/>
    <w:rsid w:val="00F77F66"/>
    <w:rsid w:val="00F81177"/>
    <w:rsid w:val="00F81222"/>
    <w:rsid w:val="00F817CD"/>
    <w:rsid w:val="00F81FB9"/>
    <w:rsid w:val="00F82115"/>
    <w:rsid w:val="00F821B0"/>
    <w:rsid w:val="00F83D66"/>
    <w:rsid w:val="00F84088"/>
    <w:rsid w:val="00F84EDE"/>
    <w:rsid w:val="00F85099"/>
    <w:rsid w:val="00F85896"/>
    <w:rsid w:val="00F858F3"/>
    <w:rsid w:val="00F864D4"/>
    <w:rsid w:val="00F86638"/>
    <w:rsid w:val="00F86966"/>
    <w:rsid w:val="00F874A2"/>
    <w:rsid w:val="00F8786C"/>
    <w:rsid w:val="00F91533"/>
    <w:rsid w:val="00F91CA8"/>
    <w:rsid w:val="00F91E0F"/>
    <w:rsid w:val="00F91EB7"/>
    <w:rsid w:val="00F92B6C"/>
    <w:rsid w:val="00F92E1C"/>
    <w:rsid w:val="00F92E37"/>
    <w:rsid w:val="00F93254"/>
    <w:rsid w:val="00F93B4C"/>
    <w:rsid w:val="00F93CDF"/>
    <w:rsid w:val="00F94534"/>
    <w:rsid w:val="00F95B39"/>
    <w:rsid w:val="00F965B9"/>
    <w:rsid w:val="00F96AA9"/>
    <w:rsid w:val="00F96D51"/>
    <w:rsid w:val="00FA0672"/>
    <w:rsid w:val="00FA0834"/>
    <w:rsid w:val="00FA0997"/>
    <w:rsid w:val="00FA0AA0"/>
    <w:rsid w:val="00FA0D51"/>
    <w:rsid w:val="00FA1A77"/>
    <w:rsid w:val="00FA1ED1"/>
    <w:rsid w:val="00FA3F9E"/>
    <w:rsid w:val="00FA47A3"/>
    <w:rsid w:val="00FA49E4"/>
    <w:rsid w:val="00FA4D11"/>
    <w:rsid w:val="00FA5390"/>
    <w:rsid w:val="00FA5F52"/>
    <w:rsid w:val="00FA6343"/>
    <w:rsid w:val="00FA6E57"/>
    <w:rsid w:val="00FA7487"/>
    <w:rsid w:val="00FA7AE7"/>
    <w:rsid w:val="00FA7B24"/>
    <w:rsid w:val="00FB0309"/>
    <w:rsid w:val="00FB082B"/>
    <w:rsid w:val="00FB08D0"/>
    <w:rsid w:val="00FB11E8"/>
    <w:rsid w:val="00FB131B"/>
    <w:rsid w:val="00FB15CB"/>
    <w:rsid w:val="00FB15EF"/>
    <w:rsid w:val="00FB1662"/>
    <w:rsid w:val="00FB1878"/>
    <w:rsid w:val="00FB1977"/>
    <w:rsid w:val="00FB225A"/>
    <w:rsid w:val="00FB2617"/>
    <w:rsid w:val="00FB34FB"/>
    <w:rsid w:val="00FB4400"/>
    <w:rsid w:val="00FB4994"/>
    <w:rsid w:val="00FB60D7"/>
    <w:rsid w:val="00FB6231"/>
    <w:rsid w:val="00FB6CBB"/>
    <w:rsid w:val="00FB6EF5"/>
    <w:rsid w:val="00FB7719"/>
    <w:rsid w:val="00FB7C70"/>
    <w:rsid w:val="00FC0065"/>
    <w:rsid w:val="00FC0464"/>
    <w:rsid w:val="00FC0823"/>
    <w:rsid w:val="00FC12F6"/>
    <w:rsid w:val="00FC1C99"/>
    <w:rsid w:val="00FC1F41"/>
    <w:rsid w:val="00FC203A"/>
    <w:rsid w:val="00FC2C70"/>
    <w:rsid w:val="00FC2EF9"/>
    <w:rsid w:val="00FC39AB"/>
    <w:rsid w:val="00FC3A57"/>
    <w:rsid w:val="00FC3EAC"/>
    <w:rsid w:val="00FC420F"/>
    <w:rsid w:val="00FC4518"/>
    <w:rsid w:val="00FC4746"/>
    <w:rsid w:val="00FC49C6"/>
    <w:rsid w:val="00FC4A9F"/>
    <w:rsid w:val="00FC4DD8"/>
    <w:rsid w:val="00FC538B"/>
    <w:rsid w:val="00FC5541"/>
    <w:rsid w:val="00FC5586"/>
    <w:rsid w:val="00FC5622"/>
    <w:rsid w:val="00FC5758"/>
    <w:rsid w:val="00FC5F5D"/>
    <w:rsid w:val="00FC726A"/>
    <w:rsid w:val="00FC7283"/>
    <w:rsid w:val="00FC7704"/>
    <w:rsid w:val="00FD0211"/>
    <w:rsid w:val="00FD0310"/>
    <w:rsid w:val="00FD0329"/>
    <w:rsid w:val="00FD1916"/>
    <w:rsid w:val="00FD1D97"/>
    <w:rsid w:val="00FD1ECF"/>
    <w:rsid w:val="00FD2161"/>
    <w:rsid w:val="00FD2761"/>
    <w:rsid w:val="00FD2BEC"/>
    <w:rsid w:val="00FD399D"/>
    <w:rsid w:val="00FD39C5"/>
    <w:rsid w:val="00FD3CB6"/>
    <w:rsid w:val="00FD3ECF"/>
    <w:rsid w:val="00FD417E"/>
    <w:rsid w:val="00FD4615"/>
    <w:rsid w:val="00FD4A76"/>
    <w:rsid w:val="00FD4BCF"/>
    <w:rsid w:val="00FD4D7C"/>
    <w:rsid w:val="00FD4E81"/>
    <w:rsid w:val="00FD54BA"/>
    <w:rsid w:val="00FD57CB"/>
    <w:rsid w:val="00FD6002"/>
    <w:rsid w:val="00FD6E95"/>
    <w:rsid w:val="00FD7249"/>
    <w:rsid w:val="00FD7296"/>
    <w:rsid w:val="00FD7F0D"/>
    <w:rsid w:val="00FD7F95"/>
    <w:rsid w:val="00FE241B"/>
    <w:rsid w:val="00FE4443"/>
    <w:rsid w:val="00FE45D5"/>
    <w:rsid w:val="00FE4DE5"/>
    <w:rsid w:val="00FE4E06"/>
    <w:rsid w:val="00FE6DF1"/>
    <w:rsid w:val="00FE790A"/>
    <w:rsid w:val="00FF007E"/>
    <w:rsid w:val="00FF0263"/>
    <w:rsid w:val="00FF0C47"/>
    <w:rsid w:val="00FF149C"/>
    <w:rsid w:val="00FF1CC2"/>
    <w:rsid w:val="00FF3D4A"/>
    <w:rsid w:val="00FF409A"/>
    <w:rsid w:val="00FF4418"/>
    <w:rsid w:val="00FF4460"/>
    <w:rsid w:val="00FF499B"/>
    <w:rsid w:val="00FF4E21"/>
    <w:rsid w:val="00FF54A3"/>
    <w:rsid w:val="00FF5888"/>
    <w:rsid w:val="00FF5C2A"/>
    <w:rsid w:val="00FF63F5"/>
    <w:rsid w:val="00FF679D"/>
    <w:rsid w:val="00FF67AE"/>
    <w:rsid w:val="00FF7105"/>
    <w:rsid w:val="00FF7977"/>
    <w:rsid w:val="00FF7A2D"/>
    <w:rsid w:val="00FF7BB5"/>
    <w:rsid w:val="00FF7E91"/>
    <w:rsid w:val="0117E315"/>
    <w:rsid w:val="019326DA"/>
    <w:rsid w:val="019E482F"/>
    <w:rsid w:val="01B38F14"/>
    <w:rsid w:val="01F3B4E2"/>
    <w:rsid w:val="0220011C"/>
    <w:rsid w:val="022DBBBD"/>
    <w:rsid w:val="022E0CDF"/>
    <w:rsid w:val="02842BBF"/>
    <w:rsid w:val="02AD94C0"/>
    <w:rsid w:val="02C5353F"/>
    <w:rsid w:val="0305806F"/>
    <w:rsid w:val="0323E881"/>
    <w:rsid w:val="0328B6DB"/>
    <w:rsid w:val="03829D5B"/>
    <w:rsid w:val="03BE8741"/>
    <w:rsid w:val="046248B4"/>
    <w:rsid w:val="0477FD19"/>
    <w:rsid w:val="050B4E14"/>
    <w:rsid w:val="051A6F24"/>
    <w:rsid w:val="055BFA7B"/>
    <w:rsid w:val="05C63491"/>
    <w:rsid w:val="0687DA2C"/>
    <w:rsid w:val="06ADA707"/>
    <w:rsid w:val="06B38E72"/>
    <w:rsid w:val="06D6C6AF"/>
    <w:rsid w:val="0719D9DF"/>
    <w:rsid w:val="07432905"/>
    <w:rsid w:val="075883B3"/>
    <w:rsid w:val="07612920"/>
    <w:rsid w:val="08057B78"/>
    <w:rsid w:val="08228AAD"/>
    <w:rsid w:val="087338A6"/>
    <w:rsid w:val="08BBF586"/>
    <w:rsid w:val="09150720"/>
    <w:rsid w:val="092A102A"/>
    <w:rsid w:val="0973A714"/>
    <w:rsid w:val="099F9589"/>
    <w:rsid w:val="09C6B43D"/>
    <w:rsid w:val="09E8F449"/>
    <w:rsid w:val="0AF25C1A"/>
    <w:rsid w:val="0B3B7F19"/>
    <w:rsid w:val="0B4245F1"/>
    <w:rsid w:val="0BD85171"/>
    <w:rsid w:val="0BE8CE73"/>
    <w:rsid w:val="0C1B43C0"/>
    <w:rsid w:val="0C99FAC6"/>
    <w:rsid w:val="0D2FC0F0"/>
    <w:rsid w:val="0D4578B0"/>
    <w:rsid w:val="0D883C86"/>
    <w:rsid w:val="0DC101E9"/>
    <w:rsid w:val="0DCD88E1"/>
    <w:rsid w:val="0DF9F78C"/>
    <w:rsid w:val="0DFE92EA"/>
    <w:rsid w:val="0E110B07"/>
    <w:rsid w:val="0E8B506F"/>
    <w:rsid w:val="0E9E3208"/>
    <w:rsid w:val="0ED9B89C"/>
    <w:rsid w:val="0F29066D"/>
    <w:rsid w:val="0F3B17BC"/>
    <w:rsid w:val="0FDE6470"/>
    <w:rsid w:val="10259146"/>
    <w:rsid w:val="106780F7"/>
    <w:rsid w:val="10BD61D3"/>
    <w:rsid w:val="110B0CDB"/>
    <w:rsid w:val="115BB8F0"/>
    <w:rsid w:val="118EFC95"/>
    <w:rsid w:val="12754EEE"/>
    <w:rsid w:val="12AA7346"/>
    <w:rsid w:val="130517D1"/>
    <w:rsid w:val="132DA6E0"/>
    <w:rsid w:val="133A4A5E"/>
    <w:rsid w:val="13A22882"/>
    <w:rsid w:val="13CB955E"/>
    <w:rsid w:val="1462BA45"/>
    <w:rsid w:val="14929FFF"/>
    <w:rsid w:val="14BF3C8C"/>
    <w:rsid w:val="14D88CFB"/>
    <w:rsid w:val="1516A00D"/>
    <w:rsid w:val="15721637"/>
    <w:rsid w:val="158F633C"/>
    <w:rsid w:val="159797D0"/>
    <w:rsid w:val="159849CF"/>
    <w:rsid w:val="161C034A"/>
    <w:rsid w:val="174329B4"/>
    <w:rsid w:val="1777D959"/>
    <w:rsid w:val="17AAC4E1"/>
    <w:rsid w:val="17FC256F"/>
    <w:rsid w:val="17FE94BB"/>
    <w:rsid w:val="18D9C85E"/>
    <w:rsid w:val="19092B79"/>
    <w:rsid w:val="1932A338"/>
    <w:rsid w:val="196581C5"/>
    <w:rsid w:val="196DB37B"/>
    <w:rsid w:val="19AC4E53"/>
    <w:rsid w:val="19BAB434"/>
    <w:rsid w:val="19ED5AD6"/>
    <w:rsid w:val="1A18759A"/>
    <w:rsid w:val="1A454E57"/>
    <w:rsid w:val="1A594657"/>
    <w:rsid w:val="1ACF9879"/>
    <w:rsid w:val="1B1B239B"/>
    <w:rsid w:val="1BC63CAE"/>
    <w:rsid w:val="1C06BCDF"/>
    <w:rsid w:val="1C0DC9DC"/>
    <w:rsid w:val="1C23ECF7"/>
    <w:rsid w:val="1C2B9949"/>
    <w:rsid w:val="1CB6D5AD"/>
    <w:rsid w:val="1CF02018"/>
    <w:rsid w:val="1D47E1C3"/>
    <w:rsid w:val="1D5D29E1"/>
    <w:rsid w:val="1D79E0A1"/>
    <w:rsid w:val="1DA08FE3"/>
    <w:rsid w:val="1DDACA00"/>
    <w:rsid w:val="1E2A4841"/>
    <w:rsid w:val="1EC3C9DB"/>
    <w:rsid w:val="1F34E4B5"/>
    <w:rsid w:val="1FBBEE71"/>
    <w:rsid w:val="203D28A2"/>
    <w:rsid w:val="204C853E"/>
    <w:rsid w:val="2082BBE1"/>
    <w:rsid w:val="20B4B9EE"/>
    <w:rsid w:val="212A0ED6"/>
    <w:rsid w:val="213474CC"/>
    <w:rsid w:val="213C6C04"/>
    <w:rsid w:val="215F53CF"/>
    <w:rsid w:val="21B8BA00"/>
    <w:rsid w:val="21E0AB55"/>
    <w:rsid w:val="21F1B0A4"/>
    <w:rsid w:val="222972F2"/>
    <w:rsid w:val="2250465F"/>
    <w:rsid w:val="22E5FD99"/>
    <w:rsid w:val="2327F0F7"/>
    <w:rsid w:val="238AC543"/>
    <w:rsid w:val="23ABBC4B"/>
    <w:rsid w:val="23D26414"/>
    <w:rsid w:val="23DF4AD4"/>
    <w:rsid w:val="2438A44B"/>
    <w:rsid w:val="2449116E"/>
    <w:rsid w:val="24C9E1CE"/>
    <w:rsid w:val="25519A58"/>
    <w:rsid w:val="25760CC7"/>
    <w:rsid w:val="258FBA57"/>
    <w:rsid w:val="25F1C2D4"/>
    <w:rsid w:val="270B63D4"/>
    <w:rsid w:val="27652CAE"/>
    <w:rsid w:val="279D4781"/>
    <w:rsid w:val="279EFA51"/>
    <w:rsid w:val="27CB974D"/>
    <w:rsid w:val="2831E264"/>
    <w:rsid w:val="2846B565"/>
    <w:rsid w:val="285A8DD0"/>
    <w:rsid w:val="28753B75"/>
    <w:rsid w:val="28A0B74D"/>
    <w:rsid w:val="28A3567D"/>
    <w:rsid w:val="28B44024"/>
    <w:rsid w:val="28D33330"/>
    <w:rsid w:val="28DF9B03"/>
    <w:rsid w:val="2966604F"/>
    <w:rsid w:val="299BBFE4"/>
    <w:rsid w:val="2A20B84F"/>
    <w:rsid w:val="2AFC970F"/>
    <w:rsid w:val="2B4E722D"/>
    <w:rsid w:val="2BB015EA"/>
    <w:rsid w:val="2C16FA80"/>
    <w:rsid w:val="2C361608"/>
    <w:rsid w:val="2C5A7159"/>
    <w:rsid w:val="2C603DF0"/>
    <w:rsid w:val="2CB45F68"/>
    <w:rsid w:val="2D052B56"/>
    <w:rsid w:val="2D20640D"/>
    <w:rsid w:val="2D411F62"/>
    <w:rsid w:val="2D8C1720"/>
    <w:rsid w:val="2D93E2EB"/>
    <w:rsid w:val="2D95AFB1"/>
    <w:rsid w:val="2D96FCB7"/>
    <w:rsid w:val="2E081A3C"/>
    <w:rsid w:val="2E2CAFA3"/>
    <w:rsid w:val="2E2D7734"/>
    <w:rsid w:val="2E6FBB98"/>
    <w:rsid w:val="2E749193"/>
    <w:rsid w:val="2EABDC8B"/>
    <w:rsid w:val="2EB0E276"/>
    <w:rsid w:val="2EC12855"/>
    <w:rsid w:val="2F032B0B"/>
    <w:rsid w:val="2F28C33A"/>
    <w:rsid w:val="2F57F54F"/>
    <w:rsid w:val="2F69A166"/>
    <w:rsid w:val="2FA9BBD3"/>
    <w:rsid w:val="2FF3C4D9"/>
    <w:rsid w:val="302E8470"/>
    <w:rsid w:val="30A5DD47"/>
    <w:rsid w:val="30B493E2"/>
    <w:rsid w:val="30BB7094"/>
    <w:rsid w:val="30CBE1A3"/>
    <w:rsid w:val="311AF3CB"/>
    <w:rsid w:val="3152003C"/>
    <w:rsid w:val="3159E90C"/>
    <w:rsid w:val="318A8489"/>
    <w:rsid w:val="31A37A8E"/>
    <w:rsid w:val="31BE488A"/>
    <w:rsid w:val="31E5ECF8"/>
    <w:rsid w:val="32461AA4"/>
    <w:rsid w:val="32554D87"/>
    <w:rsid w:val="325F235A"/>
    <w:rsid w:val="32A1CB04"/>
    <w:rsid w:val="32CA61E6"/>
    <w:rsid w:val="32F58AF6"/>
    <w:rsid w:val="3316AC7C"/>
    <w:rsid w:val="334344F5"/>
    <w:rsid w:val="337127AD"/>
    <w:rsid w:val="33A7FEF8"/>
    <w:rsid w:val="33B1E029"/>
    <w:rsid w:val="33FC8213"/>
    <w:rsid w:val="347DAA40"/>
    <w:rsid w:val="34B3124E"/>
    <w:rsid w:val="34DE3C8A"/>
    <w:rsid w:val="34F12DD7"/>
    <w:rsid w:val="359FBBED"/>
    <w:rsid w:val="35CB22A9"/>
    <w:rsid w:val="35D4D8C5"/>
    <w:rsid w:val="361154C2"/>
    <w:rsid w:val="363A7F20"/>
    <w:rsid w:val="365A770F"/>
    <w:rsid w:val="368DF9B7"/>
    <w:rsid w:val="3755185D"/>
    <w:rsid w:val="37D22361"/>
    <w:rsid w:val="38179730"/>
    <w:rsid w:val="381F2DC3"/>
    <w:rsid w:val="384D6ACB"/>
    <w:rsid w:val="3862BAF4"/>
    <w:rsid w:val="3870AFD6"/>
    <w:rsid w:val="389EA57A"/>
    <w:rsid w:val="38E842A2"/>
    <w:rsid w:val="39070AC2"/>
    <w:rsid w:val="391D8842"/>
    <w:rsid w:val="39D42D14"/>
    <w:rsid w:val="3A608D8C"/>
    <w:rsid w:val="3AAA4970"/>
    <w:rsid w:val="3AF0F94D"/>
    <w:rsid w:val="3B03C6E3"/>
    <w:rsid w:val="3B113E08"/>
    <w:rsid w:val="3B330D0C"/>
    <w:rsid w:val="3B4E5DA0"/>
    <w:rsid w:val="3B769AEE"/>
    <w:rsid w:val="3B7CD632"/>
    <w:rsid w:val="3B88F60F"/>
    <w:rsid w:val="3BAD9FFC"/>
    <w:rsid w:val="3BD2A097"/>
    <w:rsid w:val="3BE82B51"/>
    <w:rsid w:val="3C6CAAE7"/>
    <w:rsid w:val="3C958D42"/>
    <w:rsid w:val="3CD26FAD"/>
    <w:rsid w:val="3CE8C30F"/>
    <w:rsid w:val="3D34F936"/>
    <w:rsid w:val="3D54B304"/>
    <w:rsid w:val="3D668E35"/>
    <w:rsid w:val="3DDB386D"/>
    <w:rsid w:val="3DE3A513"/>
    <w:rsid w:val="3E09158D"/>
    <w:rsid w:val="3E0CE824"/>
    <w:rsid w:val="3E38518D"/>
    <w:rsid w:val="3E4943DD"/>
    <w:rsid w:val="3E6DD40B"/>
    <w:rsid w:val="3F200B93"/>
    <w:rsid w:val="3F4E0515"/>
    <w:rsid w:val="3F5201BE"/>
    <w:rsid w:val="3F7A714E"/>
    <w:rsid w:val="3F7CBB55"/>
    <w:rsid w:val="3F8469A0"/>
    <w:rsid w:val="3F9D3FCF"/>
    <w:rsid w:val="3FC4D69B"/>
    <w:rsid w:val="40202C4D"/>
    <w:rsid w:val="40691C87"/>
    <w:rsid w:val="40D62135"/>
    <w:rsid w:val="4108C69E"/>
    <w:rsid w:val="41968424"/>
    <w:rsid w:val="41A392FB"/>
    <w:rsid w:val="41C53E87"/>
    <w:rsid w:val="41F9BF2C"/>
    <w:rsid w:val="42320DFE"/>
    <w:rsid w:val="423AFC1F"/>
    <w:rsid w:val="424A7B2B"/>
    <w:rsid w:val="4253B2E0"/>
    <w:rsid w:val="42690302"/>
    <w:rsid w:val="42702F8C"/>
    <w:rsid w:val="4297685B"/>
    <w:rsid w:val="429967C3"/>
    <w:rsid w:val="42E06CFA"/>
    <w:rsid w:val="42FE0314"/>
    <w:rsid w:val="432DD9CF"/>
    <w:rsid w:val="435C84EF"/>
    <w:rsid w:val="44E83E28"/>
    <w:rsid w:val="45912FF3"/>
    <w:rsid w:val="45A591AB"/>
    <w:rsid w:val="45CCFE06"/>
    <w:rsid w:val="45DBAA0B"/>
    <w:rsid w:val="460CD3E6"/>
    <w:rsid w:val="465A5131"/>
    <w:rsid w:val="466513B4"/>
    <w:rsid w:val="4683A2DF"/>
    <w:rsid w:val="46C11A8D"/>
    <w:rsid w:val="46D38761"/>
    <w:rsid w:val="472FDD3E"/>
    <w:rsid w:val="473CC899"/>
    <w:rsid w:val="47584C2D"/>
    <w:rsid w:val="478AC9EB"/>
    <w:rsid w:val="4817F8BD"/>
    <w:rsid w:val="4866497C"/>
    <w:rsid w:val="48BD732C"/>
    <w:rsid w:val="48C6AA87"/>
    <w:rsid w:val="48FF74E5"/>
    <w:rsid w:val="49651040"/>
    <w:rsid w:val="49685D1F"/>
    <w:rsid w:val="499B506B"/>
    <w:rsid w:val="4A770BF6"/>
    <w:rsid w:val="4AA410E4"/>
    <w:rsid w:val="4AC7ACA2"/>
    <w:rsid w:val="4B0AA1AD"/>
    <w:rsid w:val="4B531264"/>
    <w:rsid w:val="4B6584F7"/>
    <w:rsid w:val="4BADAF66"/>
    <w:rsid w:val="4BAE8BAA"/>
    <w:rsid w:val="4BE727D8"/>
    <w:rsid w:val="4C35E37D"/>
    <w:rsid w:val="4C39BDD4"/>
    <w:rsid w:val="4CBD12BB"/>
    <w:rsid w:val="4D10B683"/>
    <w:rsid w:val="4D11DD19"/>
    <w:rsid w:val="4D151E44"/>
    <w:rsid w:val="4D1FC48D"/>
    <w:rsid w:val="4D21B5A8"/>
    <w:rsid w:val="4D260776"/>
    <w:rsid w:val="4D44B951"/>
    <w:rsid w:val="4D80B303"/>
    <w:rsid w:val="4DC07A9C"/>
    <w:rsid w:val="4E31F73B"/>
    <w:rsid w:val="4E7746A2"/>
    <w:rsid w:val="4F0CE6E2"/>
    <w:rsid w:val="4F101FA0"/>
    <w:rsid w:val="4F202204"/>
    <w:rsid w:val="4F7336F7"/>
    <w:rsid w:val="4F82CB77"/>
    <w:rsid w:val="4FAC2AC0"/>
    <w:rsid w:val="4FDF2283"/>
    <w:rsid w:val="502BD3B8"/>
    <w:rsid w:val="5030EDEB"/>
    <w:rsid w:val="510AC653"/>
    <w:rsid w:val="517EEE05"/>
    <w:rsid w:val="518F4D83"/>
    <w:rsid w:val="51BFC9AD"/>
    <w:rsid w:val="5250CA78"/>
    <w:rsid w:val="5298504A"/>
    <w:rsid w:val="52F0FB5D"/>
    <w:rsid w:val="534528F9"/>
    <w:rsid w:val="5356FBDC"/>
    <w:rsid w:val="537A4BCE"/>
    <w:rsid w:val="538F31A7"/>
    <w:rsid w:val="53B674BD"/>
    <w:rsid w:val="53CB79AC"/>
    <w:rsid w:val="542D37D7"/>
    <w:rsid w:val="54499951"/>
    <w:rsid w:val="546F9184"/>
    <w:rsid w:val="5509F370"/>
    <w:rsid w:val="55D905D3"/>
    <w:rsid w:val="569BB681"/>
    <w:rsid w:val="56C9A968"/>
    <w:rsid w:val="57086F0D"/>
    <w:rsid w:val="5712464B"/>
    <w:rsid w:val="57182AE2"/>
    <w:rsid w:val="5718A465"/>
    <w:rsid w:val="573E3923"/>
    <w:rsid w:val="577EAF1B"/>
    <w:rsid w:val="5790809E"/>
    <w:rsid w:val="57F28EAC"/>
    <w:rsid w:val="57FA8D69"/>
    <w:rsid w:val="5832EF03"/>
    <w:rsid w:val="58356DE6"/>
    <w:rsid w:val="586B89B9"/>
    <w:rsid w:val="58C54FBF"/>
    <w:rsid w:val="58D767F8"/>
    <w:rsid w:val="5905C3A5"/>
    <w:rsid w:val="596F0FE3"/>
    <w:rsid w:val="59942C4C"/>
    <w:rsid w:val="59BD52AA"/>
    <w:rsid w:val="59F9F72C"/>
    <w:rsid w:val="5A23F5FA"/>
    <w:rsid w:val="5A7DF66B"/>
    <w:rsid w:val="5A7FCD4B"/>
    <w:rsid w:val="5AD75E2C"/>
    <w:rsid w:val="5AF46473"/>
    <w:rsid w:val="5B2BC04E"/>
    <w:rsid w:val="5B650C45"/>
    <w:rsid w:val="5B70C79A"/>
    <w:rsid w:val="5BA29366"/>
    <w:rsid w:val="5BABA181"/>
    <w:rsid w:val="5BD3372E"/>
    <w:rsid w:val="5BD52982"/>
    <w:rsid w:val="5BEA92D4"/>
    <w:rsid w:val="5C3A152D"/>
    <w:rsid w:val="5C68524B"/>
    <w:rsid w:val="5C6BE1EA"/>
    <w:rsid w:val="5C6BFB0B"/>
    <w:rsid w:val="5D43575F"/>
    <w:rsid w:val="5D59BB48"/>
    <w:rsid w:val="5E29BF56"/>
    <w:rsid w:val="5E564BF3"/>
    <w:rsid w:val="5EBB84FB"/>
    <w:rsid w:val="5F834BA3"/>
    <w:rsid w:val="5FF57421"/>
    <w:rsid w:val="6020F84B"/>
    <w:rsid w:val="608EE026"/>
    <w:rsid w:val="613B3239"/>
    <w:rsid w:val="6148C459"/>
    <w:rsid w:val="61732F51"/>
    <w:rsid w:val="61946894"/>
    <w:rsid w:val="6207CC17"/>
    <w:rsid w:val="62BA37B1"/>
    <w:rsid w:val="63D5053B"/>
    <w:rsid w:val="64022139"/>
    <w:rsid w:val="645C83C8"/>
    <w:rsid w:val="64812079"/>
    <w:rsid w:val="650F0988"/>
    <w:rsid w:val="65233EAC"/>
    <w:rsid w:val="6543D77D"/>
    <w:rsid w:val="659B0DD8"/>
    <w:rsid w:val="65EE8F26"/>
    <w:rsid w:val="6639A1B7"/>
    <w:rsid w:val="664E245D"/>
    <w:rsid w:val="665A5D84"/>
    <w:rsid w:val="665EDDF6"/>
    <w:rsid w:val="666FAA4A"/>
    <w:rsid w:val="667AB964"/>
    <w:rsid w:val="66E5B545"/>
    <w:rsid w:val="670BC239"/>
    <w:rsid w:val="672E3086"/>
    <w:rsid w:val="673BA517"/>
    <w:rsid w:val="67D8B1C0"/>
    <w:rsid w:val="68484D60"/>
    <w:rsid w:val="6894EE13"/>
    <w:rsid w:val="68CD29A4"/>
    <w:rsid w:val="696779F1"/>
    <w:rsid w:val="69741153"/>
    <w:rsid w:val="69989787"/>
    <w:rsid w:val="69DE7327"/>
    <w:rsid w:val="69E0B07B"/>
    <w:rsid w:val="6A4C93B5"/>
    <w:rsid w:val="6A828008"/>
    <w:rsid w:val="6A921A9A"/>
    <w:rsid w:val="6AC2F187"/>
    <w:rsid w:val="6AC4847A"/>
    <w:rsid w:val="6B40499B"/>
    <w:rsid w:val="6B553351"/>
    <w:rsid w:val="6B5BAABF"/>
    <w:rsid w:val="6BA0A0D3"/>
    <w:rsid w:val="6BA2A595"/>
    <w:rsid w:val="6BD2011B"/>
    <w:rsid w:val="6C182801"/>
    <w:rsid w:val="6C44E676"/>
    <w:rsid w:val="6C4B2A83"/>
    <w:rsid w:val="6CB4808E"/>
    <w:rsid w:val="6CB9A2E3"/>
    <w:rsid w:val="6CBE1863"/>
    <w:rsid w:val="6CC58A4B"/>
    <w:rsid w:val="6D0A6387"/>
    <w:rsid w:val="6D0FB9BA"/>
    <w:rsid w:val="6D6230E9"/>
    <w:rsid w:val="6DD0472E"/>
    <w:rsid w:val="6E19701B"/>
    <w:rsid w:val="6E28BB6A"/>
    <w:rsid w:val="6E57C02C"/>
    <w:rsid w:val="6EAF9A8A"/>
    <w:rsid w:val="6EC5929E"/>
    <w:rsid w:val="6EE84FEA"/>
    <w:rsid w:val="6F00FC16"/>
    <w:rsid w:val="6F161688"/>
    <w:rsid w:val="6F1AAD50"/>
    <w:rsid w:val="6F49D29C"/>
    <w:rsid w:val="6F6C9690"/>
    <w:rsid w:val="6F79CC22"/>
    <w:rsid w:val="6F993A12"/>
    <w:rsid w:val="6FBFF8A1"/>
    <w:rsid w:val="6FC20453"/>
    <w:rsid w:val="7027D3D0"/>
    <w:rsid w:val="70A3C71E"/>
    <w:rsid w:val="70A735D5"/>
    <w:rsid w:val="70F846D8"/>
    <w:rsid w:val="710F1308"/>
    <w:rsid w:val="7149D299"/>
    <w:rsid w:val="71585DCD"/>
    <w:rsid w:val="71753524"/>
    <w:rsid w:val="71C363AD"/>
    <w:rsid w:val="72E54D5D"/>
    <w:rsid w:val="73492D4A"/>
    <w:rsid w:val="73E45CD6"/>
    <w:rsid w:val="73F7E0B5"/>
    <w:rsid w:val="74693DCE"/>
    <w:rsid w:val="7514FFC3"/>
    <w:rsid w:val="75F4517D"/>
    <w:rsid w:val="76263888"/>
    <w:rsid w:val="76331930"/>
    <w:rsid w:val="76A89941"/>
    <w:rsid w:val="76BFADA4"/>
    <w:rsid w:val="76DC91EC"/>
    <w:rsid w:val="76EA4128"/>
    <w:rsid w:val="7732C58D"/>
    <w:rsid w:val="7748633E"/>
    <w:rsid w:val="77A53371"/>
    <w:rsid w:val="77C6E59E"/>
    <w:rsid w:val="77F7289B"/>
    <w:rsid w:val="785E6E09"/>
    <w:rsid w:val="78953F90"/>
    <w:rsid w:val="789D9CE0"/>
    <w:rsid w:val="789F4173"/>
    <w:rsid w:val="78B0B04E"/>
    <w:rsid w:val="78D66F8C"/>
    <w:rsid w:val="79254CBB"/>
    <w:rsid w:val="79748E69"/>
    <w:rsid w:val="79CC4D9A"/>
    <w:rsid w:val="7AC3CF5D"/>
    <w:rsid w:val="7AC42936"/>
    <w:rsid w:val="7AD678F6"/>
    <w:rsid w:val="7B20272A"/>
    <w:rsid w:val="7B3F7633"/>
    <w:rsid w:val="7B49852E"/>
    <w:rsid w:val="7B6DC9D6"/>
    <w:rsid w:val="7BB18389"/>
    <w:rsid w:val="7BD98C37"/>
    <w:rsid w:val="7BE55810"/>
    <w:rsid w:val="7BEA6D67"/>
    <w:rsid w:val="7CEB9532"/>
    <w:rsid w:val="7E12C625"/>
    <w:rsid w:val="7E5EE43E"/>
    <w:rsid w:val="7E6108DF"/>
    <w:rsid w:val="7E660BCC"/>
    <w:rsid w:val="7E9568A7"/>
    <w:rsid w:val="7EA06CB5"/>
    <w:rsid w:val="7EA7EFE2"/>
    <w:rsid w:val="7EE23754"/>
    <w:rsid w:val="7F1020F6"/>
    <w:rsid w:val="7F63D7D6"/>
    <w:rsid w:val="7F804737"/>
    <w:rsid w:val="7F870DA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609C9FC"/>
  <w14:defaultImageDpi w14:val="32767"/>
  <w15:chartTrackingRefBased/>
  <w15:docId w15:val="{D76C6D0A-C950-4021-A166-55A8E1625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AE1EBF"/>
    <w:pPr>
      <w:spacing w:before="120" w:after="120"/>
      <w:jc w:val="both"/>
    </w:pPr>
    <w:rPr>
      <w:rFonts w:eastAsia="Calibri"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B23F3"/>
    <w:pPr>
      <w:contextualSpacing/>
      <w:jc w:val="center"/>
    </w:pPr>
    <w:rPr>
      <w:rFonts w:eastAsiaTheme="majorEastAsia" w:cstheme="minorHAnsi"/>
      <w:b/>
      <w:spacing w:val="-10"/>
      <w:kern w:val="28"/>
      <w:sz w:val="28"/>
      <w:szCs w:val="56"/>
    </w:rPr>
  </w:style>
  <w:style w:type="paragraph" w:customStyle="1" w:styleId="Reference">
    <w:name w:val="Reference"/>
    <w:basedOn w:val="Normal"/>
    <w:rsid w:val="008A6077"/>
    <w:pPr>
      <w:ind w:left="720" w:hanging="720"/>
    </w:pPr>
    <w:rPr>
      <w:rFonts w:eastAsia="Times New Roman"/>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Normal"/>
    <w:link w:val="Heading-SecondaryChar"/>
    <w:qFormat/>
    <w:rsid w:val="003855D5"/>
    <w:pPr>
      <w:keepNext/>
      <w:spacing w:before="240"/>
      <w:jc w:val="left"/>
      <w:outlineLvl w:val="0"/>
    </w:pPr>
    <w:rPr>
      <w:rFonts w:eastAsia="Times New Roman" w:cstheme="minorHAnsi"/>
      <w:b/>
      <w:bCs/>
      <w:kern w:val="28"/>
      <w:sz w:val="28"/>
      <w:szCs w:val="24"/>
    </w:rPr>
  </w:style>
  <w:style w:type="paragraph" w:customStyle="1" w:styleId="Authors">
    <w:name w:val="Authors"/>
    <w:basedOn w:val="Normal"/>
    <w:rsid w:val="00B120F3"/>
    <w:pPr>
      <w:spacing w:after="360"/>
    </w:pPr>
    <w:rPr>
      <w:rFonts w:eastAsia="Times New Roman"/>
      <w:b/>
      <w:szCs w:val="24"/>
    </w:rPr>
  </w:style>
  <w:style w:type="paragraph" w:customStyle="1" w:styleId="Text">
    <w:name w:val="Text"/>
    <w:basedOn w:val="Normal"/>
    <w:rsid w:val="008A6077"/>
    <w:pPr>
      <w:ind w:firstLine="720"/>
    </w:pPr>
    <w:rPr>
      <w:rFonts w:eastAsia="Times New Roman"/>
      <w:szCs w:val="24"/>
    </w:rPr>
  </w:style>
  <w:style w:type="paragraph" w:customStyle="1" w:styleId="FigureorTableCaption">
    <w:name w:val="Figure or Table Caption"/>
    <w:basedOn w:val="Normal"/>
    <w:rsid w:val="008A6077"/>
    <w:pPr>
      <w:keepNext/>
      <w:spacing w:before="240"/>
      <w:outlineLvl w:val="0"/>
    </w:pPr>
    <w:rPr>
      <w:rFonts w:eastAsia="Times New Roman"/>
      <w:kern w:val="28"/>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outlineLvl w:val="0"/>
    </w:pPr>
    <w:rPr>
      <w:rFonts w:eastAsia="Times New Roman"/>
      <w:b/>
      <w:bCs/>
      <w:kern w:val="28"/>
      <w:szCs w:val="24"/>
    </w:rPr>
  </w:style>
  <w:style w:type="paragraph" w:customStyle="1" w:styleId="Affiliation">
    <w:name w:val="Affiliation"/>
    <w:basedOn w:val="Text"/>
    <w:qFormat/>
    <w:rsid w:val="001508FE"/>
    <w:pPr>
      <w:ind w:firstLine="0"/>
    </w:pPr>
    <w:rPr>
      <w:rFonts w:cstheme="minorHAnsi"/>
    </w:rPr>
  </w:style>
  <w:style w:type="paragraph" w:customStyle="1" w:styleId="KeyPoints">
    <w:name w:val="Key Points"/>
    <w:basedOn w:val="Normal"/>
    <w:rsid w:val="008A6077"/>
    <w:rPr>
      <w:rFonts w:eastAsia="Times New Roman"/>
      <w:szCs w:val="24"/>
    </w:rPr>
  </w:style>
  <w:style w:type="paragraph" w:customStyle="1" w:styleId="Abstract">
    <w:name w:val="Abstract"/>
    <w:basedOn w:val="Normal"/>
    <w:qFormat/>
    <w:rsid w:val="000558C5"/>
    <w:rPr>
      <w:rFonts w:eastAsia="Times New Roman" w:cstheme="minorHAnsi"/>
      <w:szCs w:val="24"/>
    </w:rPr>
  </w:style>
  <w:style w:type="character" w:customStyle="1" w:styleId="TitleChar">
    <w:name w:val="Title Char"/>
    <w:basedOn w:val="DefaultParagraphFont"/>
    <w:link w:val="Title"/>
    <w:uiPriority w:val="10"/>
    <w:rsid w:val="004B23F3"/>
    <w:rPr>
      <w:rFonts w:eastAsiaTheme="majorEastAsia" w:cstheme="minorHAns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eastAsiaTheme="minorEastAsia" w:cstheme="minorBidi"/>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styleId="Caption">
    <w:name w:val="caption"/>
    <w:basedOn w:val="Normal"/>
    <w:next w:val="Normal"/>
    <w:uiPriority w:val="35"/>
    <w:unhideWhenUsed/>
    <w:qFormat/>
    <w:rsid w:val="00AE1EBF"/>
    <w:pPr>
      <w:spacing w:after="200" w:line="259" w:lineRule="auto"/>
      <w:contextualSpacing/>
      <w:jc w:val="center"/>
    </w:pPr>
    <w:rPr>
      <w:rFonts w:eastAsiaTheme="minorHAnsi" w:cstheme="minorBidi"/>
      <w:i/>
      <w:iCs/>
      <w:color w:val="000000" w:themeColor="text1"/>
      <w:sz w:val="20"/>
      <w:szCs w:val="18"/>
      <w:lang w:eastAsia="ja-JP"/>
    </w:rPr>
  </w:style>
  <w:style w:type="character" w:styleId="CommentReference">
    <w:name w:val="annotation reference"/>
    <w:basedOn w:val="DefaultParagraphFont"/>
    <w:uiPriority w:val="99"/>
    <w:unhideWhenUsed/>
    <w:rsid w:val="00307EC6"/>
    <w:rPr>
      <w:color w:val="000000" w:themeColor="text1"/>
      <w:sz w:val="22"/>
      <w:szCs w:val="16"/>
    </w:rPr>
  </w:style>
  <w:style w:type="paragraph" w:styleId="CommentText">
    <w:name w:val="annotation text"/>
    <w:basedOn w:val="Normal"/>
    <w:link w:val="CommentTextChar"/>
    <w:uiPriority w:val="99"/>
    <w:unhideWhenUsed/>
    <w:rsid w:val="00307EC6"/>
    <w:pPr>
      <w:spacing w:after="200"/>
      <w:ind w:firstLine="227"/>
      <w:contextualSpacing/>
    </w:pPr>
    <w:rPr>
      <w:rFonts w:eastAsiaTheme="minorHAnsi" w:cstheme="minorBidi"/>
      <w:color w:val="000000" w:themeColor="text1"/>
      <w:sz w:val="20"/>
      <w:lang w:eastAsia="ja-JP"/>
    </w:rPr>
  </w:style>
  <w:style w:type="character" w:customStyle="1" w:styleId="CommentTextChar">
    <w:name w:val="Comment Text Char"/>
    <w:basedOn w:val="DefaultParagraphFont"/>
    <w:link w:val="CommentText"/>
    <w:uiPriority w:val="99"/>
    <w:rsid w:val="00307EC6"/>
    <w:rPr>
      <w:color w:val="000000" w:themeColor="text1"/>
      <w:sz w:val="20"/>
      <w:szCs w:val="20"/>
      <w:lang w:eastAsia="ja-JP"/>
    </w:rPr>
  </w:style>
  <w:style w:type="paragraph" w:customStyle="1" w:styleId="IOPText">
    <w:name w:val="IOPText"/>
    <w:basedOn w:val="Normal"/>
    <w:link w:val="IOPTextChar"/>
    <w:rsid w:val="00307EC6"/>
    <w:pPr>
      <w:spacing w:line="259" w:lineRule="auto"/>
      <w:ind w:firstLine="227"/>
    </w:pPr>
    <w:rPr>
      <w:sz w:val="20"/>
      <w:szCs w:val="22"/>
      <w:lang w:val="en-GB"/>
    </w:rPr>
  </w:style>
  <w:style w:type="character" w:customStyle="1" w:styleId="IOPTextChar">
    <w:name w:val="IOPText Char"/>
    <w:link w:val="IOPText"/>
    <w:rsid w:val="00307EC6"/>
    <w:rPr>
      <w:rFonts w:ascii="Times New Roman" w:eastAsia="Calibri" w:hAnsi="Times New Roman" w:cs="Times New Roman"/>
      <w:sz w:val="20"/>
      <w:szCs w:val="22"/>
      <w:lang w:val="en-GB"/>
    </w:rPr>
  </w:style>
  <w:style w:type="paragraph" w:styleId="CommentSubject">
    <w:name w:val="annotation subject"/>
    <w:basedOn w:val="CommentText"/>
    <w:next w:val="CommentText"/>
    <w:link w:val="CommentSubjectChar"/>
    <w:uiPriority w:val="99"/>
    <w:semiHidden/>
    <w:unhideWhenUsed/>
    <w:rsid w:val="00447698"/>
    <w:pPr>
      <w:spacing w:after="0"/>
      <w:ind w:firstLine="170"/>
      <w:contextualSpacing w:val="0"/>
    </w:pPr>
    <w:rPr>
      <w:rFonts w:ascii="Times New Roman" w:eastAsia="Calibri" w:hAnsi="Times New Roman" w:cs="Times New Roman"/>
      <w:b/>
      <w:bCs/>
      <w:color w:val="auto"/>
      <w:lang w:eastAsia="en-US"/>
    </w:rPr>
  </w:style>
  <w:style w:type="character" w:customStyle="1" w:styleId="CommentSubjectChar">
    <w:name w:val="Comment Subject Char"/>
    <w:basedOn w:val="CommentTextChar"/>
    <w:link w:val="CommentSubject"/>
    <w:uiPriority w:val="99"/>
    <w:semiHidden/>
    <w:rsid w:val="00447698"/>
    <w:rPr>
      <w:rFonts w:ascii="Times New Roman" w:eastAsia="Calibri" w:hAnsi="Times New Roman" w:cs="Times New Roman"/>
      <w:b/>
      <w:bCs/>
      <w:color w:val="000000" w:themeColor="text1"/>
      <w:sz w:val="20"/>
      <w:szCs w:val="20"/>
      <w:lang w:eastAsia="ja-JP"/>
    </w:rPr>
  </w:style>
  <w:style w:type="character" w:styleId="PlaceholderText">
    <w:name w:val="Placeholder Text"/>
    <w:basedOn w:val="DefaultParagraphFont"/>
    <w:uiPriority w:val="99"/>
    <w:semiHidden/>
    <w:rsid w:val="006F5989"/>
    <w:rPr>
      <w:color w:val="666666"/>
    </w:rPr>
  </w:style>
  <w:style w:type="character" w:styleId="Strong">
    <w:name w:val="Strong"/>
    <w:basedOn w:val="DefaultParagraphFont"/>
    <w:uiPriority w:val="22"/>
    <w:qFormat/>
    <w:rsid w:val="00F54D5D"/>
    <w:rPr>
      <w:b/>
      <w:bCs/>
    </w:rPr>
  </w:style>
  <w:style w:type="character" w:customStyle="1" w:styleId="katex-mathml">
    <w:name w:val="katex-mathml"/>
    <w:basedOn w:val="DefaultParagraphFont"/>
    <w:rsid w:val="00F54D5D"/>
  </w:style>
  <w:style w:type="character" w:customStyle="1" w:styleId="mord">
    <w:name w:val="mord"/>
    <w:basedOn w:val="DefaultParagraphFont"/>
    <w:rsid w:val="00F54D5D"/>
  </w:style>
  <w:style w:type="paragraph" w:styleId="Bibliography">
    <w:name w:val="Bibliography"/>
    <w:basedOn w:val="Normal"/>
    <w:next w:val="Normal"/>
    <w:uiPriority w:val="37"/>
    <w:unhideWhenUsed/>
    <w:rsid w:val="00515390"/>
    <w:pPr>
      <w:spacing w:line="480" w:lineRule="auto"/>
      <w:ind w:left="720" w:hanging="720"/>
    </w:pPr>
  </w:style>
  <w:style w:type="paragraph" w:styleId="Revision">
    <w:name w:val="Revision"/>
    <w:hidden/>
    <w:uiPriority w:val="99"/>
    <w:semiHidden/>
    <w:rsid w:val="006C0730"/>
    <w:rPr>
      <w:rFonts w:ascii="Times New Roman" w:eastAsia="Calibri" w:hAnsi="Times New Roman" w:cs="Times New Roman"/>
      <w:szCs w:val="20"/>
    </w:rPr>
  </w:style>
  <w:style w:type="paragraph" w:styleId="NoSpacing">
    <w:name w:val="No Spacing"/>
    <w:uiPriority w:val="1"/>
    <w:qFormat/>
    <w:rsid w:val="001B79CD"/>
    <w:pPr>
      <w:ind w:firstLine="170"/>
      <w:jc w:val="both"/>
    </w:pPr>
    <w:rPr>
      <w:rFonts w:ascii="Times New Roman" w:eastAsia="Calibri" w:hAnsi="Times New Roman" w:cs="Times New Roman"/>
      <w:szCs w:val="20"/>
    </w:rPr>
  </w:style>
  <w:style w:type="paragraph" w:customStyle="1" w:styleId="whitespace-pre-wrap">
    <w:name w:val="whitespace-pre-wrap"/>
    <w:basedOn w:val="Normal"/>
    <w:rsid w:val="006B3D0D"/>
    <w:pPr>
      <w:spacing w:before="100" w:beforeAutospacing="1" w:after="100" w:afterAutospacing="1"/>
      <w:jc w:val="left"/>
    </w:pPr>
    <w:rPr>
      <w:rFonts w:eastAsia="Times New Roman"/>
      <w:szCs w:val="24"/>
      <w:lang w:val="en-GB" w:eastAsia="en-GB"/>
    </w:rPr>
  </w:style>
  <w:style w:type="paragraph" w:customStyle="1" w:styleId="pf0">
    <w:name w:val="pf0"/>
    <w:basedOn w:val="Normal"/>
    <w:rsid w:val="001C02EF"/>
    <w:pPr>
      <w:spacing w:before="100" w:beforeAutospacing="1" w:after="100" w:afterAutospacing="1"/>
      <w:jc w:val="left"/>
    </w:pPr>
    <w:rPr>
      <w:rFonts w:eastAsia="Times New Roman"/>
      <w:szCs w:val="24"/>
      <w:lang w:val="en-GB" w:eastAsia="en-GB"/>
    </w:rPr>
  </w:style>
  <w:style w:type="character" w:customStyle="1" w:styleId="cf01">
    <w:name w:val="cf01"/>
    <w:basedOn w:val="DefaultParagraphFont"/>
    <w:rsid w:val="001C02EF"/>
    <w:rPr>
      <w:rFonts w:ascii="Segoe UI" w:hAnsi="Segoe UI" w:cs="Segoe UI" w:hint="default"/>
      <w:sz w:val="18"/>
      <w:szCs w:val="18"/>
    </w:rPr>
  </w:style>
  <w:style w:type="character" w:styleId="Mention">
    <w:name w:val="Mention"/>
    <w:basedOn w:val="DefaultParagraphFont"/>
    <w:uiPriority w:val="99"/>
    <w:rsid w:val="00F23C12"/>
    <w:rPr>
      <w:color w:val="2B579A"/>
      <w:shd w:val="clear" w:color="auto" w:fill="E1DFDD"/>
    </w:rPr>
  </w:style>
  <w:style w:type="character" w:customStyle="1" w:styleId="bold">
    <w:name w:val="bold"/>
    <w:basedOn w:val="DefaultParagraphFont"/>
    <w:rsid w:val="00AF4A82"/>
  </w:style>
  <w:style w:type="character" w:customStyle="1" w:styleId="ng-star-inserted">
    <w:name w:val="ng-star-inserted"/>
    <w:basedOn w:val="DefaultParagraphFont"/>
    <w:rsid w:val="00AF4A82"/>
  </w:style>
  <w:style w:type="paragraph" w:customStyle="1" w:styleId="subheading">
    <w:name w:val="subheading"/>
    <w:basedOn w:val="Heading-Secondary"/>
    <w:link w:val="subheadingChar"/>
    <w:qFormat/>
    <w:rsid w:val="003855D5"/>
    <w:rPr>
      <w:sz w:val="24"/>
      <w:lang w:val="en-GB"/>
    </w:rPr>
  </w:style>
  <w:style w:type="character" w:customStyle="1" w:styleId="Heading-SecondaryChar">
    <w:name w:val="Heading-Secondary Char"/>
    <w:basedOn w:val="DefaultParagraphFont"/>
    <w:link w:val="Heading-Secondary"/>
    <w:rsid w:val="003855D5"/>
    <w:rPr>
      <w:rFonts w:eastAsia="Times New Roman" w:cstheme="minorHAnsi"/>
      <w:b/>
      <w:bCs/>
      <w:kern w:val="28"/>
      <w:sz w:val="28"/>
    </w:rPr>
  </w:style>
  <w:style w:type="character" w:customStyle="1" w:styleId="subheadingChar">
    <w:name w:val="subheading Char"/>
    <w:basedOn w:val="Heading-SecondaryChar"/>
    <w:link w:val="subheading"/>
    <w:rsid w:val="003855D5"/>
    <w:rPr>
      <w:rFonts w:eastAsia="Times New Roman" w:cstheme="minorHAnsi"/>
      <w:b/>
      <w:bCs/>
      <w:kern w:val="28"/>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570509">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45206797">
      <w:bodyDiv w:val="1"/>
      <w:marLeft w:val="0"/>
      <w:marRight w:val="0"/>
      <w:marTop w:val="0"/>
      <w:marBottom w:val="0"/>
      <w:divBdr>
        <w:top w:val="none" w:sz="0" w:space="0" w:color="auto"/>
        <w:left w:val="none" w:sz="0" w:space="0" w:color="auto"/>
        <w:bottom w:val="none" w:sz="0" w:space="0" w:color="auto"/>
        <w:right w:val="none" w:sz="0" w:space="0" w:color="auto"/>
      </w:divBdr>
    </w:div>
    <w:div w:id="375205886">
      <w:bodyDiv w:val="1"/>
      <w:marLeft w:val="0"/>
      <w:marRight w:val="0"/>
      <w:marTop w:val="0"/>
      <w:marBottom w:val="0"/>
      <w:divBdr>
        <w:top w:val="none" w:sz="0" w:space="0" w:color="auto"/>
        <w:left w:val="none" w:sz="0" w:space="0" w:color="auto"/>
        <w:bottom w:val="none" w:sz="0" w:space="0" w:color="auto"/>
        <w:right w:val="none" w:sz="0" w:space="0" w:color="auto"/>
      </w:divBdr>
    </w:div>
    <w:div w:id="41120426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18357515">
      <w:bodyDiv w:val="1"/>
      <w:marLeft w:val="0"/>
      <w:marRight w:val="0"/>
      <w:marTop w:val="0"/>
      <w:marBottom w:val="0"/>
      <w:divBdr>
        <w:top w:val="none" w:sz="0" w:space="0" w:color="auto"/>
        <w:left w:val="none" w:sz="0" w:space="0" w:color="auto"/>
        <w:bottom w:val="none" w:sz="0" w:space="0" w:color="auto"/>
        <w:right w:val="none" w:sz="0" w:space="0" w:color="auto"/>
      </w:divBdr>
    </w:div>
    <w:div w:id="792943801">
      <w:bodyDiv w:val="1"/>
      <w:marLeft w:val="0"/>
      <w:marRight w:val="0"/>
      <w:marTop w:val="0"/>
      <w:marBottom w:val="0"/>
      <w:divBdr>
        <w:top w:val="none" w:sz="0" w:space="0" w:color="auto"/>
        <w:left w:val="none" w:sz="0" w:space="0" w:color="auto"/>
        <w:bottom w:val="none" w:sz="0" w:space="0" w:color="auto"/>
        <w:right w:val="none" w:sz="0" w:space="0" w:color="auto"/>
      </w:divBdr>
      <w:divsChild>
        <w:div w:id="1223754280">
          <w:marLeft w:val="0"/>
          <w:marRight w:val="0"/>
          <w:marTop w:val="0"/>
          <w:marBottom w:val="0"/>
          <w:divBdr>
            <w:top w:val="none" w:sz="0" w:space="0" w:color="auto"/>
            <w:left w:val="none" w:sz="0" w:space="0" w:color="auto"/>
            <w:bottom w:val="none" w:sz="0" w:space="0" w:color="auto"/>
            <w:right w:val="none" w:sz="0" w:space="0" w:color="auto"/>
          </w:divBdr>
          <w:divsChild>
            <w:div w:id="1596858572">
              <w:marLeft w:val="0"/>
              <w:marRight w:val="0"/>
              <w:marTop w:val="0"/>
              <w:marBottom w:val="0"/>
              <w:divBdr>
                <w:top w:val="none" w:sz="0" w:space="0" w:color="auto"/>
                <w:left w:val="none" w:sz="0" w:space="0" w:color="auto"/>
                <w:bottom w:val="none" w:sz="0" w:space="0" w:color="auto"/>
                <w:right w:val="none" w:sz="0" w:space="0" w:color="auto"/>
              </w:divBdr>
              <w:divsChild>
                <w:div w:id="1454446933">
                  <w:marLeft w:val="0"/>
                  <w:marRight w:val="0"/>
                  <w:marTop w:val="0"/>
                  <w:marBottom w:val="0"/>
                  <w:divBdr>
                    <w:top w:val="none" w:sz="0" w:space="0" w:color="auto"/>
                    <w:left w:val="none" w:sz="0" w:space="0" w:color="auto"/>
                    <w:bottom w:val="none" w:sz="0" w:space="0" w:color="auto"/>
                    <w:right w:val="none" w:sz="0" w:space="0" w:color="auto"/>
                  </w:divBdr>
                  <w:divsChild>
                    <w:div w:id="2068872129">
                      <w:marLeft w:val="0"/>
                      <w:marRight w:val="0"/>
                      <w:marTop w:val="0"/>
                      <w:marBottom w:val="0"/>
                      <w:divBdr>
                        <w:top w:val="none" w:sz="0" w:space="0" w:color="auto"/>
                        <w:left w:val="none" w:sz="0" w:space="0" w:color="auto"/>
                        <w:bottom w:val="none" w:sz="0" w:space="0" w:color="auto"/>
                        <w:right w:val="none" w:sz="0" w:space="0" w:color="auto"/>
                      </w:divBdr>
                      <w:divsChild>
                        <w:div w:id="959065441">
                          <w:marLeft w:val="0"/>
                          <w:marRight w:val="0"/>
                          <w:marTop w:val="0"/>
                          <w:marBottom w:val="0"/>
                          <w:divBdr>
                            <w:top w:val="none" w:sz="0" w:space="0" w:color="auto"/>
                            <w:left w:val="none" w:sz="0" w:space="0" w:color="auto"/>
                            <w:bottom w:val="none" w:sz="0" w:space="0" w:color="auto"/>
                            <w:right w:val="none" w:sz="0" w:space="0" w:color="auto"/>
                          </w:divBdr>
                          <w:divsChild>
                            <w:div w:id="2119451487">
                              <w:marLeft w:val="0"/>
                              <w:marRight w:val="0"/>
                              <w:marTop w:val="0"/>
                              <w:marBottom w:val="0"/>
                              <w:divBdr>
                                <w:top w:val="none" w:sz="0" w:space="0" w:color="auto"/>
                                <w:left w:val="none" w:sz="0" w:space="0" w:color="auto"/>
                                <w:bottom w:val="none" w:sz="0" w:space="0" w:color="auto"/>
                                <w:right w:val="none" w:sz="0" w:space="0" w:color="auto"/>
                              </w:divBdr>
                              <w:divsChild>
                                <w:div w:id="797139424">
                                  <w:marLeft w:val="0"/>
                                  <w:marRight w:val="0"/>
                                  <w:marTop w:val="0"/>
                                  <w:marBottom w:val="0"/>
                                  <w:divBdr>
                                    <w:top w:val="none" w:sz="0" w:space="0" w:color="auto"/>
                                    <w:left w:val="none" w:sz="0" w:space="0" w:color="auto"/>
                                    <w:bottom w:val="none" w:sz="0" w:space="0" w:color="auto"/>
                                    <w:right w:val="none" w:sz="0" w:space="0" w:color="auto"/>
                                  </w:divBdr>
                                  <w:divsChild>
                                    <w:div w:id="416439277">
                                      <w:marLeft w:val="0"/>
                                      <w:marRight w:val="0"/>
                                      <w:marTop w:val="0"/>
                                      <w:marBottom w:val="0"/>
                                      <w:divBdr>
                                        <w:top w:val="none" w:sz="0" w:space="0" w:color="auto"/>
                                        <w:left w:val="none" w:sz="0" w:space="0" w:color="auto"/>
                                        <w:bottom w:val="none" w:sz="0" w:space="0" w:color="auto"/>
                                        <w:right w:val="none" w:sz="0" w:space="0" w:color="auto"/>
                                      </w:divBdr>
                                      <w:divsChild>
                                        <w:div w:id="1075933005">
                                          <w:marLeft w:val="0"/>
                                          <w:marRight w:val="0"/>
                                          <w:marTop w:val="0"/>
                                          <w:marBottom w:val="0"/>
                                          <w:divBdr>
                                            <w:top w:val="none" w:sz="0" w:space="0" w:color="auto"/>
                                            <w:left w:val="none" w:sz="0" w:space="0" w:color="auto"/>
                                            <w:bottom w:val="none" w:sz="0" w:space="0" w:color="auto"/>
                                            <w:right w:val="none" w:sz="0" w:space="0" w:color="auto"/>
                                          </w:divBdr>
                                          <w:divsChild>
                                            <w:div w:id="840000774">
                                              <w:marLeft w:val="0"/>
                                              <w:marRight w:val="0"/>
                                              <w:marTop w:val="0"/>
                                              <w:marBottom w:val="0"/>
                                              <w:divBdr>
                                                <w:top w:val="none" w:sz="0" w:space="0" w:color="auto"/>
                                                <w:left w:val="none" w:sz="0" w:space="0" w:color="auto"/>
                                                <w:bottom w:val="none" w:sz="0" w:space="0" w:color="auto"/>
                                                <w:right w:val="none" w:sz="0" w:space="0" w:color="auto"/>
                                              </w:divBdr>
                                              <w:divsChild>
                                                <w:div w:id="1116215753">
                                                  <w:marLeft w:val="0"/>
                                                  <w:marRight w:val="0"/>
                                                  <w:marTop w:val="0"/>
                                                  <w:marBottom w:val="0"/>
                                                  <w:divBdr>
                                                    <w:top w:val="none" w:sz="0" w:space="0" w:color="auto"/>
                                                    <w:left w:val="none" w:sz="0" w:space="0" w:color="auto"/>
                                                    <w:bottom w:val="none" w:sz="0" w:space="0" w:color="auto"/>
                                                    <w:right w:val="none" w:sz="0" w:space="0" w:color="auto"/>
                                                  </w:divBdr>
                                                  <w:divsChild>
                                                    <w:div w:id="1789425350">
                                                      <w:marLeft w:val="0"/>
                                                      <w:marRight w:val="0"/>
                                                      <w:marTop w:val="0"/>
                                                      <w:marBottom w:val="0"/>
                                                      <w:divBdr>
                                                        <w:top w:val="none" w:sz="0" w:space="0" w:color="auto"/>
                                                        <w:left w:val="none" w:sz="0" w:space="0" w:color="auto"/>
                                                        <w:bottom w:val="none" w:sz="0" w:space="0" w:color="auto"/>
                                                        <w:right w:val="none" w:sz="0" w:space="0" w:color="auto"/>
                                                      </w:divBdr>
                                                      <w:divsChild>
                                                        <w:div w:id="120298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01133382">
      <w:bodyDiv w:val="1"/>
      <w:marLeft w:val="0"/>
      <w:marRight w:val="0"/>
      <w:marTop w:val="0"/>
      <w:marBottom w:val="0"/>
      <w:divBdr>
        <w:top w:val="none" w:sz="0" w:space="0" w:color="auto"/>
        <w:left w:val="none" w:sz="0" w:space="0" w:color="auto"/>
        <w:bottom w:val="none" w:sz="0" w:space="0" w:color="auto"/>
        <w:right w:val="none" w:sz="0" w:space="0" w:color="auto"/>
      </w:divBdr>
      <w:divsChild>
        <w:div w:id="929123218">
          <w:marLeft w:val="0"/>
          <w:marRight w:val="0"/>
          <w:marTop w:val="0"/>
          <w:marBottom w:val="0"/>
          <w:divBdr>
            <w:top w:val="none" w:sz="0" w:space="0" w:color="auto"/>
            <w:left w:val="none" w:sz="0" w:space="0" w:color="auto"/>
            <w:bottom w:val="none" w:sz="0" w:space="0" w:color="auto"/>
            <w:right w:val="none" w:sz="0" w:space="0" w:color="auto"/>
          </w:divBdr>
          <w:divsChild>
            <w:div w:id="442000479">
              <w:marLeft w:val="0"/>
              <w:marRight w:val="0"/>
              <w:marTop w:val="0"/>
              <w:marBottom w:val="0"/>
              <w:divBdr>
                <w:top w:val="none" w:sz="0" w:space="0" w:color="auto"/>
                <w:left w:val="none" w:sz="0" w:space="0" w:color="auto"/>
                <w:bottom w:val="none" w:sz="0" w:space="0" w:color="auto"/>
                <w:right w:val="none" w:sz="0" w:space="0" w:color="auto"/>
              </w:divBdr>
              <w:divsChild>
                <w:div w:id="859196806">
                  <w:marLeft w:val="0"/>
                  <w:marRight w:val="0"/>
                  <w:marTop w:val="0"/>
                  <w:marBottom w:val="0"/>
                  <w:divBdr>
                    <w:top w:val="none" w:sz="0" w:space="0" w:color="auto"/>
                    <w:left w:val="none" w:sz="0" w:space="0" w:color="auto"/>
                    <w:bottom w:val="none" w:sz="0" w:space="0" w:color="auto"/>
                    <w:right w:val="none" w:sz="0" w:space="0" w:color="auto"/>
                  </w:divBdr>
                  <w:divsChild>
                    <w:div w:id="1593974978">
                      <w:marLeft w:val="0"/>
                      <w:marRight w:val="0"/>
                      <w:marTop w:val="0"/>
                      <w:marBottom w:val="0"/>
                      <w:divBdr>
                        <w:top w:val="none" w:sz="0" w:space="0" w:color="auto"/>
                        <w:left w:val="none" w:sz="0" w:space="0" w:color="auto"/>
                        <w:bottom w:val="none" w:sz="0" w:space="0" w:color="auto"/>
                        <w:right w:val="none" w:sz="0" w:space="0" w:color="auto"/>
                      </w:divBdr>
                      <w:divsChild>
                        <w:div w:id="836384647">
                          <w:marLeft w:val="0"/>
                          <w:marRight w:val="0"/>
                          <w:marTop w:val="0"/>
                          <w:marBottom w:val="0"/>
                          <w:divBdr>
                            <w:top w:val="none" w:sz="0" w:space="0" w:color="auto"/>
                            <w:left w:val="none" w:sz="0" w:space="0" w:color="auto"/>
                            <w:bottom w:val="none" w:sz="0" w:space="0" w:color="auto"/>
                            <w:right w:val="none" w:sz="0" w:space="0" w:color="auto"/>
                          </w:divBdr>
                          <w:divsChild>
                            <w:div w:id="1654915747">
                              <w:marLeft w:val="0"/>
                              <w:marRight w:val="0"/>
                              <w:marTop w:val="0"/>
                              <w:marBottom w:val="0"/>
                              <w:divBdr>
                                <w:top w:val="none" w:sz="0" w:space="0" w:color="auto"/>
                                <w:left w:val="none" w:sz="0" w:space="0" w:color="auto"/>
                                <w:bottom w:val="none" w:sz="0" w:space="0" w:color="auto"/>
                                <w:right w:val="none" w:sz="0" w:space="0" w:color="auto"/>
                              </w:divBdr>
                              <w:divsChild>
                                <w:div w:id="2057198047">
                                  <w:marLeft w:val="0"/>
                                  <w:marRight w:val="0"/>
                                  <w:marTop w:val="0"/>
                                  <w:marBottom w:val="0"/>
                                  <w:divBdr>
                                    <w:top w:val="none" w:sz="0" w:space="0" w:color="auto"/>
                                    <w:left w:val="none" w:sz="0" w:space="0" w:color="auto"/>
                                    <w:bottom w:val="none" w:sz="0" w:space="0" w:color="auto"/>
                                    <w:right w:val="none" w:sz="0" w:space="0" w:color="auto"/>
                                  </w:divBdr>
                                  <w:divsChild>
                                    <w:div w:id="634484514">
                                      <w:marLeft w:val="0"/>
                                      <w:marRight w:val="0"/>
                                      <w:marTop w:val="0"/>
                                      <w:marBottom w:val="0"/>
                                      <w:divBdr>
                                        <w:top w:val="none" w:sz="0" w:space="0" w:color="auto"/>
                                        <w:left w:val="none" w:sz="0" w:space="0" w:color="auto"/>
                                        <w:bottom w:val="none" w:sz="0" w:space="0" w:color="auto"/>
                                        <w:right w:val="none" w:sz="0" w:space="0" w:color="auto"/>
                                      </w:divBdr>
                                      <w:divsChild>
                                        <w:div w:id="432633788">
                                          <w:marLeft w:val="0"/>
                                          <w:marRight w:val="0"/>
                                          <w:marTop w:val="0"/>
                                          <w:marBottom w:val="0"/>
                                          <w:divBdr>
                                            <w:top w:val="none" w:sz="0" w:space="0" w:color="auto"/>
                                            <w:left w:val="none" w:sz="0" w:space="0" w:color="auto"/>
                                            <w:bottom w:val="none" w:sz="0" w:space="0" w:color="auto"/>
                                            <w:right w:val="none" w:sz="0" w:space="0" w:color="auto"/>
                                          </w:divBdr>
                                          <w:divsChild>
                                            <w:div w:id="86729452">
                                              <w:marLeft w:val="0"/>
                                              <w:marRight w:val="0"/>
                                              <w:marTop w:val="0"/>
                                              <w:marBottom w:val="0"/>
                                              <w:divBdr>
                                                <w:top w:val="none" w:sz="0" w:space="0" w:color="auto"/>
                                                <w:left w:val="none" w:sz="0" w:space="0" w:color="auto"/>
                                                <w:bottom w:val="none" w:sz="0" w:space="0" w:color="auto"/>
                                                <w:right w:val="none" w:sz="0" w:space="0" w:color="auto"/>
                                              </w:divBdr>
                                              <w:divsChild>
                                                <w:div w:id="1509952012">
                                                  <w:marLeft w:val="0"/>
                                                  <w:marRight w:val="0"/>
                                                  <w:marTop w:val="0"/>
                                                  <w:marBottom w:val="0"/>
                                                  <w:divBdr>
                                                    <w:top w:val="none" w:sz="0" w:space="0" w:color="auto"/>
                                                    <w:left w:val="none" w:sz="0" w:space="0" w:color="auto"/>
                                                    <w:bottom w:val="none" w:sz="0" w:space="0" w:color="auto"/>
                                                    <w:right w:val="none" w:sz="0" w:space="0" w:color="auto"/>
                                                  </w:divBdr>
                                                  <w:divsChild>
                                                    <w:div w:id="1040007328">
                                                      <w:marLeft w:val="0"/>
                                                      <w:marRight w:val="0"/>
                                                      <w:marTop w:val="0"/>
                                                      <w:marBottom w:val="0"/>
                                                      <w:divBdr>
                                                        <w:top w:val="none" w:sz="0" w:space="0" w:color="auto"/>
                                                        <w:left w:val="none" w:sz="0" w:space="0" w:color="auto"/>
                                                        <w:bottom w:val="none" w:sz="0" w:space="0" w:color="auto"/>
                                                        <w:right w:val="none" w:sz="0" w:space="0" w:color="auto"/>
                                                      </w:divBdr>
                                                      <w:divsChild>
                                                        <w:div w:id="29873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09317058">
      <w:bodyDiv w:val="1"/>
      <w:marLeft w:val="0"/>
      <w:marRight w:val="0"/>
      <w:marTop w:val="0"/>
      <w:marBottom w:val="0"/>
      <w:divBdr>
        <w:top w:val="none" w:sz="0" w:space="0" w:color="auto"/>
        <w:left w:val="none" w:sz="0" w:space="0" w:color="auto"/>
        <w:bottom w:val="none" w:sz="0" w:space="0" w:color="auto"/>
        <w:right w:val="none" w:sz="0" w:space="0" w:color="auto"/>
      </w:divBdr>
    </w:div>
    <w:div w:id="958491954">
      <w:bodyDiv w:val="1"/>
      <w:marLeft w:val="0"/>
      <w:marRight w:val="0"/>
      <w:marTop w:val="0"/>
      <w:marBottom w:val="0"/>
      <w:divBdr>
        <w:top w:val="none" w:sz="0" w:space="0" w:color="auto"/>
        <w:left w:val="none" w:sz="0" w:space="0" w:color="auto"/>
        <w:bottom w:val="none" w:sz="0" w:space="0" w:color="auto"/>
        <w:right w:val="none" w:sz="0" w:space="0" w:color="auto"/>
      </w:divBdr>
      <w:divsChild>
        <w:div w:id="1805808390">
          <w:marLeft w:val="0"/>
          <w:marRight w:val="0"/>
          <w:marTop w:val="0"/>
          <w:marBottom w:val="0"/>
          <w:divBdr>
            <w:top w:val="none" w:sz="0" w:space="0" w:color="auto"/>
            <w:left w:val="none" w:sz="0" w:space="0" w:color="auto"/>
            <w:bottom w:val="none" w:sz="0" w:space="0" w:color="auto"/>
            <w:right w:val="none" w:sz="0" w:space="0" w:color="auto"/>
          </w:divBdr>
          <w:divsChild>
            <w:div w:id="174398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60328927">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00377096">
      <w:bodyDiv w:val="1"/>
      <w:marLeft w:val="0"/>
      <w:marRight w:val="0"/>
      <w:marTop w:val="0"/>
      <w:marBottom w:val="0"/>
      <w:divBdr>
        <w:top w:val="none" w:sz="0" w:space="0" w:color="auto"/>
        <w:left w:val="none" w:sz="0" w:space="0" w:color="auto"/>
        <w:bottom w:val="none" w:sz="0" w:space="0" w:color="auto"/>
        <w:right w:val="none" w:sz="0" w:space="0" w:color="auto"/>
      </w:divBdr>
    </w:div>
    <w:div w:id="1323000561">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47192881">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79680295">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42755817">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3490973">
      <w:bodyDiv w:val="1"/>
      <w:marLeft w:val="0"/>
      <w:marRight w:val="0"/>
      <w:marTop w:val="0"/>
      <w:marBottom w:val="0"/>
      <w:divBdr>
        <w:top w:val="none" w:sz="0" w:space="0" w:color="auto"/>
        <w:left w:val="none" w:sz="0" w:space="0" w:color="auto"/>
        <w:bottom w:val="none" w:sz="0" w:space="0" w:color="auto"/>
        <w:right w:val="none" w:sz="0" w:space="0" w:color="auto"/>
      </w:divBdr>
    </w:div>
    <w:div w:id="1946301925">
      <w:bodyDiv w:val="1"/>
      <w:marLeft w:val="0"/>
      <w:marRight w:val="0"/>
      <w:marTop w:val="0"/>
      <w:marBottom w:val="0"/>
      <w:divBdr>
        <w:top w:val="none" w:sz="0" w:space="0" w:color="auto"/>
        <w:left w:val="none" w:sz="0" w:space="0" w:color="auto"/>
        <w:bottom w:val="none" w:sz="0" w:space="0" w:color="auto"/>
        <w:right w:val="none" w:sz="0" w:space="0" w:color="auto"/>
      </w:divBdr>
    </w:div>
    <w:div w:id="2018728519">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buskop@vu.nl)" TargetMode="External"/><Relationship Id="rId13" Type="http://schemas.openxmlformats.org/officeDocument/2006/relationships/image" Target="media/image5.png"/><Relationship Id="rId18" Type="http://schemas.openxmlformats.org/officeDocument/2006/relationships/hyperlink" Target="https://cds.climate.copernicus.eu/cdsapp"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github.com/Deltares-research/weathergen"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deltares.github.io/Wflow.j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github.com/TBuskop/spatial_and_sectoral_climate_impacts" TargetMode="External"/><Relationship Id="rId28" Type="http://schemas.openxmlformats.org/officeDocument/2006/relationships/header" Target="header2.xml"/><Relationship Id="rId10" Type="http://schemas.openxmlformats.org/officeDocument/2006/relationships/image" Target="media/image2.svg"/><Relationship Id="rId19" Type="http://schemas.openxmlformats.org/officeDocument/2006/relationships/hyperlink" Target="https://cds.climate.copernicus.eu/cdsapp"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zenodo.org/records/14445553?token=eyJhbGciOiJIUzUxMiJ9.eyJpZCI6IjlmZWZhNDAwLWViYjAtNDM4YS1hMDlkLTNlZWI2ZGY4MjNmOCIsImRhdGEiOnt9LCJyYW5kb20iOiI4YmZhMzRmOWI3ZGE2MjRkZWViMDUxOTNjMTA0YWFmNCJ9.WxH5ejVC-TrvHwc7BkiN8_L8EjN-1q5_yjlIQjpYedjg0xa7aRmczzmoHQeS4lf4HBfQ91SVXZv7MtBmDfIELQ" TargetMode="External"/><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DF2B22-F760-4FB7-BF4A-9C711FEE0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46</Pages>
  <Words>12190</Words>
  <Characters>74427</Characters>
  <Application>Microsoft Office Word</Application>
  <DocSecurity>0</DocSecurity>
  <Lines>1366</Lines>
  <Paragraphs>500</Paragraphs>
  <ScaleCrop>false</ScaleCrop>
  <Company/>
  <LinksUpToDate>false</LinksUpToDate>
  <CharactersWithSpaces>86141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Ted Buskop</cp:lastModifiedBy>
  <cp:revision>3</cp:revision>
  <cp:lastPrinted>2024-12-20T11:21:00Z</cp:lastPrinted>
  <dcterms:created xsi:type="dcterms:W3CDTF">2024-12-20T11:32:00Z</dcterms:created>
  <dcterms:modified xsi:type="dcterms:W3CDTF">2024-12-20T11:36:00Z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id="z6iBqewN"/&gt;&lt;style id="http://www.zotero.org/styles/apa" locale="en-GB" hasBibliography="1" bibliographyStyleHasBeenSet="1"/&gt;&lt;prefs&gt;&lt;pref name="fieldType" value="Field"/&gt;&lt;/prefs&gt;&lt;/data&gt;</vt:lpwstr>
  </property>
</Properties>
</file>