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8BBFA" w14:textId="69D5812F" w:rsidR="00870696" w:rsidRPr="00EE7F56" w:rsidRDefault="00870696" w:rsidP="00870696">
      <w:pPr>
        <w:pStyle w:val="PaperTitle"/>
        <w:rPr>
          <w:rFonts w:ascii="Times New Roman" w:hAnsi="Times New Roman"/>
          <w:color w:val="auto"/>
        </w:rPr>
      </w:pPr>
      <w:bookmarkStart w:id="0" w:name="OLE_LINK25"/>
      <w:r w:rsidRPr="00EE7F56">
        <w:rPr>
          <w:rFonts w:ascii="Times New Roman" w:hAnsi="Times New Roman"/>
          <w:color w:val="auto"/>
        </w:rPr>
        <w:t>A Physics-Driven Approach for Identifying Leakage Users in Low-Voltage Distribution System</w:t>
      </w:r>
      <w:r w:rsidRPr="00EE7F56">
        <w:rPr>
          <w:rFonts w:ascii="Times New Roman" w:hAnsi="Times New Roman"/>
          <w:color w:val="auto"/>
          <w:lang w:eastAsia="zh-CN"/>
        </w:rPr>
        <w:t>s</w:t>
      </w:r>
      <w:bookmarkEnd w:id="0"/>
    </w:p>
    <w:p w14:paraId="3AD0310D" w14:textId="15DAA7C4" w:rsidR="00870696" w:rsidRPr="00EE7F56" w:rsidRDefault="00870696" w:rsidP="00870696">
      <w:pPr>
        <w:pStyle w:val="AU"/>
        <w:spacing w:after="0"/>
        <w:rPr>
          <w:rFonts w:ascii="Times New Roman" w:hAnsi="Times New Roman"/>
        </w:rPr>
      </w:pPr>
      <w:bookmarkStart w:id="1" w:name="OLE_LINK9"/>
      <w:r w:rsidRPr="00EE7F56">
        <w:rPr>
          <w:rFonts w:ascii="Times New Roman" w:hAnsi="Times New Roman"/>
        </w:rPr>
        <w:t>Li Bin</w:t>
      </w:r>
      <w:bookmarkEnd w:id="1"/>
      <w:r w:rsidRPr="00EE7F56">
        <w:rPr>
          <w:rFonts w:ascii="Times New Roman" w:hAnsi="Times New Roman"/>
          <w:vertAlign w:val="superscript"/>
        </w:rPr>
        <w:t>1</w:t>
      </w:r>
      <w:r w:rsidRPr="00EE7F56">
        <w:rPr>
          <w:rFonts w:ascii="Times New Roman" w:hAnsi="Times New Roman"/>
        </w:rPr>
        <w:t xml:space="preserve">, </w:t>
      </w:r>
      <w:bookmarkStart w:id="2" w:name="_Hlk96432787"/>
      <w:r w:rsidRPr="00EE7F56">
        <w:rPr>
          <w:rFonts w:ascii="Times New Roman" w:hAnsi="Times New Roman"/>
        </w:rPr>
        <w:t>Feng Xiaofei</w:t>
      </w:r>
      <w:r w:rsidRPr="00EE7F56">
        <w:rPr>
          <w:rFonts w:ascii="Times New Roman" w:hAnsi="Times New Roman"/>
          <w:vertAlign w:val="superscript"/>
        </w:rPr>
        <w:t>1</w:t>
      </w:r>
      <w:r w:rsidRPr="00EE7F56">
        <w:rPr>
          <w:rFonts w:ascii="Times New Roman" w:hAnsi="Times New Roman"/>
        </w:rPr>
        <w:t xml:space="preserve">, </w:t>
      </w:r>
      <w:bookmarkStart w:id="3" w:name="OLE_LINK13"/>
      <w:r w:rsidRPr="00EE7F56">
        <w:rPr>
          <w:rFonts w:ascii="Times New Roman" w:hAnsi="Times New Roman"/>
        </w:rPr>
        <w:t>Su Sheng</w:t>
      </w:r>
      <w:bookmarkEnd w:id="2"/>
      <w:bookmarkEnd w:id="3"/>
      <w:r w:rsidRPr="00EE7F56">
        <w:rPr>
          <w:rFonts w:ascii="Times New Roman" w:hAnsi="Times New Roman"/>
          <w:vertAlign w:val="superscript"/>
        </w:rPr>
        <w:t>1</w:t>
      </w:r>
      <w:r w:rsidRPr="00EE7F56">
        <w:rPr>
          <w:rFonts w:ascii="Times New Roman" w:hAnsi="Times New Roman"/>
          <w:i/>
          <w:iCs/>
        </w:rPr>
        <w:t>,</w:t>
      </w:r>
      <w:r w:rsidRPr="00EE7F56">
        <w:rPr>
          <w:rFonts w:ascii="Times New Roman" w:hAnsi="Times New Roman"/>
        </w:rPr>
        <w:t xml:space="preserve"> Zhong Peijun</w:t>
      </w:r>
      <w:r w:rsidRPr="00EE7F56">
        <w:rPr>
          <w:rFonts w:ascii="Times New Roman" w:hAnsi="Times New Roman"/>
          <w:vertAlign w:val="superscript"/>
        </w:rPr>
        <w:t>1</w:t>
      </w:r>
      <w:r w:rsidRPr="00EE7F56">
        <w:rPr>
          <w:rFonts w:ascii="Times New Roman" w:hAnsi="Times New Roman"/>
        </w:rPr>
        <w:t>, Xiao Hao</w:t>
      </w:r>
      <w:r w:rsidR="000B0970">
        <w:rPr>
          <w:rFonts w:ascii="Times New Roman" w:hAnsi="Times New Roman"/>
          <w:vertAlign w:val="superscript"/>
        </w:rPr>
        <w:t>2</w:t>
      </w:r>
    </w:p>
    <w:p w14:paraId="5FF68149" w14:textId="77777777" w:rsidR="00870696" w:rsidRPr="00EE7F56" w:rsidRDefault="00870696" w:rsidP="00870696">
      <w:pPr>
        <w:pStyle w:val="PINoSpace"/>
        <w:ind w:firstLine="0"/>
        <w:rPr>
          <w:sz w:val="14"/>
          <w:szCs w:val="14"/>
        </w:rPr>
      </w:pPr>
      <w:r w:rsidRPr="00EE7F56">
        <w:rPr>
          <w:sz w:val="14"/>
          <w:szCs w:val="14"/>
          <w:vertAlign w:val="superscript"/>
        </w:rPr>
        <w:t>1</w:t>
      </w:r>
      <w:r w:rsidRPr="00EE7F56">
        <w:t xml:space="preserve"> </w:t>
      </w:r>
      <w:r w:rsidRPr="00EE7F56">
        <w:rPr>
          <w:sz w:val="14"/>
          <w:szCs w:val="14"/>
        </w:rPr>
        <w:t xml:space="preserve">Changsha University of Science and Technology, Changsha, 410114 China </w:t>
      </w:r>
    </w:p>
    <w:p w14:paraId="0F246A5D" w14:textId="5D4E3D86" w:rsidR="00870696" w:rsidRPr="00EE7F56" w:rsidRDefault="00870696" w:rsidP="000B0970">
      <w:pPr>
        <w:pStyle w:val="PI"/>
        <w:spacing w:after="0"/>
        <w:ind w:right="1598" w:firstLine="0"/>
        <w:rPr>
          <w:sz w:val="14"/>
          <w:szCs w:val="14"/>
        </w:rPr>
      </w:pPr>
      <w:r w:rsidRPr="00EE7F56">
        <w:rPr>
          <w:sz w:val="14"/>
          <w:szCs w:val="14"/>
          <w:vertAlign w:val="superscript"/>
        </w:rPr>
        <w:t>2</w:t>
      </w:r>
      <w:r w:rsidRPr="00EE7F56">
        <w:t xml:space="preserve"> </w:t>
      </w:r>
      <w:r w:rsidRPr="00EE7F56">
        <w:rPr>
          <w:sz w:val="14"/>
          <w:szCs w:val="14"/>
        </w:rPr>
        <w:t xml:space="preserve">University of Manitoba, Winnipeg, MB, Canada </w:t>
      </w:r>
    </w:p>
    <w:p w14:paraId="031139B8" w14:textId="77777777" w:rsidR="00870696" w:rsidRPr="00EE7F56" w:rsidRDefault="00870696" w:rsidP="00870696">
      <w:pPr>
        <w:pStyle w:val="PI"/>
        <w:spacing w:before="100" w:after="100"/>
        <w:ind w:right="1598" w:firstLine="0"/>
      </w:pPr>
      <w:r w:rsidRPr="00EE7F56">
        <w:t>Corresponding author: Su Sheng (e-mail: eessheng@163.com).</w:t>
      </w:r>
      <w:r w:rsidRPr="00EE7F56">
        <w:rPr>
          <w:lang w:val="en-IN"/>
        </w:rPr>
        <w:br/>
      </w:r>
      <w:r w:rsidRPr="00EE7F56">
        <w:t xml:space="preserve">“ This work was supported in part by the Natural Scientific Research Funding of China under Grant 51777015.” </w:t>
      </w:r>
    </w:p>
    <w:p w14:paraId="46E009B5" w14:textId="1878F2A0" w:rsidR="00870696" w:rsidRPr="00EE7F56" w:rsidRDefault="00870696" w:rsidP="00870696">
      <w:pPr>
        <w:pStyle w:val="Abstract"/>
      </w:pPr>
      <w:bookmarkStart w:id="4" w:name="OLE_LINK1"/>
      <w:r w:rsidRPr="00EE7F56">
        <w:rPr>
          <w:rStyle w:val="H5CharChar"/>
          <w:rFonts w:ascii="Times New Roman" w:hAnsi="Times New Roman"/>
          <w:color w:val="auto"/>
        </w:rPr>
        <w:t>ABSTRACT</w:t>
      </w:r>
      <w:r w:rsidRPr="00EE7F56">
        <w:t xml:space="preserve"> </w:t>
      </w:r>
      <w:r w:rsidR="007E5435" w:rsidRPr="00EE7F56">
        <w:t>Wiring faults, caused by improper connections between neutral lines and protective earth (PE) lines due to negligence by electrical technicians, are a prevalent type of earth fault in low-voltage distribution systems (LVDS). These faults can cause the load current of affected users to flow back to the transformer's neutral point via the PE line as residual current, leading to nuisance tripping of residual current devices (RCDs). To maintain normal power supply, users may disable RCDs, which compromises safety and can result in severe hazards such as electric shocks and electrical fires. This paper proposes a method to locate users with wiring faults by leveraging abundant metering data within LVDS and utilizing leakage fault analysis devices. We construct a linear model of residual current considering multiple fault scenarios. Based on this model, a multiple linear regression (MLR) approach is developed to identify and locate anomalous users by analyzing the correlation between their load currents and the residual current of the LVDS. Experimental results under various scenarios validate the performance of the proposed method</w:t>
      </w:r>
      <w:r w:rsidRPr="00EE7F56">
        <w:t>.</w:t>
      </w:r>
    </w:p>
    <w:p w14:paraId="2939EC45" w14:textId="36716797" w:rsidR="00870696" w:rsidRPr="00EE7F56" w:rsidRDefault="00870696" w:rsidP="00EE7F56">
      <w:pPr>
        <w:pStyle w:val="IT"/>
        <w:spacing w:after="120"/>
        <w:ind w:right="1378"/>
        <w:rPr>
          <w:rFonts w:cs="Times New Roman"/>
        </w:rPr>
        <w:sectPr w:rsidR="00870696" w:rsidRPr="00EE7F56" w:rsidSect="00CB2DB1">
          <w:headerReference w:type="default" r:id="rId7"/>
          <w:footerReference w:type="default" r:id="rId8"/>
          <w:pgSz w:w="11520" w:h="15660" w:code="1"/>
          <w:pgMar w:top="1280" w:right="740" w:bottom="1040" w:left="740" w:header="360" w:footer="640" w:gutter="0"/>
          <w:cols w:space="720"/>
          <w:docGrid w:linePitch="360"/>
        </w:sectPr>
      </w:pPr>
      <w:r w:rsidRPr="00EE7F56">
        <w:rPr>
          <w:rStyle w:val="H5CharChar"/>
          <w:rFonts w:ascii="Times New Roman" w:hAnsi="Times New Roman"/>
          <w:color w:val="auto"/>
        </w:rPr>
        <w:t>INDEX TERMS</w:t>
      </w:r>
      <w:r w:rsidRPr="00EE7F56">
        <w:rPr>
          <w:rFonts w:cs="Times New Roman"/>
        </w:rPr>
        <w:t xml:space="preserve"> Low-voltage distribution system, Wiring fault users, Earth fault, Residual current devices</w:t>
      </w:r>
      <w:bookmarkEnd w:id="4"/>
    </w:p>
    <w:p w14:paraId="2E29D36E" w14:textId="77777777" w:rsidR="00870696" w:rsidRPr="00EE7F56" w:rsidRDefault="00870696" w:rsidP="00870696">
      <w:pPr>
        <w:pStyle w:val="H1ListNoSpace"/>
        <w:rPr>
          <w:rFonts w:ascii="Times New Roman" w:hAnsi="Times New Roman" w:cs="Times New Roman"/>
          <w:color w:val="auto"/>
        </w:rPr>
      </w:pPr>
      <w:r w:rsidRPr="00EE7F56">
        <w:rPr>
          <w:rFonts w:ascii="Times New Roman" w:hAnsi="Times New Roman" w:cs="Times New Roman"/>
          <w:color w:val="auto"/>
        </w:rPr>
        <w:t>INTRODUCTION</w:t>
      </w:r>
    </w:p>
    <w:p w14:paraId="291F5FB0" w14:textId="5AF5627D" w:rsidR="009138CE" w:rsidRPr="00EE7F56" w:rsidRDefault="009138CE" w:rsidP="00870696">
      <w:pPr>
        <w:pStyle w:val="References"/>
        <w:numPr>
          <w:ilvl w:val="0"/>
          <w:numId w:val="0"/>
        </w:numPr>
        <w:ind w:firstLineChars="100" w:firstLine="200"/>
        <w:rPr>
          <w:sz w:val="20"/>
          <w:szCs w:val="20"/>
        </w:rPr>
      </w:pPr>
      <w:bookmarkStart w:id="5" w:name="OLE_LINK11"/>
      <w:r w:rsidRPr="00EE7F56">
        <w:rPr>
          <w:sz w:val="20"/>
          <w:szCs w:val="20"/>
        </w:rPr>
        <w:t>Wiring faults, characterized by improper connections between neutral lines and protective earth (PE) lines in user distribution boards, are a prevalent type of earth fault in low-voltage distribution systems (LVDS). Often resulting from negligence by electrical technicians, wiring faults cause the load current of the affected user to return via the PE line as residual current. This can result in severe consequences such as electric shocks and electrical fires, endangering both life and property.</w:t>
      </w:r>
    </w:p>
    <w:p w14:paraId="72F457DC" w14:textId="3B3E3E27" w:rsidR="00870696" w:rsidRPr="00EE7F56" w:rsidRDefault="00870696" w:rsidP="00870696">
      <w:pPr>
        <w:pStyle w:val="References"/>
        <w:numPr>
          <w:ilvl w:val="0"/>
          <w:numId w:val="0"/>
        </w:numPr>
        <w:ind w:firstLineChars="100" w:firstLine="200"/>
        <w:rPr>
          <w:sz w:val="20"/>
          <w:szCs w:val="20"/>
        </w:rPr>
      </w:pPr>
      <w:r w:rsidRPr="00EE7F56">
        <w:rPr>
          <w:sz w:val="20"/>
          <w:szCs w:val="20"/>
        </w:rPr>
        <w:t>Previous research on earth faults in LVDS has primarily focused on insulation failures and associated arc leakage problems, such as insulation breaches in lines or equipment and unintended contact between live conductors and enclosures [1], [2]. Detection and protection against such faults are typically implemented using relay protection principles and RCDs in combination with grounding protection schemes [</w:t>
      </w:r>
      <w:r w:rsidR="008D5240" w:rsidRPr="00EE7F56">
        <w:rPr>
          <w:sz w:val="20"/>
          <w:szCs w:val="20"/>
        </w:rPr>
        <w:t>3</w:t>
      </w:r>
      <w:r w:rsidRPr="00EE7F56">
        <w:rPr>
          <w:sz w:val="20"/>
          <w:szCs w:val="20"/>
        </w:rPr>
        <w:t xml:space="preserve">]. Various methods—including support vector machines [5], fuzzy neural networks [6], and wavelet packet transforms [7]—have been employed to detect earth fault currents, extract salient current features, and ascertain fault types. These approaches have enhanced the protective efficacy of RCDs by enabling real-time monitoring and intelligent isolation of leakage sources </w:t>
      </w:r>
      <w:r w:rsidR="008D5240" w:rsidRPr="00EE7F56">
        <w:rPr>
          <w:sz w:val="20"/>
          <w:szCs w:val="20"/>
        </w:rPr>
        <w:t>[</w:t>
      </w:r>
      <w:r w:rsidR="00EE7F56" w:rsidRPr="00EE7F56">
        <w:rPr>
          <w:sz w:val="20"/>
          <w:szCs w:val="20"/>
        </w:rPr>
        <w:t>8</w:t>
      </w:r>
      <w:r w:rsidR="008D5240" w:rsidRPr="00EE7F56">
        <w:rPr>
          <w:sz w:val="20"/>
          <w:szCs w:val="20"/>
        </w:rPr>
        <w:t>-</w:t>
      </w:r>
      <w:r w:rsidRPr="00EE7F56">
        <w:rPr>
          <w:sz w:val="20"/>
          <w:szCs w:val="20"/>
        </w:rPr>
        <w:t>9].</w:t>
      </w:r>
    </w:p>
    <w:p w14:paraId="22DB88B6" w14:textId="788CD0D1" w:rsidR="00870696" w:rsidRPr="00EE7F56" w:rsidRDefault="00870696" w:rsidP="00870696">
      <w:pPr>
        <w:pStyle w:val="References"/>
        <w:numPr>
          <w:ilvl w:val="0"/>
          <w:numId w:val="0"/>
        </w:numPr>
        <w:ind w:firstLineChars="100" w:firstLine="200"/>
        <w:rPr>
          <w:sz w:val="20"/>
          <w:szCs w:val="20"/>
        </w:rPr>
      </w:pPr>
      <w:r w:rsidRPr="00EE7F56">
        <w:rPr>
          <w:sz w:val="20"/>
          <w:szCs w:val="20"/>
        </w:rPr>
        <w:t>However, wiring faults differ significantly from insulation-related earth faults. They exhibit robust electrical connections without characteristic arc discharge features, impeding the effectiveness of intelligent algorithms designed for insulation failure detection [</w:t>
      </w:r>
      <w:r w:rsidR="008D5240" w:rsidRPr="00EE7F56">
        <w:rPr>
          <w:sz w:val="20"/>
          <w:szCs w:val="20"/>
        </w:rPr>
        <w:t>10</w:t>
      </w:r>
      <w:r w:rsidRPr="00EE7F56">
        <w:rPr>
          <w:sz w:val="20"/>
          <w:szCs w:val="20"/>
        </w:rPr>
        <w:t xml:space="preserve">]. Existing criteria for fault determination often rely on empirical knowledge, which is </w:t>
      </w:r>
      <w:r w:rsidRPr="00EE7F56">
        <w:rPr>
          <w:sz w:val="20"/>
          <w:szCs w:val="20"/>
        </w:rPr>
        <w:t>insufficient to cover the wide array of earth fault types encountered in practice, leading to maloperations and nuisance tripping of RCDs [1</w:t>
      </w:r>
      <w:r w:rsidR="008D5240" w:rsidRPr="00EE7F56">
        <w:rPr>
          <w:sz w:val="20"/>
          <w:szCs w:val="20"/>
        </w:rPr>
        <w:t>1</w:t>
      </w:r>
      <w:r w:rsidRPr="00EE7F56">
        <w:rPr>
          <w:sz w:val="20"/>
          <w:szCs w:val="20"/>
        </w:rPr>
        <w:t>]. Moreover, when users are unable to pinpoint and rectify earth faults, RCDs stationed either on the low-voltage side of distribution transformers or on branch line distribution boards become prone to nuisance tripping. This results in recurrent power interruptions for the associated users [1</w:t>
      </w:r>
      <w:r w:rsidR="008D5240" w:rsidRPr="00EE7F56">
        <w:rPr>
          <w:sz w:val="20"/>
          <w:szCs w:val="20"/>
        </w:rPr>
        <w:t>2-</w:t>
      </w:r>
      <w:r w:rsidRPr="00EE7F56">
        <w:rPr>
          <w:sz w:val="20"/>
          <w:szCs w:val="20"/>
        </w:rPr>
        <w:t>13], compelling them to disable the RCDs, which poses significant threats to user safety [14</w:t>
      </w:r>
      <w:r w:rsidR="008D5240" w:rsidRPr="00EE7F56">
        <w:rPr>
          <w:sz w:val="20"/>
          <w:szCs w:val="20"/>
        </w:rPr>
        <w:t>-</w:t>
      </w:r>
      <w:r w:rsidRPr="00EE7F56">
        <w:rPr>
          <w:sz w:val="20"/>
          <w:szCs w:val="20"/>
        </w:rPr>
        <w:t>15]</w:t>
      </w:r>
      <w:r w:rsidR="009138CE" w:rsidRPr="00EE7F56">
        <w:rPr>
          <w:sz w:val="20"/>
          <w:szCs w:val="20"/>
        </w:rPr>
        <w:t>.</w:t>
      </w:r>
    </w:p>
    <w:p w14:paraId="08588F0B" w14:textId="01DF3D0F" w:rsidR="00870696" w:rsidRPr="00EE7F56" w:rsidRDefault="00870696" w:rsidP="00870696">
      <w:pPr>
        <w:pStyle w:val="References"/>
        <w:numPr>
          <w:ilvl w:val="0"/>
          <w:numId w:val="0"/>
        </w:numPr>
        <w:ind w:firstLineChars="100" w:firstLine="200"/>
        <w:rPr>
          <w:sz w:val="20"/>
          <w:szCs w:val="20"/>
        </w:rPr>
      </w:pPr>
      <w:r w:rsidRPr="00EE7F56">
        <w:rPr>
          <w:sz w:val="20"/>
          <w:szCs w:val="20"/>
        </w:rPr>
        <w:t>Given the pervasive risks posed by wiring faults, there is an urgent need for reliable and effective methods to detect and locate such faults. The advent of smart grids and the integration of Internet of Things (IoT) technologies have provided new opportunities to address this challenge [16]. Smart meters equipped with IoT capabilities collect high-density metering data, including residual currents and user load currents, facilitating non-invasive analyses to uncover correlations between abnormal residual currents and the load currents of users with wiring faults [17]. This data richness enables the development of novel approaches for fault localization and troubleshooting in LVDS.</w:t>
      </w:r>
    </w:p>
    <w:p w14:paraId="32E855A3" w14:textId="6C362969" w:rsidR="00870696" w:rsidRPr="00EE7F56" w:rsidRDefault="00870696" w:rsidP="00870696">
      <w:pPr>
        <w:pStyle w:val="References"/>
        <w:numPr>
          <w:ilvl w:val="0"/>
          <w:numId w:val="0"/>
        </w:numPr>
        <w:ind w:firstLineChars="100" w:firstLine="200"/>
        <w:rPr>
          <w:sz w:val="20"/>
          <w:szCs w:val="20"/>
        </w:rPr>
      </w:pPr>
      <w:r w:rsidRPr="00EE7F56">
        <w:rPr>
          <w:sz w:val="20"/>
          <w:szCs w:val="20"/>
        </w:rPr>
        <w:t>In this paper, we propose a method to identify and locate users with wiring faults to prevent unnecessary RCD tripping. We construct a linear model of residual current within LVDS, considering scenarios with one or multiple users having wiring faults. Based on this model, we develop a multiple linear regression (MLR) approach to analyze the correlation between user load currents and the residual current of the LVDS.</w:t>
      </w:r>
    </w:p>
    <w:p w14:paraId="66D73AB8" w14:textId="3F43FE5A" w:rsidR="00870696" w:rsidRPr="00EE7F56" w:rsidRDefault="00870696" w:rsidP="00870696">
      <w:pPr>
        <w:pStyle w:val="References"/>
        <w:numPr>
          <w:ilvl w:val="0"/>
          <w:numId w:val="0"/>
        </w:numPr>
        <w:rPr>
          <w:sz w:val="20"/>
          <w:szCs w:val="20"/>
        </w:rPr>
      </w:pPr>
      <w:r w:rsidRPr="00EE7F56">
        <w:rPr>
          <w:sz w:val="20"/>
          <w:szCs w:val="20"/>
        </w:rPr>
        <w:t>The principal contributions of this work are:</w:t>
      </w:r>
    </w:p>
    <w:p w14:paraId="64B82538" w14:textId="74DF8D7E" w:rsidR="00870696" w:rsidRPr="00EE7F56" w:rsidRDefault="00870696" w:rsidP="00870696">
      <w:pPr>
        <w:pStyle w:val="References"/>
        <w:numPr>
          <w:ilvl w:val="0"/>
          <w:numId w:val="19"/>
        </w:numPr>
        <w:rPr>
          <w:sz w:val="20"/>
          <w:szCs w:val="20"/>
        </w:rPr>
      </w:pPr>
      <w:r w:rsidRPr="00EE7F56">
        <w:rPr>
          <w:sz w:val="20"/>
          <w:szCs w:val="20"/>
        </w:rPr>
        <w:lastRenderedPageBreak/>
        <w:t>Highlighting the Risks of Wiring Faults: We emphasize that wiring faults are a common type of earth fault in LVDS, causing RCD nuisance tripping and leading users to disable RCDs, which increases safety hazards such as electric shocks and fires.</w:t>
      </w:r>
    </w:p>
    <w:p w14:paraId="3BE28FE0" w14:textId="2E81ABF9" w:rsidR="00870696" w:rsidRPr="00EE7F56" w:rsidRDefault="00870696" w:rsidP="00870696">
      <w:pPr>
        <w:pStyle w:val="References"/>
        <w:numPr>
          <w:ilvl w:val="0"/>
          <w:numId w:val="19"/>
        </w:numPr>
        <w:rPr>
          <w:sz w:val="20"/>
          <w:szCs w:val="20"/>
        </w:rPr>
      </w:pPr>
      <w:r w:rsidRPr="00EE7F56">
        <w:rPr>
          <w:sz w:val="20"/>
          <w:szCs w:val="20"/>
        </w:rPr>
        <w:t>Analyzing Residual Current Characteristics: We analyze the characteristics of residual current data across different wiring fault scenarios—including single-user and multi-user wiring faults on the same or different phases—and explore the correlation between abnormal residual currents and the load currents of the implicated users.</w:t>
      </w:r>
    </w:p>
    <w:p w14:paraId="58D60F50" w14:textId="3FAF2ACD" w:rsidR="00870696" w:rsidRPr="00EE7F56" w:rsidRDefault="00870696" w:rsidP="00870696">
      <w:pPr>
        <w:pStyle w:val="References"/>
        <w:numPr>
          <w:ilvl w:val="0"/>
          <w:numId w:val="19"/>
        </w:numPr>
        <w:rPr>
          <w:sz w:val="20"/>
          <w:szCs w:val="20"/>
        </w:rPr>
      </w:pPr>
      <w:r w:rsidRPr="00EE7F56">
        <w:rPr>
          <w:sz w:val="20"/>
          <w:szCs w:val="20"/>
        </w:rPr>
        <w:t>Proposing a Localization Method: We propose and validate a localization method employing MLR analysis for identifying users with wiring faults, leveraging high-density metering data from smart meters, thereby bridging a conspicuous research gap in this domain.</w:t>
      </w:r>
    </w:p>
    <w:p w14:paraId="59CE0D55" w14:textId="3E09CEEB" w:rsidR="00870696" w:rsidRPr="00EE7F56" w:rsidRDefault="00870696" w:rsidP="00870696">
      <w:pPr>
        <w:pStyle w:val="References"/>
        <w:numPr>
          <w:ilvl w:val="0"/>
          <w:numId w:val="0"/>
        </w:numPr>
        <w:ind w:firstLineChars="100" w:firstLine="200"/>
        <w:rPr>
          <w:sz w:val="20"/>
          <w:szCs w:val="20"/>
          <w:lang w:eastAsia="zh-CN"/>
        </w:rPr>
      </w:pPr>
      <w:r w:rsidRPr="00EE7F56">
        <w:rPr>
          <w:sz w:val="20"/>
          <w:szCs w:val="20"/>
        </w:rPr>
        <w:t xml:space="preserve">The remainder of this paper is organized as follows: Section II examines the mechanism and impact of wiring faults. Section III describes the variation characteristics of residual currents in different scenarios. Section IV introduces the localization method based on the MLR model. Section V presents experimental results to validate the proposed method. Finally, Section VI concludes the paper. </w:t>
      </w:r>
    </w:p>
    <w:bookmarkEnd w:id="5"/>
    <w:p w14:paraId="50E25E7A" w14:textId="77777777" w:rsidR="00870696" w:rsidRPr="00EE7F56" w:rsidRDefault="00870696" w:rsidP="00870696">
      <w:pPr>
        <w:pStyle w:val="H1ListSpace"/>
        <w:rPr>
          <w:rFonts w:ascii="Times New Roman" w:hAnsi="Times New Roman"/>
          <w:color w:val="auto"/>
        </w:rPr>
      </w:pPr>
      <w:r w:rsidRPr="00EE7F56">
        <w:rPr>
          <w:rFonts w:ascii="Times New Roman" w:hAnsi="Times New Roman"/>
          <w:color w:val="auto"/>
        </w:rPr>
        <w:t>MECHANISM AND INFLUENCE OF WIRING FAULTS</w:t>
      </w:r>
    </w:p>
    <w:p w14:paraId="174F5E0B"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In the field, the reverse connection of neutral line and PE line caused by reckless users are very common behind the user panel box. Fig. 1 shows a LVDS with wiring fault users and leakage path.</w:t>
      </w:r>
    </w:p>
    <w:p w14:paraId="5AD778CD"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As shown in Fig. 1, the yellow dashed box indicates the installation position of RCDs. The current </w:t>
      </w:r>
      <w:r w:rsidRPr="00EE7F56">
        <w:rPr>
          <w:rFonts w:ascii="Times New Roman" w:hAnsi="Times New Roman" w:cs="Times New Roman"/>
          <w:i/>
          <w:iCs/>
          <w:sz w:val="20"/>
          <w:szCs w:val="20"/>
        </w:rPr>
        <w:t>I</w:t>
      </w:r>
      <w:r w:rsidRPr="00EE7F56">
        <w:rPr>
          <w:rFonts w:ascii="Times New Roman" w:hAnsi="Times New Roman" w:cs="Times New Roman"/>
          <w:sz w:val="20"/>
          <w:szCs w:val="20"/>
          <w:vertAlign w:val="subscript"/>
        </w:rPr>
        <w:t>0</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I</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I</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represents the action threshold of the third RCD, second RCD, and first RCD, respectively. The load current of the user 2 flow back to the neutral point of the distribution transform through the earth rather than the neutral line, when the neutral line and the PE line of the user 2 are reversed. At this point, the live current of the secondary distribution board is composed of the load currents of user 1 and user 2, while the neutral current of the secondary distribution board only includes the neutral current of the user 1. That is, the load current of the wiring fault user 2 will be converted into the residual current of the LVDS. At this time, the residual current is mainly composed of the load current of the user 2, which increases sharply and fluctuates similarly with the </w:t>
      </w:r>
    </w:p>
    <w:p w14:paraId="17424224" w14:textId="77777777" w:rsidR="00870696" w:rsidRPr="00EE7F56" w:rsidRDefault="00870696" w:rsidP="00870696">
      <w:pPr>
        <w:autoSpaceDE w:val="0"/>
        <w:autoSpaceDN w:val="0"/>
        <w:adjustRightInd w:val="0"/>
        <w:spacing w:line="252" w:lineRule="auto"/>
        <w:rPr>
          <w:rFonts w:ascii="Times New Roman" w:hAnsi="Times New Roman" w:cs="Times New Roman"/>
          <w:noProof/>
        </w:rPr>
      </w:pPr>
      <w:r w:rsidRPr="00EE7F56">
        <w:rPr>
          <w:rFonts w:ascii="Times New Roman" w:hAnsi="Times New Roman" w:cs="Times New Roman"/>
          <w:sz w:val="20"/>
          <w:szCs w:val="20"/>
        </w:rPr>
        <w:t>load current. If this wiring fault is persisting in the LVDS, the electricity behavior of the anomaly user 2 will cause RCD to trip frequently and intermittently. Since it is difficult to accurately locate and isolate the wiring fault, power utilities have to withdraw the installed RCD to ensure power supply, which induces a serious threat to the electricity safety of users.</w:t>
      </w:r>
      <w:r w:rsidRPr="00EE7F56">
        <w:rPr>
          <w:rFonts w:ascii="Times New Roman" w:hAnsi="Times New Roman" w:cs="Times New Roman"/>
          <w:noProof/>
        </w:rPr>
        <w:t xml:space="preserve"> </w:t>
      </w:r>
    </w:p>
    <w:p w14:paraId="63F0279B" w14:textId="77777777" w:rsidR="00870696" w:rsidRPr="00EE7F56" w:rsidRDefault="00870696" w:rsidP="00870696">
      <w:pPr>
        <w:autoSpaceDE w:val="0"/>
        <w:autoSpaceDN w:val="0"/>
        <w:adjustRightInd w:val="0"/>
        <w:spacing w:line="252" w:lineRule="auto"/>
        <w:jc w:val="center"/>
        <w:rPr>
          <w:rFonts w:ascii="Times New Roman" w:hAnsi="Times New Roman" w:cs="Times New Roman"/>
          <w:sz w:val="20"/>
          <w:szCs w:val="20"/>
        </w:rPr>
      </w:pPr>
      <w:r w:rsidRPr="00EE7F56">
        <w:rPr>
          <w:rFonts w:ascii="Times New Roman" w:hAnsi="Times New Roman" w:cs="Times New Roman"/>
          <w:noProof/>
        </w:rPr>
        <w:drawing>
          <wp:inline distT="0" distB="0" distL="0" distR="0" wp14:anchorId="250FA3FF" wp14:editId="641342AE">
            <wp:extent cx="2809944" cy="164574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14554" cy="1648441"/>
                    </a:xfrm>
                    <a:prstGeom prst="rect">
                      <a:avLst/>
                    </a:prstGeom>
                    <a:noFill/>
                    <a:ln>
                      <a:noFill/>
                    </a:ln>
                  </pic:spPr>
                </pic:pic>
              </a:graphicData>
            </a:graphic>
          </wp:inline>
        </w:drawing>
      </w:r>
    </w:p>
    <w:p w14:paraId="0F2C5EEC"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A diagram of LVDS with wiring fault users.</w:t>
      </w:r>
    </w:p>
    <w:p w14:paraId="34422FA5"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scheme of TT earthed is widely used in distributed households and rural users to supply power and ensure the electrical safety of users, in which the neutral point and the exposed conductive part of the electrical equipment are directly earthed instead of a separate protective earth line from the side of the distribution transformer, and the PE lines of several households are usually connected to a unified plate earthed on site. When the neutral line and the PE line are connected in reverse, the load current will flow into the PE line and it is possible to burn or break the terminal of the PE line, which will fail the protection of the PE line, charge the conductive enclosure of the household appliance connected to the PE line, and greatly increase the risk of users’ safety [18]. </w:t>
      </w:r>
    </w:p>
    <w:p w14:paraId="6A2A9159"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Although wiring faults are common in LVDS, if the RCD is withdrawn, the wiring fault will not affect users’ power consumption, which makes this earth fault always difficult to locate. Therefore, it is of great significance to make efforts on the detection and location method for the leakage in the LVDS caused by the reverse connection between the neutral line and PE line of users, for the safety of users.</w:t>
      </w:r>
    </w:p>
    <w:bookmarkStart w:id="6" w:name="_Hlk161346348"/>
    <w:bookmarkStart w:id="7" w:name="_Hlk161399278"/>
    <w:p w14:paraId="51774FF8" w14:textId="77777777" w:rsidR="00EE7F56" w:rsidRPr="00EE7F56" w:rsidRDefault="00EE7F56" w:rsidP="00EE7F56">
      <w:pPr>
        <w:autoSpaceDE w:val="0"/>
        <w:autoSpaceDN w:val="0"/>
        <w:adjustRightInd w:val="0"/>
        <w:spacing w:line="252" w:lineRule="auto"/>
        <w:jc w:val="center"/>
        <w:rPr>
          <w:rFonts w:ascii="Times New Roman" w:hAnsi="Times New Roman" w:cs="Times New Roman"/>
        </w:rPr>
      </w:pPr>
      <w:r w:rsidRPr="00EE7F56">
        <w:rPr>
          <w:rFonts w:ascii="Times New Roman" w:hAnsi="Times New Roman" w:cs="Times New Roman"/>
        </w:rPr>
        <w:object w:dxaOrig="13356" w:dyaOrig="10465" w14:anchorId="654CE1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7pt;height:178.45pt" o:ole="">
            <v:imagedata r:id="rId10" o:title=""/>
          </v:shape>
          <o:OLEObject Type="Embed" ProgID="Visio.Drawing.15" ShapeID="_x0000_i1025" DrawAspect="Content" ObjectID="_1793628017" r:id="rId11"/>
        </w:object>
      </w:r>
    </w:p>
    <w:p w14:paraId="5FA8AEF5" w14:textId="1C07D1DB" w:rsidR="00EE7F56" w:rsidRPr="00EE7F56" w:rsidRDefault="00EE7F56" w:rsidP="00EE7F56">
      <w:pPr>
        <w:pStyle w:val="FigCaption"/>
        <w:rPr>
          <w:rFonts w:ascii="Times New Roman" w:hAnsi="Times New Roman" w:cs="Times New Roman"/>
        </w:rPr>
      </w:pPr>
      <w:r w:rsidRPr="00EE7F56">
        <w:rPr>
          <w:rFonts w:ascii="Times New Roman" w:hAnsi="Times New Roman" w:cs="Times New Roman"/>
        </w:rPr>
        <w:t>Leakage fault analysis devices in LVDS.</w:t>
      </w:r>
    </w:p>
    <w:p w14:paraId="7E16FD50" w14:textId="3BD46EBA"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RCDs only highlight speed of protection action and cannot be used for analysis of the residual current variation and location of earth faults due to the lack of data recording capability [19-21]. In recent years, meters have been equipped with HPLC module, which make it possible to report metering data with 15-minute interval or higher </w:t>
      </w:r>
      <w:r w:rsidRPr="00EE7F56">
        <w:rPr>
          <w:rFonts w:ascii="Times New Roman" w:hAnsi="Times New Roman" w:cs="Times New Roman"/>
          <w:sz w:val="20"/>
          <w:szCs w:val="20"/>
        </w:rPr>
        <w:lastRenderedPageBreak/>
        <w:t>density.</w:t>
      </w:r>
    </w:p>
    <w:p w14:paraId="5300DB2D"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eastAsia="宋体" w:hAnsi="Times New Roman" w:cs="Times New Roman"/>
          <w:sz w:val="20"/>
          <w:szCs w:val="20"/>
        </w:rPr>
        <w:t>As nodes within the LVDS, smart meters not only undertake high-density measurements of electrical variables at their respective location, including current, voltage, power and phase, but they also network with other smart meters and maintain close contact with the electricity information acquisition system. The relationship is depicted in Fig. 2</w:t>
      </w:r>
      <w:bookmarkStart w:id="8" w:name="_Hlk161346483"/>
      <w:bookmarkStart w:id="9" w:name="_Hlk161398232"/>
      <w:bookmarkStart w:id="10" w:name="OLE_LINK3"/>
      <w:bookmarkEnd w:id="6"/>
      <w:bookmarkEnd w:id="7"/>
      <w:r w:rsidRPr="00EE7F56">
        <w:rPr>
          <w:rFonts w:ascii="Times New Roman" w:eastAsia="宋体" w:hAnsi="Times New Roman" w:cs="Times New Roman"/>
          <w:sz w:val="20"/>
          <w:szCs w:val="20"/>
        </w:rPr>
        <w:t>.</w:t>
      </w:r>
    </w:p>
    <w:p w14:paraId="294AE6D0"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eastAsia="宋体" w:hAnsi="Times New Roman" w:cs="Times New Roman"/>
          <w:sz w:val="20"/>
          <w:szCs w:val="20"/>
        </w:rPr>
        <w:t xml:space="preserve">Power maintenance staff can utilize the high-density electrical data collected by each smart meter to carry out a variety of in-depth applications. These applications include basic tasks such as topology identification and etc., which lay the foundation for more advanced applications. With the established basic information, the staff can further perform fault monitoring, outage reporting, abnormal electricity usage detection, and clock synchronization. These advanced </w:t>
      </w:r>
      <w:r w:rsidRPr="00EE7F56">
        <w:rPr>
          <w:rFonts w:ascii="Times New Roman" w:hAnsi="Times New Roman" w:cs="Times New Roman"/>
          <w:sz w:val="20"/>
          <w:szCs w:val="20"/>
        </w:rPr>
        <w:t>applications</w:t>
      </w:r>
      <w:r w:rsidRPr="00EE7F56">
        <w:rPr>
          <w:rFonts w:ascii="Times New Roman" w:eastAsia="宋体" w:hAnsi="Times New Roman" w:cs="Times New Roman"/>
          <w:sz w:val="20"/>
          <w:szCs w:val="20"/>
        </w:rPr>
        <w:t xml:space="preserve"> expand the scope of services provided by power utilities. Moreover, they effectively enhance the proactive service capabilities of the maintenance staff</w:t>
      </w:r>
      <w:bookmarkEnd w:id="8"/>
      <w:r w:rsidRPr="00EE7F56">
        <w:rPr>
          <w:rFonts w:ascii="Times New Roman" w:eastAsia="宋体" w:hAnsi="Times New Roman" w:cs="Times New Roman"/>
          <w:sz w:val="20"/>
          <w:szCs w:val="20"/>
        </w:rPr>
        <w:t xml:space="preserve"> </w:t>
      </w:r>
      <w:bookmarkEnd w:id="9"/>
      <w:r w:rsidRPr="00EE7F56">
        <w:rPr>
          <w:rFonts w:ascii="Times New Roman" w:eastAsia="宋体" w:hAnsi="Times New Roman" w:cs="Times New Roman"/>
          <w:sz w:val="20"/>
          <w:szCs w:val="20"/>
        </w:rPr>
        <w:t>[22].</w:t>
      </w:r>
      <w:r w:rsidRPr="00EE7F56">
        <w:rPr>
          <w:rFonts w:ascii="Times New Roman" w:hAnsi="Times New Roman" w:cs="Times New Roman"/>
          <w:sz w:val="20"/>
          <w:szCs w:val="20"/>
        </w:rPr>
        <w:t xml:space="preserve"> </w:t>
      </w:r>
      <w:bookmarkStart w:id="11" w:name="_Hlk177653153"/>
      <w:r w:rsidRPr="00EE7F56">
        <w:rPr>
          <w:rFonts w:ascii="Times New Roman" w:hAnsi="Times New Roman" w:cs="Times New Roman"/>
          <w:sz w:val="20"/>
          <w:szCs w:val="20"/>
        </w:rPr>
        <w:t xml:space="preserve">We have developed a </w:t>
      </w:r>
      <w:bookmarkStart w:id="12" w:name="OLE_LINK6"/>
      <w:proofErr w:type="gramStart"/>
      <w:r w:rsidRPr="00EE7F56">
        <w:rPr>
          <w:rFonts w:ascii="Times New Roman" w:hAnsi="Times New Roman" w:cs="Times New Roman"/>
          <w:sz w:val="20"/>
          <w:szCs w:val="20"/>
        </w:rPr>
        <w:t>leakage fault analysis devices</w:t>
      </w:r>
      <w:bookmarkEnd w:id="12"/>
      <w:proofErr w:type="gramEnd"/>
      <w:r w:rsidRPr="00EE7F56">
        <w:rPr>
          <w:rFonts w:ascii="Times New Roman" w:hAnsi="Times New Roman" w:cs="Times New Roman"/>
          <w:sz w:val="20"/>
          <w:szCs w:val="20"/>
        </w:rPr>
        <w:t xml:space="preserve"> that provides strong support for the vigilant monitoring and detailed analysis of changes in residual current.</w:t>
      </w:r>
      <w:bookmarkEnd w:id="11"/>
      <w:r w:rsidRPr="00EE7F56">
        <w:rPr>
          <w:rFonts w:ascii="Times New Roman" w:hAnsi="Times New Roman" w:cs="Times New Roman"/>
          <w:sz w:val="20"/>
          <w:szCs w:val="20"/>
        </w:rPr>
        <w:t xml:space="preserve"> The residual current is composed of components such as the UPS analog power supply, voltage converter, core, LCD, and a leakage current sensor. Due to cost considerations, the devices </w:t>
      </w:r>
      <w:proofErr w:type="gramStart"/>
      <w:r w:rsidRPr="00EE7F56">
        <w:rPr>
          <w:rFonts w:ascii="Times New Roman" w:hAnsi="Times New Roman" w:cs="Times New Roman"/>
          <w:sz w:val="20"/>
          <w:szCs w:val="20"/>
        </w:rPr>
        <w:t>is</w:t>
      </w:r>
      <w:proofErr w:type="gramEnd"/>
      <w:r w:rsidRPr="00EE7F56">
        <w:rPr>
          <w:rFonts w:ascii="Times New Roman" w:hAnsi="Times New Roman" w:cs="Times New Roman"/>
          <w:sz w:val="20"/>
          <w:szCs w:val="20"/>
        </w:rPr>
        <w:t xml:space="preserve"> typically installed on the low-voltage side of the distribution transformer, enabling comprehensive monitoring of residual current fluctuations across the entire LVDS.</w:t>
      </w:r>
      <w:bookmarkEnd w:id="10"/>
    </w:p>
    <w:p w14:paraId="398575CE" w14:textId="77777777" w:rsidR="00870696" w:rsidRPr="00EE7F56" w:rsidRDefault="00870696" w:rsidP="00870696">
      <w:pPr>
        <w:autoSpaceDE w:val="0"/>
        <w:autoSpaceDN w:val="0"/>
        <w:adjustRightInd w:val="0"/>
        <w:spacing w:line="252" w:lineRule="auto"/>
        <w:jc w:val="center"/>
        <w:rPr>
          <w:rFonts w:ascii="Times New Roman" w:hAnsi="Times New Roman" w:cs="Times New Roman"/>
          <w:sz w:val="20"/>
          <w:szCs w:val="20"/>
        </w:rPr>
      </w:pPr>
      <w:r w:rsidRPr="00EE7F56">
        <w:rPr>
          <w:rFonts w:ascii="Times New Roman" w:hAnsi="Times New Roman" w:cs="Times New Roman"/>
          <w:noProof/>
        </w:rPr>
        <w:drawing>
          <wp:inline distT="0" distB="0" distL="0" distR="0" wp14:anchorId="51F1ED45" wp14:editId="492844A9">
            <wp:extent cx="2880026" cy="2108922"/>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t="9473"/>
                    <a:stretch>
                      <a:fillRect/>
                    </a:stretch>
                  </pic:blipFill>
                  <pic:spPr bwMode="auto">
                    <a:xfrm>
                      <a:off x="0" y="0"/>
                      <a:ext cx="2883455" cy="2111433"/>
                    </a:xfrm>
                    <a:prstGeom prst="rect">
                      <a:avLst/>
                    </a:prstGeom>
                    <a:noFill/>
                    <a:ln>
                      <a:noFill/>
                    </a:ln>
                  </pic:spPr>
                </pic:pic>
              </a:graphicData>
            </a:graphic>
          </wp:inline>
        </w:drawing>
      </w:r>
    </w:p>
    <w:p w14:paraId="50053B2C"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Profiles of natural leakage current and load current.</w:t>
      </w:r>
    </w:p>
    <w:p w14:paraId="73BBF0EE" w14:textId="77777777" w:rsidR="00870696" w:rsidRPr="00EE7F56" w:rsidRDefault="00870696" w:rsidP="00870696">
      <w:pPr>
        <w:pStyle w:val="H1ListSpace"/>
        <w:ind w:left="280" w:hanging="280"/>
        <w:rPr>
          <w:rFonts w:ascii="Times New Roman" w:hAnsi="Times New Roman"/>
          <w:color w:val="auto"/>
        </w:rPr>
      </w:pPr>
      <w:r w:rsidRPr="00EE7F56">
        <w:rPr>
          <w:rFonts w:ascii="Times New Roman" w:hAnsi="Times New Roman"/>
          <w:color w:val="auto"/>
        </w:rPr>
        <w:t>RESIDUAL CURRENT ANALYSIS OF WIRING FAULTS</w:t>
      </w:r>
    </w:p>
    <w:p w14:paraId="0C16D486" w14:textId="77777777" w:rsidR="00870696" w:rsidRPr="00EE7F56" w:rsidRDefault="00870696" w:rsidP="00870696">
      <w:pPr>
        <w:pStyle w:val="PARA"/>
        <w:ind w:firstLineChars="100" w:firstLine="196"/>
        <w:rPr>
          <w:rFonts w:cs="Times New Roman"/>
        </w:rPr>
      </w:pPr>
      <w:r w:rsidRPr="00EE7F56">
        <w:rPr>
          <w:rFonts w:cs="Times New Roman"/>
        </w:rPr>
        <w:t xml:space="preserve">The following analysis aims to investigate the relationship between the residual current and each user's load current under different wiring fault scenarios, taking into account the differences in users' phases. When a wiring fault occurs in LVDS, the residual current includes load current of abnormal user, will fluctuate significantly as the user's electricity usage behavior changes. Through the data collection capabilities of IoT meters with HPLC, it becomes feasible to record in detail the fluctuations of residual current and each user's load current during the fault, thereby distinguishing between normal and </w:t>
      </w:r>
      <w:r w:rsidRPr="00EE7F56">
        <w:rPr>
          <w:rFonts w:cs="Times New Roman"/>
        </w:rPr>
        <w:t>abnormal users. However, the phase to which each user in the LVDS belongs may vary. Moreover, the composition of the residual current differs under various wiring fault scenarios. The analysis is further differentiated between wiring fault of single-user and multi-user, taking into account the differences in users' phases. Using the case of a two-user wiring fault as an example, the composition of the residual current is analyzed separately for same-phase two-user wiring fault and different-phase two-user wiring fault.</w:t>
      </w:r>
    </w:p>
    <w:p w14:paraId="62E3C81C" w14:textId="77777777" w:rsidR="00870696" w:rsidRPr="00EE7F56" w:rsidRDefault="00870696" w:rsidP="00870696">
      <w:pPr>
        <w:pStyle w:val="af4"/>
        <w:numPr>
          <w:ilvl w:val="0"/>
          <w:numId w:val="10"/>
        </w:numPr>
        <w:ind w:firstLineChars="0"/>
        <w:rPr>
          <w:b/>
          <w:i/>
          <w:sz w:val="18"/>
          <w:szCs w:val="18"/>
        </w:rPr>
      </w:pPr>
      <w:r w:rsidRPr="00EE7F56">
        <w:rPr>
          <w:b/>
          <w:i/>
          <w:sz w:val="18"/>
          <w:szCs w:val="18"/>
        </w:rPr>
        <w:t xml:space="preserve">Single-user with Wiring Fault </w:t>
      </w:r>
    </w:p>
    <w:p w14:paraId="5780B330"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bookmarkStart w:id="13" w:name="_Hlk180423140"/>
      <w:r w:rsidRPr="00EE7F56">
        <w:rPr>
          <w:rFonts w:ascii="Times New Roman" w:hAnsi="Times New Roman" w:cs="Times New Roman"/>
          <w:sz w:val="20"/>
          <w:szCs w:val="20"/>
        </w:rPr>
        <w:t xml:space="preserve">In the scenario of single-user with wiring fault, the residual current of LVDS and load current of users are recorded every 15 minutes throughout a day based on the smart meter. </w:t>
      </w:r>
      <w:r w:rsidRPr="00EE7F56" w:rsidDel="00017D25">
        <w:rPr>
          <w:rFonts w:ascii="Times New Roman" w:hAnsi="Times New Roman" w:cs="Times New Roman"/>
          <w:sz w:val="20"/>
          <w:szCs w:val="20"/>
        </w:rPr>
        <w:t xml:space="preserve">The fluctuation of residual current and load current is shown in Fig. 2, where </w:t>
      </w:r>
      <w:r w:rsidRPr="00EE7F56">
        <w:rPr>
          <w:rFonts w:ascii="Times New Roman" w:hAnsi="Times New Roman" w:cs="Times New Roman"/>
          <w:sz w:val="20"/>
          <w:szCs w:val="20"/>
        </w:rPr>
        <w:t xml:space="preserve">horizontal </w:t>
      </w:r>
      <w:r w:rsidRPr="00EE7F56" w:rsidDel="00017D25">
        <w:rPr>
          <w:rFonts w:ascii="Times New Roman" w:hAnsi="Times New Roman" w:cs="Times New Roman"/>
          <w:sz w:val="20"/>
          <w:szCs w:val="20"/>
        </w:rPr>
        <w:t xml:space="preserve">axis denotes the time sequence of 96 metering points in a day, and </w:t>
      </w:r>
      <w:r w:rsidRPr="00EE7F56">
        <w:rPr>
          <w:rFonts w:ascii="Times New Roman" w:hAnsi="Times New Roman" w:cs="Times New Roman"/>
          <w:sz w:val="20"/>
          <w:szCs w:val="20"/>
        </w:rPr>
        <w:t xml:space="preserve">longitudinal </w:t>
      </w:r>
      <w:r w:rsidRPr="00EE7F56" w:rsidDel="00017D25">
        <w:rPr>
          <w:rFonts w:ascii="Times New Roman" w:hAnsi="Times New Roman" w:cs="Times New Roman"/>
          <w:sz w:val="20"/>
          <w:szCs w:val="20"/>
        </w:rPr>
        <w:t>axis on the left and right denotes the scale of load current and residual current</w:t>
      </w:r>
      <w:r w:rsidRPr="00EE7F56">
        <w:rPr>
          <w:rFonts w:ascii="Times New Roman" w:hAnsi="Times New Roman" w:cs="Times New Roman"/>
          <w:sz w:val="20"/>
          <w:szCs w:val="20"/>
        </w:rPr>
        <w:t>.</w:t>
      </w:r>
    </w:p>
    <w:p w14:paraId="7F670A2E"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In Fig. 3, it can be seen that the natural leakage current in the LVDS fluctuates below 70 mA. Since the LVDS has a slight natural residual current during normal operation, it can be assumed that there is no obvious earth fault and the residual current in the LVDS of distribution transformer can be expressed as:</w:t>
      </w:r>
    </w:p>
    <w:p w14:paraId="2EFE8D6F" w14:textId="77777777" w:rsidR="00870696" w:rsidRPr="00EE7F56" w:rsidRDefault="00870696" w:rsidP="00870696">
      <w:pPr>
        <w:tabs>
          <w:tab w:val="center" w:pos="2520"/>
          <w:tab w:val="right" w:pos="5040"/>
        </w:tabs>
        <w:ind w:right="998"/>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1440" w:dyaOrig="340" w14:anchorId="05690FEA">
          <v:shape id="_x0000_i1026" type="#_x0000_t75" style="width:1in;height:18.05pt" o:ole="">
            <v:imagedata r:id="rId13" o:title=""/>
          </v:shape>
          <o:OLEObject Type="Embed" ProgID="Equation.DSMT4" ShapeID="_x0000_i1026" DrawAspect="Content" ObjectID="_1793628018" r:id="rId14"/>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7684A593" w14:textId="77777777" w:rsidR="00870696" w:rsidRPr="00EE7F56" w:rsidRDefault="00870696" w:rsidP="00870696">
      <w:pPr>
        <w:spacing w:line="252" w:lineRule="auto"/>
        <w:rPr>
          <w:rFonts w:ascii="Times New Roman" w:hAnsi="Times New Roman" w:cs="Times New Roman"/>
          <w:sz w:val="20"/>
          <w:szCs w:val="20"/>
        </w:rPr>
      </w:pPr>
      <w:r w:rsidRPr="00EE7F56">
        <w:rPr>
          <w:rFonts w:ascii="Times New Roman" w:hAnsi="Times New Roman" w:cs="Times New Roman"/>
          <w:sz w:val="20"/>
          <w:szCs w:val="20"/>
        </w:rPr>
        <w:t xml:space="preserve">where </w:t>
      </w:r>
      <w:r w:rsidRPr="00EE7F56">
        <w:rPr>
          <w:rFonts w:ascii="Times New Roman" w:hAnsi="Times New Roman" w:cs="Times New Roman"/>
          <w:position w:val="-10"/>
          <w:sz w:val="20"/>
          <w:szCs w:val="20"/>
        </w:rPr>
        <w:object w:dxaOrig="600" w:dyaOrig="320" w14:anchorId="2A94425A">
          <v:shape id="_x0000_i1027" type="#_x0000_t75" style="width:30pt;height:18.05pt" o:ole="">
            <v:imagedata r:id="rId15" o:title=""/>
          </v:shape>
          <o:OLEObject Type="Embed" ProgID="Equation.DSMT4" ShapeID="_x0000_i1027" DrawAspect="Content" ObjectID="_1793628019" r:id="rId16"/>
        </w:object>
      </w:r>
      <w:r w:rsidRPr="00EE7F56">
        <w:rPr>
          <w:rFonts w:ascii="Times New Roman" w:hAnsi="Times New Roman" w:cs="Times New Roman"/>
          <w:sz w:val="20"/>
          <w:szCs w:val="20"/>
        </w:rPr>
        <w:t xml:space="preserve"> denotes residual current in the LVDS and </w:t>
      </w:r>
      <w:r w:rsidRPr="00EE7F56">
        <w:rPr>
          <w:rFonts w:ascii="Times New Roman" w:hAnsi="Times New Roman" w:cs="Times New Roman"/>
          <w:position w:val="-12"/>
          <w:sz w:val="20"/>
          <w:szCs w:val="20"/>
        </w:rPr>
        <w:object w:dxaOrig="740" w:dyaOrig="340" w14:anchorId="14C22EF8">
          <v:shape id="_x0000_i1028" type="#_x0000_t75" style="width:36.15pt;height:18.05pt" o:ole="">
            <v:imagedata r:id="rId17" o:title=""/>
          </v:shape>
          <o:OLEObject Type="Embed" ProgID="Equation.DSMT4" ShapeID="_x0000_i1028" DrawAspect="Content" ObjectID="_1793628020" r:id="rId18"/>
        </w:object>
      </w:r>
      <w:r w:rsidRPr="00EE7F56">
        <w:rPr>
          <w:rFonts w:ascii="Times New Roman" w:hAnsi="Times New Roman" w:cs="Times New Roman"/>
          <w:sz w:val="20"/>
          <w:szCs w:val="20"/>
        </w:rPr>
        <w:t xml:space="preserve"> denotes natural leakage current of the LVDS. </w:t>
      </w:r>
      <w:bookmarkStart w:id="14" w:name="_Hlk160550292"/>
      <w:bookmarkStart w:id="15" w:name="_Hlk160550669"/>
    </w:p>
    <w:bookmarkEnd w:id="14"/>
    <w:bookmarkEnd w:id="15"/>
    <w:p w14:paraId="59D0F8D4"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The first RCD is designed to respond to the anomaly residual current of the entire the LVDS and isolate earth fault with a typical residual current threshold of 300mA. As shown in Fig.3, the natural leakage current of the LVDS always fluctuate below the threshold of RCD.</w:t>
      </w:r>
    </w:p>
    <w:p w14:paraId="40E6C3BE" w14:textId="77777777" w:rsidR="00870696" w:rsidRPr="00EE7F56" w:rsidRDefault="00870696" w:rsidP="00870696">
      <w:pPr>
        <w:autoSpaceDE w:val="0"/>
        <w:autoSpaceDN w:val="0"/>
        <w:adjustRightInd w:val="0"/>
        <w:spacing w:line="252" w:lineRule="auto"/>
        <w:ind w:firstLineChars="100" w:firstLine="210"/>
        <w:jc w:val="center"/>
        <w:rPr>
          <w:rFonts w:ascii="Times New Roman" w:hAnsi="Times New Roman" w:cs="Times New Roman"/>
        </w:rPr>
      </w:pPr>
      <w:r w:rsidRPr="00EE7F56">
        <w:rPr>
          <w:rFonts w:ascii="Times New Roman" w:hAnsi="Times New Roman" w:cs="Times New Roman"/>
        </w:rPr>
        <w:object w:dxaOrig="13008" w:dyaOrig="7920" w14:anchorId="7890A360">
          <v:shape id="_x0000_i1029" type="#_x0000_t75" style="width:227.7pt;height:130.65pt" o:ole="">
            <v:imagedata r:id="rId19" o:title="" croptop="5425f" cropright="1719f"/>
          </v:shape>
          <o:OLEObject Type="Embed" ProgID="SigmaPlotGraphicObject.15" ShapeID="_x0000_i1029" DrawAspect="Content" ObjectID="_1793628021" r:id="rId20"/>
        </w:object>
      </w:r>
    </w:p>
    <w:p w14:paraId="6FF02AFC"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Profiles of the load current and anomaly residual current of the LVDS.</w:t>
      </w:r>
    </w:p>
    <w:p w14:paraId="6BADF304"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Different with the slight fluctuation of natural leakage current within a small scale, the load current of LV user will fluctuate greatly with the change of electricity usage. When the connection of neutral line and PE line of a user is reversed, the residual current of the LVDS is equal to the vector sum of the natural leakage current and the load current of the user with wiring fault, which can be expressed as </w:t>
      </w:r>
    </w:p>
    <w:p w14:paraId="0B50C8D5"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2400" w:dyaOrig="340" w14:anchorId="5FD89E6C">
          <v:shape id="_x0000_i1030" type="#_x0000_t75" style="width:119.8pt;height:18.05pt" o:ole="">
            <v:imagedata r:id="rId21" o:title=""/>
          </v:shape>
          <o:OLEObject Type="Embed" ProgID="Equation.DSMT4" ShapeID="_x0000_i1030" DrawAspect="Content" ObjectID="_1793628022" r:id="rId22"/>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2</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353547E8"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lastRenderedPageBreak/>
        <w:t xml:space="preserve">Where </w:t>
      </w:r>
      <w:r w:rsidRPr="00EE7F56">
        <w:rPr>
          <w:rFonts w:ascii="Times New Roman" w:hAnsi="Times New Roman" w:cs="Times New Roman"/>
          <w:position w:val="-12"/>
          <w:sz w:val="20"/>
          <w:szCs w:val="20"/>
        </w:rPr>
        <w:object w:dxaOrig="800" w:dyaOrig="340" w14:anchorId="14427B84">
          <v:shape id="_x0000_i1031" type="#_x0000_t75" style="width:42pt;height:18.05pt" o:ole="">
            <v:imagedata r:id="rId23" o:title=""/>
          </v:shape>
          <o:OLEObject Type="Embed" ProgID="Equation.DSMT4" ShapeID="_x0000_i1031" DrawAspect="Content" ObjectID="_1793628023" r:id="rId24"/>
        </w:object>
      </w:r>
      <w:r w:rsidRPr="00EE7F56">
        <w:rPr>
          <w:rFonts w:ascii="Times New Roman" w:hAnsi="Times New Roman" w:cs="Times New Roman"/>
          <w:sz w:val="20"/>
          <w:szCs w:val="20"/>
        </w:rPr>
        <w:t>represent the load current of the user with the wiring fault. Since the load current of the user is usually several amperes or tens and much larger than the natural leakage current, the residual current of the LVDS would increase sharply and leads to RCD tripping, when the neutral line and PE line of a user is reversed.</w:t>
      </w:r>
    </w:p>
    <w:bookmarkEnd w:id="13"/>
    <w:p w14:paraId="58144F6B" w14:textId="77777777" w:rsidR="00870696" w:rsidRPr="00EE7F56" w:rsidRDefault="00870696" w:rsidP="00870696">
      <w:pPr>
        <w:pStyle w:val="af4"/>
        <w:numPr>
          <w:ilvl w:val="0"/>
          <w:numId w:val="10"/>
        </w:numPr>
        <w:ind w:firstLineChars="0"/>
        <w:rPr>
          <w:b/>
          <w:i/>
          <w:sz w:val="18"/>
          <w:szCs w:val="18"/>
        </w:rPr>
      </w:pPr>
      <w:r w:rsidRPr="00EE7F56">
        <w:rPr>
          <w:b/>
          <w:i/>
          <w:sz w:val="18"/>
          <w:szCs w:val="18"/>
        </w:rPr>
        <w:t>Multiple-user with Wiring Fault</w:t>
      </w:r>
    </w:p>
    <w:p w14:paraId="1E37A84B"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sz w:val="20"/>
          <w:szCs w:val="20"/>
        </w:rPr>
        <w:t xml:space="preserve">In the LVDS, there may also exist a situation that the neutral line and the PE line of double users are reversed at the same time. Thus, it is necessary to analyze the wiring fault separately when the double users belong to the same or different phase, and then the residual current of the LVDS can be expressed by </w:t>
      </w:r>
    </w:p>
    <w:p w14:paraId="584018B7"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3000" w:dyaOrig="340" w14:anchorId="5589281B">
          <v:shape id="_x0000_i1032" type="#_x0000_t75" style="width:149.85pt;height:18.05pt" o:ole="">
            <v:imagedata r:id="rId25" o:title=""/>
          </v:shape>
          <o:OLEObject Type="Embed" ProgID="Equation.DSMT4" ShapeID="_x0000_i1032" DrawAspect="Content" ObjectID="_1793628024" r:id="rId26"/>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3</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2E010BA8" w14:textId="77777777" w:rsidR="00870696" w:rsidRPr="00EE7F56" w:rsidRDefault="00870696" w:rsidP="00870696">
      <w:pPr>
        <w:adjustRightInd w:val="0"/>
        <w:snapToGrid w:val="0"/>
        <w:rPr>
          <w:rFonts w:ascii="Times New Roman" w:hAnsi="Times New Roman" w:cs="Times New Roman"/>
          <w:sz w:val="20"/>
          <w:szCs w:val="20"/>
        </w:rPr>
      </w:pPr>
      <w:r w:rsidRPr="00EE7F56">
        <w:rPr>
          <w:rFonts w:ascii="Times New Roman" w:hAnsi="Times New Roman" w:cs="Times New Roman"/>
          <w:sz w:val="20"/>
          <w:szCs w:val="20"/>
        </w:rPr>
        <w:t xml:space="preserve">where </w:t>
      </w:r>
      <w:r w:rsidRPr="00EE7F56">
        <w:rPr>
          <w:rFonts w:ascii="Times New Roman" w:hAnsi="Times New Roman" w:cs="Times New Roman"/>
          <w:position w:val="-12"/>
          <w:sz w:val="20"/>
          <w:szCs w:val="20"/>
        </w:rPr>
        <w:object w:dxaOrig="639" w:dyaOrig="340" w14:anchorId="09D473A5">
          <v:shape id="_x0000_i1033" type="#_x0000_t75" style="width:30pt;height:18.05pt" o:ole="">
            <v:imagedata r:id="rId27" o:title=""/>
          </v:shape>
          <o:OLEObject Type="Embed" ProgID="Equation.DSMT4" ShapeID="_x0000_i1033" DrawAspect="Content" ObjectID="_1793628025" r:id="rId28"/>
        </w:object>
      </w:r>
      <w:r w:rsidRPr="00EE7F56">
        <w:rPr>
          <w:rFonts w:ascii="Times New Roman" w:hAnsi="Times New Roman" w:cs="Times New Roman"/>
          <w:sz w:val="20"/>
          <w:szCs w:val="20"/>
        </w:rPr>
        <w:t xml:space="preserve"> represent load current of user </w:t>
      </w:r>
      <w:r w:rsidRPr="00EE7F56">
        <w:rPr>
          <w:rFonts w:ascii="Times New Roman" w:hAnsi="Times New Roman" w:cs="Times New Roman"/>
          <w:i/>
          <w:sz w:val="20"/>
          <w:szCs w:val="20"/>
        </w:rPr>
        <w:t>m</w:t>
      </w:r>
      <w:r w:rsidRPr="00EE7F56">
        <w:rPr>
          <w:rFonts w:ascii="Times New Roman" w:hAnsi="Times New Roman" w:cs="Times New Roman"/>
          <w:sz w:val="20"/>
          <w:szCs w:val="20"/>
        </w:rPr>
        <w:t xml:space="preserve"> in phase </w:t>
      </w:r>
      <w:r w:rsidRPr="00EE7F56">
        <w:rPr>
          <w:rFonts w:ascii="Times New Roman" w:hAnsi="Times New Roman" w:cs="Times New Roman"/>
          <w:i/>
          <w:sz w:val="20"/>
          <w:szCs w:val="20"/>
        </w:rPr>
        <w:t>x</w:t>
      </w:r>
      <w:r w:rsidRPr="00EE7F56">
        <w:rPr>
          <w:rFonts w:ascii="Times New Roman" w:hAnsi="Times New Roman" w:cs="Times New Roman"/>
          <w:sz w:val="20"/>
          <w:szCs w:val="20"/>
        </w:rPr>
        <w:t xml:space="preserve">, and </w:t>
      </w:r>
      <w:r w:rsidRPr="00EE7F56">
        <w:rPr>
          <w:rFonts w:ascii="Times New Roman" w:hAnsi="Times New Roman" w:cs="Times New Roman"/>
          <w:position w:val="-12"/>
          <w:sz w:val="20"/>
          <w:szCs w:val="20"/>
        </w:rPr>
        <w:object w:dxaOrig="620" w:dyaOrig="340" w14:anchorId="366540A2">
          <v:shape id="_x0000_i1034" type="#_x0000_t75" style="width:30pt;height:18.05pt" o:ole="">
            <v:imagedata r:id="rId29" o:title=""/>
          </v:shape>
          <o:OLEObject Type="Embed" ProgID="Equation.DSMT4" ShapeID="_x0000_i1034" DrawAspect="Content" ObjectID="_1793628026" r:id="rId30"/>
        </w:object>
      </w:r>
      <w:r w:rsidRPr="00EE7F56" w:rsidDel="00C24D18">
        <w:rPr>
          <w:rFonts w:ascii="Times New Roman" w:hAnsi="Times New Roman" w:cs="Times New Roman"/>
          <w:sz w:val="20"/>
          <w:szCs w:val="20"/>
        </w:rPr>
        <w:t xml:space="preserve"> </w:t>
      </w:r>
      <w:r w:rsidRPr="00EE7F56">
        <w:rPr>
          <w:rFonts w:ascii="Times New Roman" w:hAnsi="Times New Roman" w:cs="Times New Roman"/>
          <w:sz w:val="20"/>
          <w:szCs w:val="20"/>
        </w:rPr>
        <w:t xml:space="preserve">represent load current of user </w:t>
      </w:r>
      <w:r w:rsidRPr="00EE7F56">
        <w:rPr>
          <w:rFonts w:ascii="Times New Roman" w:hAnsi="Times New Roman" w:cs="Times New Roman"/>
          <w:i/>
          <w:sz w:val="20"/>
          <w:szCs w:val="20"/>
        </w:rPr>
        <w:t>n</w:t>
      </w:r>
      <w:r w:rsidRPr="00EE7F56">
        <w:rPr>
          <w:rFonts w:ascii="Times New Roman" w:hAnsi="Times New Roman" w:cs="Times New Roman"/>
          <w:sz w:val="20"/>
          <w:szCs w:val="20"/>
        </w:rPr>
        <w:t xml:space="preserve"> in phase </w:t>
      </w:r>
      <w:r w:rsidRPr="00EE7F56">
        <w:rPr>
          <w:rFonts w:ascii="Times New Roman" w:hAnsi="Times New Roman" w:cs="Times New Roman"/>
          <w:i/>
          <w:sz w:val="20"/>
          <w:szCs w:val="20"/>
        </w:rPr>
        <w:t>y</w:t>
      </w:r>
      <w:r w:rsidRPr="00EE7F56">
        <w:rPr>
          <w:rFonts w:ascii="Times New Roman" w:hAnsi="Times New Roman" w:cs="Times New Roman"/>
          <w:sz w:val="20"/>
          <w:szCs w:val="20"/>
        </w:rPr>
        <w:t>.</w:t>
      </w:r>
    </w:p>
    <w:p w14:paraId="79290A70"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When there are two users with wiring fault in the LVDS, if both users operate in the same phase, it can be approximately considered that there is no phase angle difference between the load current of the two users, and the residual current of the LVDS is also equal to the arithmetic sum of the load current of the two users. When the two users operate in different phases, the phase angle difference of their load current is approximately 120°, and the residual current is equal to the vector sum of the load current of two users at that time. Fig. 4 illustrates the residual current curves of the LVDS in the two situations described above, along with the load current curves of the two users responsible for the abnormal magnitude change in the residual current.</w:t>
      </w:r>
    </w:p>
    <w:p w14:paraId="368265CC"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eastAsia="宋体" w:hAnsi="Times New Roman" w:cs="Times New Roman"/>
          <w:sz w:val="20"/>
          <w:szCs w:val="20"/>
        </w:rPr>
        <w:t xml:space="preserve">As we can see, the residual current curve of the LVDS in both cases have drastic magnitude fluctuation for the electrical behavior of wiring fault users. However, there is still a clear </w:t>
      </w:r>
      <w:r w:rsidRPr="00EE7F56">
        <w:rPr>
          <w:rFonts w:ascii="Times New Roman" w:hAnsi="Times New Roman" w:cs="Times New Roman"/>
          <w:sz w:val="20"/>
          <w:szCs w:val="20"/>
        </w:rPr>
        <w:t>similarity</w:t>
      </w:r>
      <w:r w:rsidRPr="00EE7F56">
        <w:rPr>
          <w:rFonts w:ascii="Times New Roman" w:eastAsia="宋体" w:hAnsi="Times New Roman" w:cs="Times New Roman"/>
          <w:sz w:val="20"/>
          <w:szCs w:val="20"/>
        </w:rPr>
        <w:t xml:space="preserve"> with the user load current in curve shapes such as peaks and valleys. The scenario of double users with wiring fault is more complex and it will bring greater challenges to the location of the leakage fault in the LVDS.</w:t>
      </w:r>
    </w:p>
    <w:p w14:paraId="4388075F" w14:textId="77777777" w:rsidR="00870696" w:rsidRPr="00EE7F56" w:rsidRDefault="00870696" w:rsidP="00870696">
      <w:pPr>
        <w:spacing w:line="252" w:lineRule="auto"/>
        <w:ind w:firstLineChars="100" w:firstLine="200"/>
        <w:rPr>
          <w:rFonts w:ascii="Times New Roman" w:eastAsia="宋体" w:hAnsi="Times New Roman" w:cs="Times New Roman"/>
          <w:sz w:val="20"/>
          <w:szCs w:val="20"/>
        </w:rPr>
      </w:pPr>
      <w:r w:rsidRPr="00EE7F56">
        <w:rPr>
          <w:rFonts w:ascii="Times New Roman" w:eastAsia="宋体" w:hAnsi="Times New Roman" w:cs="Times New Roman"/>
          <w:sz w:val="20"/>
          <w:szCs w:val="20"/>
        </w:rPr>
        <w:t>In summary, the leakage current of the LVDS have close relationship with the load current of anomaly user when there are wiring faults in the LVDS. Based on this characteristic, the anomaly user that cause excessive residual current can be accurately located, which will ensure the normal operation of the selective protection of the RCD and the electrical safety of users.</w:t>
      </w:r>
    </w:p>
    <w:p w14:paraId="548F8D32" w14:textId="77777777" w:rsidR="00870696" w:rsidRPr="00EE7F56" w:rsidRDefault="00870696" w:rsidP="00870696">
      <w:pPr>
        <w:pStyle w:val="H1ListSpace"/>
        <w:ind w:left="280" w:hanging="280"/>
        <w:rPr>
          <w:rFonts w:ascii="Times New Roman" w:hAnsi="Times New Roman"/>
          <w:color w:val="auto"/>
        </w:rPr>
      </w:pPr>
      <w:r w:rsidRPr="00EE7F56">
        <w:rPr>
          <w:rFonts w:ascii="Times New Roman" w:hAnsi="Times New Roman"/>
          <w:color w:val="auto"/>
        </w:rPr>
        <w:t xml:space="preserve">MLR based Earth Fault Location in LVDS </w:t>
      </w:r>
    </w:p>
    <w:p w14:paraId="22288E28" w14:textId="77777777" w:rsidR="00870696" w:rsidRPr="00EE7F56" w:rsidRDefault="00870696" w:rsidP="00870696">
      <w:pPr>
        <w:rPr>
          <w:rFonts w:ascii="Times New Roman" w:hAnsi="Times New Roman" w:cs="Times New Roman"/>
          <w:b/>
          <w:bCs/>
          <w:i/>
          <w:iCs/>
          <w:sz w:val="18"/>
          <w:szCs w:val="18"/>
          <w:lang w:val="x-none"/>
        </w:rPr>
      </w:pPr>
      <w:r w:rsidRPr="00EE7F56">
        <w:rPr>
          <w:rFonts w:ascii="Times New Roman" w:hAnsi="Times New Roman" w:cs="Times New Roman"/>
          <w:b/>
          <w:bCs/>
          <w:i/>
          <w:iCs/>
          <w:sz w:val="18"/>
          <w:szCs w:val="18"/>
          <w:lang w:val="x-none"/>
        </w:rPr>
        <w:t>A. Multiple Linear Regression</w:t>
      </w:r>
    </w:p>
    <w:p w14:paraId="08E269F4"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In the LVDS, each user has the same potential of wiring fault and will cause excess residual current. In order to identify and locate anomaly user, it is necessary to quantitatively determine the contribution of load current of each user to the residual current in the LVDS. The MLR is a statistical method to estimate the relationship between </w:t>
      </w:r>
      <w:r w:rsidRPr="00EE7F56">
        <w:rPr>
          <w:rFonts w:ascii="Times New Roman" w:hAnsi="Times New Roman" w:cs="Times New Roman"/>
          <w:sz w:val="20"/>
          <w:szCs w:val="20"/>
        </w:rPr>
        <w:t xml:space="preserve">multiple independent variables and dependent variables [23-25]. Since the residual current of the LVDS varies simultaneously with the load current of wiring fault user, its relevance can be analyzed by constructing MLR model based on the time sequence of the load current of users and the residual current in the LVDS and used it to identify anomaly users. The composition of residual current of the LVDS with </w:t>
      </w:r>
      <w:r w:rsidRPr="00EE7F56">
        <w:rPr>
          <w:rFonts w:ascii="Times New Roman" w:hAnsi="Times New Roman" w:cs="Times New Roman"/>
          <w:i/>
          <w:iCs/>
          <w:sz w:val="20"/>
          <w:szCs w:val="20"/>
        </w:rPr>
        <w:t>N</w:t>
      </w:r>
      <w:r w:rsidRPr="00EE7F56">
        <w:rPr>
          <w:rFonts w:ascii="Times New Roman" w:hAnsi="Times New Roman" w:cs="Times New Roman"/>
          <w:sz w:val="20"/>
          <w:szCs w:val="20"/>
        </w:rPr>
        <w:t xml:space="preserve"> users can be expressed as </w:t>
      </w:r>
    </w:p>
    <w:p w14:paraId="71076BD0"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0"/>
          <w:sz w:val="20"/>
          <w:szCs w:val="20"/>
        </w:rPr>
        <w:object w:dxaOrig="3140" w:dyaOrig="300" w14:anchorId="656D4976">
          <v:shape id="_x0000_i1035" type="#_x0000_t75" style="width:156.5pt;height:18.05pt" o:ole="">
            <v:imagedata r:id="rId31" o:title=""/>
          </v:shape>
          <o:OLEObject Type="Embed" ProgID="Equation.DSMT4" ShapeID="_x0000_i1035" DrawAspect="Content" ObjectID="_1793628027" r:id="rId32"/>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4</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44BFF0EA"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Where the dependent variable </w:t>
      </w:r>
      <w:r w:rsidRPr="00EE7F56">
        <w:rPr>
          <w:rFonts w:ascii="Times New Roman" w:hAnsi="Times New Roman" w:cs="Times New Roman"/>
          <w:i/>
          <w:sz w:val="20"/>
          <w:szCs w:val="20"/>
        </w:rPr>
        <w:t>Y</w:t>
      </w:r>
      <w:r w:rsidRPr="00EE7F56">
        <w:rPr>
          <w:rFonts w:ascii="Times New Roman" w:hAnsi="Times New Roman" w:cs="Times New Roman"/>
          <w:sz w:val="20"/>
          <w:szCs w:val="20"/>
        </w:rPr>
        <w:t xml:space="preserve"> denotes the residual current flowing into the primary distribution board of the associated distribution transformer; the independent variable </w:t>
      </w:r>
      <w:r w:rsidRPr="00EE7F56">
        <w:rPr>
          <w:rFonts w:ascii="Times New Roman" w:hAnsi="Times New Roman" w:cs="Times New Roman"/>
          <w:i/>
          <w:iCs/>
          <w:sz w:val="20"/>
          <w:szCs w:val="20"/>
        </w:rPr>
        <w:t>X</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X</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 </w:t>
      </w:r>
      <w:r w:rsidRPr="00EE7F56">
        <w:rPr>
          <w:rFonts w:ascii="Times New Roman" w:hAnsi="Times New Roman" w:cs="Times New Roman"/>
          <w:i/>
          <w:iCs/>
          <w:sz w:val="20"/>
          <w:szCs w:val="20"/>
        </w:rPr>
        <w:t>X</w:t>
      </w:r>
      <w:r w:rsidRPr="00EE7F56">
        <w:rPr>
          <w:rFonts w:ascii="Times New Roman" w:hAnsi="Times New Roman" w:cs="Times New Roman"/>
          <w:sz w:val="20"/>
          <w:szCs w:val="20"/>
          <w:vertAlign w:val="subscript"/>
        </w:rPr>
        <w:t>N</w:t>
      </w:r>
      <w:r w:rsidRPr="00EE7F56">
        <w:rPr>
          <w:rFonts w:ascii="Times New Roman" w:hAnsi="Times New Roman" w:cs="Times New Roman"/>
          <w:sz w:val="20"/>
          <w:szCs w:val="20"/>
        </w:rPr>
        <w:t xml:space="preserve"> denote the load current of the associated users in the same LVDS;</w:t>
      </w:r>
      <w:r w:rsidRPr="00EE7F56">
        <w:rPr>
          <w:rFonts w:ascii="Times New Roman" w:hAnsi="Times New Roman" w:cs="Times New Roman"/>
          <w:i/>
          <w:sz w:val="20"/>
          <w:szCs w:val="20"/>
        </w:rPr>
        <w:t xml:space="preserve">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w:t>
      </w:r>
      <w:r w:rsidRPr="00EE7F56">
        <w:rPr>
          <w:rFonts w:ascii="Times New Roman" w:hAnsi="Times New Roman" w:cs="Times New Roman"/>
          <w:i/>
          <w:sz w:val="20"/>
          <w:szCs w:val="20"/>
        </w:rPr>
        <w:t xml:space="preserve">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n</w:t>
      </w:r>
      <w:r w:rsidRPr="00EE7F56">
        <w:rPr>
          <w:rFonts w:ascii="Times New Roman" w:hAnsi="Times New Roman" w:cs="Times New Roman"/>
          <w:sz w:val="20"/>
          <w:szCs w:val="20"/>
        </w:rPr>
        <w:t xml:space="preserve"> denote regression coefficients;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0</w:t>
      </w:r>
      <w:r w:rsidRPr="00EE7F56">
        <w:rPr>
          <w:rFonts w:ascii="Times New Roman" w:hAnsi="Times New Roman" w:cs="Times New Roman"/>
          <w:sz w:val="20"/>
          <w:szCs w:val="20"/>
        </w:rPr>
        <w:t xml:space="preserve"> denotes regression constant; and </w:t>
      </w:r>
      <w:r w:rsidRPr="00EE7F56">
        <w:rPr>
          <w:rFonts w:ascii="Times New Roman" w:hAnsi="Times New Roman" w:cs="Times New Roman"/>
          <w:i/>
          <w:sz w:val="20"/>
          <w:szCs w:val="20"/>
        </w:rPr>
        <w:sym w:font="Symbol" w:char="F065"/>
      </w:r>
      <w:r w:rsidRPr="00EE7F56">
        <w:rPr>
          <w:rFonts w:ascii="Times New Roman" w:hAnsi="Times New Roman" w:cs="Times New Roman"/>
          <w:sz w:val="20"/>
          <w:szCs w:val="20"/>
        </w:rPr>
        <w:t xml:space="preserve"> denotes random error caused by objective factors. Regression coefficients can be estimated by solving the linear equations of the </w:t>
      </w:r>
      <w:r w:rsidRPr="00EE7F56">
        <w:rPr>
          <w:rFonts w:ascii="Times New Roman" w:hAnsi="Times New Roman" w:cs="Times New Roman"/>
          <w:i/>
          <w:iCs/>
          <w:sz w:val="20"/>
          <w:szCs w:val="20"/>
        </w:rPr>
        <w:t>N</w:t>
      </w:r>
      <w:r w:rsidRPr="00EE7F56">
        <w:rPr>
          <w:rFonts w:ascii="Times New Roman" w:hAnsi="Times New Roman" w:cs="Times New Roman"/>
          <w:sz w:val="20"/>
          <w:szCs w:val="20"/>
        </w:rPr>
        <w:t xml:space="preserve"> equations. Therefore, </w:t>
      </w:r>
      <w:r w:rsidRPr="00EE7F56">
        <w:rPr>
          <w:rFonts w:ascii="Times New Roman" w:hAnsi="Times New Roman" w:cs="Times New Roman"/>
          <w:i/>
          <w:iCs/>
          <w:sz w:val="20"/>
          <w:szCs w:val="20"/>
        </w:rPr>
        <w:t>T</w:t>
      </w:r>
      <w:r w:rsidRPr="00EE7F56">
        <w:rPr>
          <w:rFonts w:ascii="Times New Roman" w:hAnsi="Times New Roman" w:cs="Times New Roman"/>
          <w:sz w:val="20"/>
          <w:szCs w:val="20"/>
        </w:rPr>
        <w:t xml:space="preserve"> groups of observation data </w:t>
      </w:r>
      <w:bookmarkStart w:id="16" w:name="_Hlk107687018"/>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i,1</w:t>
      </w:r>
      <w:r w:rsidRPr="00EE7F56">
        <w:rPr>
          <w:rFonts w:ascii="Times New Roman" w:hAnsi="Times New Roman" w:cs="Times New Roman"/>
          <w:i/>
          <w:iCs/>
          <w:sz w:val="20"/>
          <w:szCs w:val="20"/>
        </w:rPr>
        <w:t>, x</w:t>
      </w:r>
      <w:r w:rsidRPr="00EE7F56">
        <w:rPr>
          <w:rFonts w:ascii="Times New Roman" w:hAnsi="Times New Roman" w:cs="Times New Roman"/>
          <w:i/>
          <w:iCs/>
          <w:sz w:val="20"/>
          <w:szCs w:val="20"/>
          <w:vertAlign w:val="subscript"/>
        </w:rPr>
        <w:t>i,2</w:t>
      </w:r>
      <w:r w:rsidRPr="00EE7F56">
        <w:rPr>
          <w:rFonts w:ascii="Times New Roman" w:hAnsi="Times New Roman" w:cs="Times New Roman"/>
          <w:i/>
          <w:iCs/>
          <w:sz w:val="20"/>
          <w:szCs w:val="20"/>
        </w:rPr>
        <w:t xml:space="preserve">, …, </w:t>
      </w:r>
      <w:proofErr w:type="gramStart"/>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i,n</w:t>
      </w:r>
      <w:proofErr w:type="gramEnd"/>
      <w:r w:rsidRPr="00EE7F56">
        <w:rPr>
          <w:rFonts w:ascii="Times New Roman" w:hAnsi="Times New Roman" w:cs="Times New Roman"/>
          <w:i/>
          <w:iCs/>
          <w:sz w:val="20"/>
          <w:szCs w:val="20"/>
        </w:rPr>
        <w:t>, y</w:t>
      </w:r>
      <w:r w:rsidRPr="00EE7F56">
        <w:rPr>
          <w:rFonts w:ascii="Times New Roman" w:hAnsi="Times New Roman" w:cs="Times New Roman"/>
          <w:i/>
          <w:iCs/>
          <w:sz w:val="20"/>
          <w:szCs w:val="20"/>
          <w:vertAlign w:val="subscript"/>
        </w:rPr>
        <w:t>i</w:t>
      </w:r>
      <w:r w:rsidRPr="00EE7F56">
        <w:rPr>
          <w:rFonts w:ascii="Times New Roman" w:hAnsi="Times New Roman" w:cs="Times New Roman"/>
          <w:i/>
          <w:iCs/>
          <w:sz w:val="20"/>
          <w:szCs w:val="20"/>
        </w:rPr>
        <w:t xml:space="preserve"> </w:t>
      </w:r>
      <w:r w:rsidRPr="00EE7F56">
        <w:rPr>
          <w:rFonts w:ascii="Times New Roman" w:hAnsi="Times New Roman" w:cs="Times New Roman"/>
          <w:sz w:val="20"/>
          <w:szCs w:val="20"/>
        </w:rPr>
        <w:t>(</w:t>
      </w:r>
      <w:r w:rsidRPr="00EE7F56">
        <w:rPr>
          <w:rFonts w:ascii="Times New Roman" w:hAnsi="Times New Roman" w:cs="Times New Roman"/>
          <w:i/>
          <w:iCs/>
          <w:sz w:val="20"/>
          <w:szCs w:val="20"/>
        </w:rPr>
        <w:t>i=1, 2, …, T, T≥n</w:t>
      </w:r>
      <w:r w:rsidRPr="00EE7F56">
        <w:rPr>
          <w:rFonts w:ascii="Times New Roman" w:hAnsi="Times New Roman" w:cs="Times New Roman"/>
          <w:sz w:val="20"/>
          <w:szCs w:val="20"/>
        </w:rPr>
        <w:t xml:space="preserve">) </w:t>
      </w:r>
      <w:bookmarkEnd w:id="16"/>
      <w:r w:rsidRPr="00EE7F56">
        <w:rPr>
          <w:rFonts w:ascii="Times New Roman" w:hAnsi="Times New Roman" w:cs="Times New Roman"/>
          <w:sz w:val="20"/>
          <w:szCs w:val="20"/>
        </w:rPr>
        <w:t xml:space="preserve">obtained from metering devices is used to establish linear equations. The linear regression model can be expressed as </w:t>
      </w:r>
    </w:p>
    <w:p w14:paraId="128A1FA5"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60"/>
          <w:sz w:val="20"/>
          <w:szCs w:val="20"/>
        </w:rPr>
        <w:object w:dxaOrig="3739" w:dyaOrig="1300" w14:anchorId="2CA82011">
          <v:shape id="_x0000_i1036" type="#_x0000_t75" style="width:186pt;height:66.15pt" o:ole="">
            <v:imagedata r:id="rId33" o:title=""/>
          </v:shape>
          <o:OLEObject Type="Embed" ProgID="Equation.DSMT4" ShapeID="_x0000_i1036" DrawAspect="Content" ObjectID="_1793628028" r:id="rId34"/>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5</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57ECC03A" w14:textId="77777777" w:rsidR="00870696" w:rsidRPr="00EE7F56" w:rsidRDefault="00870696" w:rsidP="00870696">
      <w:pPr>
        <w:ind w:firstLineChars="100" w:firstLine="200"/>
        <w:rPr>
          <w:rFonts w:ascii="Times New Roman" w:hAnsi="Times New Roman" w:cs="Times New Roman"/>
          <w:sz w:val="20"/>
          <w:szCs w:val="20"/>
        </w:rPr>
      </w:pPr>
      <w:r w:rsidRPr="00EE7F56">
        <w:rPr>
          <w:rFonts w:ascii="Times New Roman" w:hAnsi="Times New Roman" w:cs="Times New Roman"/>
          <w:sz w:val="20"/>
          <w:szCs w:val="20"/>
        </w:rPr>
        <w:t>The above Eq. (5) can be written as</w:t>
      </w:r>
    </w:p>
    <w:p w14:paraId="30974F42"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58"/>
          <w:sz w:val="20"/>
          <w:szCs w:val="20"/>
        </w:rPr>
        <w:object w:dxaOrig="3820" w:dyaOrig="1260" w14:anchorId="48E2EABE">
          <v:shape id="_x0000_i1037" type="#_x0000_t75" style="width:192.1pt;height:66.15pt" o:ole="">
            <v:imagedata r:id="rId35" o:title=""/>
          </v:shape>
          <o:OLEObject Type="Embed" ProgID="Equation.DSMT4" ShapeID="_x0000_i1037" DrawAspect="Content" ObjectID="_1793628029" r:id="rId36"/>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6</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37C856D1"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Substituting </w:t>
      </w:r>
      <w:r w:rsidRPr="00EE7F56">
        <w:rPr>
          <w:rFonts w:ascii="Times New Roman" w:hAnsi="Times New Roman" w:cs="Times New Roman"/>
          <w:i/>
          <w:iCs/>
          <w:sz w:val="20"/>
          <w:szCs w:val="20"/>
        </w:rPr>
        <w:t>T</w:t>
      </w:r>
      <w:r w:rsidRPr="00EE7F56">
        <w:rPr>
          <w:rFonts w:ascii="Times New Roman" w:hAnsi="Times New Roman" w:cs="Times New Roman"/>
          <w:sz w:val="20"/>
          <w:szCs w:val="20"/>
        </w:rPr>
        <w:t xml:space="preserve"> groups of metered data of load current and residual current into Eq. (6), the linear equations can be solved to calculate the estimated parameters of regression coefficients</w:t>
      </w:r>
      <w:r w:rsidRPr="00EE7F56">
        <w:rPr>
          <w:rFonts w:ascii="Times New Roman" w:hAnsi="Times New Roman" w:cs="Times New Roman"/>
          <w:position w:val="-10"/>
          <w:sz w:val="20"/>
          <w:szCs w:val="20"/>
        </w:rPr>
        <w:object w:dxaOrig="1120" w:dyaOrig="340" w14:anchorId="44544833">
          <v:shape id="_x0000_i1038" type="#_x0000_t75" style="width:53.95pt;height:18.05pt" o:ole="">
            <v:imagedata r:id="rId37" o:title=""/>
          </v:shape>
          <o:OLEObject Type="Embed" ProgID="Equation.DSMT4" ShapeID="_x0000_i1038" DrawAspect="Content" ObjectID="_1793628030" r:id="rId38"/>
        </w:object>
      </w:r>
      <w:r w:rsidRPr="00EE7F56">
        <w:rPr>
          <w:rFonts w:ascii="Times New Roman" w:hAnsi="Times New Roman" w:cs="Times New Roman"/>
          <w:sz w:val="20"/>
          <w:szCs w:val="20"/>
        </w:rPr>
        <w:t>. Then the estimated linear regression model can be expressed as</w:t>
      </w:r>
    </w:p>
    <w:p w14:paraId="1BB7607A"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2400" w:dyaOrig="360" w14:anchorId="7062A9CF">
          <v:shape id="_x0000_i1039" type="#_x0000_t75" style="width:119.8pt;height:18.05pt" o:ole="">
            <v:imagedata r:id="rId39" o:title=""/>
          </v:shape>
          <o:OLEObject Type="Embed" ProgID="Equation.DSMT4" ShapeID="_x0000_i1039" DrawAspect="Content" ObjectID="_1793628031" r:id="rId40"/>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7</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64FCE5E9"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Where </w:t>
      </w:r>
      <w:r w:rsidRPr="00EE7F56">
        <w:rPr>
          <w:rFonts w:ascii="Times New Roman" w:hAnsi="Times New Roman" w:cs="Times New Roman"/>
          <w:position w:val="-10"/>
          <w:sz w:val="20"/>
          <w:szCs w:val="20"/>
        </w:rPr>
        <w:object w:dxaOrig="279" w:dyaOrig="360" w14:anchorId="14196FE0">
          <v:shape id="_x0000_i1040" type="#_x0000_t75" style="width:11.7pt;height:18.05pt" o:ole="">
            <v:imagedata r:id="rId41" o:title=""/>
          </v:shape>
          <o:OLEObject Type="Embed" ProgID="Equation.DSMT4" ShapeID="_x0000_i1040" DrawAspect="Content" ObjectID="_1793628032" r:id="rId42"/>
        </w:object>
      </w:r>
      <w:r w:rsidRPr="00EE7F56">
        <w:rPr>
          <w:rFonts w:ascii="Times New Roman" w:hAnsi="Times New Roman" w:cs="Times New Roman"/>
          <w:sz w:val="20"/>
          <w:szCs w:val="20"/>
        </w:rPr>
        <w:t xml:space="preserve"> denotes the estimation of the observed value </w:t>
      </w:r>
      <w:r w:rsidRPr="00EE7F56">
        <w:rPr>
          <w:rFonts w:ascii="Times New Roman" w:hAnsi="Times New Roman" w:cs="Times New Roman"/>
          <w:position w:val="-12"/>
          <w:sz w:val="20"/>
          <w:szCs w:val="20"/>
        </w:rPr>
        <w:object w:dxaOrig="240" w:dyaOrig="320" w14:anchorId="2EE599A6">
          <v:shape id="_x0000_i1041" type="#_x0000_t75" style="width:11.95pt;height:18.05pt" o:ole="">
            <v:imagedata r:id="rId43" o:title=""/>
          </v:shape>
          <o:OLEObject Type="Embed" ProgID="Equation.DSMT4" ShapeID="_x0000_i1041" DrawAspect="Content" ObjectID="_1793628033" r:id="rId44"/>
        </w:objec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j</w:t>
      </w:r>
      <w:r w:rsidRPr="00EE7F56">
        <w:rPr>
          <w:rFonts w:ascii="Times New Roman" w:hAnsi="Times New Roman" w:cs="Times New Roman"/>
          <w:sz w:val="20"/>
          <w:szCs w:val="20"/>
        </w:rPr>
        <w:t xml:space="preserve"> means at time </w:t>
      </w:r>
      <w:r w:rsidRPr="00EE7F56">
        <w:rPr>
          <w:rFonts w:ascii="Times New Roman" w:hAnsi="Times New Roman" w:cs="Times New Roman"/>
          <w:i/>
          <w:iCs/>
          <w:sz w:val="20"/>
          <w:szCs w:val="20"/>
        </w:rPr>
        <w:t>j</w:t>
      </w:r>
      <w:r w:rsidRPr="00EE7F56">
        <w:rPr>
          <w:rFonts w:ascii="Times New Roman" w:hAnsi="Times New Roman" w:cs="Times New Roman"/>
          <w:sz w:val="20"/>
          <w:szCs w:val="20"/>
        </w:rPr>
        <w:t xml:space="preserve">. Taking the result into a condition, and the </w:t>
      </w:r>
      <w:r w:rsidRPr="00EE7F56">
        <w:rPr>
          <w:rFonts w:ascii="Times New Roman" w:hAnsi="Times New Roman" w:cs="Times New Roman"/>
          <w:i/>
          <w:iCs/>
          <w:sz w:val="20"/>
          <w:szCs w:val="20"/>
        </w:rPr>
        <w:t>SSE</w:t>
      </w:r>
      <w:r w:rsidRPr="00EE7F56">
        <w:rPr>
          <w:rFonts w:ascii="Times New Roman" w:hAnsi="Times New Roman" w:cs="Times New Roman"/>
          <w:sz w:val="20"/>
          <w:szCs w:val="20"/>
        </w:rPr>
        <w:t xml:space="preserve"> can be calculated by</w:t>
      </w:r>
    </w:p>
    <w:p w14:paraId="550D0152"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position w:val="-26"/>
          <w:sz w:val="20"/>
          <w:szCs w:val="20"/>
        </w:rPr>
        <w:object w:dxaOrig="4520" w:dyaOrig="620" w14:anchorId="394454C4">
          <v:shape id="_x0000_i1042" type="#_x0000_t75" style="width:214.05pt;height:27.8pt" o:ole="">
            <v:imagedata r:id="rId45" o:title=""/>
          </v:shape>
          <o:OLEObject Type="Embed" ProgID="Equation.DSMT4" ShapeID="_x0000_i1042" DrawAspect="Content" ObjectID="_1793628034" r:id="rId46"/>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8</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6EF89348"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Where </w:t>
      </w:r>
      <w:r w:rsidRPr="00EE7F56">
        <w:rPr>
          <w:rFonts w:ascii="Times New Roman" w:hAnsi="Times New Roman" w:cs="Times New Roman"/>
          <w:i/>
          <w:iCs/>
          <w:sz w:val="20"/>
          <w:szCs w:val="20"/>
        </w:rPr>
        <w:t>SSE</w:t>
      </w:r>
      <w:r w:rsidRPr="00EE7F56">
        <w:rPr>
          <w:rFonts w:ascii="Times New Roman" w:hAnsi="Times New Roman" w:cs="Times New Roman"/>
          <w:sz w:val="20"/>
          <w:szCs w:val="20"/>
        </w:rPr>
        <w:t xml:space="preserve"> denotes the residual sum of squares between the sample value and the estimated value of </w:t>
      </w:r>
      <w:r w:rsidRPr="00EE7F56">
        <w:rPr>
          <w:rFonts w:ascii="Times New Roman" w:hAnsi="Times New Roman" w:cs="Times New Roman"/>
          <w:i/>
          <w:iCs/>
          <w:sz w:val="20"/>
          <w:szCs w:val="20"/>
        </w:rPr>
        <w:t>Y</w:t>
      </w:r>
      <w:r w:rsidRPr="00EE7F56">
        <w:rPr>
          <w:rFonts w:ascii="Times New Roman" w:hAnsi="Times New Roman" w:cs="Times New Roman"/>
          <w:sz w:val="20"/>
          <w:szCs w:val="20"/>
        </w:rPr>
        <w:t xml:space="preserve">. According to the least </w:t>
      </w:r>
      <w:proofErr w:type="gramStart"/>
      <w:r w:rsidRPr="00EE7F56">
        <w:rPr>
          <w:rFonts w:ascii="Times New Roman" w:hAnsi="Times New Roman" w:cs="Times New Roman"/>
          <w:sz w:val="20"/>
          <w:szCs w:val="20"/>
        </w:rPr>
        <w:t>squares</w:t>
      </w:r>
      <w:proofErr w:type="gramEnd"/>
      <w:r w:rsidRPr="00EE7F56">
        <w:rPr>
          <w:rFonts w:ascii="Times New Roman" w:hAnsi="Times New Roman" w:cs="Times New Roman"/>
          <w:sz w:val="20"/>
          <w:szCs w:val="20"/>
        </w:rPr>
        <w:t xml:space="preserve"> estimation, </w:t>
      </w:r>
      <w:r w:rsidRPr="00EE7F56">
        <w:rPr>
          <w:rFonts w:ascii="Times New Roman" w:hAnsi="Times New Roman" w:cs="Times New Roman"/>
          <w:position w:val="-10"/>
          <w:sz w:val="20"/>
          <w:szCs w:val="20"/>
        </w:rPr>
        <w:object w:dxaOrig="1080" w:dyaOrig="340" w14:anchorId="0D74A66B">
          <v:shape id="_x0000_i1043" type="#_x0000_t75" style="width:53.95pt;height:18.05pt" o:ole="">
            <v:imagedata r:id="rId47" o:title=""/>
          </v:shape>
          <o:OLEObject Type="Embed" ProgID="Equation.DSMT4" ShapeID="_x0000_i1043" DrawAspect="Content" ObjectID="_1793628035" r:id="rId48"/>
        </w:object>
      </w:r>
      <w:r w:rsidRPr="00EE7F56">
        <w:rPr>
          <w:rFonts w:ascii="Times New Roman" w:hAnsi="Times New Roman" w:cs="Times New Roman"/>
          <w:sz w:val="20"/>
          <w:szCs w:val="20"/>
        </w:rPr>
        <w:t xml:space="preserve"> are known as the least squares estimation of the regression coefficient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w:t>
      </w:r>
      <w:r w:rsidRPr="00EE7F56">
        <w:rPr>
          <w:rFonts w:ascii="Times New Roman" w:hAnsi="Times New Roman" w:cs="Times New Roman"/>
          <w:i/>
          <w:sz w:val="20"/>
          <w:szCs w:val="20"/>
        </w:rPr>
        <w:t xml:space="preserve"> </w:t>
      </w:r>
      <w:r w:rsidRPr="00EE7F56">
        <w:rPr>
          <w:rFonts w:ascii="Times New Roman" w:hAnsi="Times New Roman" w:cs="Times New Roman"/>
          <w:i/>
          <w:sz w:val="20"/>
          <w:szCs w:val="20"/>
        </w:rPr>
        <w:sym w:font="Symbol" w:char="F062"/>
      </w:r>
      <w:r w:rsidRPr="00EE7F56">
        <w:rPr>
          <w:rFonts w:ascii="Times New Roman" w:hAnsi="Times New Roman" w:cs="Times New Roman"/>
          <w:sz w:val="20"/>
          <w:szCs w:val="20"/>
          <w:vertAlign w:val="subscript"/>
        </w:rPr>
        <w:t>n</w:t>
      </w:r>
      <w:r w:rsidRPr="00EE7F56">
        <w:rPr>
          <w:rFonts w:ascii="Times New Roman" w:hAnsi="Times New Roman" w:cs="Times New Roman"/>
          <w:sz w:val="20"/>
          <w:szCs w:val="20"/>
        </w:rPr>
        <w:t xml:space="preserve"> and constant </w:t>
      </w:r>
      <w:r w:rsidRPr="00EE7F56">
        <w:rPr>
          <w:rFonts w:ascii="Times New Roman" w:hAnsi="Times New Roman" w:cs="Times New Roman"/>
          <w:i/>
          <w:iCs/>
          <w:sz w:val="20"/>
          <w:szCs w:val="20"/>
        </w:rPr>
        <w:sym w:font="Symbol" w:char="F062"/>
      </w:r>
      <w:r w:rsidRPr="00EE7F56">
        <w:rPr>
          <w:rFonts w:ascii="Times New Roman" w:hAnsi="Times New Roman" w:cs="Times New Roman"/>
          <w:i/>
          <w:iCs/>
          <w:sz w:val="20"/>
          <w:szCs w:val="20"/>
          <w:vertAlign w:val="subscript"/>
        </w:rPr>
        <w:t>0</w:t>
      </w:r>
      <w:r w:rsidRPr="00EE7F56">
        <w:rPr>
          <w:rFonts w:ascii="Times New Roman" w:hAnsi="Times New Roman" w:cs="Times New Roman"/>
          <w:sz w:val="20"/>
          <w:szCs w:val="20"/>
        </w:rPr>
        <w:t>,</w:t>
      </w:r>
      <w:r w:rsidRPr="00EE7F56">
        <w:rPr>
          <w:rFonts w:ascii="Times New Roman" w:hAnsi="Times New Roman" w:cs="Times New Roman"/>
          <w:i/>
          <w:iCs/>
          <w:sz w:val="20"/>
          <w:szCs w:val="20"/>
        </w:rPr>
        <w:t xml:space="preserve"> </w:t>
      </w:r>
      <w:r w:rsidRPr="00EE7F56">
        <w:rPr>
          <w:rFonts w:ascii="Times New Roman" w:hAnsi="Times New Roman" w:cs="Times New Roman"/>
          <w:sz w:val="20"/>
          <w:szCs w:val="20"/>
        </w:rPr>
        <w:t xml:space="preserve">when the value of </w:t>
      </w:r>
      <w:r w:rsidRPr="00EE7F56">
        <w:rPr>
          <w:rFonts w:ascii="Times New Roman" w:hAnsi="Times New Roman" w:cs="Times New Roman"/>
          <w:i/>
          <w:iCs/>
          <w:sz w:val="20"/>
          <w:szCs w:val="20"/>
        </w:rPr>
        <w:t>SSE</w:t>
      </w:r>
      <w:r w:rsidRPr="00EE7F56">
        <w:rPr>
          <w:rFonts w:ascii="Times New Roman" w:hAnsi="Times New Roman" w:cs="Times New Roman"/>
          <w:sz w:val="20"/>
          <w:szCs w:val="20"/>
        </w:rPr>
        <w:t xml:space="preserve"> is minimum. Based on calculus knowledge and extremum principle on multivariate function, just calculate the first-order partial </w:t>
      </w:r>
      <w:r w:rsidRPr="00EE7F56">
        <w:rPr>
          <w:rFonts w:ascii="Times New Roman" w:hAnsi="Times New Roman" w:cs="Times New Roman"/>
          <w:sz w:val="20"/>
          <w:szCs w:val="20"/>
        </w:rPr>
        <w:lastRenderedPageBreak/>
        <w:t>derivative of the parameter</w:t>
      </w:r>
      <w:r w:rsidRPr="00EE7F56">
        <w:rPr>
          <w:rFonts w:ascii="Times New Roman" w:hAnsi="Times New Roman" w:cs="Times New Roman"/>
          <w:position w:val="-10"/>
          <w:sz w:val="20"/>
          <w:szCs w:val="20"/>
        </w:rPr>
        <w:object w:dxaOrig="1080" w:dyaOrig="340" w14:anchorId="4F2107B9">
          <v:shape id="_x0000_i1044" type="#_x0000_t75" style="width:53.95pt;height:18.05pt" o:ole="">
            <v:imagedata r:id="rId49" o:title=""/>
          </v:shape>
          <o:OLEObject Type="Embed" ProgID="Equation.DSMT4" ShapeID="_x0000_i1044" DrawAspect="Content" ObjectID="_1793628036" r:id="rId50"/>
        </w:object>
      </w:r>
      <w:r w:rsidRPr="00EE7F56">
        <w:rPr>
          <w:rFonts w:ascii="Times New Roman" w:hAnsi="Times New Roman" w:cs="Times New Roman"/>
          <w:sz w:val="20"/>
          <w:szCs w:val="20"/>
        </w:rPr>
        <w:t xml:space="preserve"> to be estimated by SSE and make its value equal to zero, and the normal equations of the estimated parameters can be obtained by</w:t>
      </w:r>
    </w:p>
    <w:bookmarkStart w:id="17" w:name="OLE_LINK24"/>
    <w:p w14:paraId="513731F5"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position w:val="-106"/>
          <w:sz w:val="20"/>
          <w:szCs w:val="20"/>
        </w:rPr>
        <w:object w:dxaOrig="4480" w:dyaOrig="2220" w14:anchorId="41322E88">
          <v:shape id="_x0000_i1045" type="#_x0000_t75" style="width:222.1pt;height:114pt" o:ole="">
            <v:imagedata r:id="rId51" o:title=""/>
          </v:shape>
          <o:OLEObject Type="Embed" ProgID="Equation.DSMT4" ShapeID="_x0000_i1045" DrawAspect="Content" ObjectID="_1793628037" r:id="rId52"/>
        </w:object>
      </w:r>
      <w:bookmarkEnd w:id="17"/>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9</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4D846722" w14:textId="77777777" w:rsidR="00870696" w:rsidRPr="00EE7F56" w:rsidRDefault="00870696" w:rsidP="00870696">
      <w:pPr>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normal equations can also be expressed as </w:t>
      </w:r>
    </w:p>
    <w:p w14:paraId="6B75691A"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0"/>
          <w:sz w:val="20"/>
          <w:szCs w:val="20"/>
        </w:rPr>
        <w:object w:dxaOrig="1260" w:dyaOrig="340" w14:anchorId="3D2FE794">
          <v:shape id="_x0000_i1046" type="#_x0000_t75" style="width:66.15pt;height:18.05pt" o:ole="">
            <v:imagedata r:id="rId53" o:title=""/>
          </v:shape>
          <o:OLEObject Type="Embed" ProgID="Equation.DSMT4" ShapeID="_x0000_i1046" DrawAspect="Content" ObjectID="_1793628038" r:id="rId54"/>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10</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124DFDEA"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Once the inverse matrix of (</w:t>
      </w:r>
      <w:r w:rsidRPr="00EE7F56">
        <w:rPr>
          <w:rFonts w:ascii="Times New Roman" w:hAnsi="Times New Roman" w:cs="Times New Roman"/>
          <w:i/>
          <w:iCs/>
          <w:sz w:val="20"/>
          <w:szCs w:val="20"/>
        </w:rPr>
        <w:t>X</w:t>
      </w:r>
      <w:r w:rsidRPr="00EE7F56">
        <w:rPr>
          <w:rFonts w:ascii="Times New Roman" w:hAnsi="Times New Roman" w:cs="Times New Roman"/>
          <w:sz w:val="20"/>
          <w:szCs w:val="20"/>
          <w:vertAlign w:val="superscript"/>
        </w:rPr>
        <w:t>T</w:t>
      </w:r>
      <w:r w:rsidRPr="00EE7F56">
        <w:rPr>
          <w:rFonts w:ascii="Times New Roman" w:hAnsi="Times New Roman" w:cs="Times New Roman"/>
          <w:i/>
          <w:iCs/>
          <w:sz w:val="20"/>
          <w:szCs w:val="20"/>
        </w:rPr>
        <w:t>X</w:t>
      </w:r>
      <w:r w:rsidRPr="00EE7F56">
        <w:rPr>
          <w:rFonts w:ascii="Times New Roman" w:hAnsi="Times New Roman" w:cs="Times New Roman"/>
          <w:sz w:val="20"/>
          <w:szCs w:val="20"/>
        </w:rPr>
        <w:t>) is available, the least squares estimate of the regression coefficients can be calculated by</w:t>
      </w:r>
    </w:p>
    <w:p w14:paraId="5512AA09"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0"/>
          <w:sz w:val="20"/>
          <w:szCs w:val="20"/>
        </w:rPr>
        <w:object w:dxaOrig="1560" w:dyaOrig="340" w14:anchorId="71D4003D">
          <v:shape id="_x0000_i1047" type="#_x0000_t75" style="width:77.85pt;height:18.05pt" o:ole="">
            <v:imagedata r:id="rId55" o:title=""/>
          </v:shape>
          <o:OLEObject Type="Embed" ProgID="Equation.DSMT4" ShapeID="_x0000_i1047" DrawAspect="Content" ObjectID="_1793628039" r:id="rId56"/>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11</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481205AB"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value of these regression coefficients calculated above also map the influence degree of the independent variables on the dependent variables, that is, the impact of the load current of users on the residual current of the LVDS. The anomaly users will finally be located when the investigation of this model can be satisfied. Therefore, this MLR model established above should be finally examined with a series of statistical indicators to verify its reliability, as follows. </w:t>
      </w:r>
    </w:p>
    <w:p w14:paraId="76704842"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 xml:space="preserve">•Multiple correlation coefficient. </w:t>
      </w:r>
      <w:r w:rsidRPr="00EE7F56">
        <w:rPr>
          <w:rFonts w:ascii="Times New Roman" w:hAnsi="Times New Roman" w:cs="Times New Roman"/>
          <w:sz w:val="20"/>
          <w:szCs w:val="20"/>
        </w:rPr>
        <w:t xml:space="preserve">This is an indicator which represents the degree of linear relationship between the independent and dependent variables. The multiple correlation coefficient </w:t>
      </w:r>
      <w:r w:rsidRPr="00EE7F56">
        <w:rPr>
          <w:rFonts w:ascii="Times New Roman" w:hAnsi="Times New Roman" w:cs="Times New Roman"/>
          <w:i/>
          <w:iCs/>
          <w:sz w:val="20"/>
          <w:szCs w:val="20"/>
        </w:rPr>
        <w:t>R</w:t>
      </w:r>
      <w:r w:rsidRPr="00EE7F56">
        <w:rPr>
          <w:rFonts w:ascii="Times New Roman" w:hAnsi="Times New Roman" w:cs="Times New Roman"/>
          <w:sz w:val="20"/>
          <w:szCs w:val="20"/>
        </w:rPr>
        <w:t xml:space="preserve"> indicate the stronger linear relationship between the independent and dependent variables, when </w:t>
      </w:r>
      <w:r w:rsidRPr="00EE7F56">
        <w:rPr>
          <w:rFonts w:ascii="Times New Roman" w:hAnsi="Times New Roman" w:cs="Times New Roman"/>
          <w:i/>
          <w:iCs/>
          <w:sz w:val="20"/>
          <w:szCs w:val="20"/>
        </w:rPr>
        <w:t>R</w:t>
      </w:r>
      <w:r w:rsidRPr="00EE7F56">
        <w:rPr>
          <w:rFonts w:ascii="Times New Roman" w:hAnsi="Times New Roman" w:cs="Times New Roman"/>
          <w:sz w:val="20"/>
          <w:szCs w:val="20"/>
        </w:rPr>
        <w:t xml:space="preserve"> is closer to 1.</w:t>
      </w:r>
    </w:p>
    <w:p w14:paraId="4C9115B2"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w:t>
      </w:r>
      <w:r w:rsidRPr="00EE7F56">
        <w:rPr>
          <w:rFonts w:ascii="Times New Roman" w:hAnsi="Times New Roman" w:cs="Times New Roman"/>
          <w:sz w:val="20"/>
          <w:szCs w:val="20"/>
        </w:rPr>
        <w:t xml:space="preserve"> </w:t>
      </w:r>
      <w:r w:rsidRPr="00EE7F56">
        <w:rPr>
          <w:rFonts w:ascii="Times New Roman" w:hAnsi="Times New Roman" w:cs="Times New Roman"/>
          <w:b/>
          <w:bCs/>
          <w:sz w:val="20"/>
          <w:szCs w:val="20"/>
        </w:rPr>
        <w:t xml:space="preserve">Determination coefficient. </w:t>
      </w:r>
      <w:r w:rsidRPr="00EE7F56">
        <w:rPr>
          <w:rFonts w:ascii="Times New Roman" w:hAnsi="Times New Roman" w:cs="Times New Roman"/>
          <w:sz w:val="20"/>
          <w:szCs w:val="20"/>
        </w:rPr>
        <w:t xml:space="preserve">This indicator is expressed by </w:t>
      </w:r>
      <w:r w:rsidRPr="00EE7F56">
        <w:rPr>
          <w:rFonts w:ascii="Times New Roman" w:hAnsi="Times New Roman" w:cs="Times New Roman"/>
          <w:i/>
          <w:iCs/>
          <w:sz w:val="20"/>
          <w:szCs w:val="20"/>
        </w:rPr>
        <w:t>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which can be used to weigh the fit of MLR models and can be calculated by</w:t>
      </w:r>
    </w:p>
    <w:p w14:paraId="74FA221B" w14:textId="77777777" w:rsidR="00870696" w:rsidRPr="00EE7F56" w:rsidRDefault="00870696" w:rsidP="00870696">
      <w:pPr>
        <w:tabs>
          <w:tab w:val="center" w:pos="2520"/>
          <w:tab w:val="right" w:pos="5040"/>
        </w:tabs>
        <w:rPr>
          <w:rFonts w:ascii="Times New Roman" w:hAnsi="Times New Roman" w:cs="Times New Roman"/>
          <w:sz w:val="20"/>
          <w:szCs w:val="20"/>
        </w:rPr>
      </w:pPr>
      <w:bookmarkStart w:id="18" w:name="MTToggleStart"/>
      <w:bookmarkEnd w:id="18"/>
      <w:r w:rsidRPr="00EE7F56">
        <w:rPr>
          <w:rFonts w:ascii="Times New Roman" w:hAnsi="Times New Roman" w:cs="Times New Roman"/>
          <w:sz w:val="20"/>
          <w:szCs w:val="20"/>
        </w:rPr>
        <w:tab/>
      </w:r>
      <w:r w:rsidRPr="00EE7F56">
        <w:rPr>
          <w:rFonts w:ascii="Times New Roman" w:hAnsi="Times New Roman" w:cs="Times New Roman"/>
          <w:position w:val="-32"/>
          <w:sz w:val="20"/>
          <w:szCs w:val="20"/>
        </w:rPr>
        <w:object w:dxaOrig="3159" w:dyaOrig="800" w14:anchorId="6D1A1E71">
          <v:shape id="_x0000_i1048" type="#_x0000_t75" style="width:156.25pt;height:42pt" o:ole="">
            <v:imagedata r:id="rId57" o:title=""/>
          </v:shape>
          <o:OLEObject Type="Embed" ProgID="Equation.DSMT4" ShapeID="_x0000_i1048" DrawAspect="Content" ObjectID="_1793628040" r:id="rId58"/>
        </w:object>
      </w:r>
      <w:bookmarkStart w:id="19" w:name="MTToggleEnd"/>
      <w:bookmarkEnd w:id="19"/>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12</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3AFB5AD9"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Where </w:t>
      </w:r>
      <w:bookmarkStart w:id="20" w:name="_Hlk155209707"/>
      <w:r w:rsidRPr="00EE7F56">
        <w:rPr>
          <w:rFonts w:ascii="Times New Roman" w:hAnsi="Times New Roman" w:cs="Times New Roman"/>
          <w:i/>
          <w:iCs/>
          <w:sz w:val="20"/>
          <w:szCs w:val="20"/>
        </w:rPr>
        <w:t>SST</w:t>
      </w:r>
      <w:bookmarkEnd w:id="20"/>
      <w:r w:rsidRPr="00EE7F56">
        <w:rPr>
          <w:rFonts w:ascii="Times New Roman" w:hAnsi="Times New Roman" w:cs="Times New Roman"/>
          <w:sz w:val="20"/>
          <w:szCs w:val="20"/>
        </w:rPr>
        <w:t xml:space="preserve"> denotes the total sum of squares, </w:t>
      </w:r>
      <w:bookmarkStart w:id="21" w:name="_Hlk155209717"/>
      <w:r w:rsidRPr="00EE7F56">
        <w:rPr>
          <w:rFonts w:ascii="Times New Roman" w:hAnsi="Times New Roman" w:cs="Times New Roman"/>
          <w:i/>
          <w:iCs/>
          <w:sz w:val="20"/>
          <w:szCs w:val="20"/>
        </w:rPr>
        <w:t>SSR</w:t>
      </w:r>
      <w:bookmarkEnd w:id="21"/>
      <w:r w:rsidRPr="00EE7F56">
        <w:rPr>
          <w:rFonts w:ascii="Times New Roman" w:hAnsi="Times New Roman" w:cs="Times New Roman"/>
          <w:sz w:val="20"/>
          <w:szCs w:val="20"/>
        </w:rPr>
        <w:t xml:space="preserve"> denotes the sum of squares caused by regression, and </w:t>
      </w:r>
      <w:bookmarkStart w:id="22" w:name="_Hlk155209780"/>
      <w:r w:rsidRPr="00EE7F56">
        <w:rPr>
          <w:rFonts w:ascii="Times New Roman" w:hAnsi="Times New Roman" w:cs="Times New Roman"/>
          <w:i/>
          <w:iCs/>
          <w:sz w:val="20"/>
          <w:szCs w:val="20"/>
        </w:rPr>
        <w:t>SSE</w:t>
      </w:r>
      <w:bookmarkEnd w:id="22"/>
      <w:r w:rsidRPr="00EE7F56">
        <w:rPr>
          <w:rFonts w:ascii="Times New Roman" w:hAnsi="Times New Roman" w:cs="Times New Roman"/>
          <w:sz w:val="20"/>
          <w:szCs w:val="20"/>
        </w:rPr>
        <w:t xml:space="preserve"> denotes </w:t>
      </w:r>
      <w:bookmarkStart w:id="23" w:name="_Hlk155209767"/>
      <w:r w:rsidRPr="00EE7F56">
        <w:rPr>
          <w:rFonts w:ascii="Times New Roman" w:hAnsi="Times New Roman" w:cs="Times New Roman"/>
          <w:sz w:val="20"/>
          <w:szCs w:val="20"/>
        </w:rPr>
        <w:t>the sum of squared errors</w:t>
      </w:r>
      <w:bookmarkEnd w:id="23"/>
      <w:r w:rsidRPr="00EE7F56">
        <w:rPr>
          <w:rFonts w:ascii="Times New Roman" w:hAnsi="Times New Roman" w:cs="Times New Roman"/>
          <w:sz w:val="20"/>
          <w:szCs w:val="20"/>
        </w:rPr>
        <w:t>. The determination coefficient</w:t>
      </w:r>
      <w:r w:rsidRPr="00EE7F56">
        <w:rPr>
          <w:rFonts w:ascii="Times New Roman" w:hAnsi="Times New Roman" w:cs="Times New Roman"/>
          <w:i/>
          <w:iCs/>
          <w:sz w:val="20"/>
          <w:szCs w:val="20"/>
        </w:rPr>
        <w:t xml:space="preserve"> 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xml:space="preserve"> ranges between 0 and 1, with a greater value indicating a better fit of the regression model. However, it should be noted that a system with more independent variables will have a larger determination coefficient </w:t>
      </w:r>
      <w:r w:rsidRPr="00EE7F56">
        <w:rPr>
          <w:rFonts w:ascii="Times New Roman" w:hAnsi="Times New Roman" w:cs="Times New Roman"/>
          <w:i/>
          <w:iCs/>
          <w:sz w:val="20"/>
          <w:szCs w:val="20"/>
        </w:rPr>
        <w:t>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In addition to determining the fitting effect of the equation based on the determination coefficient, other test standards also should be adopted.</w:t>
      </w:r>
    </w:p>
    <w:p w14:paraId="57D9062E" w14:textId="77777777" w:rsidR="00870696" w:rsidRPr="00EE7F56" w:rsidRDefault="00870696" w:rsidP="00870696">
      <w:pPr>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•F-test.</w:t>
      </w:r>
      <w:r w:rsidRPr="00EE7F56">
        <w:rPr>
          <w:rFonts w:ascii="Times New Roman" w:hAnsi="Times New Roman" w:cs="Times New Roman"/>
          <w:sz w:val="20"/>
          <w:szCs w:val="20"/>
        </w:rPr>
        <w:t xml:space="preserve"> This test method uses analysis of variance to test whether the regression model is reasonable at a certain significance level. If </w:t>
      </w:r>
      <w:r w:rsidRPr="00EE7F56">
        <w:rPr>
          <w:rFonts w:ascii="Times New Roman" w:hAnsi="Times New Roman" w:cs="Times New Roman"/>
          <w:position w:val="-10"/>
          <w:sz w:val="20"/>
          <w:szCs w:val="20"/>
        </w:rPr>
        <w:object w:dxaOrig="1660" w:dyaOrig="300" w14:anchorId="1E0EBFAD">
          <v:shape id="_x0000_i1049" type="#_x0000_t75" style="width:81.45pt;height:17.8pt" o:ole="">
            <v:imagedata r:id="rId59" o:title=""/>
          </v:shape>
          <o:OLEObject Type="Embed" ProgID="Equation.DSMT4" ShapeID="_x0000_i1049" DrawAspect="Content" ObjectID="_1793628041" r:id="rId60"/>
        </w:object>
      </w:r>
      <w:r w:rsidRPr="00EE7F56">
        <w:rPr>
          <w:rFonts w:ascii="Times New Roman" w:hAnsi="Times New Roman" w:cs="Times New Roman"/>
          <w:sz w:val="20"/>
          <w:szCs w:val="20"/>
        </w:rPr>
        <w:t xml:space="preserve"> in this model, it </w:t>
      </w:r>
      <w:r w:rsidRPr="00EE7F56">
        <w:rPr>
          <w:rFonts w:ascii="Times New Roman" w:hAnsi="Times New Roman" w:cs="Times New Roman"/>
          <w:sz w:val="20"/>
          <w:szCs w:val="20"/>
        </w:rPr>
        <w:t xml:space="preserve">can be considered that the model passed the significant test of F-test. Where </w:t>
      </w:r>
      <w:r w:rsidRPr="00EE7F56">
        <w:rPr>
          <w:rFonts w:ascii="Times New Roman" w:hAnsi="Times New Roman" w:cs="Times New Roman"/>
          <w:i/>
          <w:iCs/>
          <w:sz w:val="20"/>
          <w:szCs w:val="20"/>
        </w:rPr>
        <w:t xml:space="preserve">k </w:t>
      </w:r>
      <w:r w:rsidRPr="00EE7F56">
        <w:rPr>
          <w:rFonts w:ascii="Times New Roman" w:hAnsi="Times New Roman" w:cs="Times New Roman"/>
          <w:sz w:val="20"/>
          <w:szCs w:val="20"/>
        </w:rPr>
        <w:t xml:space="preserve">denotes the number of independent variables in the regression model and </w:t>
      </w:r>
      <w:r w:rsidRPr="00EE7F56">
        <w:rPr>
          <w:rFonts w:ascii="Times New Roman" w:hAnsi="Times New Roman" w:cs="Times New Roman"/>
          <w:i/>
          <w:iCs/>
          <w:sz w:val="20"/>
          <w:szCs w:val="20"/>
        </w:rPr>
        <w:t xml:space="preserve">N </w:t>
      </w:r>
      <w:r w:rsidRPr="00EE7F56">
        <w:rPr>
          <w:rFonts w:ascii="Times New Roman" w:hAnsi="Times New Roman" w:cs="Times New Roman"/>
          <w:sz w:val="20"/>
          <w:szCs w:val="20"/>
        </w:rPr>
        <w:t xml:space="preserve">denotes the capacity of independent variables. </w:t>
      </w:r>
    </w:p>
    <w:p w14:paraId="3BCEFA43"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•T-test</w:t>
      </w:r>
      <w:r w:rsidRPr="00EE7F56">
        <w:rPr>
          <w:rFonts w:ascii="Times New Roman" w:hAnsi="Times New Roman" w:cs="Times New Roman"/>
          <w:sz w:val="20"/>
          <w:szCs w:val="20"/>
        </w:rPr>
        <w:t>. It is also known as the test of partial regression coefficients and constant term. The T-test can be used to determine the significance level of the regression coefficient and the constant term on the regression model, as well as the sufficiency of the independent variables entering the equation.</w:t>
      </w:r>
    </w:p>
    <w:p w14:paraId="0E63B73B" w14:textId="77777777" w:rsidR="00870696" w:rsidRPr="00EE7F56" w:rsidRDefault="00870696" w:rsidP="00870696">
      <w:pPr>
        <w:rPr>
          <w:rFonts w:ascii="Times New Roman" w:hAnsi="Times New Roman" w:cs="Times New Roman"/>
          <w:b/>
          <w:bCs/>
          <w:i/>
          <w:iCs/>
          <w:sz w:val="18"/>
          <w:szCs w:val="18"/>
          <w:lang w:val="x-none"/>
        </w:rPr>
      </w:pPr>
      <w:bookmarkStart w:id="24" w:name="_Hlk161397179"/>
      <w:r w:rsidRPr="00EE7F56">
        <w:rPr>
          <w:rFonts w:ascii="Times New Roman" w:hAnsi="Times New Roman" w:cs="Times New Roman"/>
          <w:b/>
          <w:bCs/>
          <w:i/>
          <w:iCs/>
          <w:sz w:val="18"/>
          <w:szCs w:val="18"/>
          <w:lang w:val="x-none"/>
        </w:rPr>
        <w:t>B. Multicollinearity Problem</w:t>
      </w:r>
    </w:p>
    <w:bookmarkEnd w:id="24"/>
    <w:p w14:paraId="22791293"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current curves of some users are familiar to each other since their lifestyle and electricity consumption are similar, which indicates that there is a certain degree of multicollinearity between the time sequence of load current of each user. The similarity violates the classical assumption that there is no correlation between independent variables and leads to the unreliability of the MLR model. Therefore, it is necessary to conduct multicollinearity test for these independent variables before implementing MLR analysis. </w:t>
      </w:r>
    </w:p>
    <w:p w14:paraId="19CA5777" w14:textId="77777777" w:rsidR="00870696" w:rsidRPr="00EE7F56" w:rsidRDefault="00870696" w:rsidP="00870696">
      <w:pPr>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sz w:val="20"/>
          <w:szCs w:val="20"/>
        </w:rPr>
        <w:t xml:space="preserve">When the dependent variable of MLR model can be organized as </w:t>
      </w:r>
    </w:p>
    <w:p w14:paraId="028A1D57"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0"/>
          <w:sz w:val="20"/>
          <w:szCs w:val="20"/>
        </w:rPr>
        <w:object w:dxaOrig="2880" w:dyaOrig="300" w14:anchorId="36DC159B">
          <v:shape id="_x0000_i1050" type="#_x0000_t75" style="width:139pt;height:17.8pt" o:ole="">
            <v:imagedata r:id="rId61" o:title=""/>
          </v:shape>
          <o:OLEObject Type="Embed" ProgID="Equation.DSMT4" ShapeID="_x0000_i1050" DrawAspect="Content" ObjectID="_1793628042" r:id="rId62"/>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13</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0794536C"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If </w:t>
      </w:r>
      <w:r w:rsidRPr="00EE7F56">
        <w:rPr>
          <w:rFonts w:ascii="Times New Roman" w:hAnsi="Times New Roman" w:cs="Times New Roman"/>
          <w:position w:val="-10"/>
          <w:sz w:val="20"/>
          <w:szCs w:val="20"/>
        </w:rPr>
        <w:object w:dxaOrig="1120" w:dyaOrig="300" w14:anchorId="3435B945">
          <v:shape id="_x0000_i1051" type="#_x0000_t75" style="width:47.55pt;height:15.55pt" o:ole="">
            <v:imagedata r:id="rId63" o:title=""/>
          </v:shape>
          <o:OLEObject Type="Embed" ProgID="Equation.DSMT4" ShapeID="_x0000_i1051" DrawAspect="Content" ObjectID="_1793628043" r:id="rId64"/>
        </w:object>
      </w:r>
      <w:r w:rsidRPr="00EE7F56">
        <w:rPr>
          <w:rFonts w:ascii="Times New Roman" w:hAnsi="Times New Roman" w:cs="Times New Roman"/>
          <w:sz w:val="20"/>
          <w:szCs w:val="20"/>
        </w:rPr>
        <w:t xml:space="preserve"> are incompletely equal to zero, which means that these independent variables have multicollinearity trouble. While these independent variables of MLR model can be organized as </w:t>
      </w:r>
    </w:p>
    <w:p w14:paraId="60510E48"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0"/>
          <w:sz w:val="20"/>
          <w:szCs w:val="20"/>
        </w:rPr>
        <w:object w:dxaOrig="3200" w:dyaOrig="300" w14:anchorId="0C115D5E">
          <v:shape id="_x0000_i1052" type="#_x0000_t75" style="width:157.05pt;height:17.8pt" o:ole="">
            <v:imagedata r:id="rId65" o:title=""/>
          </v:shape>
          <o:OLEObject Type="Embed" ProgID="Equation.DSMT4" ShapeID="_x0000_i1052" DrawAspect="Content" ObjectID="_1793628044" r:id="rId66"/>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14</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209DCBE5"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Where</w:t>
      </w:r>
      <w:r w:rsidRPr="00EE7F56">
        <w:rPr>
          <w:rFonts w:ascii="Times New Roman" w:hAnsi="Times New Roman" w:cs="Times New Roman"/>
          <w:position w:val="-10"/>
          <w:sz w:val="20"/>
          <w:szCs w:val="20"/>
        </w:rPr>
        <w:object w:dxaOrig="1120" w:dyaOrig="300" w14:anchorId="113795B3">
          <v:shape id="_x0000_i1053" type="#_x0000_t75" style="width:53.95pt;height:18.05pt" o:ole="">
            <v:imagedata r:id="rId67" o:title=""/>
          </v:shape>
          <o:OLEObject Type="Embed" ProgID="Equation.DSMT4" ShapeID="_x0000_i1053" DrawAspect="Content" ObjectID="_1793628045" r:id="rId68"/>
        </w:object>
      </w:r>
      <w:r w:rsidRPr="00EE7F56">
        <w:rPr>
          <w:rFonts w:ascii="Times New Roman" w:hAnsi="Times New Roman" w:cs="Times New Roman"/>
          <w:sz w:val="20"/>
          <w:szCs w:val="20"/>
        </w:rPr>
        <w:t xml:space="preserve"> are incompletely equal to zero, </w:t>
      </w:r>
      <w:r w:rsidRPr="00EE7F56">
        <w:rPr>
          <w:rFonts w:ascii="Times New Roman" w:hAnsi="Times New Roman" w:cs="Times New Roman"/>
          <w:position w:val="-10"/>
          <w:sz w:val="20"/>
          <w:szCs w:val="20"/>
        </w:rPr>
        <w:object w:dxaOrig="200" w:dyaOrig="300" w14:anchorId="1C76B07F">
          <v:shape id="_x0000_i1054" type="#_x0000_t75" style="width:11.7pt;height:18.05pt" o:ole="">
            <v:imagedata r:id="rId69" o:title=""/>
          </v:shape>
          <o:OLEObject Type="Embed" ProgID="Equation.DSMT4" ShapeID="_x0000_i1054" DrawAspect="Content" ObjectID="_1793628046" r:id="rId70"/>
        </w:object>
      </w:r>
      <w:r w:rsidRPr="00EE7F56">
        <w:rPr>
          <w:rFonts w:ascii="Times New Roman" w:hAnsi="Times New Roman" w:cs="Times New Roman"/>
          <w:sz w:val="20"/>
          <w:szCs w:val="20"/>
        </w:rPr>
        <w:t xml:space="preserve"> denotes a random disturbance term, and it is said that these independent variables </w:t>
      </w:r>
      <w:r w:rsidRPr="00EE7F56">
        <w:rPr>
          <w:rFonts w:ascii="Times New Roman" w:hAnsi="Times New Roman" w:cs="Times New Roman"/>
          <w:position w:val="-10"/>
          <w:sz w:val="20"/>
          <w:szCs w:val="20"/>
        </w:rPr>
        <w:object w:dxaOrig="1219" w:dyaOrig="300" w14:anchorId="105DC205">
          <v:shape id="_x0000_i1055" type="#_x0000_t75" style="width:53.1pt;height:16.1pt" o:ole="">
            <v:imagedata r:id="rId71" o:title=""/>
          </v:shape>
          <o:OLEObject Type="Embed" ProgID="Equation.DSMT4" ShapeID="_x0000_i1055" DrawAspect="Content" ObjectID="_1793628047" r:id="rId72"/>
        </w:object>
      </w:r>
      <w:r w:rsidRPr="00EE7F56">
        <w:rPr>
          <w:rFonts w:ascii="Times New Roman" w:hAnsi="Times New Roman" w:cs="Times New Roman"/>
          <w:sz w:val="20"/>
          <w:szCs w:val="20"/>
        </w:rPr>
        <w:t xml:space="preserve"> have approximate multicollinearity.</w:t>
      </w:r>
    </w:p>
    <w:p w14:paraId="60A3E263"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bookmarkStart w:id="25" w:name="_Hlk161396902"/>
      <w:bookmarkStart w:id="26" w:name="_Hlk161401043"/>
      <w:r w:rsidRPr="00EE7F56">
        <w:rPr>
          <w:rFonts w:ascii="Times New Roman" w:hAnsi="Times New Roman" w:cs="Times New Roman"/>
          <w:sz w:val="20"/>
          <w:szCs w:val="20"/>
        </w:rPr>
        <w:t xml:space="preserve">Even if the independent variable has a little multicollinearity, it can lead to an increase in the variance and covariance of the least squares estimate of the regression coefficients, which is meaningless for the entire regression model. Therefore, variance inflation factor (VIF) is introduced as an indicator which can characterize the severity of multicollinearity in MLR models [26]. Constructing an auxiliary regression model with </w:t>
      </w:r>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j</w:t>
      </w:r>
      <w:r w:rsidRPr="00EE7F56">
        <w:rPr>
          <w:rFonts w:ascii="Times New Roman" w:hAnsi="Times New Roman" w:cs="Times New Roman"/>
          <w:sz w:val="20"/>
          <w:szCs w:val="20"/>
        </w:rPr>
        <w:t xml:space="preserve"> as the dependent variable i, the </w:t>
      </w:r>
      <w:r w:rsidRPr="00EE7F56">
        <w:rPr>
          <w:rFonts w:ascii="Times New Roman" w:hAnsi="Times New Roman" w:cs="Times New Roman"/>
          <w:i/>
          <w:iCs/>
          <w:sz w:val="20"/>
          <w:szCs w:val="20"/>
        </w:rPr>
        <w:t>VIF</w:t>
      </w:r>
      <w:r w:rsidRPr="00EE7F56">
        <w:rPr>
          <w:rFonts w:ascii="Times New Roman" w:hAnsi="Times New Roman" w:cs="Times New Roman"/>
          <w:i/>
          <w:iCs/>
          <w:sz w:val="20"/>
          <w:szCs w:val="20"/>
          <w:vertAlign w:val="subscript"/>
        </w:rPr>
        <w:t>j</w:t>
      </w:r>
      <w:r w:rsidRPr="00EE7F56">
        <w:rPr>
          <w:rFonts w:ascii="Times New Roman" w:hAnsi="Times New Roman" w:cs="Times New Roman"/>
          <w:sz w:val="20"/>
          <w:szCs w:val="20"/>
        </w:rPr>
        <w:t xml:space="preserve"> of </w:t>
      </w:r>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j</w:t>
      </w:r>
      <w:r w:rsidRPr="00EE7F56">
        <w:rPr>
          <w:rFonts w:ascii="Times New Roman" w:hAnsi="Times New Roman" w:cs="Times New Roman"/>
          <w:sz w:val="20"/>
          <w:szCs w:val="20"/>
        </w:rPr>
        <w:t xml:space="preserve"> can be calculated by Eq. (15), when the independent variables are not linearly correlated.</w:t>
      </w:r>
    </w:p>
    <w:bookmarkEnd w:id="25"/>
    <w:p w14:paraId="0A30D3C6"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bookmarkStart w:id="27" w:name="_Hlk160551311"/>
      <w:r w:rsidRPr="00EE7F56">
        <w:rPr>
          <w:rFonts w:ascii="Times New Roman" w:hAnsi="Times New Roman" w:cs="Times New Roman"/>
          <w:position w:val="-12"/>
          <w:sz w:val="20"/>
          <w:szCs w:val="20"/>
        </w:rPr>
        <w:object w:dxaOrig="1420" w:dyaOrig="360" w14:anchorId="77E8F109">
          <v:shape id="_x0000_i1056" type="#_x0000_t75" style="width:75.05pt;height:18.9pt" o:ole="">
            <v:imagedata r:id="rId73" o:title=""/>
          </v:shape>
          <o:OLEObject Type="Embed" ProgID="Equation.DSMT4" ShapeID="_x0000_i1056" DrawAspect="Content" ObjectID="_1793628048" r:id="rId74"/>
        </w:object>
      </w:r>
      <w:bookmarkEnd w:id="27"/>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15</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0E390450"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sz w:val="20"/>
          <w:szCs w:val="20"/>
        </w:rPr>
        <w:t xml:space="preserve">Where </w:t>
      </w:r>
      <w:bookmarkStart w:id="28" w:name="_Hlk160551305"/>
      <w:r w:rsidRPr="00EE7F56">
        <w:rPr>
          <w:rFonts w:ascii="Times New Roman" w:hAnsi="Times New Roman" w:cs="Times New Roman"/>
          <w:position w:val="-12"/>
          <w:sz w:val="20"/>
          <w:szCs w:val="20"/>
        </w:rPr>
        <w:object w:dxaOrig="279" w:dyaOrig="360" w14:anchorId="3E73E174">
          <v:shape id="_x0000_i1057" type="#_x0000_t75" style="width:11.7pt;height:18.05pt" o:ole="">
            <v:imagedata r:id="rId75" o:title=""/>
          </v:shape>
          <o:OLEObject Type="Embed" ProgID="Equation.DSMT4" ShapeID="_x0000_i1057" DrawAspect="Content" ObjectID="_1793628049" r:id="rId76"/>
        </w:object>
      </w:r>
      <w:bookmarkEnd w:id="28"/>
      <w:r w:rsidRPr="00EE7F56">
        <w:rPr>
          <w:rFonts w:ascii="Times New Roman" w:hAnsi="Times New Roman" w:cs="Times New Roman"/>
          <w:sz w:val="20"/>
          <w:szCs w:val="20"/>
        </w:rPr>
        <w:t xml:space="preserve"> </w:t>
      </w:r>
      <w:bookmarkStart w:id="29" w:name="_Hlk161396933"/>
      <w:r w:rsidRPr="00EE7F56">
        <w:rPr>
          <w:rFonts w:ascii="Times New Roman" w:hAnsi="Times New Roman" w:cs="Times New Roman"/>
          <w:sz w:val="20"/>
          <w:szCs w:val="20"/>
        </w:rPr>
        <w:t xml:space="preserve">is a determination coefficient of an auxiliary regression model in which </w:t>
      </w:r>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j</w:t>
      </w:r>
      <w:r w:rsidRPr="00EE7F56">
        <w:rPr>
          <w:rFonts w:ascii="Times New Roman" w:hAnsi="Times New Roman" w:cs="Times New Roman"/>
          <w:sz w:val="20"/>
          <w:szCs w:val="20"/>
        </w:rPr>
        <w:t xml:space="preserve"> is regressed against the other independent </w:t>
      </w:r>
      <w:proofErr w:type="gramStart"/>
      <w:r w:rsidRPr="00EE7F56">
        <w:rPr>
          <w:rFonts w:ascii="Times New Roman" w:hAnsi="Times New Roman" w:cs="Times New Roman"/>
          <w:sz w:val="20"/>
          <w:szCs w:val="20"/>
        </w:rPr>
        <w:t>variables.</w:t>
      </w:r>
      <w:proofErr w:type="gramEnd"/>
      <w:r w:rsidRPr="00EE7F56">
        <w:rPr>
          <w:rFonts w:ascii="Times New Roman" w:hAnsi="Times New Roman" w:cs="Times New Roman"/>
          <w:sz w:val="20"/>
          <w:szCs w:val="20"/>
        </w:rPr>
        <w:t xml:space="preserve"> The value of the VIF reflects the presence and severity of multicollinearity among the independent variables in the regression model. Reference [27] specifically discusses the use of VIF and some "rules of thumb" regarding its values. A VIF close to 1 suggests the absence of multicollinearity, while a VIF exceeding 10 </w:t>
      </w:r>
      <w:r w:rsidRPr="00EE7F56">
        <w:rPr>
          <w:rFonts w:ascii="Times New Roman" w:hAnsi="Times New Roman" w:cs="Times New Roman"/>
          <w:sz w:val="20"/>
          <w:szCs w:val="20"/>
        </w:rPr>
        <w:lastRenderedPageBreak/>
        <w:t>indicates the presence of serious multicollinearity among the model variables, rendering the regression results unreliable.</w:t>
      </w:r>
      <w:bookmarkEnd w:id="29"/>
    </w:p>
    <w:p w14:paraId="3C671913"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bookmarkStart w:id="30" w:name="_Hlk161345793"/>
      <w:r w:rsidRPr="00EE7F56">
        <w:rPr>
          <w:rFonts w:ascii="Times New Roman" w:hAnsi="Times New Roman" w:cs="Times New Roman"/>
          <w:sz w:val="20"/>
          <w:szCs w:val="20"/>
        </w:rPr>
        <w:t xml:space="preserve">Stepwise regression is a systematic algorithm for adding and removing terms from a multiple linear model based on their statistical significance in a regression, and is commonly used to correct the multicollinearity. This iterative procedure introduces independent variables into the regression model one by one to find the subset of the independent variable and corresponding regression coefficients that “best” explain the observations of the dependent variable. If the </w:t>
      </w:r>
      <w:r w:rsidRPr="00EE7F56">
        <w:rPr>
          <w:rFonts w:ascii="Times New Roman" w:hAnsi="Times New Roman" w:cs="Times New Roman"/>
          <w:i/>
          <w:iCs/>
          <w:sz w:val="20"/>
          <w:szCs w:val="20"/>
        </w:rPr>
        <w:t>X</w:t>
      </w:r>
      <w:r w:rsidRPr="00EE7F56">
        <w:rPr>
          <w:rFonts w:ascii="Times New Roman" w:hAnsi="Times New Roman" w:cs="Times New Roman"/>
          <w:i/>
          <w:iCs/>
          <w:sz w:val="20"/>
          <w:szCs w:val="20"/>
          <w:vertAlign w:val="subscript"/>
        </w:rPr>
        <w:t>j</w:t>
      </w:r>
      <w:r w:rsidRPr="00EE7F56">
        <w:rPr>
          <w:rFonts w:ascii="Times New Roman" w:hAnsi="Times New Roman" w:cs="Times New Roman"/>
          <w:sz w:val="20"/>
          <w:szCs w:val="20"/>
        </w:rPr>
        <w:t xml:space="preserve"> independent variable meets the introduction criteria based on its significance, this new variable is introduced. Each time a new variable is introduced, the old variables of the selected equations are conducted T-test one by one. If the non-significant exclusion condition is met, the old variable is removed to ensure that the variables in the independent variable sub set are all significant. This process is repeated by several times until no new variables can be introduced [28].</w:t>
      </w:r>
      <w:bookmarkEnd w:id="26"/>
      <w:bookmarkEnd w:id="30"/>
    </w:p>
    <w:p w14:paraId="5A39C797" w14:textId="77777777" w:rsidR="00870696" w:rsidRPr="00EE7F56" w:rsidRDefault="00870696" w:rsidP="00870696">
      <w:pPr>
        <w:rPr>
          <w:rFonts w:ascii="Times New Roman" w:hAnsi="Times New Roman" w:cs="Times New Roman"/>
          <w:b/>
          <w:bCs/>
          <w:i/>
          <w:iCs/>
          <w:sz w:val="18"/>
          <w:szCs w:val="18"/>
          <w:lang w:val="x-none"/>
        </w:rPr>
      </w:pPr>
      <w:r w:rsidRPr="00EE7F56">
        <w:rPr>
          <w:rFonts w:ascii="Times New Roman" w:hAnsi="Times New Roman" w:cs="Times New Roman"/>
          <w:b/>
          <w:bCs/>
          <w:i/>
          <w:iCs/>
          <w:sz w:val="18"/>
          <w:szCs w:val="18"/>
          <w:lang w:val="x-none"/>
        </w:rPr>
        <w:t>C. Flow of the methodology proposal</w:t>
      </w:r>
    </w:p>
    <w:p w14:paraId="75AAD5F3" w14:textId="77777777" w:rsidR="00870696" w:rsidRPr="00EE7F56" w:rsidRDefault="00870696" w:rsidP="00870696">
      <w:pPr>
        <w:autoSpaceDE w:val="0"/>
        <w:autoSpaceDN w:val="0"/>
        <w:adjustRightInd w:val="0"/>
        <w:spacing w:line="252" w:lineRule="auto"/>
        <w:ind w:firstLineChars="100" w:firstLine="210"/>
        <w:jc w:val="center"/>
        <w:rPr>
          <w:rFonts w:ascii="Times New Roman" w:hAnsi="Times New Roman" w:cs="Times New Roman"/>
        </w:rPr>
      </w:pPr>
      <w:r w:rsidRPr="00EE7F56">
        <w:rPr>
          <w:rFonts w:ascii="Times New Roman" w:hAnsi="Times New Roman" w:cs="Times New Roman"/>
        </w:rPr>
        <w:object w:dxaOrig="5989" w:dyaOrig="4620" w14:anchorId="7E9CEA4A">
          <v:shape id="_x0000_i1058" type="#_x0000_t75" style="width:227.95pt;height:175.95pt" o:ole="">
            <v:imagedata r:id="rId77" o:title=""/>
          </v:shape>
          <o:OLEObject Type="Embed" ProgID="Visio.Drawing.15" ShapeID="_x0000_i1058" DrawAspect="Content" ObjectID="_1793628050" r:id="rId78"/>
        </w:object>
      </w:r>
    </w:p>
    <w:p w14:paraId="35DED346"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Flow chart of the proposed method.</w:t>
      </w:r>
    </w:p>
    <w:p w14:paraId="405BF1FB"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The location method for wiring fault user can be divided into two stages. The first stage is the data acquisition and preprocessing. In addition to measuring the target data of load current and residual current, multicollinearity tests are also conducted on these users. The second stage is model construction and analysis. The process specifically includes the following 5 steps:</w:t>
      </w:r>
    </w:p>
    <w:p w14:paraId="225F03F3"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Step1:</w:t>
      </w:r>
      <w:r w:rsidRPr="00EE7F56">
        <w:rPr>
          <w:rFonts w:ascii="Times New Roman" w:hAnsi="Times New Roman" w:cs="Times New Roman"/>
          <w:sz w:val="20"/>
          <w:szCs w:val="20"/>
        </w:rPr>
        <w:t xml:space="preserve"> For a LVDS serving multiple users, the amplitude data of the residual current and each user's load currents over a certain time should be collected to construct a sample set with a specified sampling rate when there arose an abnormal fluctuation in the residual current.</w:t>
      </w:r>
    </w:p>
    <w:p w14:paraId="32274BFB" w14:textId="77777777" w:rsidR="00870696" w:rsidRPr="00EE7F56" w:rsidRDefault="00870696" w:rsidP="00870696">
      <w:pPr>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Step2:</w:t>
      </w:r>
      <w:r w:rsidRPr="00EE7F56">
        <w:rPr>
          <w:rFonts w:ascii="Times New Roman" w:hAnsi="Times New Roman" w:cs="Times New Roman"/>
          <w:sz w:val="20"/>
          <w:szCs w:val="20"/>
        </w:rPr>
        <w:t xml:space="preserve"> Preprocess the obtained current data and calculate the VIF for each user's load current to assess multicollinearity among user current data. If VIF is less than 10, proceed to step 4. Otherwise, go to step 3.</w:t>
      </w:r>
    </w:p>
    <w:p w14:paraId="289AB9B2"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 xml:space="preserve">Step3: </w:t>
      </w:r>
      <w:r w:rsidRPr="00EE7F56">
        <w:rPr>
          <w:rFonts w:ascii="Times New Roman" w:hAnsi="Times New Roman" w:cs="Times New Roman"/>
          <w:sz w:val="20"/>
          <w:szCs w:val="20"/>
        </w:rPr>
        <w:t xml:space="preserve">If there is multicollinearity among the users' load currents, the stepwise regression algorithm should be applied to filter out the optimal users' load current that are most </w:t>
      </w:r>
      <w:r w:rsidRPr="00EE7F56">
        <w:rPr>
          <w:rFonts w:ascii="Times New Roman" w:hAnsi="Times New Roman" w:cs="Times New Roman"/>
          <w:sz w:val="20"/>
          <w:szCs w:val="20"/>
        </w:rPr>
        <w:t>strongly correlated with the abnormal residual current and are independent of each other.</w:t>
      </w:r>
    </w:p>
    <w:p w14:paraId="52D2AF84"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Step4:</w:t>
      </w:r>
      <w:r w:rsidRPr="00EE7F56">
        <w:rPr>
          <w:rFonts w:ascii="Times New Roman" w:hAnsi="Times New Roman" w:cs="Times New Roman"/>
          <w:sz w:val="20"/>
          <w:szCs w:val="20"/>
        </w:rPr>
        <w:t xml:space="preserve"> Construct a MLR equation, solve the weight coefficients of each user's load current, and perform model validation.</w:t>
      </w:r>
    </w:p>
    <w:p w14:paraId="77A42A39"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b/>
          <w:bCs/>
          <w:sz w:val="20"/>
          <w:szCs w:val="20"/>
        </w:rPr>
        <w:t xml:space="preserve">Step5: </w:t>
      </w:r>
      <w:r w:rsidRPr="00EE7F56">
        <w:rPr>
          <w:rFonts w:ascii="Times New Roman" w:hAnsi="Times New Roman" w:cs="Times New Roman"/>
          <w:sz w:val="20"/>
          <w:szCs w:val="20"/>
        </w:rPr>
        <w:t>Locate users with wiring fault based on the weight coefficients of the users' load current.</w:t>
      </w:r>
    </w:p>
    <w:p w14:paraId="6FF4D3A6"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A detailed flow chart of the location method for wiring fault user is shown in Fig. 5. </w:t>
      </w:r>
    </w:p>
    <w:p w14:paraId="1E688CC1" w14:textId="77777777" w:rsidR="00870696" w:rsidRPr="00EE7F56" w:rsidRDefault="00870696" w:rsidP="00870696">
      <w:pPr>
        <w:pStyle w:val="H1ListSpace"/>
        <w:ind w:left="280" w:hanging="280"/>
        <w:rPr>
          <w:rFonts w:ascii="Times New Roman" w:hAnsi="Times New Roman"/>
          <w:color w:val="auto"/>
        </w:rPr>
      </w:pPr>
      <w:r w:rsidRPr="00EE7F56">
        <w:rPr>
          <w:rFonts w:ascii="Times New Roman" w:hAnsi="Times New Roman"/>
          <w:color w:val="auto"/>
        </w:rPr>
        <w:t>Validation</w:t>
      </w:r>
    </w:p>
    <w:p w14:paraId="2BEC8EEC"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In this paper, the electrical data of load current and residual current is collected to validate the effectiveness of the proposed method, three study cases with different scenario of wiring fault are presented based on the</w:t>
      </w:r>
      <w:r w:rsidRPr="00EE7F56">
        <w:rPr>
          <w:rFonts w:ascii="Times New Roman" w:eastAsia="方正书宋简体" w:hAnsi="Times New Roman" w:cs="Times New Roman"/>
          <w:spacing w:val="2"/>
          <w:sz w:val="20"/>
          <w:szCs w:val="20"/>
        </w:rPr>
        <w:t xml:space="preserve"> electricity safety simulation </w:t>
      </w:r>
      <w:r w:rsidRPr="00EE7F56">
        <w:rPr>
          <w:rFonts w:ascii="Times New Roman" w:hAnsi="Times New Roman" w:cs="Times New Roman"/>
          <w:sz w:val="20"/>
          <w:szCs w:val="20"/>
        </w:rPr>
        <w:t>laboratory shown in Fig. 6.</w:t>
      </w:r>
    </w:p>
    <w:p w14:paraId="2D33C02A" w14:textId="77777777" w:rsidR="00870696" w:rsidRPr="00EE7F56" w:rsidRDefault="00870696" w:rsidP="00870696">
      <w:pPr>
        <w:autoSpaceDE w:val="0"/>
        <w:autoSpaceDN w:val="0"/>
        <w:adjustRightInd w:val="0"/>
        <w:spacing w:line="252" w:lineRule="auto"/>
        <w:ind w:firstLineChars="100" w:firstLine="210"/>
        <w:jc w:val="center"/>
        <w:rPr>
          <w:rFonts w:ascii="Times New Roman" w:hAnsi="Times New Roman" w:cs="Times New Roman"/>
          <w:sz w:val="20"/>
          <w:szCs w:val="20"/>
        </w:rPr>
      </w:pPr>
      <w:r w:rsidRPr="00EE7F56">
        <w:rPr>
          <w:rFonts w:ascii="Times New Roman" w:eastAsia="宋体" w:hAnsi="Times New Roman" w:cs="Times New Roman"/>
          <w:noProof/>
        </w:rPr>
        <w:drawing>
          <wp:inline distT="0" distB="0" distL="0" distR="0" wp14:anchorId="28DEE402" wp14:editId="09DDE7B0">
            <wp:extent cx="3060700" cy="2034540"/>
            <wp:effectExtent l="0" t="0" r="635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0700" cy="2034540"/>
                    </a:xfrm>
                    <a:prstGeom prst="rect">
                      <a:avLst/>
                    </a:prstGeom>
                    <a:noFill/>
                    <a:ln>
                      <a:noFill/>
                    </a:ln>
                  </pic:spPr>
                </pic:pic>
              </a:graphicData>
            </a:graphic>
          </wp:inline>
        </w:drawing>
      </w:r>
    </w:p>
    <w:p w14:paraId="355FC939"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Electricity safety simulation laboratory schematic diagram.</w:t>
      </w:r>
    </w:p>
    <w:p w14:paraId="36B771DD"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A TT grounding LVDS simulation laboratory that serving 80 low-voltage users, is used as an example LVDS to simulate a wiring fault scenario. The whole system consists of 8 user cabinet (simulating branch lines with multiple users), </w:t>
      </w:r>
      <w:proofErr w:type="gramStart"/>
      <w:r w:rsidRPr="00EE7F56">
        <w:rPr>
          <w:rFonts w:ascii="Times New Roman" w:hAnsi="Times New Roman" w:cs="Times New Roman"/>
          <w:sz w:val="20"/>
          <w:szCs w:val="20"/>
        </w:rPr>
        <w:t>7 line</w:t>
      </w:r>
      <w:proofErr w:type="gramEnd"/>
      <w:r w:rsidRPr="00EE7F56">
        <w:rPr>
          <w:rFonts w:ascii="Times New Roman" w:hAnsi="Times New Roman" w:cs="Times New Roman"/>
          <w:sz w:val="20"/>
          <w:szCs w:val="20"/>
        </w:rPr>
        <w:t xml:space="preserve"> length cabinet (simulating the actual power supply distance between branch line), and a communication cabinet (uploading user metering data and giving control instructions). Meanwhile, the total residual current of the LVDS and the load current for each user are recorded for subsequent analysis. In this example LVDS, the voltage level of the transformer is 0.4kV, the transformer capacity is 400KVA, and adjustable loads are used to simulate the electricity consumption of the users.</w:t>
      </w:r>
    </w:p>
    <w:p w14:paraId="3698032D"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The neutral line and the PE line of user 21 is set to be mis-wired in the user panel box when discussing the condition that there is only one anomaly user in the LVDS, and the user 1 and user 2 are set to suffer from wiring fault when discussing another condition that there are double anomaly users in the LVDS. The collected data of the load current of users and the residual current of the LVDS are recorded every 15 minutes within a day. And then those collected data is put into SPSS for MLR to locate wiring fault users.</w:t>
      </w:r>
    </w:p>
    <w:p w14:paraId="00BEB1AA" w14:textId="77777777" w:rsidR="00870696" w:rsidRPr="00EE7F56" w:rsidRDefault="00870696" w:rsidP="00870696">
      <w:pPr>
        <w:rPr>
          <w:rFonts w:ascii="Times New Roman" w:hAnsi="Times New Roman" w:cs="Times New Roman"/>
          <w:b/>
          <w:bCs/>
          <w:i/>
          <w:iCs/>
          <w:sz w:val="18"/>
          <w:szCs w:val="18"/>
          <w:lang w:val="x-none"/>
        </w:rPr>
      </w:pPr>
      <w:r w:rsidRPr="00EE7F56">
        <w:rPr>
          <w:rFonts w:ascii="Times New Roman" w:hAnsi="Times New Roman" w:cs="Times New Roman"/>
          <w:b/>
          <w:bCs/>
          <w:i/>
          <w:iCs/>
          <w:sz w:val="18"/>
          <w:szCs w:val="18"/>
          <w:lang w:val="x-none"/>
        </w:rPr>
        <w:t>A. Single User with Wiring Fault</w:t>
      </w:r>
    </w:p>
    <w:p w14:paraId="2EB271D8"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sz w:val="20"/>
          <w:szCs w:val="20"/>
        </w:rPr>
        <w:t xml:space="preserve">As mentioned above, there is only one wiring fault user </w:t>
      </w:r>
      <w:r w:rsidRPr="00EE7F56">
        <w:rPr>
          <w:rFonts w:ascii="Times New Roman" w:hAnsi="Times New Roman" w:cs="Times New Roman"/>
          <w:sz w:val="20"/>
          <w:szCs w:val="20"/>
        </w:rPr>
        <w:lastRenderedPageBreak/>
        <w:t>the user 21 in the simulated LVDS when the proposed method is applied to locate single user with wiring fault. According to Eq. (2), the residual current of the LVDS can be expressed as:</w:t>
      </w:r>
    </w:p>
    <w:p w14:paraId="0EC62FF5"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2180" w:dyaOrig="340" w14:anchorId="64D52034">
          <v:shape id="_x0000_i1059" type="#_x0000_t75" style="width:108.15pt;height:18.05pt" o:ole="">
            <v:imagedata r:id="rId80" o:title=""/>
          </v:shape>
          <o:OLEObject Type="Embed" ProgID="Equation.DSMT4" ShapeID="_x0000_i1059" DrawAspect="Content" ObjectID="_1793628051" r:id="rId81"/>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16</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642A89BB"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In general, users served by the same transformer have similar electricity behavior, so their load current fluctuation characteristics reflected a certain degree of similarity. Taking user 2 and user 4 as an example, their load current curves are shown in Fig. 7, where can be seen that two curves have a strong similarity in the fluctuation pattern. The electricity peak occurs from 6am~8am, 5pm~6pm, and 11 pm, which is also in accordance with lifestyle of residents.</w:t>
      </w:r>
    </w:p>
    <w:p w14:paraId="4EF2A436"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Therefore, it is necessary to determine the VIF of each load current of users, and the calculation value is shown as APPENDIX TABLE A1, where most users in the simulated LVDS have severe multicollinearity trouble.</w:t>
      </w:r>
    </w:p>
    <w:bookmarkStart w:id="31" w:name="OLE_LINK22"/>
    <w:p w14:paraId="4D928289" w14:textId="77777777" w:rsidR="00870696" w:rsidRPr="00EE7F56" w:rsidRDefault="00870696" w:rsidP="00870696">
      <w:pPr>
        <w:autoSpaceDE w:val="0"/>
        <w:autoSpaceDN w:val="0"/>
        <w:adjustRightInd w:val="0"/>
        <w:spacing w:line="252" w:lineRule="auto"/>
        <w:jc w:val="center"/>
        <w:rPr>
          <w:rFonts w:ascii="Times New Roman" w:hAnsi="Times New Roman" w:cs="Times New Roman"/>
          <w:sz w:val="20"/>
          <w:szCs w:val="20"/>
        </w:rPr>
      </w:pPr>
      <w:r w:rsidRPr="00EE7F56">
        <w:rPr>
          <w:rFonts w:ascii="Times New Roman" w:hAnsi="Times New Roman" w:cs="Times New Roman"/>
        </w:rPr>
        <w:object w:dxaOrig="4710" w:dyaOrig="3105" w14:anchorId="5F414687">
          <v:shape id="_x0000_i1060" type="#_x0000_t75" style="width:235.45pt;height:154.85pt" o:ole="">
            <v:imagedata r:id="rId82" o:title="" croptop="6850f"/>
          </v:shape>
          <o:OLEObject Type="Embed" ProgID="SigmaPlotGraphicObject.15" ShapeID="_x0000_i1060" DrawAspect="Content" ObjectID="_1793628052" r:id="rId83"/>
        </w:object>
      </w:r>
      <w:bookmarkEnd w:id="31"/>
    </w:p>
    <w:p w14:paraId="08A69039" w14:textId="77777777" w:rsidR="00870696" w:rsidRPr="00EE7F56" w:rsidRDefault="00870696" w:rsidP="00870696">
      <w:pPr>
        <w:pStyle w:val="FigCaption"/>
        <w:rPr>
          <w:rFonts w:ascii="Times New Roman" w:hAnsi="Times New Roman" w:cs="Times New Roman"/>
        </w:rPr>
      </w:pPr>
      <w:r w:rsidRPr="00EE7F56">
        <w:rPr>
          <w:rFonts w:ascii="Times New Roman" w:hAnsi="Times New Roman" w:cs="Times New Roman"/>
        </w:rPr>
        <w:t>Load current of two user 2 and user 4.</w:t>
      </w:r>
    </w:p>
    <w:p w14:paraId="78F79500"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sz w:val="20"/>
          <w:szCs w:val="20"/>
        </w:rPr>
        <w:t xml:space="preserve">To improve the reliability of the model, the time series of residual current is regarded as the dependent variable, which is denoted by symbol </w:t>
      </w:r>
      <w:r w:rsidRPr="00EE7F56">
        <w:rPr>
          <w:rFonts w:ascii="Times New Roman" w:hAnsi="Times New Roman" w:cs="Times New Roman"/>
          <w:i/>
          <w:iCs/>
          <w:sz w:val="20"/>
          <w:szCs w:val="20"/>
        </w:rPr>
        <w:t>I</w:t>
      </w:r>
      <w:r w:rsidRPr="00EE7F56">
        <w:rPr>
          <w:rFonts w:ascii="Times New Roman" w:hAnsi="Times New Roman" w:cs="Times New Roman"/>
          <w:i/>
          <w:iCs/>
          <w:sz w:val="20"/>
          <w:szCs w:val="20"/>
          <w:vertAlign w:val="subscript"/>
        </w:rPr>
        <w:t>R</w:t>
      </w:r>
      <w:r w:rsidRPr="00EE7F56">
        <w:rPr>
          <w:rFonts w:ascii="Times New Roman" w:hAnsi="Times New Roman" w:cs="Times New Roman"/>
          <w:i/>
          <w:iCs/>
          <w:sz w:val="20"/>
          <w:szCs w:val="20"/>
        </w:rPr>
        <w:t>.</w:t>
      </w:r>
      <w:r w:rsidRPr="00EE7F56">
        <w:rPr>
          <w:rFonts w:ascii="Times New Roman" w:hAnsi="Times New Roman" w:cs="Times New Roman"/>
          <w:sz w:val="20"/>
          <w:szCs w:val="20"/>
        </w:rPr>
        <w:t xml:space="preserve"> The time series of load current of users 1~80 is regarded as the independent variable and denoted by symbol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1~80</w:t>
      </w:r>
      <w:r w:rsidRPr="00EE7F56">
        <w:rPr>
          <w:rFonts w:ascii="Times New Roman" w:hAnsi="Times New Roman" w:cs="Times New Roman"/>
          <w:sz w:val="20"/>
          <w:szCs w:val="20"/>
        </w:rPr>
        <w:t xml:space="preserve">. The stepwise regression is applied to eliminate the independent variables causing multicollinearity trouble of the model and the optimal independent variables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17</w:t>
      </w:r>
      <w:r w:rsidRPr="00EE7F56">
        <w:rPr>
          <w:rFonts w:ascii="Times New Roman" w:hAnsi="Times New Roman" w:cs="Times New Roman"/>
          <w:sz w:val="20"/>
          <w:szCs w:val="20"/>
        </w:rPr>
        <w:t>,</w:t>
      </w:r>
      <w:r w:rsidRPr="00EE7F56">
        <w:rPr>
          <w:rFonts w:ascii="Times New Roman" w:hAnsi="Times New Roman" w:cs="Times New Roman"/>
          <w:i/>
          <w:iCs/>
          <w:sz w:val="20"/>
          <w:szCs w:val="20"/>
        </w:rPr>
        <w:t xml:space="preserve"> U</w:t>
      </w:r>
      <w:r w:rsidRPr="00EE7F56">
        <w:rPr>
          <w:rFonts w:ascii="Times New Roman" w:hAnsi="Times New Roman" w:cs="Times New Roman"/>
          <w:sz w:val="20"/>
          <w:szCs w:val="20"/>
          <w:vertAlign w:val="subscript"/>
        </w:rPr>
        <w:t>19</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21</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23</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28</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37</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48</w:t>
      </w:r>
      <w:r w:rsidRPr="00EE7F56">
        <w:rPr>
          <w:rFonts w:ascii="Times New Roman" w:hAnsi="Times New Roman" w:cs="Times New Roman"/>
          <w:sz w:val="20"/>
          <w:szCs w:val="20"/>
        </w:rPr>
        <w:t xml:space="preserve"> could be obtained. Taking these as independent variables and the time series of residual current of the LVDS as dependent variable, a new MLR model can be obtained as: </w:t>
      </w:r>
    </w:p>
    <w:p w14:paraId="4D1C06FA"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26"/>
          <w:sz w:val="20"/>
          <w:szCs w:val="20"/>
        </w:rPr>
        <w:object w:dxaOrig="3120" w:dyaOrig="620" w14:anchorId="663B8880">
          <v:shape id="_x0000_i1061" type="#_x0000_t75" style="width:155.7pt;height:30pt" o:ole="">
            <v:imagedata r:id="rId84" o:title=""/>
          </v:shape>
          <o:OLEObject Type="Embed" ProgID="Equation.DSMT4" ShapeID="_x0000_i1061" DrawAspect="Content" ObjectID="_1793628053" r:id="rId85"/>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17</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474486E7"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goodness of fit test results for the new MLR model are presented in Table I, where the determination coefficient </w:t>
      </w:r>
      <w:r w:rsidRPr="00EE7F56">
        <w:rPr>
          <w:rFonts w:ascii="Times New Roman" w:hAnsi="Times New Roman" w:cs="Times New Roman"/>
          <w:i/>
          <w:iCs/>
          <w:sz w:val="20"/>
          <w:szCs w:val="20"/>
        </w:rPr>
        <w:t>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xml:space="preserve"> is 1.000, and the standard error (Std-Error) is only 0.0094. This indicates that the new MLR model has an excellent reliability. Then setting the significance level of 0.05, the results of analysis variance showed that </w:t>
      </w:r>
      <w:r w:rsidRPr="00EE7F56">
        <w:rPr>
          <w:rFonts w:ascii="Times New Roman" w:hAnsi="Times New Roman" w:cs="Times New Roman"/>
          <w:i/>
          <w:iCs/>
          <w:sz w:val="20"/>
          <w:szCs w:val="20"/>
        </w:rPr>
        <w:t>F</w:t>
      </w:r>
      <w:r w:rsidRPr="00EE7F56">
        <w:rPr>
          <w:rFonts w:ascii="Times New Roman" w:hAnsi="Times New Roman" w:cs="Times New Roman"/>
          <w:sz w:val="20"/>
          <w:szCs w:val="20"/>
        </w:rPr>
        <w:t>=3779459.993, and the calculated result of the significance level (</w:t>
      </w:r>
      <w:r w:rsidRPr="00EE7F56">
        <w:rPr>
          <w:rFonts w:ascii="Times New Roman" w:hAnsi="Times New Roman" w:cs="Times New Roman"/>
          <w:i/>
          <w:iCs/>
          <w:sz w:val="20"/>
          <w:szCs w:val="20"/>
        </w:rPr>
        <w:t>P</w:t>
      </w:r>
      <w:r w:rsidRPr="00EE7F56">
        <w:rPr>
          <w:rFonts w:ascii="Times New Roman" w:hAnsi="Times New Roman" w:cs="Times New Roman"/>
          <w:sz w:val="20"/>
          <w:szCs w:val="20"/>
        </w:rPr>
        <w:t xml:space="preserve">) =0.000 ≤ 0.05. The analysis of variance (ANOVA) details </w:t>
      </w:r>
      <w:proofErr w:type="gramStart"/>
      <w:r w:rsidRPr="00EE7F56">
        <w:rPr>
          <w:rFonts w:ascii="Times New Roman" w:hAnsi="Times New Roman" w:cs="Times New Roman"/>
          <w:sz w:val="20"/>
          <w:szCs w:val="20"/>
        </w:rPr>
        <w:t>are</w:t>
      </w:r>
      <w:proofErr w:type="gramEnd"/>
      <w:r w:rsidRPr="00EE7F56">
        <w:rPr>
          <w:rFonts w:ascii="Times New Roman" w:hAnsi="Times New Roman" w:cs="Times New Roman"/>
          <w:sz w:val="20"/>
          <w:szCs w:val="20"/>
        </w:rPr>
        <w:t xml:space="preserve"> shown in Table II.</w:t>
      </w:r>
    </w:p>
    <w:p w14:paraId="2AF81CD8" w14:textId="77777777" w:rsidR="00870696" w:rsidRPr="00EE7F56" w:rsidRDefault="00870696" w:rsidP="00870696">
      <w:pPr>
        <w:rPr>
          <w:rFonts w:ascii="Times New Roman" w:hAnsi="Times New Roman" w:cs="Times New Roman"/>
          <w:szCs w:val="16"/>
        </w:rPr>
      </w:pPr>
    </w:p>
    <w:p w14:paraId="0B77448B" w14:textId="77777777" w:rsidR="00870696" w:rsidRPr="00EE7F56" w:rsidRDefault="00870696" w:rsidP="00870696">
      <w:pPr>
        <w:pStyle w:val="TableTitle"/>
      </w:pPr>
      <w:r w:rsidRPr="00EE7F56">
        <w:t>TABLE I</w:t>
      </w:r>
    </w:p>
    <w:p w14:paraId="798D3334" w14:textId="77777777" w:rsidR="00870696" w:rsidRPr="00EE7F56" w:rsidRDefault="00870696" w:rsidP="00870696">
      <w:pPr>
        <w:pStyle w:val="TableTitle"/>
      </w:pPr>
      <w:r w:rsidRPr="00EE7F56">
        <w:t>Goodness-of-fit test</w:t>
      </w:r>
    </w:p>
    <w:tbl>
      <w:tblPr>
        <w:tblW w:w="0" w:type="auto"/>
        <w:jc w:val="center"/>
        <w:tblBorders>
          <w:top w:val="single" w:sz="12" w:space="0" w:color="auto"/>
          <w:bottom w:val="single" w:sz="12" w:space="0" w:color="auto"/>
          <w:insideH w:val="single" w:sz="4" w:space="0" w:color="auto"/>
        </w:tblBorders>
        <w:tblLook w:val="04A0" w:firstRow="1" w:lastRow="0" w:firstColumn="1" w:lastColumn="0" w:noHBand="0" w:noVBand="1"/>
      </w:tblPr>
      <w:tblGrid>
        <w:gridCol w:w="526"/>
        <w:gridCol w:w="708"/>
        <w:gridCol w:w="1293"/>
        <w:gridCol w:w="1958"/>
      </w:tblGrid>
      <w:tr w:rsidR="00EE7F56" w:rsidRPr="00EE7F56" w14:paraId="05F512AD" w14:textId="77777777" w:rsidTr="00927269">
        <w:trPr>
          <w:trHeight w:val="20"/>
          <w:jc w:val="center"/>
        </w:trPr>
        <w:tc>
          <w:tcPr>
            <w:tcW w:w="284" w:type="dxa"/>
            <w:vAlign w:val="center"/>
          </w:tcPr>
          <w:p w14:paraId="38F24043" w14:textId="77777777" w:rsidR="00870696" w:rsidRPr="00EE7F56" w:rsidRDefault="00870696" w:rsidP="00927269">
            <w:pPr>
              <w:ind w:leftChars="-50" w:left="-105" w:rightChars="-50" w:right="-105"/>
              <w:jc w:val="center"/>
              <w:outlineLvl w:val="2"/>
              <w:rPr>
                <w:rFonts w:ascii="Times New Roman" w:hAnsi="Times New Roman" w:cs="Times New Roman"/>
                <w:i/>
                <w:iCs/>
                <w:sz w:val="16"/>
                <w:szCs w:val="16"/>
              </w:rPr>
            </w:pPr>
            <w:r w:rsidRPr="00EE7F56">
              <w:rPr>
                <w:rFonts w:ascii="Times New Roman" w:hAnsi="Times New Roman" w:cs="Times New Roman"/>
                <w:i/>
                <w:iCs/>
                <w:sz w:val="16"/>
                <w:szCs w:val="16"/>
              </w:rPr>
              <w:t>R</w:t>
            </w:r>
          </w:p>
        </w:tc>
        <w:tc>
          <w:tcPr>
            <w:tcW w:w="708" w:type="dxa"/>
            <w:vAlign w:val="center"/>
          </w:tcPr>
          <w:p w14:paraId="4098133F" w14:textId="77777777" w:rsidR="00870696" w:rsidRPr="00EE7F56" w:rsidRDefault="00870696" w:rsidP="00927269">
            <w:pPr>
              <w:ind w:leftChars="-50" w:left="-105" w:rightChars="-50" w:right="-105"/>
              <w:jc w:val="center"/>
              <w:outlineLvl w:val="2"/>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p>
        </w:tc>
        <w:tc>
          <w:tcPr>
            <w:tcW w:w="1293" w:type="dxa"/>
            <w:vAlign w:val="center"/>
            <w:hideMark/>
          </w:tcPr>
          <w:p w14:paraId="2527279D" w14:textId="77777777" w:rsidR="00870696" w:rsidRPr="00EE7F56" w:rsidRDefault="00870696" w:rsidP="00927269">
            <w:pPr>
              <w:ind w:leftChars="-50" w:left="-105" w:rightChars="-50" w:right="-105"/>
              <w:jc w:val="center"/>
              <w:outlineLvl w:val="2"/>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r w:rsidRPr="00EE7F56">
              <w:rPr>
                <w:rFonts w:ascii="Times New Roman" w:hAnsi="Times New Roman" w:cs="Times New Roman"/>
                <w:i/>
                <w:iCs/>
                <w:sz w:val="16"/>
                <w:szCs w:val="16"/>
              </w:rPr>
              <w:t>-Adjusted</w:t>
            </w:r>
          </w:p>
        </w:tc>
        <w:tc>
          <w:tcPr>
            <w:tcW w:w="1958" w:type="dxa"/>
            <w:vAlign w:val="center"/>
            <w:hideMark/>
          </w:tcPr>
          <w:p w14:paraId="6A276FB3" w14:textId="77777777" w:rsidR="00870696" w:rsidRPr="00EE7F56" w:rsidRDefault="00870696" w:rsidP="00927269">
            <w:pPr>
              <w:ind w:leftChars="-50" w:left="-105" w:rightChars="-50" w:right="-105"/>
              <w:jc w:val="center"/>
              <w:outlineLvl w:val="2"/>
              <w:rPr>
                <w:rFonts w:ascii="Times New Roman" w:hAnsi="Times New Roman" w:cs="Times New Roman"/>
                <w:i/>
                <w:iCs/>
                <w:sz w:val="16"/>
                <w:szCs w:val="16"/>
              </w:rPr>
            </w:pPr>
            <w:r w:rsidRPr="00EE7F56">
              <w:rPr>
                <w:rFonts w:ascii="Times New Roman" w:hAnsi="Times New Roman" w:cs="Times New Roman"/>
                <w:i/>
                <w:iCs/>
                <w:sz w:val="16"/>
                <w:szCs w:val="16"/>
              </w:rPr>
              <w:t>Std-Error</w:t>
            </w:r>
          </w:p>
        </w:tc>
      </w:tr>
      <w:tr w:rsidR="00870696" w:rsidRPr="00EE7F56" w14:paraId="103B770C" w14:textId="77777777" w:rsidTr="00927269">
        <w:trPr>
          <w:trHeight w:val="20"/>
          <w:jc w:val="center"/>
        </w:trPr>
        <w:tc>
          <w:tcPr>
            <w:tcW w:w="284" w:type="dxa"/>
          </w:tcPr>
          <w:p w14:paraId="25DA38DD" w14:textId="77777777" w:rsidR="00870696" w:rsidRPr="00EE7F56" w:rsidRDefault="00870696" w:rsidP="00927269">
            <w:pPr>
              <w:ind w:left="-50" w:right="-50"/>
              <w:jc w:val="center"/>
              <w:outlineLvl w:val="2"/>
              <w:rPr>
                <w:rFonts w:ascii="Times New Roman" w:hAnsi="Times New Roman" w:cs="Times New Roman"/>
                <w:sz w:val="16"/>
                <w:szCs w:val="16"/>
              </w:rPr>
            </w:pPr>
            <w:r w:rsidRPr="00EE7F56">
              <w:rPr>
                <w:rFonts w:ascii="Times New Roman" w:hAnsi="Times New Roman" w:cs="Times New Roman"/>
                <w:sz w:val="16"/>
                <w:szCs w:val="16"/>
              </w:rPr>
              <w:t>1.000</w:t>
            </w:r>
          </w:p>
        </w:tc>
        <w:tc>
          <w:tcPr>
            <w:tcW w:w="708" w:type="dxa"/>
            <w:vAlign w:val="center"/>
            <w:hideMark/>
          </w:tcPr>
          <w:p w14:paraId="3FC42ABC" w14:textId="77777777" w:rsidR="00870696" w:rsidRPr="00EE7F56" w:rsidRDefault="00870696" w:rsidP="00927269">
            <w:pPr>
              <w:ind w:leftChars="-50" w:left="-105" w:rightChars="-50" w:right="-105"/>
              <w:jc w:val="center"/>
              <w:outlineLvl w:val="2"/>
              <w:rPr>
                <w:rFonts w:ascii="Times New Roman" w:hAnsi="Times New Roman" w:cs="Times New Roman"/>
                <w:sz w:val="16"/>
                <w:szCs w:val="16"/>
              </w:rPr>
            </w:pPr>
            <w:r w:rsidRPr="00EE7F56">
              <w:rPr>
                <w:rFonts w:ascii="Times New Roman" w:hAnsi="Times New Roman" w:cs="Times New Roman"/>
                <w:sz w:val="16"/>
                <w:szCs w:val="16"/>
              </w:rPr>
              <w:t>1.000</w:t>
            </w:r>
          </w:p>
        </w:tc>
        <w:tc>
          <w:tcPr>
            <w:tcW w:w="1293" w:type="dxa"/>
            <w:vAlign w:val="center"/>
            <w:hideMark/>
          </w:tcPr>
          <w:p w14:paraId="63A84DD4" w14:textId="77777777" w:rsidR="00870696" w:rsidRPr="00EE7F56" w:rsidRDefault="00870696" w:rsidP="00927269">
            <w:pPr>
              <w:ind w:left="-50" w:right="-50"/>
              <w:jc w:val="center"/>
              <w:outlineLvl w:val="2"/>
              <w:rPr>
                <w:rFonts w:ascii="Times New Roman" w:hAnsi="Times New Roman" w:cs="Times New Roman"/>
                <w:sz w:val="16"/>
                <w:szCs w:val="16"/>
              </w:rPr>
            </w:pPr>
            <w:r w:rsidRPr="00EE7F56">
              <w:rPr>
                <w:rFonts w:ascii="Times New Roman" w:hAnsi="Times New Roman" w:cs="Times New Roman"/>
                <w:sz w:val="16"/>
                <w:szCs w:val="16"/>
              </w:rPr>
              <w:t>1.000</w:t>
            </w:r>
          </w:p>
        </w:tc>
        <w:tc>
          <w:tcPr>
            <w:tcW w:w="1958" w:type="dxa"/>
            <w:vAlign w:val="center"/>
            <w:hideMark/>
          </w:tcPr>
          <w:p w14:paraId="4ABEAE8F" w14:textId="77777777" w:rsidR="00870696" w:rsidRPr="00EE7F56" w:rsidRDefault="00870696" w:rsidP="00927269">
            <w:pPr>
              <w:ind w:left="-50" w:right="-50"/>
              <w:jc w:val="center"/>
              <w:outlineLvl w:val="2"/>
              <w:rPr>
                <w:rFonts w:ascii="Times New Roman" w:hAnsi="Times New Roman" w:cs="Times New Roman"/>
                <w:sz w:val="16"/>
                <w:szCs w:val="16"/>
              </w:rPr>
            </w:pPr>
            <w:r w:rsidRPr="00EE7F56">
              <w:rPr>
                <w:rFonts w:ascii="Times New Roman" w:hAnsi="Times New Roman" w:cs="Times New Roman"/>
                <w:sz w:val="16"/>
                <w:szCs w:val="16"/>
              </w:rPr>
              <w:t>0.0094</w:t>
            </w:r>
          </w:p>
        </w:tc>
      </w:tr>
    </w:tbl>
    <w:p w14:paraId="5452CBB1" w14:textId="77777777" w:rsidR="00870696" w:rsidRPr="00EE7F56" w:rsidRDefault="00870696" w:rsidP="00870696">
      <w:pPr>
        <w:rPr>
          <w:rFonts w:ascii="Times New Roman" w:hAnsi="Times New Roman" w:cs="Times New Roman"/>
          <w:szCs w:val="16"/>
        </w:rPr>
      </w:pPr>
    </w:p>
    <w:p w14:paraId="075D3852" w14:textId="77777777" w:rsidR="00870696" w:rsidRPr="00EE7F56" w:rsidRDefault="00870696" w:rsidP="00870696">
      <w:pPr>
        <w:pStyle w:val="TableTitle"/>
      </w:pPr>
      <w:r w:rsidRPr="00EE7F56">
        <w:t>TABLE II</w:t>
      </w:r>
    </w:p>
    <w:p w14:paraId="1E464E4D" w14:textId="77777777" w:rsidR="00870696" w:rsidRPr="00EE7F56" w:rsidRDefault="00870696" w:rsidP="00870696">
      <w:pPr>
        <w:pStyle w:val="TableTitle"/>
      </w:pPr>
      <w:r w:rsidRPr="00EE7F56">
        <w:t>ANOVA results of-MLR model</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66"/>
        <w:gridCol w:w="992"/>
        <w:gridCol w:w="992"/>
        <w:gridCol w:w="709"/>
        <w:gridCol w:w="709"/>
        <w:gridCol w:w="518"/>
      </w:tblGrid>
      <w:tr w:rsidR="00EE7F56" w:rsidRPr="00EE7F56" w14:paraId="571C48FE" w14:textId="77777777" w:rsidTr="00927269">
        <w:trPr>
          <w:trHeight w:val="20"/>
          <w:jc w:val="center"/>
        </w:trPr>
        <w:tc>
          <w:tcPr>
            <w:tcW w:w="866" w:type="dxa"/>
            <w:tcBorders>
              <w:top w:val="single" w:sz="12" w:space="0" w:color="auto"/>
            </w:tcBorders>
            <w:vAlign w:val="center"/>
            <w:hideMark/>
          </w:tcPr>
          <w:p w14:paraId="0A368F68" w14:textId="77777777" w:rsidR="00870696" w:rsidRPr="00EE7F56" w:rsidRDefault="00870696" w:rsidP="00927269">
            <w:pPr>
              <w:ind w:leftChars="-100" w:left="-210" w:rightChars="-100" w:right="-210"/>
              <w:jc w:val="center"/>
              <w:rPr>
                <w:rFonts w:ascii="Times New Roman" w:hAnsi="Times New Roman" w:cs="Times New Roman"/>
                <w:sz w:val="16"/>
                <w:szCs w:val="16"/>
              </w:rPr>
            </w:pPr>
            <w:r w:rsidRPr="00EE7F56">
              <w:rPr>
                <w:rFonts w:ascii="Times New Roman" w:hAnsi="Times New Roman" w:cs="Times New Roman"/>
                <w:sz w:val="16"/>
                <w:szCs w:val="16"/>
              </w:rPr>
              <w:t>Statistic</w:t>
            </w:r>
          </w:p>
        </w:tc>
        <w:tc>
          <w:tcPr>
            <w:tcW w:w="992" w:type="dxa"/>
            <w:tcBorders>
              <w:top w:val="single" w:sz="12" w:space="0" w:color="auto"/>
            </w:tcBorders>
            <w:vAlign w:val="center"/>
            <w:hideMark/>
          </w:tcPr>
          <w:p w14:paraId="6A283B6E" w14:textId="77777777" w:rsidR="00870696" w:rsidRPr="00EE7F56" w:rsidRDefault="00870696" w:rsidP="00927269">
            <w:pPr>
              <w:ind w:leftChars="-100" w:left="-210" w:rightChars="-100" w:right="-210"/>
              <w:jc w:val="center"/>
              <w:rPr>
                <w:rFonts w:ascii="Times New Roman" w:hAnsi="Times New Roman" w:cs="Times New Roman"/>
                <w:sz w:val="16"/>
                <w:szCs w:val="16"/>
              </w:rPr>
            </w:pPr>
            <w:r w:rsidRPr="00EE7F56">
              <w:rPr>
                <w:rFonts w:ascii="Times New Roman" w:hAnsi="Times New Roman" w:cs="Times New Roman"/>
                <w:sz w:val="16"/>
                <w:szCs w:val="16"/>
              </w:rPr>
              <w:t>Sum of Squares</w:t>
            </w:r>
          </w:p>
        </w:tc>
        <w:tc>
          <w:tcPr>
            <w:tcW w:w="992" w:type="dxa"/>
            <w:tcBorders>
              <w:top w:val="single" w:sz="12" w:space="0" w:color="auto"/>
            </w:tcBorders>
            <w:vAlign w:val="center"/>
            <w:hideMark/>
          </w:tcPr>
          <w:p w14:paraId="247CE313" w14:textId="77777777" w:rsidR="00870696" w:rsidRPr="00EE7F56" w:rsidRDefault="00870696" w:rsidP="00927269">
            <w:pPr>
              <w:ind w:leftChars="-100" w:left="-210" w:rightChars="-100" w:right="-210"/>
              <w:jc w:val="center"/>
              <w:rPr>
                <w:rFonts w:ascii="Times New Roman" w:hAnsi="Times New Roman" w:cs="Times New Roman"/>
                <w:sz w:val="16"/>
                <w:szCs w:val="16"/>
              </w:rPr>
            </w:pPr>
            <w:r w:rsidRPr="00EE7F56">
              <w:rPr>
                <w:rFonts w:ascii="Times New Roman" w:hAnsi="Times New Roman" w:cs="Times New Roman"/>
                <w:sz w:val="16"/>
                <w:szCs w:val="16"/>
              </w:rPr>
              <w:t>Degrees of Freedom</w:t>
            </w:r>
          </w:p>
        </w:tc>
        <w:tc>
          <w:tcPr>
            <w:tcW w:w="709" w:type="dxa"/>
            <w:tcBorders>
              <w:top w:val="single" w:sz="12" w:space="0" w:color="auto"/>
            </w:tcBorders>
            <w:vAlign w:val="center"/>
            <w:hideMark/>
          </w:tcPr>
          <w:p w14:paraId="662009E5" w14:textId="77777777" w:rsidR="00870696" w:rsidRPr="00EE7F56" w:rsidRDefault="00870696" w:rsidP="00927269">
            <w:pPr>
              <w:ind w:leftChars="-100" w:left="-210" w:rightChars="-100" w:right="-210"/>
              <w:jc w:val="center"/>
              <w:rPr>
                <w:rFonts w:ascii="Times New Roman" w:hAnsi="Times New Roman" w:cs="Times New Roman"/>
                <w:sz w:val="16"/>
                <w:szCs w:val="16"/>
              </w:rPr>
            </w:pPr>
            <w:r w:rsidRPr="00EE7F56">
              <w:rPr>
                <w:rFonts w:ascii="Times New Roman" w:hAnsi="Times New Roman" w:cs="Times New Roman"/>
                <w:sz w:val="16"/>
                <w:szCs w:val="16"/>
              </w:rPr>
              <w:t>Mean</w:t>
            </w:r>
          </w:p>
          <w:p w14:paraId="762886A8" w14:textId="77777777" w:rsidR="00870696" w:rsidRPr="00EE7F56" w:rsidRDefault="00870696" w:rsidP="00927269">
            <w:pPr>
              <w:ind w:leftChars="-100" w:left="-210" w:rightChars="-100" w:right="-210"/>
              <w:jc w:val="center"/>
              <w:rPr>
                <w:rFonts w:ascii="Times New Roman" w:hAnsi="Times New Roman" w:cs="Times New Roman"/>
                <w:sz w:val="16"/>
                <w:szCs w:val="16"/>
              </w:rPr>
            </w:pPr>
            <w:r w:rsidRPr="00EE7F56">
              <w:rPr>
                <w:rFonts w:ascii="Times New Roman" w:hAnsi="Times New Roman" w:cs="Times New Roman"/>
                <w:sz w:val="16"/>
                <w:szCs w:val="16"/>
              </w:rPr>
              <w:t>square</w:t>
            </w:r>
          </w:p>
        </w:tc>
        <w:tc>
          <w:tcPr>
            <w:tcW w:w="709" w:type="dxa"/>
            <w:tcBorders>
              <w:top w:val="single" w:sz="12" w:space="0" w:color="auto"/>
            </w:tcBorders>
            <w:vAlign w:val="center"/>
            <w:hideMark/>
          </w:tcPr>
          <w:p w14:paraId="0BC2CD86" w14:textId="77777777" w:rsidR="00870696" w:rsidRPr="00EE7F56" w:rsidRDefault="00870696" w:rsidP="00927269">
            <w:pPr>
              <w:ind w:leftChars="-100" w:left="-210" w:rightChars="-100" w:right="-210"/>
              <w:jc w:val="center"/>
              <w:rPr>
                <w:rFonts w:ascii="Times New Roman" w:hAnsi="Times New Roman" w:cs="Times New Roman"/>
                <w:i/>
                <w:iCs/>
                <w:sz w:val="16"/>
                <w:szCs w:val="16"/>
              </w:rPr>
            </w:pPr>
            <w:r w:rsidRPr="00EE7F56">
              <w:rPr>
                <w:rFonts w:ascii="Times New Roman" w:hAnsi="Times New Roman" w:cs="Times New Roman"/>
                <w:i/>
                <w:iCs/>
                <w:sz w:val="16"/>
                <w:szCs w:val="16"/>
              </w:rPr>
              <w:t>F</w:t>
            </w:r>
          </w:p>
        </w:tc>
        <w:tc>
          <w:tcPr>
            <w:tcW w:w="518" w:type="dxa"/>
            <w:tcBorders>
              <w:top w:val="single" w:sz="12" w:space="0" w:color="auto"/>
            </w:tcBorders>
            <w:vAlign w:val="center"/>
            <w:hideMark/>
          </w:tcPr>
          <w:p w14:paraId="4B535623" w14:textId="77777777" w:rsidR="00870696" w:rsidRPr="00EE7F56" w:rsidRDefault="00870696" w:rsidP="00927269">
            <w:pPr>
              <w:ind w:leftChars="-100" w:left="-210" w:rightChars="-100" w:right="-210"/>
              <w:jc w:val="center"/>
              <w:rPr>
                <w:rFonts w:ascii="Times New Roman" w:hAnsi="Times New Roman" w:cs="Times New Roman"/>
                <w:i/>
                <w:iCs/>
                <w:sz w:val="16"/>
                <w:szCs w:val="16"/>
              </w:rPr>
            </w:pPr>
            <w:r w:rsidRPr="00EE7F56">
              <w:rPr>
                <w:rFonts w:ascii="Times New Roman" w:hAnsi="Times New Roman" w:cs="Times New Roman"/>
                <w:i/>
                <w:iCs/>
                <w:sz w:val="16"/>
                <w:szCs w:val="16"/>
              </w:rPr>
              <w:t>P</w:t>
            </w:r>
          </w:p>
        </w:tc>
      </w:tr>
      <w:tr w:rsidR="00EE7F56" w:rsidRPr="00EE7F56" w14:paraId="2F948A53" w14:textId="77777777" w:rsidTr="00927269">
        <w:trPr>
          <w:trHeight w:val="20"/>
          <w:jc w:val="center"/>
        </w:trPr>
        <w:tc>
          <w:tcPr>
            <w:tcW w:w="866" w:type="dxa"/>
            <w:vAlign w:val="center"/>
            <w:hideMark/>
          </w:tcPr>
          <w:p w14:paraId="73290EAA"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Regression</w:t>
            </w:r>
          </w:p>
        </w:tc>
        <w:tc>
          <w:tcPr>
            <w:tcW w:w="992" w:type="dxa"/>
            <w:vAlign w:val="center"/>
            <w:hideMark/>
          </w:tcPr>
          <w:p w14:paraId="09247A29"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2351.064</w:t>
            </w:r>
          </w:p>
        </w:tc>
        <w:tc>
          <w:tcPr>
            <w:tcW w:w="992" w:type="dxa"/>
            <w:vAlign w:val="center"/>
            <w:hideMark/>
          </w:tcPr>
          <w:p w14:paraId="576F27AC"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7</w:t>
            </w:r>
          </w:p>
        </w:tc>
        <w:tc>
          <w:tcPr>
            <w:tcW w:w="709" w:type="dxa"/>
            <w:vAlign w:val="center"/>
            <w:hideMark/>
          </w:tcPr>
          <w:p w14:paraId="5E51D4D6"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335.866</w:t>
            </w:r>
          </w:p>
        </w:tc>
        <w:tc>
          <w:tcPr>
            <w:tcW w:w="709" w:type="dxa"/>
            <w:vAlign w:val="center"/>
            <w:hideMark/>
          </w:tcPr>
          <w:p w14:paraId="045F1067"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37794</w:t>
            </w:r>
          </w:p>
          <w:p w14:paraId="4E050028"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59.993</w:t>
            </w:r>
          </w:p>
        </w:tc>
        <w:tc>
          <w:tcPr>
            <w:tcW w:w="518" w:type="dxa"/>
            <w:vAlign w:val="center"/>
            <w:hideMark/>
          </w:tcPr>
          <w:p w14:paraId="30E3D5F9"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0.000</w:t>
            </w:r>
          </w:p>
        </w:tc>
      </w:tr>
      <w:tr w:rsidR="00EE7F56" w:rsidRPr="00EE7F56" w14:paraId="1A5046A4" w14:textId="77777777" w:rsidTr="00927269">
        <w:trPr>
          <w:trHeight w:val="20"/>
          <w:jc w:val="center"/>
        </w:trPr>
        <w:tc>
          <w:tcPr>
            <w:tcW w:w="866" w:type="dxa"/>
            <w:tcBorders>
              <w:bottom w:val="single" w:sz="4" w:space="0" w:color="auto"/>
            </w:tcBorders>
            <w:vAlign w:val="center"/>
            <w:hideMark/>
          </w:tcPr>
          <w:p w14:paraId="708B55F6"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Residuals</w:t>
            </w:r>
          </w:p>
        </w:tc>
        <w:tc>
          <w:tcPr>
            <w:tcW w:w="992" w:type="dxa"/>
            <w:tcBorders>
              <w:bottom w:val="single" w:sz="4" w:space="0" w:color="auto"/>
            </w:tcBorders>
            <w:vAlign w:val="center"/>
            <w:hideMark/>
          </w:tcPr>
          <w:p w14:paraId="2C6DA6F8"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0.008</w:t>
            </w:r>
          </w:p>
        </w:tc>
        <w:tc>
          <w:tcPr>
            <w:tcW w:w="992" w:type="dxa"/>
            <w:tcBorders>
              <w:bottom w:val="single" w:sz="4" w:space="0" w:color="auto"/>
            </w:tcBorders>
            <w:vAlign w:val="center"/>
            <w:hideMark/>
          </w:tcPr>
          <w:p w14:paraId="05AB417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88</w:t>
            </w:r>
          </w:p>
        </w:tc>
        <w:tc>
          <w:tcPr>
            <w:tcW w:w="709" w:type="dxa"/>
            <w:tcBorders>
              <w:bottom w:val="single" w:sz="4" w:space="0" w:color="auto"/>
            </w:tcBorders>
            <w:vAlign w:val="center"/>
            <w:hideMark/>
          </w:tcPr>
          <w:p w14:paraId="15FAABF3"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0.000</w:t>
            </w:r>
          </w:p>
        </w:tc>
        <w:tc>
          <w:tcPr>
            <w:tcW w:w="709" w:type="dxa"/>
            <w:tcBorders>
              <w:bottom w:val="single" w:sz="4" w:space="0" w:color="auto"/>
            </w:tcBorders>
            <w:vAlign w:val="center"/>
            <w:hideMark/>
          </w:tcPr>
          <w:p w14:paraId="4CA3549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518" w:type="dxa"/>
            <w:tcBorders>
              <w:bottom w:val="single" w:sz="4" w:space="0" w:color="auto"/>
            </w:tcBorders>
            <w:vAlign w:val="center"/>
            <w:hideMark/>
          </w:tcPr>
          <w:p w14:paraId="30F0A0A9"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r w:rsidR="00EE7F56" w:rsidRPr="00EE7F56" w14:paraId="253EFFFD" w14:textId="77777777" w:rsidTr="00927269">
        <w:trPr>
          <w:trHeight w:val="20"/>
          <w:jc w:val="center"/>
        </w:trPr>
        <w:tc>
          <w:tcPr>
            <w:tcW w:w="866" w:type="dxa"/>
            <w:tcBorders>
              <w:bottom w:val="single" w:sz="12" w:space="0" w:color="auto"/>
            </w:tcBorders>
            <w:vAlign w:val="center"/>
            <w:hideMark/>
          </w:tcPr>
          <w:p w14:paraId="14B2D3DA"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Sum</w:t>
            </w:r>
          </w:p>
        </w:tc>
        <w:tc>
          <w:tcPr>
            <w:tcW w:w="992" w:type="dxa"/>
            <w:tcBorders>
              <w:bottom w:val="single" w:sz="12" w:space="0" w:color="auto"/>
            </w:tcBorders>
            <w:vAlign w:val="center"/>
            <w:hideMark/>
          </w:tcPr>
          <w:p w14:paraId="2B76169B"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2351.072</w:t>
            </w:r>
          </w:p>
        </w:tc>
        <w:tc>
          <w:tcPr>
            <w:tcW w:w="992" w:type="dxa"/>
            <w:tcBorders>
              <w:bottom w:val="single" w:sz="12" w:space="0" w:color="auto"/>
            </w:tcBorders>
            <w:vAlign w:val="center"/>
            <w:hideMark/>
          </w:tcPr>
          <w:p w14:paraId="6C4E0BE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95</w:t>
            </w:r>
          </w:p>
        </w:tc>
        <w:tc>
          <w:tcPr>
            <w:tcW w:w="709" w:type="dxa"/>
            <w:tcBorders>
              <w:bottom w:val="single" w:sz="12" w:space="0" w:color="auto"/>
            </w:tcBorders>
            <w:vAlign w:val="center"/>
            <w:hideMark/>
          </w:tcPr>
          <w:p w14:paraId="092C783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709" w:type="dxa"/>
            <w:tcBorders>
              <w:bottom w:val="single" w:sz="12" w:space="0" w:color="auto"/>
            </w:tcBorders>
            <w:vAlign w:val="center"/>
            <w:hideMark/>
          </w:tcPr>
          <w:p w14:paraId="0A0C85D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518" w:type="dxa"/>
            <w:tcBorders>
              <w:bottom w:val="single" w:sz="12" w:space="0" w:color="auto"/>
            </w:tcBorders>
            <w:vAlign w:val="center"/>
            <w:hideMark/>
          </w:tcPr>
          <w:p w14:paraId="1D782563"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bl>
    <w:p w14:paraId="7CEF4926"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regression equation indicates a significant linear relationship between the independent variables included in the model and the residual current of the LVDS. This conclusion can be drawn after the successful </w:t>
      </w:r>
      <w:r w:rsidRPr="00EE7F56">
        <w:rPr>
          <w:rFonts w:ascii="Times New Roman" w:hAnsi="Times New Roman" w:cs="Times New Roman"/>
          <w:i/>
          <w:sz w:val="20"/>
          <w:szCs w:val="20"/>
        </w:rPr>
        <w:t>F</w:t>
      </w:r>
      <w:r w:rsidRPr="00EE7F56">
        <w:rPr>
          <w:rFonts w:ascii="Times New Roman" w:hAnsi="Times New Roman" w:cs="Times New Roman"/>
          <w:sz w:val="20"/>
          <w:szCs w:val="20"/>
        </w:rPr>
        <w:t>-test of the model.</w:t>
      </w:r>
    </w:p>
    <w:p w14:paraId="02D63882"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After conducting a linear regression analysis in SPSS, the least square estimates of the regression coefficient for the optimal independent variables are presented in Table III. In addition, the </w:t>
      </w:r>
      <w:r w:rsidRPr="00EE7F56">
        <w:rPr>
          <w:rFonts w:ascii="Times New Roman" w:hAnsi="Times New Roman" w:cs="Times New Roman"/>
          <w:i/>
          <w:sz w:val="20"/>
          <w:szCs w:val="20"/>
        </w:rPr>
        <w:t>T</w:t>
      </w:r>
      <w:r w:rsidRPr="00EE7F56">
        <w:rPr>
          <w:rFonts w:ascii="Times New Roman" w:hAnsi="Times New Roman" w:cs="Times New Roman"/>
          <w:sz w:val="20"/>
          <w:szCs w:val="20"/>
        </w:rPr>
        <w:t>-test is also performed for each regression coefficients and the results are included in Table III.</w:t>
      </w:r>
    </w:p>
    <w:p w14:paraId="6F4296E2" w14:textId="77777777" w:rsidR="00870696" w:rsidRPr="00EE7F56" w:rsidRDefault="00870696" w:rsidP="00870696">
      <w:pPr>
        <w:pStyle w:val="TableTitle"/>
      </w:pPr>
      <w:r w:rsidRPr="00EE7F56">
        <w:t>TABLE III</w:t>
      </w:r>
    </w:p>
    <w:p w14:paraId="68A35D21" w14:textId="77777777" w:rsidR="00870696" w:rsidRPr="00EE7F56" w:rsidRDefault="00870696" w:rsidP="00870696">
      <w:pPr>
        <w:pStyle w:val="TableTitle"/>
      </w:pPr>
      <w:r w:rsidRPr="00EE7F56">
        <w:t>T-test result of the optimal independent variables</w:t>
      </w:r>
    </w:p>
    <w:tbl>
      <w:tblPr>
        <w:tblW w:w="4623" w:type="pct"/>
        <w:jc w:val="center"/>
        <w:tblBorders>
          <w:top w:val="single" w:sz="12" w:space="0" w:color="auto"/>
          <w:bottom w:val="single" w:sz="12" w:space="0" w:color="auto"/>
        </w:tblBorders>
        <w:tblLayout w:type="fixed"/>
        <w:tblLook w:val="04A0" w:firstRow="1" w:lastRow="0" w:firstColumn="1" w:lastColumn="0" w:noHBand="0" w:noVBand="1"/>
      </w:tblPr>
      <w:tblGrid>
        <w:gridCol w:w="747"/>
        <w:gridCol w:w="783"/>
        <w:gridCol w:w="781"/>
        <w:gridCol w:w="1105"/>
        <w:gridCol w:w="615"/>
        <w:gridCol w:w="426"/>
      </w:tblGrid>
      <w:tr w:rsidR="00EE7F56" w:rsidRPr="00EE7F56" w14:paraId="20392CBF" w14:textId="77777777" w:rsidTr="00927269">
        <w:trPr>
          <w:trHeight w:val="20"/>
          <w:jc w:val="center"/>
        </w:trPr>
        <w:tc>
          <w:tcPr>
            <w:tcW w:w="838" w:type="pct"/>
            <w:vMerge w:val="restart"/>
            <w:tcBorders>
              <w:top w:val="single" w:sz="12" w:space="0" w:color="auto"/>
              <w:left w:val="nil"/>
              <w:right w:val="nil"/>
            </w:tcBorders>
            <w:shd w:val="clear" w:color="auto" w:fill="auto"/>
            <w:vAlign w:val="center"/>
          </w:tcPr>
          <w:p w14:paraId="5E38A3A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Variables</w:t>
            </w:r>
          </w:p>
        </w:tc>
        <w:tc>
          <w:tcPr>
            <w:tcW w:w="1753" w:type="pct"/>
            <w:gridSpan w:val="2"/>
            <w:tcBorders>
              <w:top w:val="single" w:sz="12" w:space="0" w:color="auto"/>
              <w:left w:val="nil"/>
              <w:bottom w:val="single" w:sz="4" w:space="0" w:color="auto"/>
              <w:right w:val="nil"/>
            </w:tcBorders>
            <w:shd w:val="clear" w:color="auto" w:fill="auto"/>
            <w:vAlign w:val="center"/>
            <w:hideMark/>
          </w:tcPr>
          <w:p w14:paraId="3DEB811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Non-Std Coefficient</w:t>
            </w:r>
          </w:p>
        </w:tc>
        <w:tc>
          <w:tcPr>
            <w:tcW w:w="1240" w:type="pct"/>
            <w:tcBorders>
              <w:top w:val="single" w:sz="12" w:space="0" w:color="auto"/>
              <w:left w:val="nil"/>
              <w:bottom w:val="single" w:sz="4" w:space="0" w:color="auto"/>
              <w:right w:val="nil"/>
            </w:tcBorders>
            <w:shd w:val="clear" w:color="auto" w:fill="auto"/>
            <w:vAlign w:val="center"/>
            <w:hideMark/>
          </w:tcPr>
          <w:p w14:paraId="0EC3D1A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Std-Coefficient</w:t>
            </w:r>
          </w:p>
        </w:tc>
        <w:tc>
          <w:tcPr>
            <w:tcW w:w="690" w:type="pct"/>
            <w:vMerge w:val="restart"/>
            <w:tcBorders>
              <w:top w:val="single" w:sz="12" w:space="0" w:color="auto"/>
              <w:left w:val="nil"/>
              <w:right w:val="nil"/>
            </w:tcBorders>
            <w:shd w:val="clear" w:color="auto" w:fill="auto"/>
            <w:vAlign w:val="center"/>
            <w:hideMark/>
          </w:tcPr>
          <w:p w14:paraId="094FCBE4"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t</w:t>
            </w:r>
          </w:p>
        </w:tc>
        <w:tc>
          <w:tcPr>
            <w:tcW w:w="478" w:type="pct"/>
            <w:vMerge w:val="restart"/>
            <w:tcBorders>
              <w:top w:val="single" w:sz="12" w:space="0" w:color="auto"/>
              <w:left w:val="nil"/>
              <w:right w:val="nil"/>
            </w:tcBorders>
            <w:shd w:val="clear" w:color="auto" w:fill="auto"/>
            <w:vAlign w:val="center"/>
            <w:hideMark/>
          </w:tcPr>
          <w:p w14:paraId="554DAED6"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P</w:t>
            </w:r>
          </w:p>
        </w:tc>
      </w:tr>
      <w:tr w:rsidR="00EE7F56" w:rsidRPr="00EE7F56" w14:paraId="7AE8DF72" w14:textId="77777777" w:rsidTr="00927269">
        <w:trPr>
          <w:trHeight w:val="20"/>
          <w:jc w:val="center"/>
        </w:trPr>
        <w:tc>
          <w:tcPr>
            <w:tcW w:w="838" w:type="pct"/>
            <w:vMerge/>
            <w:tcBorders>
              <w:left w:val="nil"/>
              <w:bottom w:val="single" w:sz="4" w:space="0" w:color="auto"/>
              <w:right w:val="nil"/>
            </w:tcBorders>
            <w:shd w:val="clear" w:color="auto" w:fill="auto"/>
          </w:tcPr>
          <w:p w14:paraId="4C766F88" w14:textId="77777777" w:rsidR="00870696" w:rsidRPr="00EE7F56" w:rsidRDefault="00870696" w:rsidP="00927269">
            <w:pPr>
              <w:ind w:leftChars="-50" w:left="-105" w:rightChars="-50" w:right="-105"/>
              <w:jc w:val="center"/>
              <w:rPr>
                <w:rFonts w:ascii="Times New Roman" w:hAnsi="Times New Roman" w:cs="Times New Roman"/>
                <w:b/>
                <w:bCs/>
                <w:sz w:val="16"/>
                <w:szCs w:val="16"/>
              </w:rPr>
            </w:pPr>
          </w:p>
        </w:tc>
        <w:tc>
          <w:tcPr>
            <w:tcW w:w="878" w:type="pct"/>
            <w:tcBorders>
              <w:top w:val="single" w:sz="4" w:space="0" w:color="auto"/>
              <w:left w:val="nil"/>
              <w:bottom w:val="single" w:sz="4" w:space="0" w:color="auto"/>
              <w:right w:val="nil"/>
            </w:tcBorders>
            <w:shd w:val="clear" w:color="auto" w:fill="auto"/>
            <w:vAlign w:val="center"/>
            <w:hideMark/>
          </w:tcPr>
          <w:p w14:paraId="76A18D91"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w:t>
            </w:r>
          </w:p>
        </w:tc>
        <w:tc>
          <w:tcPr>
            <w:tcW w:w="876" w:type="pct"/>
            <w:tcBorders>
              <w:top w:val="single" w:sz="4" w:space="0" w:color="auto"/>
              <w:left w:val="nil"/>
              <w:bottom w:val="single" w:sz="4" w:space="0" w:color="auto"/>
              <w:right w:val="nil"/>
            </w:tcBorders>
            <w:shd w:val="clear" w:color="auto" w:fill="auto"/>
            <w:vAlign w:val="center"/>
            <w:hideMark/>
          </w:tcPr>
          <w:p w14:paraId="2EC0F9B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Std-Error</w:t>
            </w:r>
          </w:p>
        </w:tc>
        <w:tc>
          <w:tcPr>
            <w:tcW w:w="1240" w:type="pct"/>
            <w:tcBorders>
              <w:top w:val="single" w:sz="4" w:space="0" w:color="auto"/>
              <w:left w:val="nil"/>
              <w:bottom w:val="single" w:sz="4" w:space="0" w:color="auto"/>
              <w:right w:val="nil"/>
            </w:tcBorders>
            <w:shd w:val="clear" w:color="auto" w:fill="auto"/>
            <w:vAlign w:val="center"/>
            <w:hideMark/>
          </w:tcPr>
          <w:p w14:paraId="3C390666"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w:t>
            </w:r>
          </w:p>
        </w:tc>
        <w:tc>
          <w:tcPr>
            <w:tcW w:w="690" w:type="pct"/>
            <w:vMerge/>
            <w:tcBorders>
              <w:left w:val="nil"/>
              <w:bottom w:val="single" w:sz="4" w:space="0" w:color="auto"/>
              <w:right w:val="nil"/>
            </w:tcBorders>
            <w:shd w:val="clear" w:color="auto" w:fill="auto"/>
            <w:vAlign w:val="center"/>
            <w:hideMark/>
          </w:tcPr>
          <w:p w14:paraId="72B748E0" w14:textId="77777777" w:rsidR="00870696" w:rsidRPr="00EE7F56" w:rsidRDefault="00870696" w:rsidP="00927269">
            <w:pPr>
              <w:rPr>
                <w:rFonts w:ascii="Times New Roman" w:hAnsi="Times New Roman" w:cs="Times New Roman"/>
                <w:b/>
                <w:bCs/>
                <w:sz w:val="16"/>
                <w:szCs w:val="16"/>
              </w:rPr>
            </w:pPr>
          </w:p>
        </w:tc>
        <w:tc>
          <w:tcPr>
            <w:tcW w:w="478" w:type="pct"/>
            <w:vMerge/>
            <w:tcBorders>
              <w:left w:val="nil"/>
              <w:bottom w:val="single" w:sz="4" w:space="0" w:color="auto"/>
              <w:right w:val="nil"/>
            </w:tcBorders>
            <w:shd w:val="clear" w:color="auto" w:fill="auto"/>
            <w:vAlign w:val="center"/>
            <w:hideMark/>
          </w:tcPr>
          <w:p w14:paraId="7C73A0B3" w14:textId="77777777" w:rsidR="00870696" w:rsidRPr="00EE7F56" w:rsidRDefault="00870696" w:rsidP="00927269">
            <w:pPr>
              <w:rPr>
                <w:rFonts w:ascii="Times New Roman" w:hAnsi="Times New Roman" w:cs="Times New Roman"/>
                <w:b/>
                <w:bCs/>
                <w:sz w:val="16"/>
                <w:szCs w:val="16"/>
              </w:rPr>
            </w:pPr>
          </w:p>
        </w:tc>
      </w:tr>
      <w:tr w:rsidR="00EE7F56" w:rsidRPr="00EE7F56" w14:paraId="2C326F80" w14:textId="77777777" w:rsidTr="00927269">
        <w:trPr>
          <w:trHeight w:val="20"/>
          <w:jc w:val="center"/>
        </w:trPr>
        <w:tc>
          <w:tcPr>
            <w:tcW w:w="838" w:type="pct"/>
            <w:tcBorders>
              <w:top w:val="single" w:sz="4" w:space="0" w:color="auto"/>
              <w:left w:val="nil"/>
              <w:bottom w:val="nil"/>
              <w:right w:val="nil"/>
            </w:tcBorders>
            <w:shd w:val="clear" w:color="auto" w:fill="auto"/>
            <w:vAlign w:val="center"/>
          </w:tcPr>
          <w:p w14:paraId="52D1125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Constant</w:t>
            </w:r>
          </w:p>
        </w:tc>
        <w:tc>
          <w:tcPr>
            <w:tcW w:w="878" w:type="pct"/>
            <w:tcBorders>
              <w:top w:val="single" w:sz="4" w:space="0" w:color="auto"/>
              <w:left w:val="nil"/>
              <w:bottom w:val="nil"/>
              <w:right w:val="nil"/>
            </w:tcBorders>
            <w:shd w:val="clear" w:color="auto" w:fill="auto"/>
            <w:vAlign w:val="center"/>
            <w:hideMark/>
          </w:tcPr>
          <w:p w14:paraId="39B8C20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0.023</w:t>
            </w:r>
          </w:p>
        </w:tc>
        <w:tc>
          <w:tcPr>
            <w:tcW w:w="876" w:type="pct"/>
            <w:tcBorders>
              <w:top w:val="single" w:sz="4" w:space="0" w:color="auto"/>
              <w:left w:val="nil"/>
              <w:bottom w:val="nil"/>
              <w:right w:val="nil"/>
            </w:tcBorders>
            <w:shd w:val="clear" w:color="auto" w:fill="auto"/>
            <w:vAlign w:val="center"/>
            <w:hideMark/>
          </w:tcPr>
          <w:p w14:paraId="7FF7A7F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0.002</w:t>
            </w:r>
          </w:p>
        </w:tc>
        <w:tc>
          <w:tcPr>
            <w:tcW w:w="1240" w:type="pct"/>
            <w:tcBorders>
              <w:top w:val="single" w:sz="4" w:space="0" w:color="auto"/>
              <w:left w:val="nil"/>
              <w:bottom w:val="nil"/>
              <w:right w:val="nil"/>
            </w:tcBorders>
            <w:shd w:val="clear" w:color="auto" w:fill="auto"/>
            <w:vAlign w:val="center"/>
            <w:hideMark/>
          </w:tcPr>
          <w:p w14:paraId="5AF43F8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w:t>
            </w:r>
          </w:p>
        </w:tc>
        <w:tc>
          <w:tcPr>
            <w:tcW w:w="690" w:type="pct"/>
            <w:tcBorders>
              <w:top w:val="single" w:sz="4" w:space="0" w:color="auto"/>
              <w:left w:val="nil"/>
              <w:bottom w:val="nil"/>
              <w:right w:val="nil"/>
            </w:tcBorders>
            <w:shd w:val="clear" w:color="auto" w:fill="auto"/>
            <w:vAlign w:val="center"/>
            <w:hideMark/>
          </w:tcPr>
          <w:p w14:paraId="67369EF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9.924</w:t>
            </w:r>
          </w:p>
        </w:tc>
        <w:tc>
          <w:tcPr>
            <w:tcW w:w="478" w:type="pct"/>
            <w:tcBorders>
              <w:top w:val="single" w:sz="4" w:space="0" w:color="auto"/>
              <w:left w:val="nil"/>
              <w:bottom w:val="nil"/>
              <w:right w:val="nil"/>
            </w:tcBorders>
            <w:shd w:val="clear" w:color="auto" w:fill="auto"/>
            <w:vAlign w:val="center"/>
            <w:hideMark/>
          </w:tcPr>
          <w:p w14:paraId="357D8A61"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5D83BA44" w14:textId="77777777" w:rsidTr="00927269">
        <w:trPr>
          <w:trHeight w:val="20"/>
          <w:jc w:val="center"/>
        </w:trPr>
        <w:tc>
          <w:tcPr>
            <w:tcW w:w="838" w:type="pct"/>
            <w:tcBorders>
              <w:top w:val="nil"/>
              <w:left w:val="nil"/>
              <w:bottom w:val="nil"/>
              <w:right w:val="nil"/>
            </w:tcBorders>
            <w:shd w:val="clear" w:color="auto" w:fill="auto"/>
            <w:vAlign w:val="center"/>
          </w:tcPr>
          <w:p w14:paraId="25EC472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17</w:t>
            </w:r>
          </w:p>
        </w:tc>
        <w:tc>
          <w:tcPr>
            <w:tcW w:w="878" w:type="pct"/>
            <w:tcBorders>
              <w:top w:val="nil"/>
              <w:left w:val="nil"/>
              <w:bottom w:val="nil"/>
              <w:right w:val="nil"/>
            </w:tcBorders>
            <w:shd w:val="clear" w:color="auto" w:fill="auto"/>
            <w:vAlign w:val="center"/>
          </w:tcPr>
          <w:p w14:paraId="7473AD1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6" w:type="pct"/>
            <w:tcBorders>
              <w:top w:val="nil"/>
              <w:left w:val="nil"/>
              <w:bottom w:val="nil"/>
              <w:right w:val="nil"/>
            </w:tcBorders>
            <w:shd w:val="clear" w:color="auto" w:fill="auto"/>
            <w:vAlign w:val="center"/>
          </w:tcPr>
          <w:p w14:paraId="14C33A9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1240" w:type="pct"/>
            <w:tcBorders>
              <w:top w:val="nil"/>
              <w:left w:val="nil"/>
              <w:bottom w:val="nil"/>
              <w:right w:val="nil"/>
            </w:tcBorders>
            <w:shd w:val="clear" w:color="auto" w:fill="auto"/>
            <w:vAlign w:val="center"/>
          </w:tcPr>
          <w:p w14:paraId="20ABB5C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690" w:type="pct"/>
            <w:tcBorders>
              <w:top w:val="nil"/>
              <w:left w:val="nil"/>
              <w:bottom w:val="nil"/>
              <w:right w:val="nil"/>
            </w:tcBorders>
            <w:shd w:val="clear" w:color="auto" w:fill="auto"/>
            <w:vAlign w:val="center"/>
          </w:tcPr>
          <w:p w14:paraId="7668937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2.187</w:t>
            </w:r>
          </w:p>
        </w:tc>
        <w:tc>
          <w:tcPr>
            <w:tcW w:w="478" w:type="pct"/>
            <w:tcBorders>
              <w:top w:val="nil"/>
              <w:left w:val="nil"/>
              <w:bottom w:val="nil"/>
              <w:right w:val="nil"/>
            </w:tcBorders>
            <w:shd w:val="clear" w:color="auto" w:fill="auto"/>
            <w:vAlign w:val="center"/>
          </w:tcPr>
          <w:p w14:paraId="24EE1AB8"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0.031</w:t>
            </w:r>
          </w:p>
        </w:tc>
      </w:tr>
      <w:tr w:rsidR="00EE7F56" w:rsidRPr="00EE7F56" w14:paraId="16372A23" w14:textId="77777777" w:rsidTr="00927269">
        <w:trPr>
          <w:trHeight w:val="20"/>
          <w:jc w:val="center"/>
        </w:trPr>
        <w:tc>
          <w:tcPr>
            <w:tcW w:w="838" w:type="pct"/>
            <w:tcBorders>
              <w:top w:val="nil"/>
              <w:left w:val="nil"/>
              <w:bottom w:val="nil"/>
              <w:right w:val="nil"/>
            </w:tcBorders>
            <w:shd w:val="clear" w:color="auto" w:fill="auto"/>
            <w:vAlign w:val="center"/>
          </w:tcPr>
          <w:p w14:paraId="218DB01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19</w:t>
            </w:r>
          </w:p>
        </w:tc>
        <w:tc>
          <w:tcPr>
            <w:tcW w:w="878" w:type="pct"/>
            <w:tcBorders>
              <w:top w:val="nil"/>
              <w:left w:val="nil"/>
              <w:bottom w:val="nil"/>
              <w:right w:val="nil"/>
            </w:tcBorders>
            <w:shd w:val="clear" w:color="auto" w:fill="auto"/>
            <w:vAlign w:val="center"/>
            <w:hideMark/>
          </w:tcPr>
          <w:p w14:paraId="53A9906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6" w:type="pct"/>
            <w:tcBorders>
              <w:top w:val="nil"/>
              <w:left w:val="nil"/>
              <w:bottom w:val="nil"/>
              <w:right w:val="nil"/>
            </w:tcBorders>
            <w:shd w:val="clear" w:color="auto" w:fill="auto"/>
            <w:vAlign w:val="center"/>
            <w:hideMark/>
          </w:tcPr>
          <w:p w14:paraId="2B160A7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nil"/>
              <w:right w:val="nil"/>
            </w:tcBorders>
            <w:shd w:val="clear" w:color="auto" w:fill="auto"/>
            <w:vAlign w:val="center"/>
            <w:hideMark/>
          </w:tcPr>
          <w:p w14:paraId="079CA73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690" w:type="pct"/>
            <w:tcBorders>
              <w:top w:val="nil"/>
              <w:left w:val="nil"/>
              <w:bottom w:val="nil"/>
              <w:right w:val="nil"/>
            </w:tcBorders>
            <w:shd w:val="clear" w:color="auto" w:fill="auto"/>
            <w:vAlign w:val="center"/>
            <w:hideMark/>
          </w:tcPr>
          <w:p w14:paraId="1FC89C7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-3.649</w:t>
            </w:r>
          </w:p>
        </w:tc>
        <w:tc>
          <w:tcPr>
            <w:tcW w:w="478" w:type="pct"/>
            <w:tcBorders>
              <w:top w:val="nil"/>
              <w:left w:val="nil"/>
              <w:bottom w:val="nil"/>
              <w:right w:val="nil"/>
            </w:tcBorders>
            <w:shd w:val="clear" w:color="auto" w:fill="auto"/>
            <w:vAlign w:val="center"/>
            <w:hideMark/>
          </w:tcPr>
          <w:p w14:paraId="6E282C44"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6C37F6BD" w14:textId="77777777" w:rsidTr="00927269">
        <w:trPr>
          <w:trHeight w:val="20"/>
          <w:jc w:val="center"/>
        </w:trPr>
        <w:tc>
          <w:tcPr>
            <w:tcW w:w="838" w:type="pct"/>
            <w:tcBorders>
              <w:top w:val="nil"/>
              <w:left w:val="nil"/>
              <w:bottom w:val="nil"/>
              <w:right w:val="nil"/>
            </w:tcBorders>
            <w:shd w:val="clear" w:color="auto" w:fill="auto"/>
            <w:vAlign w:val="center"/>
          </w:tcPr>
          <w:p w14:paraId="5D5836E3"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21</w:t>
            </w:r>
          </w:p>
        </w:tc>
        <w:tc>
          <w:tcPr>
            <w:tcW w:w="878" w:type="pct"/>
            <w:tcBorders>
              <w:top w:val="nil"/>
              <w:left w:val="nil"/>
              <w:bottom w:val="nil"/>
              <w:right w:val="nil"/>
            </w:tcBorders>
            <w:shd w:val="clear" w:color="auto" w:fill="auto"/>
            <w:vAlign w:val="center"/>
          </w:tcPr>
          <w:p w14:paraId="1C3E88D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1.000</w:t>
            </w:r>
          </w:p>
        </w:tc>
        <w:tc>
          <w:tcPr>
            <w:tcW w:w="876" w:type="pct"/>
            <w:tcBorders>
              <w:top w:val="nil"/>
              <w:left w:val="nil"/>
              <w:bottom w:val="nil"/>
              <w:right w:val="nil"/>
            </w:tcBorders>
            <w:shd w:val="clear" w:color="auto" w:fill="auto"/>
            <w:vAlign w:val="center"/>
          </w:tcPr>
          <w:p w14:paraId="2613986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nil"/>
              <w:right w:val="nil"/>
            </w:tcBorders>
            <w:shd w:val="clear" w:color="auto" w:fill="auto"/>
            <w:vAlign w:val="center"/>
          </w:tcPr>
          <w:p w14:paraId="58CACFD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1.000</w:t>
            </w:r>
          </w:p>
        </w:tc>
        <w:tc>
          <w:tcPr>
            <w:tcW w:w="690" w:type="pct"/>
            <w:tcBorders>
              <w:top w:val="nil"/>
              <w:left w:val="nil"/>
              <w:bottom w:val="nil"/>
              <w:right w:val="nil"/>
            </w:tcBorders>
            <w:shd w:val="clear" w:color="auto" w:fill="auto"/>
            <w:vAlign w:val="center"/>
          </w:tcPr>
          <w:p w14:paraId="7794EAF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5027.699</w:t>
            </w:r>
          </w:p>
        </w:tc>
        <w:tc>
          <w:tcPr>
            <w:tcW w:w="478" w:type="pct"/>
            <w:tcBorders>
              <w:top w:val="nil"/>
              <w:left w:val="nil"/>
              <w:bottom w:val="nil"/>
              <w:right w:val="nil"/>
            </w:tcBorders>
            <w:shd w:val="clear" w:color="auto" w:fill="auto"/>
            <w:vAlign w:val="center"/>
          </w:tcPr>
          <w:p w14:paraId="2707AB00"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2AC69675" w14:textId="77777777" w:rsidTr="00927269">
        <w:trPr>
          <w:trHeight w:val="20"/>
          <w:jc w:val="center"/>
        </w:trPr>
        <w:tc>
          <w:tcPr>
            <w:tcW w:w="838" w:type="pct"/>
            <w:tcBorders>
              <w:top w:val="nil"/>
              <w:left w:val="nil"/>
              <w:bottom w:val="nil"/>
              <w:right w:val="nil"/>
            </w:tcBorders>
            <w:shd w:val="clear" w:color="auto" w:fill="auto"/>
            <w:vAlign w:val="center"/>
          </w:tcPr>
          <w:p w14:paraId="3A01A566"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23</w:t>
            </w:r>
          </w:p>
        </w:tc>
        <w:tc>
          <w:tcPr>
            <w:tcW w:w="878" w:type="pct"/>
            <w:tcBorders>
              <w:top w:val="nil"/>
              <w:left w:val="nil"/>
              <w:bottom w:val="nil"/>
              <w:right w:val="nil"/>
            </w:tcBorders>
            <w:shd w:val="clear" w:color="auto" w:fill="auto"/>
            <w:vAlign w:val="center"/>
          </w:tcPr>
          <w:p w14:paraId="6C3313E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6" w:type="pct"/>
            <w:tcBorders>
              <w:top w:val="nil"/>
              <w:left w:val="nil"/>
              <w:bottom w:val="nil"/>
              <w:right w:val="nil"/>
            </w:tcBorders>
            <w:shd w:val="clear" w:color="auto" w:fill="auto"/>
            <w:vAlign w:val="center"/>
          </w:tcPr>
          <w:p w14:paraId="7E8F09D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nil"/>
              <w:right w:val="nil"/>
            </w:tcBorders>
            <w:shd w:val="clear" w:color="auto" w:fill="auto"/>
            <w:vAlign w:val="center"/>
          </w:tcPr>
          <w:p w14:paraId="507A3CD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690" w:type="pct"/>
            <w:tcBorders>
              <w:top w:val="nil"/>
              <w:left w:val="nil"/>
              <w:bottom w:val="nil"/>
              <w:right w:val="nil"/>
            </w:tcBorders>
            <w:shd w:val="clear" w:color="auto" w:fill="auto"/>
            <w:vAlign w:val="center"/>
          </w:tcPr>
          <w:p w14:paraId="7C7C46E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-2.712</w:t>
            </w:r>
          </w:p>
        </w:tc>
        <w:tc>
          <w:tcPr>
            <w:tcW w:w="478" w:type="pct"/>
            <w:tcBorders>
              <w:top w:val="nil"/>
              <w:left w:val="nil"/>
              <w:bottom w:val="nil"/>
              <w:right w:val="nil"/>
            </w:tcBorders>
            <w:shd w:val="clear" w:color="auto" w:fill="auto"/>
            <w:vAlign w:val="center"/>
          </w:tcPr>
          <w:p w14:paraId="46B8634F"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0.008</w:t>
            </w:r>
          </w:p>
        </w:tc>
      </w:tr>
      <w:tr w:rsidR="00EE7F56" w:rsidRPr="00EE7F56" w14:paraId="1D3FE927" w14:textId="77777777" w:rsidTr="00927269">
        <w:trPr>
          <w:trHeight w:val="20"/>
          <w:jc w:val="center"/>
        </w:trPr>
        <w:tc>
          <w:tcPr>
            <w:tcW w:w="838" w:type="pct"/>
            <w:tcBorders>
              <w:top w:val="nil"/>
              <w:left w:val="nil"/>
              <w:bottom w:val="nil"/>
              <w:right w:val="nil"/>
            </w:tcBorders>
            <w:shd w:val="clear" w:color="auto" w:fill="auto"/>
            <w:vAlign w:val="center"/>
          </w:tcPr>
          <w:p w14:paraId="1F86C84B"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28</w:t>
            </w:r>
          </w:p>
        </w:tc>
        <w:tc>
          <w:tcPr>
            <w:tcW w:w="878" w:type="pct"/>
            <w:tcBorders>
              <w:top w:val="nil"/>
              <w:left w:val="nil"/>
              <w:bottom w:val="nil"/>
              <w:right w:val="nil"/>
            </w:tcBorders>
            <w:shd w:val="clear" w:color="auto" w:fill="auto"/>
            <w:vAlign w:val="center"/>
          </w:tcPr>
          <w:p w14:paraId="10BEAB2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6" w:type="pct"/>
            <w:tcBorders>
              <w:top w:val="nil"/>
              <w:left w:val="nil"/>
              <w:bottom w:val="nil"/>
              <w:right w:val="nil"/>
            </w:tcBorders>
            <w:shd w:val="clear" w:color="auto" w:fill="auto"/>
            <w:vAlign w:val="center"/>
          </w:tcPr>
          <w:p w14:paraId="7DB8E31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nil"/>
              <w:right w:val="nil"/>
            </w:tcBorders>
            <w:shd w:val="clear" w:color="auto" w:fill="auto"/>
            <w:vAlign w:val="center"/>
          </w:tcPr>
          <w:p w14:paraId="38EBCC3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690" w:type="pct"/>
            <w:tcBorders>
              <w:top w:val="nil"/>
              <w:left w:val="nil"/>
              <w:bottom w:val="nil"/>
              <w:right w:val="nil"/>
            </w:tcBorders>
            <w:shd w:val="clear" w:color="auto" w:fill="auto"/>
            <w:vAlign w:val="center"/>
          </w:tcPr>
          <w:p w14:paraId="4906D12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3.167</w:t>
            </w:r>
          </w:p>
        </w:tc>
        <w:tc>
          <w:tcPr>
            <w:tcW w:w="478" w:type="pct"/>
            <w:tcBorders>
              <w:top w:val="nil"/>
              <w:left w:val="nil"/>
              <w:bottom w:val="nil"/>
              <w:right w:val="nil"/>
            </w:tcBorders>
            <w:shd w:val="clear" w:color="auto" w:fill="auto"/>
            <w:vAlign w:val="center"/>
          </w:tcPr>
          <w:p w14:paraId="25934161"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0.002</w:t>
            </w:r>
          </w:p>
        </w:tc>
      </w:tr>
      <w:tr w:rsidR="00EE7F56" w:rsidRPr="00EE7F56" w14:paraId="73C01277" w14:textId="77777777" w:rsidTr="00927269">
        <w:trPr>
          <w:trHeight w:val="20"/>
          <w:jc w:val="center"/>
        </w:trPr>
        <w:tc>
          <w:tcPr>
            <w:tcW w:w="838" w:type="pct"/>
            <w:tcBorders>
              <w:top w:val="nil"/>
              <w:left w:val="nil"/>
              <w:bottom w:val="nil"/>
              <w:right w:val="nil"/>
            </w:tcBorders>
            <w:shd w:val="clear" w:color="auto" w:fill="auto"/>
            <w:vAlign w:val="center"/>
          </w:tcPr>
          <w:p w14:paraId="37E03883"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37</w:t>
            </w:r>
          </w:p>
        </w:tc>
        <w:tc>
          <w:tcPr>
            <w:tcW w:w="878" w:type="pct"/>
            <w:tcBorders>
              <w:top w:val="nil"/>
              <w:left w:val="nil"/>
              <w:bottom w:val="nil"/>
              <w:right w:val="nil"/>
            </w:tcBorders>
            <w:shd w:val="clear" w:color="auto" w:fill="auto"/>
            <w:vAlign w:val="center"/>
          </w:tcPr>
          <w:p w14:paraId="2FE4CE0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6" w:type="pct"/>
            <w:tcBorders>
              <w:top w:val="nil"/>
              <w:left w:val="nil"/>
              <w:bottom w:val="nil"/>
              <w:right w:val="nil"/>
            </w:tcBorders>
            <w:shd w:val="clear" w:color="auto" w:fill="auto"/>
            <w:vAlign w:val="center"/>
          </w:tcPr>
          <w:p w14:paraId="77C0FDF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nil"/>
              <w:right w:val="nil"/>
            </w:tcBorders>
            <w:shd w:val="clear" w:color="auto" w:fill="auto"/>
            <w:vAlign w:val="center"/>
          </w:tcPr>
          <w:p w14:paraId="41DAFC1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690" w:type="pct"/>
            <w:tcBorders>
              <w:top w:val="nil"/>
              <w:left w:val="nil"/>
              <w:bottom w:val="nil"/>
              <w:right w:val="nil"/>
            </w:tcBorders>
            <w:shd w:val="clear" w:color="auto" w:fill="auto"/>
            <w:vAlign w:val="center"/>
          </w:tcPr>
          <w:p w14:paraId="0906BE3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1.953</w:t>
            </w:r>
          </w:p>
        </w:tc>
        <w:tc>
          <w:tcPr>
            <w:tcW w:w="478" w:type="pct"/>
            <w:tcBorders>
              <w:top w:val="nil"/>
              <w:left w:val="nil"/>
              <w:bottom w:val="nil"/>
              <w:right w:val="nil"/>
            </w:tcBorders>
            <w:shd w:val="clear" w:color="auto" w:fill="auto"/>
            <w:vAlign w:val="center"/>
          </w:tcPr>
          <w:p w14:paraId="62BC7ACE"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0.054</w:t>
            </w:r>
          </w:p>
        </w:tc>
      </w:tr>
      <w:tr w:rsidR="00EE7F56" w:rsidRPr="00EE7F56" w14:paraId="36A7366A" w14:textId="77777777" w:rsidTr="00927269">
        <w:trPr>
          <w:trHeight w:val="20"/>
          <w:jc w:val="center"/>
        </w:trPr>
        <w:tc>
          <w:tcPr>
            <w:tcW w:w="838" w:type="pct"/>
            <w:tcBorders>
              <w:top w:val="nil"/>
              <w:left w:val="nil"/>
              <w:bottom w:val="single" w:sz="12" w:space="0" w:color="auto"/>
              <w:right w:val="nil"/>
            </w:tcBorders>
            <w:shd w:val="clear" w:color="auto" w:fill="auto"/>
            <w:vAlign w:val="center"/>
          </w:tcPr>
          <w:p w14:paraId="2A915312"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48</w:t>
            </w:r>
          </w:p>
        </w:tc>
        <w:tc>
          <w:tcPr>
            <w:tcW w:w="878" w:type="pct"/>
            <w:tcBorders>
              <w:top w:val="nil"/>
              <w:left w:val="nil"/>
              <w:bottom w:val="single" w:sz="12" w:space="0" w:color="auto"/>
              <w:right w:val="nil"/>
            </w:tcBorders>
            <w:shd w:val="clear" w:color="auto" w:fill="auto"/>
            <w:vAlign w:val="center"/>
          </w:tcPr>
          <w:p w14:paraId="242CAC7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6" w:type="pct"/>
            <w:tcBorders>
              <w:top w:val="nil"/>
              <w:left w:val="nil"/>
              <w:bottom w:val="single" w:sz="12" w:space="0" w:color="auto"/>
              <w:right w:val="nil"/>
            </w:tcBorders>
            <w:shd w:val="clear" w:color="auto" w:fill="auto"/>
            <w:vAlign w:val="center"/>
          </w:tcPr>
          <w:p w14:paraId="60E1EDC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40" w:type="pct"/>
            <w:tcBorders>
              <w:top w:val="nil"/>
              <w:left w:val="nil"/>
              <w:bottom w:val="single" w:sz="12" w:space="0" w:color="auto"/>
              <w:right w:val="nil"/>
            </w:tcBorders>
            <w:shd w:val="clear" w:color="auto" w:fill="auto"/>
            <w:vAlign w:val="center"/>
          </w:tcPr>
          <w:p w14:paraId="566CF31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690" w:type="pct"/>
            <w:tcBorders>
              <w:top w:val="nil"/>
              <w:left w:val="nil"/>
              <w:bottom w:val="single" w:sz="12" w:space="0" w:color="auto"/>
              <w:right w:val="nil"/>
            </w:tcBorders>
            <w:shd w:val="clear" w:color="auto" w:fill="auto"/>
            <w:vAlign w:val="center"/>
          </w:tcPr>
          <w:p w14:paraId="2CB6B1D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4.181</w:t>
            </w:r>
          </w:p>
        </w:tc>
        <w:tc>
          <w:tcPr>
            <w:tcW w:w="478" w:type="pct"/>
            <w:tcBorders>
              <w:top w:val="nil"/>
              <w:left w:val="nil"/>
              <w:bottom w:val="single" w:sz="12" w:space="0" w:color="auto"/>
              <w:right w:val="nil"/>
            </w:tcBorders>
            <w:shd w:val="clear" w:color="auto" w:fill="auto"/>
            <w:vAlign w:val="center"/>
          </w:tcPr>
          <w:p w14:paraId="77D161F0" w14:textId="77777777" w:rsidR="00870696" w:rsidRPr="00EE7F56" w:rsidRDefault="00870696" w:rsidP="00927269">
            <w:pPr>
              <w:ind w:leftChars="-100" w:left="-210" w:rightChars="-100" w:right="-210"/>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bl>
    <w:p w14:paraId="47DF4EA8"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According to the values shown in Table III, the MLR equation can be expressed as:</w:t>
      </w:r>
    </w:p>
    <w:p w14:paraId="5CD96E2D" w14:textId="77777777" w:rsidR="00870696" w:rsidRPr="00EE7F56" w:rsidRDefault="00870696" w:rsidP="00870696">
      <w:pPr>
        <w:autoSpaceDE w:val="0"/>
        <w:autoSpaceDN w:val="0"/>
        <w:adjustRightInd w:val="0"/>
        <w:spacing w:line="252" w:lineRule="auto"/>
        <w:rPr>
          <w:rFonts w:ascii="Times New Roman" w:hAnsi="Times New Roman" w:cs="Times New Roman"/>
          <w:sz w:val="20"/>
          <w:szCs w:val="20"/>
        </w:rPr>
      </w:pPr>
      <w:r w:rsidRPr="00EE7F56">
        <w:rPr>
          <w:rFonts w:ascii="Times New Roman" w:hAnsi="Times New Roman" w:cs="Times New Roman"/>
          <w:position w:val="-10"/>
          <w:sz w:val="20"/>
          <w:szCs w:val="20"/>
        </w:rPr>
        <w:object w:dxaOrig="4800" w:dyaOrig="300" w14:anchorId="14F08014">
          <v:shape id="_x0000_i1062" type="#_x0000_t75" style="width:218.5pt;height:17.25pt" o:ole="">
            <v:imagedata r:id="rId86" o:title=""/>
          </v:shape>
          <o:OLEObject Type="Embed" ProgID="Equation.DSMT4" ShapeID="_x0000_i1062" DrawAspect="Content" ObjectID="_1793628054" r:id="rId87"/>
        </w:objec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18</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1C64AAD0"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w:t>
      </w:r>
      <w:r w:rsidRPr="00EE7F56">
        <w:rPr>
          <w:rFonts w:ascii="Times New Roman" w:hAnsi="Times New Roman" w:cs="Times New Roman"/>
          <w:i/>
          <w:sz w:val="20"/>
          <w:szCs w:val="20"/>
        </w:rPr>
        <w:t>T</w:t>
      </w:r>
      <w:r w:rsidRPr="00EE7F56">
        <w:rPr>
          <w:rFonts w:ascii="Times New Roman" w:hAnsi="Times New Roman" w:cs="Times New Roman"/>
          <w:sz w:val="20"/>
          <w:szCs w:val="20"/>
        </w:rPr>
        <w:t>-test results indicate that the load current of these users has a significant impact on the residual current, with a significance level of 0.05. User 21 has a standardized coefficient value (Std-Coefficient) of 1.000, which is much higher than other users. It suggests that the time series of load current of user 21 has the greatest impact on the anomaly residual current, which implies that user 21 is wiring fault user, and it is consistent with the simulation settings.</w:t>
      </w:r>
    </w:p>
    <w:p w14:paraId="5CF9A7B5" w14:textId="77777777" w:rsidR="00870696" w:rsidRPr="00EE7F56" w:rsidRDefault="00870696" w:rsidP="00870696">
      <w:pPr>
        <w:rPr>
          <w:rFonts w:ascii="Times New Roman" w:hAnsi="Times New Roman" w:cs="Times New Roman"/>
          <w:b/>
          <w:bCs/>
          <w:i/>
          <w:iCs/>
          <w:sz w:val="18"/>
          <w:szCs w:val="18"/>
          <w:lang w:val="x-none"/>
        </w:rPr>
      </w:pPr>
      <w:r w:rsidRPr="00EE7F56">
        <w:rPr>
          <w:rFonts w:ascii="Times New Roman" w:hAnsi="Times New Roman" w:cs="Times New Roman"/>
          <w:b/>
          <w:bCs/>
          <w:i/>
          <w:iCs/>
          <w:sz w:val="18"/>
          <w:szCs w:val="18"/>
          <w:lang w:val="x-none"/>
        </w:rPr>
        <w:t>B. Multiple-user with Wiring Fault</w:t>
      </w:r>
    </w:p>
    <w:p w14:paraId="70A3A2CB"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To further verify the ability of the proposed method to locate wiring faults in multi-user scenarios, MLR analyses is conducted on users with wiring faults in the same time. Same-phase and different-phase users with wiring fault are considered, and experimental data is used in the analysis. For simplicity, an example that double users with wiring faults is analyzed in this paper.</w:t>
      </w:r>
    </w:p>
    <w:p w14:paraId="50A92FFE" w14:textId="77777777" w:rsidR="00870696" w:rsidRPr="00EE7F56" w:rsidRDefault="00870696" w:rsidP="00870696">
      <w:pPr>
        <w:autoSpaceDE w:val="0"/>
        <w:autoSpaceDN w:val="0"/>
        <w:adjustRightInd w:val="0"/>
        <w:spacing w:line="252" w:lineRule="auto"/>
        <w:ind w:firstLineChars="100" w:firstLine="200"/>
        <w:rPr>
          <w:rFonts w:ascii="Times New Roman" w:eastAsia="宋体" w:hAnsi="Times New Roman" w:cs="Times New Roman"/>
          <w:sz w:val="20"/>
          <w:szCs w:val="20"/>
        </w:rPr>
      </w:pPr>
      <w:r w:rsidRPr="00EE7F56">
        <w:rPr>
          <w:rFonts w:ascii="Times New Roman" w:hAnsi="Times New Roman" w:cs="Times New Roman"/>
          <w:i/>
          <w:iCs/>
          <w:sz w:val="20"/>
          <w:szCs w:val="20"/>
        </w:rPr>
        <w:t>Case 1:</w:t>
      </w:r>
      <w:r w:rsidRPr="00EE7F56">
        <w:rPr>
          <w:rFonts w:ascii="Times New Roman" w:hAnsi="Times New Roman" w:cs="Times New Roman"/>
          <w:sz w:val="20"/>
          <w:szCs w:val="20"/>
        </w:rPr>
        <w:t xml:space="preserve"> Assuming that both user 1 and user 2 with wiring fau</w:t>
      </w:r>
      <w:r w:rsidRPr="00EE7F56">
        <w:rPr>
          <w:rFonts w:ascii="Times New Roman" w:hAnsi="Times New Roman" w:cs="Times New Roman"/>
          <w:iCs/>
          <w:sz w:val="20"/>
          <w:szCs w:val="20"/>
        </w:rPr>
        <w:t>l</w:t>
      </w:r>
      <w:r w:rsidRPr="00EE7F56">
        <w:rPr>
          <w:rFonts w:ascii="Times New Roman" w:hAnsi="Times New Roman" w:cs="Times New Roman"/>
          <w:sz w:val="20"/>
          <w:szCs w:val="20"/>
        </w:rPr>
        <w:t xml:space="preserve">ts are connected in the same phase such as phase A. According to Eq. (3), the residual current of the LVDS can be expressed as </w:t>
      </w:r>
    </w:p>
    <w:p w14:paraId="05A312FF" w14:textId="77777777" w:rsidR="00870696" w:rsidRPr="00EE7F56" w:rsidRDefault="00870696" w:rsidP="00870696">
      <w:pPr>
        <w:tabs>
          <w:tab w:val="center" w:pos="2520"/>
          <w:tab w:val="right" w:pos="5040"/>
        </w:tabs>
        <w:ind w:firstLineChars="500" w:firstLine="1000"/>
        <w:rPr>
          <w:rFonts w:ascii="Times New Roman" w:hAnsi="Times New Roman" w:cs="Times New Roman"/>
          <w:sz w:val="20"/>
          <w:szCs w:val="20"/>
        </w:rPr>
      </w:pPr>
      <w:r w:rsidRPr="00EE7F56">
        <w:rPr>
          <w:rFonts w:ascii="Times New Roman" w:hAnsi="Times New Roman" w:cs="Times New Roman"/>
          <w:position w:val="-12"/>
          <w:sz w:val="20"/>
          <w:szCs w:val="20"/>
        </w:rPr>
        <w:object w:dxaOrig="3000" w:dyaOrig="340" w14:anchorId="696E301E">
          <v:shape id="_x0000_i1063" type="#_x0000_t75" style="width:149.85pt;height:18.05pt" o:ole="">
            <v:imagedata r:id="rId88" o:title=""/>
          </v:shape>
          <o:OLEObject Type="Embed" ProgID="Equation.DSMT4" ShapeID="_x0000_i1063" DrawAspect="Content" ObjectID="_1793628055" r:id="rId89"/>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19</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5C1C6D71" w14:textId="77777777" w:rsidR="00870696" w:rsidRPr="00EE7F56" w:rsidRDefault="00870696" w:rsidP="00870696">
      <w:pPr>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lastRenderedPageBreak/>
        <w:t xml:space="preserve">To eliminate multicollinearity trouble, the optimal explanatory variables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w:t>
      </w:r>
      <w:r w:rsidRPr="00EE7F56">
        <w:rPr>
          <w:rFonts w:ascii="Times New Roman" w:hAnsi="Times New Roman" w:cs="Times New Roman"/>
          <w:i/>
          <w:iCs/>
          <w:sz w:val="20"/>
          <w:szCs w:val="20"/>
        </w:rPr>
        <w:t xml:space="preserve"> 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3</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21</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23</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29</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32</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34</w:t>
      </w:r>
      <w:r w:rsidRPr="00EE7F56">
        <w:rPr>
          <w:rFonts w:ascii="Times New Roman" w:hAnsi="Times New Roman" w:cs="Times New Roman"/>
          <w:sz w:val="20"/>
          <w:szCs w:val="20"/>
        </w:rPr>
        <w:t>,</w:t>
      </w:r>
      <w:r w:rsidRPr="00EE7F56">
        <w:rPr>
          <w:rFonts w:ascii="Times New Roman" w:hAnsi="Times New Roman" w:cs="Times New Roman"/>
          <w:i/>
          <w:iCs/>
          <w:sz w:val="20"/>
          <w:szCs w:val="20"/>
        </w:rPr>
        <w:t xml:space="preserve"> U</w:t>
      </w:r>
      <w:r w:rsidRPr="00EE7F56">
        <w:rPr>
          <w:rFonts w:ascii="Times New Roman" w:hAnsi="Times New Roman" w:cs="Times New Roman"/>
          <w:sz w:val="20"/>
          <w:szCs w:val="20"/>
          <w:vertAlign w:val="subscript"/>
        </w:rPr>
        <w:t>42</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44</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55</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60</w:t>
      </w:r>
      <w:r w:rsidRPr="00EE7F56">
        <w:rPr>
          <w:rFonts w:ascii="Times New Roman" w:hAnsi="Times New Roman" w:cs="Times New Roman"/>
          <w:sz w:val="20"/>
          <w:szCs w:val="20"/>
        </w:rPr>
        <w:t xml:space="preserve"> are obtained by performing a stepwise regression analysis on the independent variables of the LVDS. Then, the auxiliary linear regression model is implemented, where the time series data of the residual current of the LVDS is regarded as the dependent variable and all of the optimal explanatory variables are regarded as independent variables.</w:t>
      </w:r>
    </w:p>
    <w:p w14:paraId="499F79B7" w14:textId="77777777" w:rsidR="00870696" w:rsidRPr="00EE7F56" w:rsidRDefault="00870696" w:rsidP="00870696">
      <w:pPr>
        <w:pStyle w:val="TableTitle"/>
      </w:pPr>
      <w:r w:rsidRPr="00EE7F56">
        <w:t xml:space="preserve">TABLE IV </w:t>
      </w:r>
    </w:p>
    <w:p w14:paraId="060D5061" w14:textId="77777777" w:rsidR="00870696" w:rsidRPr="00EE7F56" w:rsidRDefault="00870696" w:rsidP="00870696">
      <w:pPr>
        <w:pStyle w:val="TableTitle"/>
      </w:pPr>
      <w:r w:rsidRPr="00EE7F56">
        <w:t xml:space="preserve">Regression coefficient in Same phase model </w:t>
      </w:r>
    </w:p>
    <w:tbl>
      <w:tblPr>
        <w:tblW w:w="4722" w:type="pct"/>
        <w:jc w:val="center"/>
        <w:tblBorders>
          <w:top w:val="single" w:sz="12" w:space="0" w:color="auto"/>
          <w:bottom w:val="single" w:sz="12" w:space="0" w:color="auto"/>
        </w:tblBorders>
        <w:tblLayout w:type="fixed"/>
        <w:tblLook w:val="04A0" w:firstRow="1" w:lastRow="0" w:firstColumn="1" w:lastColumn="0" w:noHBand="0" w:noVBand="1"/>
      </w:tblPr>
      <w:tblGrid>
        <w:gridCol w:w="747"/>
        <w:gridCol w:w="635"/>
        <w:gridCol w:w="798"/>
        <w:gridCol w:w="1105"/>
        <w:gridCol w:w="782"/>
        <w:gridCol w:w="485"/>
      </w:tblGrid>
      <w:tr w:rsidR="00EE7F56" w:rsidRPr="00EE7F56" w14:paraId="46B15EBB" w14:textId="77777777" w:rsidTr="00927269">
        <w:trPr>
          <w:trHeight w:val="20"/>
          <w:jc w:val="center"/>
        </w:trPr>
        <w:tc>
          <w:tcPr>
            <w:tcW w:w="820" w:type="pct"/>
            <w:vMerge w:val="restart"/>
            <w:tcBorders>
              <w:top w:val="single" w:sz="12" w:space="0" w:color="auto"/>
              <w:left w:val="nil"/>
              <w:right w:val="nil"/>
            </w:tcBorders>
            <w:shd w:val="clear" w:color="auto" w:fill="auto"/>
            <w:vAlign w:val="center"/>
          </w:tcPr>
          <w:p w14:paraId="47D1461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Variables</w:t>
            </w:r>
          </w:p>
        </w:tc>
        <w:tc>
          <w:tcPr>
            <w:tcW w:w="1574" w:type="pct"/>
            <w:gridSpan w:val="2"/>
            <w:tcBorders>
              <w:top w:val="single" w:sz="12" w:space="0" w:color="auto"/>
              <w:left w:val="nil"/>
              <w:bottom w:val="single" w:sz="4" w:space="0" w:color="auto"/>
              <w:right w:val="nil"/>
            </w:tcBorders>
            <w:shd w:val="clear" w:color="auto" w:fill="auto"/>
            <w:vAlign w:val="center"/>
            <w:hideMark/>
          </w:tcPr>
          <w:p w14:paraId="427BE58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Non-Std Coefficient</w:t>
            </w:r>
          </w:p>
        </w:tc>
        <w:tc>
          <w:tcPr>
            <w:tcW w:w="1214" w:type="pct"/>
            <w:tcBorders>
              <w:top w:val="single" w:sz="12" w:space="0" w:color="auto"/>
              <w:left w:val="nil"/>
              <w:bottom w:val="single" w:sz="4" w:space="0" w:color="auto"/>
              <w:right w:val="nil"/>
            </w:tcBorders>
            <w:shd w:val="clear" w:color="auto" w:fill="auto"/>
            <w:vAlign w:val="center"/>
            <w:hideMark/>
          </w:tcPr>
          <w:p w14:paraId="26217D2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Std-Coefficient</w:t>
            </w:r>
          </w:p>
        </w:tc>
        <w:tc>
          <w:tcPr>
            <w:tcW w:w="859" w:type="pct"/>
            <w:vMerge w:val="restart"/>
            <w:tcBorders>
              <w:top w:val="single" w:sz="12" w:space="0" w:color="auto"/>
              <w:left w:val="nil"/>
              <w:right w:val="nil"/>
            </w:tcBorders>
            <w:shd w:val="clear" w:color="auto" w:fill="auto"/>
            <w:vAlign w:val="center"/>
            <w:hideMark/>
          </w:tcPr>
          <w:p w14:paraId="6DCC2154"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t</w:t>
            </w:r>
          </w:p>
        </w:tc>
        <w:tc>
          <w:tcPr>
            <w:tcW w:w="533" w:type="pct"/>
            <w:vMerge w:val="restart"/>
            <w:tcBorders>
              <w:top w:val="single" w:sz="12" w:space="0" w:color="auto"/>
              <w:left w:val="nil"/>
              <w:right w:val="nil"/>
            </w:tcBorders>
            <w:shd w:val="clear" w:color="auto" w:fill="auto"/>
            <w:vAlign w:val="center"/>
            <w:hideMark/>
          </w:tcPr>
          <w:p w14:paraId="4B2788A1"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P</w:t>
            </w:r>
          </w:p>
        </w:tc>
      </w:tr>
      <w:tr w:rsidR="00EE7F56" w:rsidRPr="00EE7F56" w14:paraId="6EE4BDFC" w14:textId="77777777" w:rsidTr="00927269">
        <w:trPr>
          <w:trHeight w:val="20"/>
          <w:jc w:val="center"/>
        </w:trPr>
        <w:tc>
          <w:tcPr>
            <w:tcW w:w="820" w:type="pct"/>
            <w:vMerge/>
            <w:tcBorders>
              <w:left w:val="nil"/>
              <w:bottom w:val="single" w:sz="4" w:space="0" w:color="auto"/>
              <w:right w:val="nil"/>
            </w:tcBorders>
            <w:shd w:val="clear" w:color="auto" w:fill="auto"/>
          </w:tcPr>
          <w:p w14:paraId="1D8C0866" w14:textId="77777777" w:rsidR="00870696" w:rsidRPr="00EE7F56" w:rsidRDefault="00870696" w:rsidP="00927269">
            <w:pPr>
              <w:ind w:leftChars="-50" w:left="-105" w:rightChars="-50" w:right="-105"/>
              <w:jc w:val="center"/>
              <w:rPr>
                <w:rFonts w:ascii="Times New Roman" w:hAnsi="Times New Roman" w:cs="Times New Roman"/>
                <w:b/>
                <w:bCs/>
                <w:sz w:val="16"/>
                <w:szCs w:val="16"/>
              </w:rPr>
            </w:pPr>
          </w:p>
        </w:tc>
        <w:tc>
          <w:tcPr>
            <w:tcW w:w="697" w:type="pct"/>
            <w:tcBorders>
              <w:top w:val="single" w:sz="4" w:space="0" w:color="auto"/>
              <w:left w:val="nil"/>
              <w:bottom w:val="single" w:sz="4" w:space="0" w:color="auto"/>
              <w:right w:val="nil"/>
            </w:tcBorders>
            <w:shd w:val="clear" w:color="auto" w:fill="auto"/>
            <w:vAlign w:val="center"/>
            <w:hideMark/>
          </w:tcPr>
          <w:p w14:paraId="202AEA14"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w:t>
            </w:r>
          </w:p>
        </w:tc>
        <w:tc>
          <w:tcPr>
            <w:tcW w:w="877" w:type="pct"/>
            <w:tcBorders>
              <w:top w:val="single" w:sz="4" w:space="0" w:color="auto"/>
              <w:left w:val="nil"/>
              <w:bottom w:val="single" w:sz="4" w:space="0" w:color="auto"/>
              <w:right w:val="nil"/>
            </w:tcBorders>
            <w:shd w:val="clear" w:color="auto" w:fill="auto"/>
            <w:vAlign w:val="center"/>
            <w:hideMark/>
          </w:tcPr>
          <w:p w14:paraId="2962BD8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 Error</w:t>
            </w:r>
          </w:p>
        </w:tc>
        <w:tc>
          <w:tcPr>
            <w:tcW w:w="1214" w:type="pct"/>
            <w:tcBorders>
              <w:top w:val="single" w:sz="4" w:space="0" w:color="auto"/>
              <w:left w:val="nil"/>
              <w:bottom w:val="single" w:sz="4" w:space="0" w:color="auto"/>
              <w:right w:val="nil"/>
            </w:tcBorders>
            <w:shd w:val="clear" w:color="auto" w:fill="auto"/>
            <w:vAlign w:val="center"/>
            <w:hideMark/>
          </w:tcPr>
          <w:p w14:paraId="4C0CFF90"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w:t>
            </w:r>
          </w:p>
        </w:tc>
        <w:tc>
          <w:tcPr>
            <w:tcW w:w="859" w:type="pct"/>
            <w:vMerge/>
            <w:tcBorders>
              <w:left w:val="nil"/>
              <w:bottom w:val="single" w:sz="4" w:space="0" w:color="auto"/>
              <w:right w:val="nil"/>
            </w:tcBorders>
            <w:shd w:val="clear" w:color="auto" w:fill="auto"/>
            <w:vAlign w:val="center"/>
            <w:hideMark/>
          </w:tcPr>
          <w:p w14:paraId="29B52143" w14:textId="77777777" w:rsidR="00870696" w:rsidRPr="00EE7F56" w:rsidRDefault="00870696" w:rsidP="00927269">
            <w:pPr>
              <w:rPr>
                <w:rFonts w:ascii="Times New Roman" w:hAnsi="Times New Roman" w:cs="Times New Roman"/>
                <w:b/>
                <w:bCs/>
                <w:sz w:val="16"/>
                <w:szCs w:val="16"/>
              </w:rPr>
            </w:pPr>
          </w:p>
        </w:tc>
        <w:tc>
          <w:tcPr>
            <w:tcW w:w="533" w:type="pct"/>
            <w:vMerge/>
            <w:tcBorders>
              <w:left w:val="nil"/>
              <w:bottom w:val="single" w:sz="4" w:space="0" w:color="auto"/>
              <w:right w:val="nil"/>
            </w:tcBorders>
            <w:shd w:val="clear" w:color="auto" w:fill="auto"/>
            <w:vAlign w:val="center"/>
            <w:hideMark/>
          </w:tcPr>
          <w:p w14:paraId="24C9DB09" w14:textId="77777777" w:rsidR="00870696" w:rsidRPr="00EE7F56" w:rsidRDefault="00870696" w:rsidP="00927269">
            <w:pPr>
              <w:rPr>
                <w:rFonts w:ascii="Times New Roman" w:hAnsi="Times New Roman" w:cs="Times New Roman"/>
                <w:b/>
                <w:bCs/>
                <w:sz w:val="16"/>
                <w:szCs w:val="16"/>
              </w:rPr>
            </w:pPr>
          </w:p>
        </w:tc>
      </w:tr>
      <w:tr w:rsidR="00EE7F56" w:rsidRPr="00EE7F56" w14:paraId="433B7A3E" w14:textId="77777777" w:rsidTr="00927269">
        <w:trPr>
          <w:trHeight w:val="20"/>
          <w:jc w:val="center"/>
        </w:trPr>
        <w:tc>
          <w:tcPr>
            <w:tcW w:w="820" w:type="pct"/>
            <w:tcBorders>
              <w:top w:val="single" w:sz="4" w:space="0" w:color="auto"/>
              <w:left w:val="nil"/>
              <w:bottom w:val="nil"/>
              <w:right w:val="nil"/>
            </w:tcBorders>
            <w:shd w:val="clear" w:color="auto" w:fill="auto"/>
            <w:vAlign w:val="center"/>
          </w:tcPr>
          <w:p w14:paraId="585964F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Constant</w:t>
            </w:r>
          </w:p>
        </w:tc>
        <w:tc>
          <w:tcPr>
            <w:tcW w:w="697" w:type="pct"/>
            <w:tcBorders>
              <w:top w:val="single" w:sz="4" w:space="0" w:color="auto"/>
              <w:left w:val="nil"/>
              <w:bottom w:val="nil"/>
              <w:right w:val="nil"/>
            </w:tcBorders>
            <w:shd w:val="clear" w:color="auto" w:fill="auto"/>
            <w:vAlign w:val="center"/>
            <w:hideMark/>
          </w:tcPr>
          <w:p w14:paraId="7882E0F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0.043</w:t>
            </w:r>
          </w:p>
        </w:tc>
        <w:tc>
          <w:tcPr>
            <w:tcW w:w="877" w:type="pct"/>
            <w:tcBorders>
              <w:top w:val="single" w:sz="4" w:space="0" w:color="auto"/>
              <w:left w:val="nil"/>
              <w:bottom w:val="nil"/>
              <w:right w:val="nil"/>
            </w:tcBorders>
            <w:shd w:val="clear" w:color="auto" w:fill="auto"/>
            <w:vAlign w:val="center"/>
            <w:hideMark/>
          </w:tcPr>
          <w:p w14:paraId="4FFC8AD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1214" w:type="pct"/>
            <w:tcBorders>
              <w:top w:val="single" w:sz="4" w:space="0" w:color="auto"/>
              <w:left w:val="nil"/>
              <w:bottom w:val="nil"/>
              <w:right w:val="nil"/>
            </w:tcBorders>
            <w:shd w:val="clear" w:color="auto" w:fill="auto"/>
            <w:vAlign w:val="center"/>
            <w:hideMark/>
          </w:tcPr>
          <w:p w14:paraId="2668304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w:t>
            </w:r>
          </w:p>
        </w:tc>
        <w:tc>
          <w:tcPr>
            <w:tcW w:w="859" w:type="pct"/>
            <w:tcBorders>
              <w:top w:val="single" w:sz="4" w:space="0" w:color="auto"/>
              <w:left w:val="nil"/>
              <w:bottom w:val="nil"/>
              <w:right w:val="nil"/>
            </w:tcBorders>
            <w:shd w:val="clear" w:color="auto" w:fill="auto"/>
            <w:vAlign w:val="center"/>
            <w:hideMark/>
          </w:tcPr>
          <w:p w14:paraId="0611E90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31.462</w:t>
            </w:r>
          </w:p>
        </w:tc>
        <w:tc>
          <w:tcPr>
            <w:tcW w:w="533" w:type="pct"/>
            <w:tcBorders>
              <w:top w:val="single" w:sz="4" w:space="0" w:color="auto"/>
              <w:left w:val="nil"/>
              <w:bottom w:val="nil"/>
              <w:right w:val="nil"/>
            </w:tcBorders>
            <w:shd w:val="clear" w:color="auto" w:fill="auto"/>
            <w:vAlign w:val="center"/>
            <w:hideMark/>
          </w:tcPr>
          <w:p w14:paraId="78251FA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27CD9BFC" w14:textId="77777777" w:rsidTr="00927269">
        <w:trPr>
          <w:trHeight w:val="20"/>
          <w:jc w:val="center"/>
        </w:trPr>
        <w:tc>
          <w:tcPr>
            <w:tcW w:w="820" w:type="pct"/>
            <w:tcBorders>
              <w:top w:val="nil"/>
              <w:left w:val="nil"/>
              <w:bottom w:val="nil"/>
              <w:right w:val="nil"/>
            </w:tcBorders>
            <w:shd w:val="clear" w:color="auto" w:fill="auto"/>
            <w:vAlign w:val="center"/>
          </w:tcPr>
          <w:p w14:paraId="5BCD880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1</w:t>
            </w:r>
          </w:p>
        </w:tc>
        <w:tc>
          <w:tcPr>
            <w:tcW w:w="697" w:type="pct"/>
            <w:tcBorders>
              <w:top w:val="nil"/>
              <w:left w:val="nil"/>
              <w:bottom w:val="nil"/>
              <w:right w:val="nil"/>
            </w:tcBorders>
            <w:shd w:val="clear" w:color="auto" w:fill="auto"/>
            <w:vAlign w:val="center"/>
          </w:tcPr>
          <w:p w14:paraId="76E900E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1.000</w:t>
            </w:r>
          </w:p>
        </w:tc>
        <w:tc>
          <w:tcPr>
            <w:tcW w:w="877" w:type="pct"/>
            <w:tcBorders>
              <w:top w:val="nil"/>
              <w:left w:val="nil"/>
              <w:bottom w:val="nil"/>
              <w:right w:val="nil"/>
            </w:tcBorders>
            <w:shd w:val="clear" w:color="auto" w:fill="auto"/>
            <w:vAlign w:val="center"/>
          </w:tcPr>
          <w:p w14:paraId="63D5C31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D9E2F3"/>
            <w:vAlign w:val="center"/>
          </w:tcPr>
          <w:p w14:paraId="1AAA235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0.284</w:t>
            </w:r>
          </w:p>
        </w:tc>
        <w:tc>
          <w:tcPr>
            <w:tcW w:w="859" w:type="pct"/>
            <w:tcBorders>
              <w:top w:val="nil"/>
              <w:left w:val="nil"/>
              <w:bottom w:val="nil"/>
              <w:right w:val="nil"/>
            </w:tcBorders>
            <w:shd w:val="clear" w:color="auto" w:fill="D9E2F3"/>
            <w:vAlign w:val="center"/>
          </w:tcPr>
          <w:p w14:paraId="0C1AC69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2578.123</w:t>
            </w:r>
          </w:p>
        </w:tc>
        <w:tc>
          <w:tcPr>
            <w:tcW w:w="533" w:type="pct"/>
            <w:tcBorders>
              <w:top w:val="nil"/>
              <w:left w:val="nil"/>
              <w:bottom w:val="nil"/>
              <w:right w:val="nil"/>
            </w:tcBorders>
            <w:shd w:val="clear" w:color="auto" w:fill="auto"/>
            <w:vAlign w:val="center"/>
          </w:tcPr>
          <w:p w14:paraId="7A40ECE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341462AB" w14:textId="77777777" w:rsidTr="00927269">
        <w:trPr>
          <w:trHeight w:val="20"/>
          <w:jc w:val="center"/>
        </w:trPr>
        <w:tc>
          <w:tcPr>
            <w:tcW w:w="820" w:type="pct"/>
            <w:tcBorders>
              <w:top w:val="nil"/>
              <w:left w:val="nil"/>
              <w:bottom w:val="nil"/>
              <w:right w:val="nil"/>
            </w:tcBorders>
            <w:shd w:val="clear" w:color="auto" w:fill="auto"/>
            <w:vAlign w:val="center"/>
          </w:tcPr>
          <w:p w14:paraId="15E5D76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w:t>
            </w:r>
          </w:p>
        </w:tc>
        <w:tc>
          <w:tcPr>
            <w:tcW w:w="697" w:type="pct"/>
            <w:tcBorders>
              <w:top w:val="nil"/>
              <w:left w:val="nil"/>
              <w:bottom w:val="nil"/>
              <w:right w:val="nil"/>
            </w:tcBorders>
            <w:shd w:val="clear" w:color="auto" w:fill="auto"/>
            <w:vAlign w:val="center"/>
          </w:tcPr>
          <w:p w14:paraId="2D8587D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1.000</w:t>
            </w:r>
          </w:p>
        </w:tc>
        <w:tc>
          <w:tcPr>
            <w:tcW w:w="877" w:type="pct"/>
            <w:tcBorders>
              <w:top w:val="nil"/>
              <w:left w:val="nil"/>
              <w:bottom w:val="nil"/>
              <w:right w:val="nil"/>
            </w:tcBorders>
            <w:shd w:val="clear" w:color="auto" w:fill="auto"/>
            <w:vAlign w:val="center"/>
          </w:tcPr>
          <w:p w14:paraId="76B96C3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D9E2F3"/>
            <w:vAlign w:val="center"/>
          </w:tcPr>
          <w:p w14:paraId="427978C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0.975</w:t>
            </w:r>
          </w:p>
        </w:tc>
        <w:tc>
          <w:tcPr>
            <w:tcW w:w="859" w:type="pct"/>
            <w:tcBorders>
              <w:top w:val="nil"/>
              <w:left w:val="nil"/>
              <w:bottom w:val="nil"/>
              <w:right w:val="nil"/>
            </w:tcBorders>
            <w:shd w:val="clear" w:color="auto" w:fill="D9E2F3"/>
            <w:vAlign w:val="center"/>
          </w:tcPr>
          <w:p w14:paraId="491A913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8265.167</w:t>
            </w:r>
          </w:p>
        </w:tc>
        <w:tc>
          <w:tcPr>
            <w:tcW w:w="533" w:type="pct"/>
            <w:tcBorders>
              <w:top w:val="nil"/>
              <w:left w:val="nil"/>
              <w:bottom w:val="nil"/>
              <w:right w:val="nil"/>
            </w:tcBorders>
            <w:shd w:val="clear" w:color="auto" w:fill="auto"/>
            <w:vAlign w:val="center"/>
          </w:tcPr>
          <w:p w14:paraId="1B4152D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2B896A00" w14:textId="77777777" w:rsidTr="00927269">
        <w:trPr>
          <w:trHeight w:val="20"/>
          <w:jc w:val="center"/>
        </w:trPr>
        <w:tc>
          <w:tcPr>
            <w:tcW w:w="820" w:type="pct"/>
            <w:tcBorders>
              <w:top w:val="nil"/>
              <w:left w:val="nil"/>
              <w:bottom w:val="nil"/>
              <w:right w:val="nil"/>
            </w:tcBorders>
            <w:shd w:val="clear" w:color="auto" w:fill="auto"/>
            <w:vAlign w:val="center"/>
          </w:tcPr>
          <w:p w14:paraId="0D19FC1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3</w:t>
            </w:r>
          </w:p>
        </w:tc>
        <w:tc>
          <w:tcPr>
            <w:tcW w:w="697" w:type="pct"/>
            <w:tcBorders>
              <w:top w:val="nil"/>
              <w:left w:val="nil"/>
              <w:bottom w:val="nil"/>
              <w:right w:val="nil"/>
            </w:tcBorders>
            <w:shd w:val="clear" w:color="auto" w:fill="auto"/>
            <w:vAlign w:val="center"/>
          </w:tcPr>
          <w:p w14:paraId="38E79F4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7" w:type="pct"/>
            <w:tcBorders>
              <w:top w:val="nil"/>
              <w:left w:val="nil"/>
              <w:bottom w:val="nil"/>
              <w:right w:val="nil"/>
            </w:tcBorders>
            <w:shd w:val="clear" w:color="auto" w:fill="auto"/>
            <w:vAlign w:val="center"/>
          </w:tcPr>
          <w:p w14:paraId="28D6E3E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56F1DEB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59" w:type="pct"/>
            <w:tcBorders>
              <w:top w:val="nil"/>
              <w:left w:val="nil"/>
              <w:bottom w:val="nil"/>
              <w:right w:val="nil"/>
            </w:tcBorders>
            <w:shd w:val="clear" w:color="auto" w:fill="auto"/>
            <w:vAlign w:val="center"/>
          </w:tcPr>
          <w:p w14:paraId="17FA35D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-6.969</w:t>
            </w:r>
          </w:p>
        </w:tc>
        <w:tc>
          <w:tcPr>
            <w:tcW w:w="533" w:type="pct"/>
            <w:tcBorders>
              <w:top w:val="nil"/>
              <w:left w:val="nil"/>
              <w:bottom w:val="nil"/>
              <w:right w:val="nil"/>
            </w:tcBorders>
            <w:shd w:val="clear" w:color="auto" w:fill="auto"/>
            <w:vAlign w:val="center"/>
          </w:tcPr>
          <w:p w14:paraId="74EFB89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4DED778D" w14:textId="77777777" w:rsidTr="00927269">
        <w:trPr>
          <w:trHeight w:val="20"/>
          <w:jc w:val="center"/>
        </w:trPr>
        <w:tc>
          <w:tcPr>
            <w:tcW w:w="820" w:type="pct"/>
            <w:tcBorders>
              <w:top w:val="nil"/>
              <w:left w:val="nil"/>
              <w:bottom w:val="nil"/>
              <w:right w:val="nil"/>
            </w:tcBorders>
            <w:shd w:val="clear" w:color="auto" w:fill="auto"/>
            <w:vAlign w:val="center"/>
          </w:tcPr>
          <w:p w14:paraId="51B4404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6</w:t>
            </w:r>
          </w:p>
        </w:tc>
        <w:tc>
          <w:tcPr>
            <w:tcW w:w="697" w:type="pct"/>
            <w:tcBorders>
              <w:top w:val="nil"/>
              <w:left w:val="nil"/>
              <w:bottom w:val="nil"/>
              <w:right w:val="nil"/>
            </w:tcBorders>
            <w:shd w:val="clear" w:color="auto" w:fill="auto"/>
            <w:vAlign w:val="center"/>
          </w:tcPr>
          <w:p w14:paraId="0B12485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576F2BE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5EF4B42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59" w:type="pct"/>
            <w:tcBorders>
              <w:top w:val="nil"/>
              <w:left w:val="nil"/>
              <w:bottom w:val="nil"/>
              <w:right w:val="nil"/>
            </w:tcBorders>
            <w:shd w:val="clear" w:color="auto" w:fill="auto"/>
            <w:vAlign w:val="center"/>
          </w:tcPr>
          <w:p w14:paraId="6CB1326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4.060</w:t>
            </w:r>
          </w:p>
        </w:tc>
        <w:tc>
          <w:tcPr>
            <w:tcW w:w="533" w:type="pct"/>
            <w:tcBorders>
              <w:top w:val="nil"/>
              <w:left w:val="nil"/>
              <w:bottom w:val="nil"/>
              <w:right w:val="nil"/>
            </w:tcBorders>
            <w:shd w:val="clear" w:color="auto" w:fill="auto"/>
            <w:vAlign w:val="center"/>
          </w:tcPr>
          <w:p w14:paraId="64E8B17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001959E7" w14:textId="77777777" w:rsidTr="00927269">
        <w:trPr>
          <w:trHeight w:val="20"/>
          <w:jc w:val="center"/>
        </w:trPr>
        <w:tc>
          <w:tcPr>
            <w:tcW w:w="820" w:type="pct"/>
            <w:tcBorders>
              <w:top w:val="nil"/>
              <w:left w:val="nil"/>
              <w:bottom w:val="nil"/>
              <w:right w:val="nil"/>
            </w:tcBorders>
            <w:shd w:val="clear" w:color="auto" w:fill="auto"/>
            <w:vAlign w:val="center"/>
          </w:tcPr>
          <w:p w14:paraId="2A103B1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21</w:t>
            </w:r>
          </w:p>
        </w:tc>
        <w:tc>
          <w:tcPr>
            <w:tcW w:w="697" w:type="pct"/>
            <w:tcBorders>
              <w:top w:val="nil"/>
              <w:left w:val="nil"/>
              <w:bottom w:val="nil"/>
              <w:right w:val="nil"/>
            </w:tcBorders>
            <w:shd w:val="clear" w:color="auto" w:fill="auto"/>
            <w:vAlign w:val="center"/>
          </w:tcPr>
          <w:p w14:paraId="4BB76CD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56D6861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7EE3C77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03693F7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3.140</w:t>
            </w:r>
          </w:p>
        </w:tc>
        <w:tc>
          <w:tcPr>
            <w:tcW w:w="533" w:type="pct"/>
            <w:tcBorders>
              <w:top w:val="nil"/>
              <w:left w:val="nil"/>
              <w:bottom w:val="nil"/>
              <w:right w:val="nil"/>
            </w:tcBorders>
            <w:shd w:val="clear" w:color="auto" w:fill="auto"/>
            <w:vAlign w:val="center"/>
          </w:tcPr>
          <w:p w14:paraId="77B544B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0.002</w:t>
            </w:r>
          </w:p>
        </w:tc>
      </w:tr>
      <w:tr w:rsidR="00EE7F56" w:rsidRPr="00EE7F56" w14:paraId="15BA6D3D" w14:textId="77777777" w:rsidTr="00927269">
        <w:trPr>
          <w:trHeight w:val="20"/>
          <w:jc w:val="center"/>
        </w:trPr>
        <w:tc>
          <w:tcPr>
            <w:tcW w:w="820" w:type="pct"/>
            <w:tcBorders>
              <w:top w:val="nil"/>
              <w:left w:val="nil"/>
              <w:bottom w:val="nil"/>
              <w:right w:val="nil"/>
            </w:tcBorders>
            <w:shd w:val="clear" w:color="auto" w:fill="auto"/>
            <w:vAlign w:val="center"/>
          </w:tcPr>
          <w:p w14:paraId="679AA27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23</w:t>
            </w:r>
          </w:p>
        </w:tc>
        <w:tc>
          <w:tcPr>
            <w:tcW w:w="697" w:type="pct"/>
            <w:tcBorders>
              <w:top w:val="nil"/>
              <w:left w:val="nil"/>
              <w:bottom w:val="nil"/>
              <w:right w:val="nil"/>
            </w:tcBorders>
            <w:shd w:val="clear" w:color="auto" w:fill="auto"/>
            <w:vAlign w:val="center"/>
          </w:tcPr>
          <w:p w14:paraId="3258C91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13274E8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65FB417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59" w:type="pct"/>
            <w:tcBorders>
              <w:top w:val="nil"/>
              <w:left w:val="nil"/>
              <w:bottom w:val="nil"/>
              <w:right w:val="nil"/>
            </w:tcBorders>
            <w:shd w:val="clear" w:color="auto" w:fill="auto"/>
            <w:vAlign w:val="center"/>
          </w:tcPr>
          <w:p w14:paraId="730C531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-5.702</w:t>
            </w:r>
          </w:p>
        </w:tc>
        <w:tc>
          <w:tcPr>
            <w:tcW w:w="533" w:type="pct"/>
            <w:tcBorders>
              <w:top w:val="nil"/>
              <w:left w:val="nil"/>
              <w:bottom w:val="nil"/>
              <w:right w:val="nil"/>
            </w:tcBorders>
            <w:shd w:val="clear" w:color="auto" w:fill="auto"/>
            <w:vAlign w:val="center"/>
          </w:tcPr>
          <w:p w14:paraId="3ADB9A4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0BB8C1A0" w14:textId="77777777" w:rsidTr="00927269">
        <w:trPr>
          <w:trHeight w:val="20"/>
          <w:jc w:val="center"/>
        </w:trPr>
        <w:tc>
          <w:tcPr>
            <w:tcW w:w="820" w:type="pct"/>
            <w:tcBorders>
              <w:top w:val="nil"/>
              <w:left w:val="nil"/>
              <w:bottom w:val="nil"/>
              <w:right w:val="nil"/>
            </w:tcBorders>
            <w:shd w:val="clear" w:color="auto" w:fill="auto"/>
            <w:vAlign w:val="center"/>
          </w:tcPr>
          <w:p w14:paraId="2BFD6FA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29</w:t>
            </w:r>
          </w:p>
        </w:tc>
        <w:tc>
          <w:tcPr>
            <w:tcW w:w="697" w:type="pct"/>
            <w:tcBorders>
              <w:top w:val="nil"/>
              <w:left w:val="nil"/>
              <w:bottom w:val="nil"/>
              <w:right w:val="nil"/>
            </w:tcBorders>
            <w:shd w:val="clear" w:color="auto" w:fill="auto"/>
            <w:vAlign w:val="center"/>
          </w:tcPr>
          <w:p w14:paraId="34B1909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1B03F34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0198B42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5A43E8F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-4.208</w:t>
            </w:r>
          </w:p>
        </w:tc>
        <w:tc>
          <w:tcPr>
            <w:tcW w:w="533" w:type="pct"/>
            <w:tcBorders>
              <w:top w:val="nil"/>
              <w:left w:val="nil"/>
              <w:bottom w:val="nil"/>
              <w:right w:val="nil"/>
            </w:tcBorders>
            <w:shd w:val="clear" w:color="auto" w:fill="auto"/>
            <w:vAlign w:val="center"/>
          </w:tcPr>
          <w:p w14:paraId="7A4D8A1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24899C98" w14:textId="77777777" w:rsidTr="00927269">
        <w:trPr>
          <w:trHeight w:val="20"/>
          <w:jc w:val="center"/>
        </w:trPr>
        <w:tc>
          <w:tcPr>
            <w:tcW w:w="820" w:type="pct"/>
            <w:tcBorders>
              <w:top w:val="nil"/>
              <w:left w:val="nil"/>
              <w:bottom w:val="nil"/>
              <w:right w:val="nil"/>
            </w:tcBorders>
            <w:shd w:val="clear" w:color="auto" w:fill="auto"/>
            <w:vAlign w:val="center"/>
          </w:tcPr>
          <w:p w14:paraId="49E8BC1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32</w:t>
            </w:r>
          </w:p>
        </w:tc>
        <w:tc>
          <w:tcPr>
            <w:tcW w:w="697" w:type="pct"/>
            <w:tcBorders>
              <w:top w:val="nil"/>
              <w:left w:val="nil"/>
              <w:bottom w:val="nil"/>
              <w:right w:val="nil"/>
            </w:tcBorders>
            <w:shd w:val="clear" w:color="auto" w:fill="auto"/>
            <w:vAlign w:val="center"/>
          </w:tcPr>
          <w:p w14:paraId="0083A0B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54B9130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5B1AB94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2B42824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3.890</w:t>
            </w:r>
          </w:p>
        </w:tc>
        <w:tc>
          <w:tcPr>
            <w:tcW w:w="533" w:type="pct"/>
            <w:tcBorders>
              <w:top w:val="nil"/>
              <w:left w:val="nil"/>
              <w:bottom w:val="nil"/>
              <w:right w:val="nil"/>
            </w:tcBorders>
            <w:shd w:val="clear" w:color="auto" w:fill="auto"/>
            <w:vAlign w:val="center"/>
          </w:tcPr>
          <w:p w14:paraId="318DB5F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476B8F23" w14:textId="77777777" w:rsidTr="00927269">
        <w:trPr>
          <w:trHeight w:val="20"/>
          <w:jc w:val="center"/>
        </w:trPr>
        <w:tc>
          <w:tcPr>
            <w:tcW w:w="820" w:type="pct"/>
            <w:tcBorders>
              <w:top w:val="nil"/>
              <w:left w:val="nil"/>
              <w:bottom w:val="nil"/>
              <w:right w:val="nil"/>
            </w:tcBorders>
            <w:shd w:val="clear" w:color="auto" w:fill="auto"/>
            <w:vAlign w:val="center"/>
          </w:tcPr>
          <w:p w14:paraId="4E4935F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34</w:t>
            </w:r>
          </w:p>
        </w:tc>
        <w:tc>
          <w:tcPr>
            <w:tcW w:w="697" w:type="pct"/>
            <w:tcBorders>
              <w:top w:val="nil"/>
              <w:left w:val="nil"/>
              <w:bottom w:val="nil"/>
              <w:right w:val="nil"/>
            </w:tcBorders>
            <w:shd w:val="clear" w:color="auto" w:fill="auto"/>
            <w:vAlign w:val="center"/>
          </w:tcPr>
          <w:p w14:paraId="69A8B1F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07BFBA5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615BF67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200A234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3.370</w:t>
            </w:r>
          </w:p>
        </w:tc>
        <w:tc>
          <w:tcPr>
            <w:tcW w:w="533" w:type="pct"/>
            <w:tcBorders>
              <w:top w:val="nil"/>
              <w:left w:val="nil"/>
              <w:bottom w:val="nil"/>
              <w:right w:val="nil"/>
            </w:tcBorders>
            <w:shd w:val="clear" w:color="auto" w:fill="auto"/>
            <w:vAlign w:val="center"/>
          </w:tcPr>
          <w:p w14:paraId="3FF8D0B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r>
      <w:tr w:rsidR="00EE7F56" w:rsidRPr="00EE7F56" w14:paraId="3BC05B42" w14:textId="77777777" w:rsidTr="00927269">
        <w:trPr>
          <w:trHeight w:val="20"/>
          <w:jc w:val="center"/>
        </w:trPr>
        <w:tc>
          <w:tcPr>
            <w:tcW w:w="820" w:type="pct"/>
            <w:tcBorders>
              <w:top w:val="nil"/>
              <w:left w:val="nil"/>
              <w:bottom w:val="nil"/>
              <w:right w:val="nil"/>
            </w:tcBorders>
            <w:shd w:val="clear" w:color="auto" w:fill="auto"/>
            <w:vAlign w:val="center"/>
          </w:tcPr>
          <w:p w14:paraId="045F1453"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42</w:t>
            </w:r>
          </w:p>
        </w:tc>
        <w:tc>
          <w:tcPr>
            <w:tcW w:w="697" w:type="pct"/>
            <w:tcBorders>
              <w:top w:val="nil"/>
              <w:left w:val="nil"/>
              <w:bottom w:val="nil"/>
              <w:right w:val="nil"/>
            </w:tcBorders>
            <w:shd w:val="clear" w:color="auto" w:fill="auto"/>
            <w:vAlign w:val="center"/>
          </w:tcPr>
          <w:p w14:paraId="4E9B692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nil"/>
              <w:right w:val="nil"/>
            </w:tcBorders>
            <w:shd w:val="clear" w:color="auto" w:fill="auto"/>
            <w:vAlign w:val="center"/>
          </w:tcPr>
          <w:p w14:paraId="3B1CDA9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5CFA0D1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7FD54DC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2.868</w:t>
            </w:r>
          </w:p>
        </w:tc>
        <w:tc>
          <w:tcPr>
            <w:tcW w:w="533" w:type="pct"/>
            <w:tcBorders>
              <w:top w:val="nil"/>
              <w:left w:val="nil"/>
              <w:bottom w:val="nil"/>
              <w:right w:val="nil"/>
            </w:tcBorders>
            <w:shd w:val="clear" w:color="auto" w:fill="auto"/>
            <w:vAlign w:val="center"/>
          </w:tcPr>
          <w:p w14:paraId="3516838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0.005</w:t>
            </w:r>
          </w:p>
        </w:tc>
      </w:tr>
      <w:tr w:rsidR="00EE7F56" w:rsidRPr="00EE7F56" w14:paraId="492C9D93" w14:textId="77777777" w:rsidTr="00927269">
        <w:trPr>
          <w:trHeight w:val="20"/>
          <w:jc w:val="center"/>
        </w:trPr>
        <w:tc>
          <w:tcPr>
            <w:tcW w:w="820" w:type="pct"/>
            <w:tcBorders>
              <w:top w:val="nil"/>
              <w:left w:val="nil"/>
              <w:bottom w:val="nil"/>
              <w:right w:val="nil"/>
            </w:tcBorders>
            <w:shd w:val="clear" w:color="auto" w:fill="auto"/>
            <w:vAlign w:val="center"/>
          </w:tcPr>
          <w:p w14:paraId="5D79D9ED"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44</w:t>
            </w:r>
          </w:p>
        </w:tc>
        <w:tc>
          <w:tcPr>
            <w:tcW w:w="697" w:type="pct"/>
            <w:tcBorders>
              <w:top w:val="nil"/>
              <w:left w:val="nil"/>
              <w:bottom w:val="nil"/>
              <w:right w:val="nil"/>
            </w:tcBorders>
            <w:shd w:val="clear" w:color="auto" w:fill="auto"/>
            <w:vAlign w:val="center"/>
          </w:tcPr>
          <w:p w14:paraId="26AA48F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7" w:type="pct"/>
            <w:tcBorders>
              <w:top w:val="nil"/>
              <w:left w:val="nil"/>
              <w:bottom w:val="nil"/>
              <w:right w:val="nil"/>
            </w:tcBorders>
            <w:shd w:val="clear" w:color="auto" w:fill="auto"/>
            <w:vAlign w:val="center"/>
          </w:tcPr>
          <w:p w14:paraId="6DBE0CD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2EFF572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14BFD5F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-3.719</w:t>
            </w:r>
          </w:p>
        </w:tc>
        <w:tc>
          <w:tcPr>
            <w:tcW w:w="533" w:type="pct"/>
            <w:tcBorders>
              <w:top w:val="nil"/>
              <w:left w:val="nil"/>
              <w:bottom w:val="nil"/>
              <w:right w:val="nil"/>
            </w:tcBorders>
            <w:shd w:val="clear" w:color="auto" w:fill="auto"/>
            <w:vAlign w:val="center"/>
          </w:tcPr>
          <w:p w14:paraId="1E80AAF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755633B3" w14:textId="77777777" w:rsidTr="00927269">
        <w:trPr>
          <w:trHeight w:val="20"/>
          <w:jc w:val="center"/>
        </w:trPr>
        <w:tc>
          <w:tcPr>
            <w:tcW w:w="820" w:type="pct"/>
            <w:tcBorders>
              <w:top w:val="nil"/>
              <w:left w:val="nil"/>
              <w:bottom w:val="nil"/>
              <w:right w:val="nil"/>
            </w:tcBorders>
            <w:shd w:val="clear" w:color="auto" w:fill="auto"/>
            <w:vAlign w:val="center"/>
          </w:tcPr>
          <w:p w14:paraId="4FA5FF4C"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55</w:t>
            </w:r>
          </w:p>
        </w:tc>
        <w:tc>
          <w:tcPr>
            <w:tcW w:w="697" w:type="pct"/>
            <w:tcBorders>
              <w:top w:val="nil"/>
              <w:left w:val="nil"/>
              <w:bottom w:val="nil"/>
              <w:right w:val="nil"/>
            </w:tcBorders>
            <w:shd w:val="clear" w:color="auto" w:fill="auto"/>
            <w:vAlign w:val="center"/>
          </w:tcPr>
          <w:p w14:paraId="2E3FD9D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c>
          <w:tcPr>
            <w:tcW w:w="877" w:type="pct"/>
            <w:tcBorders>
              <w:top w:val="nil"/>
              <w:left w:val="nil"/>
              <w:bottom w:val="nil"/>
              <w:right w:val="nil"/>
            </w:tcBorders>
            <w:shd w:val="clear" w:color="auto" w:fill="auto"/>
            <w:vAlign w:val="center"/>
          </w:tcPr>
          <w:p w14:paraId="629578D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nil"/>
              <w:right w:val="nil"/>
            </w:tcBorders>
            <w:shd w:val="clear" w:color="auto" w:fill="auto"/>
            <w:vAlign w:val="center"/>
          </w:tcPr>
          <w:p w14:paraId="1B4947C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nil"/>
              <w:right w:val="nil"/>
            </w:tcBorders>
            <w:shd w:val="clear" w:color="auto" w:fill="auto"/>
            <w:vAlign w:val="center"/>
          </w:tcPr>
          <w:p w14:paraId="6553E40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2.943</w:t>
            </w:r>
          </w:p>
        </w:tc>
        <w:tc>
          <w:tcPr>
            <w:tcW w:w="533" w:type="pct"/>
            <w:tcBorders>
              <w:top w:val="nil"/>
              <w:left w:val="nil"/>
              <w:bottom w:val="nil"/>
              <w:right w:val="nil"/>
            </w:tcBorders>
            <w:shd w:val="clear" w:color="auto" w:fill="auto"/>
            <w:vAlign w:val="center"/>
          </w:tcPr>
          <w:p w14:paraId="5E5EC91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0.004</w:t>
            </w:r>
          </w:p>
        </w:tc>
      </w:tr>
      <w:tr w:rsidR="00EE7F56" w:rsidRPr="00EE7F56" w14:paraId="7DC5EBFE" w14:textId="77777777" w:rsidTr="00927269">
        <w:trPr>
          <w:trHeight w:val="20"/>
          <w:jc w:val="center"/>
        </w:trPr>
        <w:tc>
          <w:tcPr>
            <w:tcW w:w="820" w:type="pct"/>
            <w:tcBorders>
              <w:top w:val="nil"/>
              <w:left w:val="nil"/>
              <w:bottom w:val="single" w:sz="12" w:space="0" w:color="auto"/>
              <w:right w:val="nil"/>
            </w:tcBorders>
            <w:shd w:val="clear" w:color="auto" w:fill="auto"/>
            <w:vAlign w:val="center"/>
          </w:tcPr>
          <w:p w14:paraId="070A55E3"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sz w:val="16"/>
                <w:szCs w:val="16"/>
                <w:vertAlign w:val="subscript"/>
              </w:rPr>
              <w:t>60</w:t>
            </w:r>
          </w:p>
        </w:tc>
        <w:tc>
          <w:tcPr>
            <w:tcW w:w="697" w:type="pct"/>
            <w:tcBorders>
              <w:top w:val="nil"/>
              <w:left w:val="nil"/>
              <w:bottom w:val="single" w:sz="12" w:space="0" w:color="auto"/>
              <w:right w:val="nil"/>
            </w:tcBorders>
            <w:shd w:val="clear" w:color="auto" w:fill="auto"/>
            <w:vAlign w:val="center"/>
          </w:tcPr>
          <w:p w14:paraId="328DA2A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77" w:type="pct"/>
            <w:tcBorders>
              <w:top w:val="nil"/>
              <w:left w:val="nil"/>
              <w:bottom w:val="single" w:sz="12" w:space="0" w:color="auto"/>
              <w:right w:val="nil"/>
            </w:tcBorders>
            <w:shd w:val="clear" w:color="auto" w:fill="auto"/>
            <w:vAlign w:val="center"/>
          </w:tcPr>
          <w:p w14:paraId="7EA6D66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1214" w:type="pct"/>
            <w:tcBorders>
              <w:top w:val="nil"/>
              <w:left w:val="nil"/>
              <w:bottom w:val="single" w:sz="12" w:space="0" w:color="auto"/>
              <w:right w:val="nil"/>
            </w:tcBorders>
            <w:shd w:val="clear" w:color="auto" w:fill="auto"/>
            <w:vAlign w:val="center"/>
          </w:tcPr>
          <w:p w14:paraId="617C54E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c>
          <w:tcPr>
            <w:tcW w:w="859" w:type="pct"/>
            <w:tcBorders>
              <w:top w:val="nil"/>
              <w:left w:val="nil"/>
              <w:bottom w:val="single" w:sz="12" w:space="0" w:color="auto"/>
              <w:right w:val="nil"/>
            </w:tcBorders>
            <w:shd w:val="clear" w:color="auto" w:fill="auto"/>
            <w:vAlign w:val="center"/>
          </w:tcPr>
          <w:p w14:paraId="79D13AB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-2.780</w:t>
            </w:r>
          </w:p>
        </w:tc>
        <w:tc>
          <w:tcPr>
            <w:tcW w:w="533" w:type="pct"/>
            <w:tcBorders>
              <w:top w:val="nil"/>
              <w:left w:val="nil"/>
              <w:bottom w:val="single" w:sz="12" w:space="0" w:color="auto"/>
              <w:right w:val="nil"/>
            </w:tcBorders>
            <w:shd w:val="clear" w:color="auto" w:fill="auto"/>
            <w:vAlign w:val="center"/>
          </w:tcPr>
          <w:p w14:paraId="6AC7604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0.007</w:t>
            </w:r>
          </w:p>
        </w:tc>
      </w:tr>
    </w:tbl>
    <w:p w14:paraId="2CFB6BE1"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goodness of fit test and variance analysis results for this model are presented in Appendix Table A2 and A3. The data shows that the adjusted determination coefficient </w:t>
      </w:r>
      <w:r w:rsidRPr="00EE7F56">
        <w:rPr>
          <w:rFonts w:ascii="Times New Roman" w:hAnsi="Times New Roman" w:cs="Times New Roman"/>
          <w:i/>
          <w:iCs/>
          <w:sz w:val="20"/>
          <w:szCs w:val="20"/>
        </w:rPr>
        <w:t>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xml:space="preserve"> is 1.000, and the Std-Error is only 0.004, which demonstrates the excellent predictive capability of the optimal independent variables. At a significant level of 0.05, the model has passed the F-test, which indicates the effective overall linear relationship of the regression model. Once the linear regression calculations are completed in SPSS, the least square estimation of the regression coefficient for the optimal independent variables can be obtained as shown in Table IV. The significance of regression coefficients is also achieved by T test, and the results are displayed in Table IV.</w:t>
      </w:r>
    </w:p>
    <w:p w14:paraId="44667346"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Based on the data shown in Table IV, optimal independent variables of the load current have significant impact on the residual current of the LVDS, where the significance level is 0.05. The Std-coefficients of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carry more weight than other variables, and it suggests that both user 1 and user 2 have made significant contributions to the anomaly residual current of the LVDS. Furthermore, it can be observed that the Std-Coefficient of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is higher than that of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The reason is that the load current of the user 2 exhibits more intense fluctuations and consumes more electricity than the load current of the user 1. Therefore, user 1 and 2 are identified as the two wiring fault users, which is consistent with the simulation settings.</w:t>
      </w:r>
    </w:p>
    <w:p w14:paraId="29612AC9"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i/>
          <w:iCs/>
          <w:sz w:val="20"/>
          <w:szCs w:val="20"/>
        </w:rPr>
        <w:t xml:space="preserve">Case 2: </w:t>
      </w:r>
      <w:r w:rsidRPr="00EE7F56">
        <w:rPr>
          <w:rFonts w:ascii="Times New Roman" w:hAnsi="Times New Roman" w:cs="Times New Roman"/>
          <w:sz w:val="20"/>
          <w:szCs w:val="20"/>
        </w:rPr>
        <w:t>If the two users are connected in different phases, assuming one is in Phase A and another is in Phase B, the residual current of the LVDS can be expressed as</w:t>
      </w:r>
    </w:p>
    <w:p w14:paraId="0FB31925" w14:textId="77777777" w:rsidR="00870696" w:rsidRPr="00EE7F56" w:rsidRDefault="00870696" w:rsidP="00870696">
      <w:pPr>
        <w:tabs>
          <w:tab w:val="center" w:pos="2520"/>
          <w:tab w:val="right" w:pos="5040"/>
        </w:tabs>
        <w:rPr>
          <w:rFonts w:ascii="Times New Roman" w:hAnsi="Times New Roman" w:cs="Times New Roman"/>
          <w:sz w:val="20"/>
          <w:szCs w:val="20"/>
        </w:rPr>
      </w:pPr>
      <w:r w:rsidRPr="00EE7F56">
        <w:rPr>
          <w:rFonts w:ascii="Times New Roman" w:hAnsi="Times New Roman" w:cs="Times New Roman"/>
          <w:sz w:val="20"/>
          <w:szCs w:val="20"/>
        </w:rPr>
        <w:tab/>
      </w:r>
      <w:r w:rsidRPr="00EE7F56">
        <w:rPr>
          <w:rFonts w:ascii="Times New Roman" w:hAnsi="Times New Roman" w:cs="Times New Roman"/>
          <w:position w:val="-12"/>
          <w:sz w:val="20"/>
          <w:szCs w:val="20"/>
        </w:rPr>
        <w:object w:dxaOrig="3000" w:dyaOrig="340" w14:anchorId="4338D939">
          <v:shape id="_x0000_i1064" type="#_x0000_t75" style="width:149.85pt;height:18.05pt" o:ole="">
            <v:imagedata r:id="rId90" o:title=""/>
          </v:shape>
          <o:OLEObject Type="Embed" ProgID="Equation.DSMT4" ShapeID="_x0000_i1064" DrawAspect="Content" ObjectID="_1793628056" r:id="rId91"/>
        </w:object>
      </w:r>
      <w:r w:rsidRPr="00EE7F56">
        <w:rPr>
          <w:rFonts w:ascii="Times New Roman" w:hAnsi="Times New Roman" w:cs="Times New Roman"/>
          <w:sz w:val="20"/>
          <w:szCs w:val="20"/>
        </w:rPr>
        <w:tab/>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MACROBUTTON MTPlaceRef \* MERGEFORMAT </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\h \* MERGEFORMAT </w:instrText>
      </w:r>
      <w:r w:rsidRPr="00EE7F56">
        <w:rPr>
          <w:rFonts w:ascii="Times New Roman" w:hAnsi="Times New Roman" w:cs="Times New Roman"/>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begin"/>
      </w:r>
      <w:r w:rsidRPr="00EE7F56">
        <w:rPr>
          <w:rFonts w:ascii="Times New Roman" w:hAnsi="Times New Roman" w:cs="Times New Roman"/>
          <w:sz w:val="20"/>
          <w:szCs w:val="20"/>
        </w:rPr>
        <w:instrText xml:space="preserve"> SEQ MTEqn \c \* Arabic \* MERGEFORMAT </w:instrText>
      </w:r>
      <w:r w:rsidRPr="00EE7F56">
        <w:rPr>
          <w:rFonts w:ascii="Times New Roman" w:hAnsi="Times New Roman" w:cs="Times New Roman"/>
          <w:sz w:val="20"/>
          <w:szCs w:val="20"/>
        </w:rPr>
        <w:fldChar w:fldCharType="separate"/>
      </w:r>
      <w:r w:rsidRPr="00EE7F56">
        <w:rPr>
          <w:rFonts w:ascii="Times New Roman" w:hAnsi="Times New Roman" w:cs="Times New Roman"/>
          <w:noProof/>
          <w:sz w:val="20"/>
          <w:szCs w:val="20"/>
        </w:rPr>
        <w:instrText>20</w:instrText>
      </w:r>
      <w:r w:rsidRPr="00EE7F56">
        <w:rPr>
          <w:rFonts w:ascii="Times New Roman" w:hAnsi="Times New Roman" w:cs="Times New Roman"/>
          <w:noProof/>
          <w:sz w:val="20"/>
          <w:szCs w:val="20"/>
        </w:rPr>
        <w:fldChar w:fldCharType="end"/>
      </w:r>
      <w:r w:rsidRPr="00EE7F56">
        <w:rPr>
          <w:rFonts w:ascii="Times New Roman" w:hAnsi="Times New Roman" w:cs="Times New Roman"/>
          <w:sz w:val="20"/>
          <w:szCs w:val="20"/>
        </w:rPr>
        <w:instrText>)</w:instrText>
      </w:r>
      <w:r w:rsidRPr="00EE7F56">
        <w:rPr>
          <w:rFonts w:ascii="Times New Roman" w:hAnsi="Times New Roman" w:cs="Times New Roman"/>
          <w:sz w:val="20"/>
          <w:szCs w:val="20"/>
        </w:rPr>
        <w:fldChar w:fldCharType="end"/>
      </w:r>
    </w:p>
    <w:p w14:paraId="64D855CA"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optimal independent variables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w:t>
      </w:r>
      <w:r w:rsidRPr="00EE7F56">
        <w:rPr>
          <w:rFonts w:ascii="Times New Roman" w:hAnsi="Times New Roman" w:cs="Times New Roman"/>
          <w:i/>
          <w:iCs/>
          <w:sz w:val="20"/>
          <w:szCs w:val="20"/>
        </w:rPr>
        <w:t xml:space="preserve"> U</w:t>
      </w:r>
      <w:r w:rsidRPr="00EE7F56">
        <w:rPr>
          <w:rFonts w:ascii="Times New Roman" w:hAnsi="Times New Roman" w:cs="Times New Roman"/>
          <w:sz w:val="20"/>
          <w:szCs w:val="20"/>
          <w:vertAlign w:val="subscript"/>
        </w:rPr>
        <w:t>4</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11</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14</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17</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29</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55</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62</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66</w:t>
      </w:r>
      <w:r w:rsidRPr="00EE7F56">
        <w:rPr>
          <w:rFonts w:ascii="Times New Roman" w:hAnsi="Times New Roman" w:cs="Times New Roman"/>
          <w:sz w:val="20"/>
          <w:szCs w:val="20"/>
        </w:rPr>
        <w:t xml:space="preserve">,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67</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69</w:t>
      </w:r>
      <w:r w:rsidRPr="00EE7F56">
        <w:rPr>
          <w:rFonts w:ascii="Times New Roman" w:hAnsi="Times New Roman" w:cs="Times New Roman"/>
          <w:sz w:val="20"/>
          <w:szCs w:val="20"/>
        </w:rPr>
        <w:t xml:space="preserve"> are selected by conducting a stepwise regression analysis on the metering data which is inputted into SPSS. Then the auxiliary MLR model is established with the dependent variables which are the time series of residual current of the LVDS, and all the aforementioned optimal explanatory variables are utilized as independent variables.</w:t>
      </w:r>
    </w:p>
    <w:p w14:paraId="5A600CCF"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The goodness of fit test and variance analysis results of the model are presented in Appendix Table A4 and A5, where the adjusted determination coefficient </w:t>
      </w:r>
      <w:r w:rsidRPr="00EE7F56">
        <w:rPr>
          <w:rFonts w:ascii="Times New Roman" w:hAnsi="Times New Roman" w:cs="Times New Roman"/>
          <w:i/>
          <w:iCs/>
          <w:sz w:val="20"/>
          <w:szCs w:val="20"/>
        </w:rPr>
        <w:t>R</w:t>
      </w:r>
      <w:r w:rsidRPr="00EE7F56">
        <w:rPr>
          <w:rFonts w:ascii="Times New Roman" w:hAnsi="Times New Roman" w:cs="Times New Roman"/>
          <w:sz w:val="20"/>
          <w:szCs w:val="20"/>
          <w:vertAlign w:val="superscript"/>
        </w:rPr>
        <w:t>2</w:t>
      </w:r>
      <w:r w:rsidRPr="00EE7F56">
        <w:rPr>
          <w:rFonts w:ascii="Times New Roman" w:hAnsi="Times New Roman" w:cs="Times New Roman"/>
          <w:sz w:val="20"/>
          <w:szCs w:val="20"/>
        </w:rPr>
        <w:t xml:space="preserve"> is 0.987 and the Std-Error is merely 0.477. It demonstrates that 98.7% of the total variation of residual current is explained by the estimated regression model. If the significance level is 0.05 and the F-test has passed with a calculated result of the significance level (</w:t>
      </w:r>
      <w:r w:rsidRPr="00EE7F56">
        <w:rPr>
          <w:rFonts w:ascii="Times New Roman" w:hAnsi="Times New Roman" w:cs="Times New Roman"/>
          <w:i/>
          <w:iCs/>
          <w:sz w:val="20"/>
          <w:szCs w:val="20"/>
        </w:rPr>
        <w:t>P</w:t>
      </w:r>
      <w:r w:rsidRPr="00EE7F56">
        <w:rPr>
          <w:rFonts w:ascii="Times New Roman" w:hAnsi="Times New Roman" w:cs="Times New Roman"/>
          <w:sz w:val="20"/>
          <w:szCs w:val="20"/>
        </w:rPr>
        <w:t>) = 0.000≤0.05, it denotes that the combination of independent variables included in the auxiliary model has a significant impact on the dependent variable. The regression coefficients for the optimal independent variables are estimated using least squares and the results are listed in Table V. Furthermore, the T-test is conducted for each regression coefficient and the results are also presented in Table V.</w:t>
      </w:r>
    </w:p>
    <w:p w14:paraId="31D846A7" w14:textId="77777777" w:rsidR="00870696" w:rsidRPr="00EE7F56" w:rsidRDefault="00870696" w:rsidP="00870696">
      <w:pPr>
        <w:pStyle w:val="TableTitle"/>
      </w:pPr>
      <w:r w:rsidRPr="00EE7F56">
        <w:t>Table V</w:t>
      </w:r>
    </w:p>
    <w:p w14:paraId="511B4C42" w14:textId="77777777" w:rsidR="00870696" w:rsidRPr="00EE7F56" w:rsidRDefault="00870696" w:rsidP="00870696">
      <w:pPr>
        <w:pStyle w:val="TableTitle"/>
      </w:pPr>
      <w:r w:rsidRPr="00EE7F56">
        <w:t xml:space="preserve">Regression coefficient in differ phase model </w:t>
      </w:r>
    </w:p>
    <w:tbl>
      <w:tblPr>
        <w:tblW w:w="5000" w:type="pct"/>
        <w:jc w:val="center"/>
        <w:tblBorders>
          <w:top w:val="single" w:sz="12" w:space="0" w:color="auto"/>
          <w:bottom w:val="single" w:sz="12" w:space="0" w:color="auto"/>
        </w:tblBorders>
        <w:tblLayout w:type="fixed"/>
        <w:tblLook w:val="04A0" w:firstRow="1" w:lastRow="0" w:firstColumn="1" w:lastColumn="0" w:noHBand="0" w:noVBand="1"/>
      </w:tblPr>
      <w:tblGrid>
        <w:gridCol w:w="750"/>
        <w:gridCol w:w="740"/>
        <w:gridCol w:w="790"/>
        <w:gridCol w:w="1199"/>
        <w:gridCol w:w="780"/>
        <w:gridCol w:w="561"/>
      </w:tblGrid>
      <w:tr w:rsidR="00EE7F56" w:rsidRPr="00EE7F56" w14:paraId="3C62CE4F" w14:textId="77777777" w:rsidTr="00927269">
        <w:trPr>
          <w:trHeight w:val="20"/>
          <w:jc w:val="center"/>
        </w:trPr>
        <w:tc>
          <w:tcPr>
            <w:tcW w:w="777" w:type="pct"/>
            <w:vMerge w:val="restart"/>
            <w:tcBorders>
              <w:top w:val="single" w:sz="12" w:space="0" w:color="auto"/>
              <w:left w:val="nil"/>
              <w:right w:val="nil"/>
            </w:tcBorders>
            <w:shd w:val="clear" w:color="auto" w:fill="auto"/>
            <w:vAlign w:val="center"/>
          </w:tcPr>
          <w:p w14:paraId="1F4966C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Variables</w:t>
            </w:r>
          </w:p>
        </w:tc>
        <w:tc>
          <w:tcPr>
            <w:tcW w:w="1588" w:type="pct"/>
            <w:gridSpan w:val="2"/>
            <w:tcBorders>
              <w:top w:val="single" w:sz="12" w:space="0" w:color="auto"/>
              <w:left w:val="nil"/>
              <w:bottom w:val="single" w:sz="4" w:space="0" w:color="auto"/>
              <w:right w:val="nil"/>
            </w:tcBorders>
            <w:shd w:val="clear" w:color="auto" w:fill="auto"/>
            <w:vAlign w:val="center"/>
            <w:hideMark/>
          </w:tcPr>
          <w:p w14:paraId="5DF8C23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Non-Std Coefficient</w:t>
            </w:r>
          </w:p>
        </w:tc>
        <w:tc>
          <w:tcPr>
            <w:tcW w:w="1244" w:type="pct"/>
            <w:tcBorders>
              <w:top w:val="single" w:sz="12" w:space="0" w:color="auto"/>
              <w:left w:val="nil"/>
              <w:bottom w:val="single" w:sz="4" w:space="0" w:color="auto"/>
              <w:right w:val="nil"/>
            </w:tcBorders>
            <w:shd w:val="clear" w:color="auto" w:fill="auto"/>
            <w:vAlign w:val="center"/>
            <w:hideMark/>
          </w:tcPr>
          <w:p w14:paraId="2B3FEE0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Std-Coefficient</w:t>
            </w:r>
          </w:p>
        </w:tc>
        <w:tc>
          <w:tcPr>
            <w:tcW w:w="809" w:type="pct"/>
            <w:vMerge w:val="restart"/>
            <w:tcBorders>
              <w:top w:val="single" w:sz="12" w:space="0" w:color="auto"/>
              <w:left w:val="nil"/>
              <w:bottom w:val="single" w:sz="4" w:space="0" w:color="auto"/>
              <w:right w:val="nil"/>
            </w:tcBorders>
            <w:shd w:val="clear" w:color="auto" w:fill="auto"/>
            <w:vAlign w:val="center"/>
            <w:hideMark/>
          </w:tcPr>
          <w:p w14:paraId="4E9C77C3"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t</w:t>
            </w:r>
          </w:p>
        </w:tc>
        <w:tc>
          <w:tcPr>
            <w:tcW w:w="582" w:type="pct"/>
            <w:vMerge w:val="restart"/>
            <w:tcBorders>
              <w:top w:val="single" w:sz="12" w:space="0" w:color="auto"/>
              <w:left w:val="nil"/>
              <w:bottom w:val="single" w:sz="4" w:space="0" w:color="auto"/>
              <w:right w:val="nil"/>
            </w:tcBorders>
            <w:shd w:val="clear" w:color="auto" w:fill="auto"/>
            <w:vAlign w:val="center"/>
            <w:hideMark/>
          </w:tcPr>
          <w:p w14:paraId="63AB4429"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P</w:t>
            </w:r>
          </w:p>
        </w:tc>
      </w:tr>
      <w:tr w:rsidR="00EE7F56" w:rsidRPr="00EE7F56" w14:paraId="1202B84B" w14:textId="77777777" w:rsidTr="00927269">
        <w:trPr>
          <w:trHeight w:val="20"/>
          <w:jc w:val="center"/>
        </w:trPr>
        <w:tc>
          <w:tcPr>
            <w:tcW w:w="777" w:type="pct"/>
            <w:vMerge/>
            <w:tcBorders>
              <w:left w:val="nil"/>
              <w:bottom w:val="single" w:sz="4" w:space="0" w:color="auto"/>
              <w:right w:val="nil"/>
            </w:tcBorders>
            <w:shd w:val="clear" w:color="auto" w:fill="auto"/>
            <w:vAlign w:val="center"/>
          </w:tcPr>
          <w:p w14:paraId="35917861" w14:textId="77777777" w:rsidR="00870696" w:rsidRPr="00EE7F56" w:rsidRDefault="00870696" w:rsidP="00927269">
            <w:pPr>
              <w:ind w:leftChars="-50" w:left="-105" w:rightChars="-50" w:right="-105"/>
              <w:jc w:val="center"/>
              <w:rPr>
                <w:rFonts w:ascii="Times New Roman" w:hAnsi="Times New Roman" w:cs="Times New Roman"/>
                <w:b/>
                <w:bCs/>
                <w:sz w:val="16"/>
                <w:szCs w:val="16"/>
              </w:rPr>
            </w:pPr>
          </w:p>
        </w:tc>
        <w:tc>
          <w:tcPr>
            <w:tcW w:w="768" w:type="pct"/>
            <w:tcBorders>
              <w:top w:val="single" w:sz="4" w:space="0" w:color="auto"/>
              <w:left w:val="nil"/>
              <w:bottom w:val="single" w:sz="4" w:space="0" w:color="auto"/>
              <w:right w:val="nil"/>
            </w:tcBorders>
            <w:shd w:val="clear" w:color="auto" w:fill="auto"/>
            <w:vAlign w:val="center"/>
            <w:hideMark/>
          </w:tcPr>
          <w:p w14:paraId="28C3E640"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ᵝ</w:t>
            </w:r>
          </w:p>
        </w:tc>
        <w:tc>
          <w:tcPr>
            <w:tcW w:w="820" w:type="pct"/>
            <w:tcBorders>
              <w:top w:val="single" w:sz="4" w:space="0" w:color="auto"/>
              <w:left w:val="nil"/>
              <w:bottom w:val="single" w:sz="4" w:space="0" w:color="auto"/>
              <w:right w:val="nil"/>
            </w:tcBorders>
            <w:shd w:val="clear" w:color="auto" w:fill="auto"/>
            <w:vAlign w:val="center"/>
            <w:hideMark/>
          </w:tcPr>
          <w:p w14:paraId="7E64E3E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Std Error</w:t>
            </w:r>
          </w:p>
        </w:tc>
        <w:tc>
          <w:tcPr>
            <w:tcW w:w="1244" w:type="pct"/>
            <w:tcBorders>
              <w:top w:val="single" w:sz="4" w:space="0" w:color="auto"/>
              <w:left w:val="nil"/>
              <w:bottom w:val="single" w:sz="4" w:space="0" w:color="auto"/>
              <w:right w:val="nil"/>
            </w:tcBorders>
            <w:shd w:val="clear" w:color="auto" w:fill="auto"/>
            <w:vAlign w:val="center"/>
            <w:hideMark/>
          </w:tcPr>
          <w:p w14:paraId="7F8775F8" w14:textId="77777777" w:rsidR="00870696" w:rsidRPr="00EE7F56" w:rsidRDefault="00870696" w:rsidP="00927269">
            <w:pPr>
              <w:ind w:leftChars="-50" w:left="-105" w:rightChars="-50" w:right="-105"/>
              <w:jc w:val="center"/>
              <w:rPr>
                <w:rFonts w:ascii="Times New Roman" w:hAnsi="Times New Roman" w:cs="Times New Roman"/>
                <w:b/>
                <w:bCs/>
                <w:i/>
                <w:iCs/>
                <w:sz w:val="16"/>
                <w:szCs w:val="16"/>
              </w:rPr>
            </w:pPr>
            <w:r w:rsidRPr="00EE7F56">
              <w:rPr>
                <w:rFonts w:ascii="Times New Roman" w:hAnsi="Times New Roman" w:cs="Times New Roman"/>
                <w:b/>
                <w:bCs/>
                <w:i/>
                <w:iCs/>
                <w:sz w:val="16"/>
                <w:szCs w:val="16"/>
              </w:rPr>
              <w:t>ᵝ</w:t>
            </w:r>
          </w:p>
        </w:tc>
        <w:tc>
          <w:tcPr>
            <w:tcW w:w="809" w:type="pct"/>
            <w:vMerge/>
            <w:tcBorders>
              <w:top w:val="single" w:sz="12" w:space="0" w:color="auto"/>
              <w:left w:val="nil"/>
              <w:bottom w:val="single" w:sz="4" w:space="0" w:color="auto"/>
              <w:right w:val="nil"/>
            </w:tcBorders>
            <w:shd w:val="clear" w:color="auto" w:fill="auto"/>
            <w:vAlign w:val="center"/>
            <w:hideMark/>
          </w:tcPr>
          <w:p w14:paraId="0AC5AAB3" w14:textId="77777777" w:rsidR="00870696" w:rsidRPr="00EE7F56" w:rsidRDefault="00870696" w:rsidP="00927269">
            <w:pPr>
              <w:jc w:val="center"/>
              <w:rPr>
                <w:rFonts w:ascii="Times New Roman" w:hAnsi="Times New Roman" w:cs="Times New Roman"/>
                <w:b/>
                <w:bCs/>
                <w:sz w:val="16"/>
                <w:szCs w:val="16"/>
              </w:rPr>
            </w:pPr>
          </w:p>
        </w:tc>
        <w:tc>
          <w:tcPr>
            <w:tcW w:w="582" w:type="pct"/>
            <w:vMerge/>
            <w:tcBorders>
              <w:top w:val="single" w:sz="12" w:space="0" w:color="auto"/>
              <w:left w:val="nil"/>
              <w:bottom w:val="single" w:sz="4" w:space="0" w:color="auto"/>
              <w:right w:val="nil"/>
            </w:tcBorders>
            <w:shd w:val="clear" w:color="auto" w:fill="auto"/>
            <w:vAlign w:val="center"/>
            <w:hideMark/>
          </w:tcPr>
          <w:p w14:paraId="5C325564" w14:textId="77777777" w:rsidR="00870696" w:rsidRPr="00EE7F56" w:rsidRDefault="00870696" w:rsidP="00927269">
            <w:pPr>
              <w:jc w:val="center"/>
              <w:rPr>
                <w:rFonts w:ascii="Times New Roman" w:hAnsi="Times New Roman" w:cs="Times New Roman"/>
                <w:b/>
                <w:bCs/>
                <w:sz w:val="16"/>
                <w:szCs w:val="16"/>
              </w:rPr>
            </w:pPr>
          </w:p>
        </w:tc>
      </w:tr>
      <w:tr w:rsidR="00EE7F56" w:rsidRPr="00EE7F56" w14:paraId="7AAD54DF" w14:textId="77777777" w:rsidTr="00927269">
        <w:trPr>
          <w:trHeight w:val="20"/>
          <w:jc w:val="center"/>
        </w:trPr>
        <w:tc>
          <w:tcPr>
            <w:tcW w:w="777" w:type="pct"/>
            <w:tcBorders>
              <w:top w:val="single" w:sz="4" w:space="0" w:color="auto"/>
              <w:left w:val="nil"/>
              <w:bottom w:val="nil"/>
              <w:right w:val="nil"/>
            </w:tcBorders>
            <w:shd w:val="clear" w:color="auto" w:fill="auto"/>
            <w:vAlign w:val="center"/>
          </w:tcPr>
          <w:p w14:paraId="0D64DC5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Constant</w:t>
            </w:r>
          </w:p>
        </w:tc>
        <w:tc>
          <w:tcPr>
            <w:tcW w:w="768" w:type="pct"/>
            <w:tcBorders>
              <w:top w:val="single" w:sz="4" w:space="0" w:color="auto"/>
              <w:left w:val="nil"/>
              <w:bottom w:val="nil"/>
              <w:right w:val="nil"/>
            </w:tcBorders>
            <w:shd w:val="clear" w:color="auto" w:fill="auto"/>
            <w:vAlign w:val="center"/>
            <w:hideMark/>
          </w:tcPr>
          <w:p w14:paraId="716650F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-0.722</w:t>
            </w:r>
          </w:p>
        </w:tc>
        <w:tc>
          <w:tcPr>
            <w:tcW w:w="820" w:type="pct"/>
            <w:tcBorders>
              <w:top w:val="single" w:sz="4" w:space="0" w:color="auto"/>
              <w:left w:val="nil"/>
              <w:bottom w:val="nil"/>
              <w:right w:val="nil"/>
            </w:tcBorders>
            <w:shd w:val="clear" w:color="auto" w:fill="auto"/>
            <w:vAlign w:val="center"/>
            <w:hideMark/>
          </w:tcPr>
          <w:p w14:paraId="7D3E1A7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0.197</w:t>
            </w:r>
          </w:p>
        </w:tc>
        <w:tc>
          <w:tcPr>
            <w:tcW w:w="1244" w:type="pct"/>
            <w:tcBorders>
              <w:top w:val="single" w:sz="4" w:space="0" w:color="auto"/>
              <w:left w:val="nil"/>
              <w:bottom w:val="nil"/>
              <w:right w:val="nil"/>
            </w:tcBorders>
            <w:shd w:val="clear" w:color="auto" w:fill="auto"/>
            <w:vAlign w:val="center"/>
            <w:hideMark/>
          </w:tcPr>
          <w:p w14:paraId="528AC46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w:t>
            </w:r>
          </w:p>
        </w:tc>
        <w:tc>
          <w:tcPr>
            <w:tcW w:w="809" w:type="pct"/>
            <w:tcBorders>
              <w:top w:val="single" w:sz="4" w:space="0" w:color="auto"/>
              <w:left w:val="nil"/>
              <w:bottom w:val="nil"/>
              <w:right w:val="nil"/>
            </w:tcBorders>
            <w:shd w:val="clear" w:color="auto" w:fill="auto"/>
            <w:vAlign w:val="center"/>
            <w:hideMark/>
          </w:tcPr>
          <w:p w14:paraId="309DE75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-3.664</w:t>
            </w:r>
          </w:p>
        </w:tc>
        <w:tc>
          <w:tcPr>
            <w:tcW w:w="582" w:type="pct"/>
            <w:tcBorders>
              <w:top w:val="single" w:sz="4" w:space="0" w:color="auto"/>
              <w:left w:val="nil"/>
              <w:bottom w:val="nil"/>
              <w:right w:val="nil"/>
            </w:tcBorders>
            <w:shd w:val="clear" w:color="auto" w:fill="auto"/>
            <w:vAlign w:val="center"/>
            <w:hideMark/>
          </w:tcPr>
          <w:p w14:paraId="34C1678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4A7CAF15" w14:textId="77777777" w:rsidTr="00927269">
        <w:trPr>
          <w:trHeight w:val="20"/>
          <w:jc w:val="center"/>
        </w:trPr>
        <w:tc>
          <w:tcPr>
            <w:tcW w:w="777" w:type="pct"/>
            <w:tcBorders>
              <w:top w:val="nil"/>
              <w:left w:val="nil"/>
              <w:bottom w:val="nil"/>
              <w:right w:val="nil"/>
            </w:tcBorders>
            <w:shd w:val="clear" w:color="auto" w:fill="auto"/>
            <w:vAlign w:val="center"/>
          </w:tcPr>
          <w:p w14:paraId="669DDD0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1</w:t>
            </w:r>
          </w:p>
        </w:tc>
        <w:tc>
          <w:tcPr>
            <w:tcW w:w="768" w:type="pct"/>
            <w:tcBorders>
              <w:top w:val="nil"/>
              <w:left w:val="nil"/>
              <w:bottom w:val="nil"/>
              <w:right w:val="nil"/>
            </w:tcBorders>
            <w:shd w:val="clear" w:color="auto" w:fill="auto"/>
            <w:vAlign w:val="center"/>
          </w:tcPr>
          <w:p w14:paraId="5134621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0.995</w:t>
            </w:r>
          </w:p>
        </w:tc>
        <w:tc>
          <w:tcPr>
            <w:tcW w:w="820" w:type="pct"/>
            <w:tcBorders>
              <w:top w:val="nil"/>
              <w:left w:val="nil"/>
              <w:bottom w:val="nil"/>
              <w:right w:val="nil"/>
            </w:tcBorders>
            <w:shd w:val="clear" w:color="auto" w:fill="auto"/>
            <w:vAlign w:val="center"/>
          </w:tcPr>
          <w:p w14:paraId="61A376A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0.039</w:t>
            </w:r>
          </w:p>
        </w:tc>
        <w:tc>
          <w:tcPr>
            <w:tcW w:w="1244" w:type="pct"/>
            <w:tcBorders>
              <w:top w:val="nil"/>
              <w:left w:val="nil"/>
              <w:bottom w:val="nil"/>
              <w:right w:val="nil"/>
            </w:tcBorders>
            <w:shd w:val="clear" w:color="auto" w:fill="D9E2F3"/>
            <w:vAlign w:val="center"/>
          </w:tcPr>
          <w:p w14:paraId="570ABE6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0.311</w:t>
            </w:r>
          </w:p>
        </w:tc>
        <w:tc>
          <w:tcPr>
            <w:tcW w:w="809" w:type="pct"/>
            <w:tcBorders>
              <w:top w:val="nil"/>
              <w:left w:val="nil"/>
              <w:bottom w:val="nil"/>
              <w:right w:val="nil"/>
            </w:tcBorders>
            <w:shd w:val="clear" w:color="auto" w:fill="D9E2F3"/>
            <w:vAlign w:val="center"/>
          </w:tcPr>
          <w:p w14:paraId="52374CE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25.538</w:t>
            </w:r>
          </w:p>
        </w:tc>
        <w:tc>
          <w:tcPr>
            <w:tcW w:w="582" w:type="pct"/>
            <w:tcBorders>
              <w:top w:val="nil"/>
              <w:left w:val="nil"/>
              <w:bottom w:val="nil"/>
              <w:right w:val="nil"/>
            </w:tcBorders>
            <w:shd w:val="clear" w:color="auto" w:fill="auto"/>
            <w:vAlign w:val="center"/>
          </w:tcPr>
          <w:p w14:paraId="2E8F4CA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4F7A3AB9" w14:textId="77777777" w:rsidTr="00927269">
        <w:trPr>
          <w:trHeight w:val="20"/>
          <w:jc w:val="center"/>
        </w:trPr>
        <w:tc>
          <w:tcPr>
            <w:tcW w:w="777" w:type="pct"/>
            <w:tcBorders>
              <w:top w:val="nil"/>
              <w:left w:val="nil"/>
              <w:bottom w:val="nil"/>
              <w:right w:val="nil"/>
            </w:tcBorders>
            <w:shd w:val="clear" w:color="auto" w:fill="auto"/>
            <w:vAlign w:val="center"/>
          </w:tcPr>
          <w:p w14:paraId="2C55A19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2</w:t>
            </w:r>
          </w:p>
        </w:tc>
        <w:tc>
          <w:tcPr>
            <w:tcW w:w="768" w:type="pct"/>
            <w:tcBorders>
              <w:top w:val="nil"/>
              <w:left w:val="nil"/>
              <w:bottom w:val="nil"/>
              <w:right w:val="nil"/>
            </w:tcBorders>
            <w:shd w:val="clear" w:color="auto" w:fill="auto"/>
            <w:vAlign w:val="center"/>
          </w:tcPr>
          <w:p w14:paraId="6C257D2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0.911</w:t>
            </w:r>
          </w:p>
        </w:tc>
        <w:tc>
          <w:tcPr>
            <w:tcW w:w="820" w:type="pct"/>
            <w:tcBorders>
              <w:top w:val="nil"/>
              <w:left w:val="nil"/>
              <w:bottom w:val="nil"/>
              <w:right w:val="nil"/>
            </w:tcBorders>
            <w:shd w:val="clear" w:color="auto" w:fill="auto"/>
            <w:vAlign w:val="center"/>
          </w:tcPr>
          <w:p w14:paraId="753EB30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0.012</w:t>
            </w:r>
          </w:p>
        </w:tc>
        <w:tc>
          <w:tcPr>
            <w:tcW w:w="1244" w:type="pct"/>
            <w:tcBorders>
              <w:top w:val="nil"/>
              <w:left w:val="nil"/>
              <w:bottom w:val="nil"/>
              <w:right w:val="nil"/>
            </w:tcBorders>
            <w:shd w:val="clear" w:color="auto" w:fill="D9E2F3"/>
            <w:vAlign w:val="center"/>
          </w:tcPr>
          <w:p w14:paraId="016620F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0.977</w:t>
            </w:r>
          </w:p>
        </w:tc>
        <w:tc>
          <w:tcPr>
            <w:tcW w:w="809" w:type="pct"/>
            <w:tcBorders>
              <w:top w:val="nil"/>
              <w:left w:val="nil"/>
              <w:bottom w:val="nil"/>
              <w:right w:val="nil"/>
            </w:tcBorders>
            <w:shd w:val="clear" w:color="auto" w:fill="D9E2F3"/>
            <w:vAlign w:val="center"/>
          </w:tcPr>
          <w:p w14:paraId="460BFB2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75.289</w:t>
            </w:r>
          </w:p>
        </w:tc>
        <w:tc>
          <w:tcPr>
            <w:tcW w:w="582" w:type="pct"/>
            <w:tcBorders>
              <w:top w:val="nil"/>
              <w:left w:val="nil"/>
              <w:bottom w:val="nil"/>
              <w:right w:val="nil"/>
            </w:tcBorders>
            <w:shd w:val="clear" w:color="auto" w:fill="auto"/>
            <w:vAlign w:val="center"/>
          </w:tcPr>
          <w:p w14:paraId="54AEC2F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686C5AFC" w14:textId="77777777" w:rsidTr="00927269">
        <w:trPr>
          <w:trHeight w:val="20"/>
          <w:jc w:val="center"/>
        </w:trPr>
        <w:tc>
          <w:tcPr>
            <w:tcW w:w="777" w:type="pct"/>
            <w:tcBorders>
              <w:top w:val="nil"/>
              <w:left w:val="nil"/>
              <w:bottom w:val="nil"/>
              <w:right w:val="nil"/>
            </w:tcBorders>
            <w:shd w:val="clear" w:color="auto" w:fill="auto"/>
            <w:vAlign w:val="center"/>
          </w:tcPr>
          <w:p w14:paraId="1F2B9F8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4</w:t>
            </w:r>
          </w:p>
        </w:tc>
        <w:tc>
          <w:tcPr>
            <w:tcW w:w="768" w:type="pct"/>
            <w:tcBorders>
              <w:top w:val="nil"/>
              <w:left w:val="nil"/>
              <w:bottom w:val="nil"/>
              <w:right w:val="nil"/>
            </w:tcBorders>
            <w:shd w:val="clear" w:color="auto" w:fill="auto"/>
            <w:vAlign w:val="center"/>
          </w:tcPr>
          <w:p w14:paraId="6792D89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-0.027</w:t>
            </w:r>
          </w:p>
        </w:tc>
        <w:tc>
          <w:tcPr>
            <w:tcW w:w="820" w:type="pct"/>
            <w:tcBorders>
              <w:top w:val="nil"/>
              <w:left w:val="nil"/>
              <w:bottom w:val="nil"/>
              <w:right w:val="nil"/>
            </w:tcBorders>
            <w:shd w:val="clear" w:color="auto" w:fill="auto"/>
            <w:vAlign w:val="center"/>
          </w:tcPr>
          <w:p w14:paraId="078C636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0.010</w:t>
            </w:r>
          </w:p>
        </w:tc>
        <w:tc>
          <w:tcPr>
            <w:tcW w:w="1244" w:type="pct"/>
            <w:tcBorders>
              <w:top w:val="nil"/>
              <w:left w:val="nil"/>
              <w:bottom w:val="nil"/>
              <w:right w:val="nil"/>
            </w:tcBorders>
            <w:shd w:val="clear" w:color="auto" w:fill="auto"/>
            <w:vAlign w:val="center"/>
          </w:tcPr>
          <w:p w14:paraId="2FCDA5D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-0.035</w:t>
            </w:r>
          </w:p>
        </w:tc>
        <w:tc>
          <w:tcPr>
            <w:tcW w:w="809" w:type="pct"/>
            <w:tcBorders>
              <w:top w:val="nil"/>
              <w:left w:val="nil"/>
              <w:bottom w:val="nil"/>
              <w:right w:val="nil"/>
            </w:tcBorders>
            <w:shd w:val="clear" w:color="auto" w:fill="auto"/>
            <w:vAlign w:val="center"/>
          </w:tcPr>
          <w:p w14:paraId="7F5FA02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-2.738</w:t>
            </w:r>
          </w:p>
        </w:tc>
        <w:tc>
          <w:tcPr>
            <w:tcW w:w="582" w:type="pct"/>
            <w:tcBorders>
              <w:top w:val="nil"/>
              <w:left w:val="nil"/>
              <w:bottom w:val="nil"/>
              <w:right w:val="nil"/>
            </w:tcBorders>
            <w:shd w:val="clear" w:color="auto" w:fill="auto"/>
            <w:vAlign w:val="center"/>
          </w:tcPr>
          <w:p w14:paraId="12913A0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0.008</w:t>
            </w:r>
          </w:p>
        </w:tc>
      </w:tr>
      <w:tr w:rsidR="00EE7F56" w:rsidRPr="00EE7F56" w14:paraId="6A4D2423" w14:textId="77777777" w:rsidTr="00927269">
        <w:trPr>
          <w:trHeight w:val="20"/>
          <w:jc w:val="center"/>
        </w:trPr>
        <w:tc>
          <w:tcPr>
            <w:tcW w:w="777" w:type="pct"/>
            <w:tcBorders>
              <w:top w:val="nil"/>
              <w:left w:val="nil"/>
              <w:bottom w:val="nil"/>
              <w:right w:val="nil"/>
            </w:tcBorders>
            <w:shd w:val="clear" w:color="auto" w:fill="auto"/>
            <w:vAlign w:val="center"/>
          </w:tcPr>
          <w:p w14:paraId="1FEB6F1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11</w:t>
            </w:r>
          </w:p>
        </w:tc>
        <w:tc>
          <w:tcPr>
            <w:tcW w:w="768" w:type="pct"/>
            <w:tcBorders>
              <w:top w:val="nil"/>
              <w:left w:val="nil"/>
              <w:bottom w:val="nil"/>
              <w:right w:val="nil"/>
            </w:tcBorders>
            <w:shd w:val="clear" w:color="auto" w:fill="auto"/>
            <w:vAlign w:val="center"/>
            <w:hideMark/>
          </w:tcPr>
          <w:p w14:paraId="261143E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0.028</w:t>
            </w:r>
          </w:p>
        </w:tc>
        <w:tc>
          <w:tcPr>
            <w:tcW w:w="820" w:type="pct"/>
            <w:tcBorders>
              <w:top w:val="nil"/>
              <w:left w:val="nil"/>
              <w:bottom w:val="nil"/>
              <w:right w:val="nil"/>
            </w:tcBorders>
            <w:shd w:val="clear" w:color="auto" w:fill="auto"/>
            <w:vAlign w:val="center"/>
            <w:hideMark/>
          </w:tcPr>
          <w:p w14:paraId="7F67F05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0.011</w:t>
            </w:r>
          </w:p>
        </w:tc>
        <w:tc>
          <w:tcPr>
            <w:tcW w:w="1244" w:type="pct"/>
            <w:tcBorders>
              <w:top w:val="nil"/>
              <w:left w:val="nil"/>
              <w:bottom w:val="nil"/>
              <w:right w:val="nil"/>
            </w:tcBorders>
            <w:shd w:val="clear" w:color="auto" w:fill="auto"/>
            <w:vAlign w:val="center"/>
            <w:hideMark/>
          </w:tcPr>
          <w:p w14:paraId="517CA64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0.035</w:t>
            </w:r>
          </w:p>
        </w:tc>
        <w:tc>
          <w:tcPr>
            <w:tcW w:w="809" w:type="pct"/>
            <w:tcBorders>
              <w:top w:val="nil"/>
              <w:left w:val="nil"/>
              <w:bottom w:val="nil"/>
              <w:right w:val="nil"/>
            </w:tcBorders>
            <w:shd w:val="clear" w:color="auto" w:fill="auto"/>
            <w:vAlign w:val="center"/>
            <w:hideMark/>
          </w:tcPr>
          <w:p w14:paraId="3604D0A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2.626</w:t>
            </w:r>
          </w:p>
        </w:tc>
        <w:tc>
          <w:tcPr>
            <w:tcW w:w="582" w:type="pct"/>
            <w:tcBorders>
              <w:top w:val="nil"/>
              <w:left w:val="nil"/>
              <w:bottom w:val="nil"/>
              <w:right w:val="nil"/>
            </w:tcBorders>
            <w:shd w:val="clear" w:color="auto" w:fill="auto"/>
            <w:vAlign w:val="center"/>
            <w:hideMark/>
          </w:tcPr>
          <w:p w14:paraId="71C694F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0.010</w:t>
            </w:r>
          </w:p>
        </w:tc>
      </w:tr>
      <w:tr w:rsidR="00EE7F56" w:rsidRPr="00EE7F56" w14:paraId="354E2EEA" w14:textId="77777777" w:rsidTr="00927269">
        <w:trPr>
          <w:trHeight w:val="20"/>
          <w:jc w:val="center"/>
        </w:trPr>
        <w:tc>
          <w:tcPr>
            <w:tcW w:w="777" w:type="pct"/>
            <w:tcBorders>
              <w:top w:val="nil"/>
              <w:left w:val="nil"/>
              <w:bottom w:val="nil"/>
              <w:right w:val="nil"/>
            </w:tcBorders>
            <w:shd w:val="clear" w:color="auto" w:fill="auto"/>
            <w:vAlign w:val="center"/>
          </w:tcPr>
          <w:p w14:paraId="2C70484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14</w:t>
            </w:r>
          </w:p>
        </w:tc>
        <w:tc>
          <w:tcPr>
            <w:tcW w:w="768" w:type="pct"/>
            <w:tcBorders>
              <w:top w:val="nil"/>
              <w:left w:val="nil"/>
              <w:bottom w:val="nil"/>
              <w:right w:val="nil"/>
            </w:tcBorders>
            <w:shd w:val="clear" w:color="auto" w:fill="auto"/>
            <w:vAlign w:val="center"/>
            <w:hideMark/>
          </w:tcPr>
          <w:p w14:paraId="6A91A56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0.016</w:t>
            </w:r>
          </w:p>
        </w:tc>
        <w:tc>
          <w:tcPr>
            <w:tcW w:w="820" w:type="pct"/>
            <w:tcBorders>
              <w:top w:val="nil"/>
              <w:left w:val="nil"/>
              <w:bottom w:val="nil"/>
              <w:right w:val="nil"/>
            </w:tcBorders>
            <w:shd w:val="clear" w:color="auto" w:fill="auto"/>
            <w:vAlign w:val="center"/>
            <w:hideMark/>
          </w:tcPr>
          <w:p w14:paraId="708369E9"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0.005</w:t>
            </w:r>
          </w:p>
        </w:tc>
        <w:tc>
          <w:tcPr>
            <w:tcW w:w="1244" w:type="pct"/>
            <w:tcBorders>
              <w:top w:val="nil"/>
              <w:left w:val="nil"/>
              <w:bottom w:val="nil"/>
              <w:right w:val="nil"/>
            </w:tcBorders>
            <w:shd w:val="clear" w:color="auto" w:fill="auto"/>
            <w:vAlign w:val="center"/>
            <w:hideMark/>
          </w:tcPr>
          <w:p w14:paraId="7C82F565"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0.037</w:t>
            </w:r>
          </w:p>
        </w:tc>
        <w:tc>
          <w:tcPr>
            <w:tcW w:w="809" w:type="pct"/>
            <w:tcBorders>
              <w:top w:val="nil"/>
              <w:left w:val="nil"/>
              <w:bottom w:val="nil"/>
              <w:right w:val="nil"/>
            </w:tcBorders>
            <w:shd w:val="clear" w:color="auto" w:fill="auto"/>
            <w:vAlign w:val="center"/>
            <w:hideMark/>
          </w:tcPr>
          <w:p w14:paraId="470D174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2.943</w:t>
            </w:r>
          </w:p>
        </w:tc>
        <w:tc>
          <w:tcPr>
            <w:tcW w:w="582" w:type="pct"/>
            <w:tcBorders>
              <w:top w:val="nil"/>
              <w:left w:val="nil"/>
              <w:bottom w:val="nil"/>
              <w:right w:val="nil"/>
            </w:tcBorders>
            <w:shd w:val="clear" w:color="auto" w:fill="auto"/>
            <w:vAlign w:val="center"/>
            <w:hideMark/>
          </w:tcPr>
          <w:p w14:paraId="5C43EFA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0.014</w:t>
            </w:r>
          </w:p>
        </w:tc>
      </w:tr>
      <w:tr w:rsidR="00EE7F56" w:rsidRPr="00EE7F56" w14:paraId="33E0995E" w14:textId="77777777" w:rsidTr="00927269">
        <w:trPr>
          <w:trHeight w:val="20"/>
          <w:jc w:val="center"/>
        </w:trPr>
        <w:tc>
          <w:tcPr>
            <w:tcW w:w="777" w:type="pct"/>
            <w:tcBorders>
              <w:top w:val="nil"/>
              <w:left w:val="nil"/>
              <w:bottom w:val="nil"/>
              <w:right w:val="nil"/>
            </w:tcBorders>
            <w:shd w:val="clear" w:color="auto" w:fill="auto"/>
            <w:vAlign w:val="center"/>
          </w:tcPr>
          <w:p w14:paraId="136A9EE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17</w:t>
            </w:r>
          </w:p>
        </w:tc>
        <w:tc>
          <w:tcPr>
            <w:tcW w:w="768" w:type="pct"/>
            <w:tcBorders>
              <w:top w:val="nil"/>
              <w:left w:val="nil"/>
              <w:bottom w:val="nil"/>
              <w:right w:val="nil"/>
            </w:tcBorders>
            <w:shd w:val="clear" w:color="auto" w:fill="auto"/>
            <w:vAlign w:val="center"/>
            <w:hideMark/>
          </w:tcPr>
          <w:p w14:paraId="7C5EB9D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-0.095</w:t>
            </w:r>
          </w:p>
        </w:tc>
        <w:tc>
          <w:tcPr>
            <w:tcW w:w="820" w:type="pct"/>
            <w:tcBorders>
              <w:top w:val="nil"/>
              <w:left w:val="nil"/>
              <w:bottom w:val="nil"/>
              <w:right w:val="nil"/>
            </w:tcBorders>
            <w:shd w:val="clear" w:color="auto" w:fill="auto"/>
            <w:vAlign w:val="center"/>
            <w:hideMark/>
          </w:tcPr>
          <w:p w14:paraId="590D4B1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0.031</w:t>
            </w:r>
          </w:p>
        </w:tc>
        <w:tc>
          <w:tcPr>
            <w:tcW w:w="1244" w:type="pct"/>
            <w:tcBorders>
              <w:top w:val="nil"/>
              <w:left w:val="nil"/>
              <w:bottom w:val="nil"/>
              <w:right w:val="nil"/>
            </w:tcBorders>
            <w:shd w:val="clear" w:color="auto" w:fill="auto"/>
            <w:vAlign w:val="center"/>
            <w:hideMark/>
          </w:tcPr>
          <w:p w14:paraId="6E06C2A4"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-0.041</w:t>
            </w:r>
          </w:p>
        </w:tc>
        <w:tc>
          <w:tcPr>
            <w:tcW w:w="809" w:type="pct"/>
            <w:tcBorders>
              <w:top w:val="nil"/>
              <w:left w:val="nil"/>
              <w:bottom w:val="nil"/>
              <w:right w:val="nil"/>
            </w:tcBorders>
            <w:shd w:val="clear" w:color="auto" w:fill="auto"/>
            <w:vAlign w:val="center"/>
            <w:hideMark/>
          </w:tcPr>
          <w:p w14:paraId="1465EF2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-3.121</w:t>
            </w:r>
          </w:p>
        </w:tc>
        <w:tc>
          <w:tcPr>
            <w:tcW w:w="582" w:type="pct"/>
            <w:tcBorders>
              <w:top w:val="nil"/>
              <w:left w:val="nil"/>
              <w:bottom w:val="nil"/>
              <w:right w:val="nil"/>
            </w:tcBorders>
            <w:shd w:val="clear" w:color="auto" w:fill="auto"/>
            <w:vAlign w:val="center"/>
            <w:hideMark/>
          </w:tcPr>
          <w:p w14:paraId="2593D86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0.002</w:t>
            </w:r>
          </w:p>
        </w:tc>
      </w:tr>
      <w:tr w:rsidR="00EE7F56" w:rsidRPr="00EE7F56" w14:paraId="1849EC7D" w14:textId="77777777" w:rsidTr="00927269">
        <w:trPr>
          <w:trHeight w:val="20"/>
          <w:jc w:val="center"/>
        </w:trPr>
        <w:tc>
          <w:tcPr>
            <w:tcW w:w="777" w:type="pct"/>
            <w:tcBorders>
              <w:top w:val="nil"/>
              <w:left w:val="nil"/>
              <w:bottom w:val="nil"/>
              <w:right w:val="nil"/>
            </w:tcBorders>
            <w:shd w:val="clear" w:color="auto" w:fill="auto"/>
            <w:vAlign w:val="center"/>
          </w:tcPr>
          <w:p w14:paraId="4A68715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29</w:t>
            </w:r>
          </w:p>
        </w:tc>
        <w:tc>
          <w:tcPr>
            <w:tcW w:w="768" w:type="pct"/>
            <w:tcBorders>
              <w:top w:val="nil"/>
              <w:left w:val="nil"/>
              <w:bottom w:val="nil"/>
              <w:right w:val="nil"/>
            </w:tcBorders>
            <w:shd w:val="clear" w:color="auto" w:fill="auto"/>
            <w:vAlign w:val="center"/>
          </w:tcPr>
          <w:p w14:paraId="23D1917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-0.016</w:t>
            </w:r>
          </w:p>
        </w:tc>
        <w:tc>
          <w:tcPr>
            <w:tcW w:w="820" w:type="pct"/>
            <w:tcBorders>
              <w:top w:val="nil"/>
              <w:left w:val="nil"/>
              <w:bottom w:val="nil"/>
              <w:right w:val="nil"/>
            </w:tcBorders>
            <w:shd w:val="clear" w:color="auto" w:fill="auto"/>
            <w:vAlign w:val="center"/>
          </w:tcPr>
          <w:p w14:paraId="39C6612A"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0.006</w:t>
            </w:r>
          </w:p>
        </w:tc>
        <w:tc>
          <w:tcPr>
            <w:tcW w:w="1244" w:type="pct"/>
            <w:tcBorders>
              <w:top w:val="nil"/>
              <w:left w:val="nil"/>
              <w:bottom w:val="nil"/>
              <w:right w:val="nil"/>
            </w:tcBorders>
            <w:shd w:val="clear" w:color="auto" w:fill="auto"/>
            <w:vAlign w:val="center"/>
          </w:tcPr>
          <w:p w14:paraId="0A8A676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-0.034</w:t>
            </w:r>
          </w:p>
        </w:tc>
        <w:tc>
          <w:tcPr>
            <w:tcW w:w="809" w:type="pct"/>
            <w:tcBorders>
              <w:top w:val="nil"/>
              <w:left w:val="nil"/>
              <w:bottom w:val="nil"/>
              <w:right w:val="nil"/>
            </w:tcBorders>
            <w:shd w:val="clear" w:color="auto" w:fill="auto"/>
            <w:vAlign w:val="center"/>
          </w:tcPr>
          <w:p w14:paraId="7AAE419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-2.695</w:t>
            </w:r>
          </w:p>
        </w:tc>
        <w:tc>
          <w:tcPr>
            <w:tcW w:w="582" w:type="pct"/>
            <w:tcBorders>
              <w:top w:val="nil"/>
              <w:left w:val="nil"/>
              <w:bottom w:val="nil"/>
              <w:right w:val="nil"/>
            </w:tcBorders>
            <w:shd w:val="clear" w:color="auto" w:fill="auto"/>
            <w:vAlign w:val="center"/>
          </w:tcPr>
          <w:p w14:paraId="0A1665B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0.008</w:t>
            </w:r>
          </w:p>
        </w:tc>
      </w:tr>
      <w:tr w:rsidR="00EE7F56" w:rsidRPr="00EE7F56" w14:paraId="0798F188" w14:textId="77777777" w:rsidTr="00927269">
        <w:trPr>
          <w:trHeight w:val="20"/>
          <w:jc w:val="center"/>
        </w:trPr>
        <w:tc>
          <w:tcPr>
            <w:tcW w:w="777" w:type="pct"/>
            <w:tcBorders>
              <w:top w:val="nil"/>
              <w:left w:val="nil"/>
              <w:bottom w:val="nil"/>
              <w:right w:val="nil"/>
            </w:tcBorders>
            <w:shd w:val="clear" w:color="auto" w:fill="auto"/>
            <w:vAlign w:val="center"/>
          </w:tcPr>
          <w:p w14:paraId="67022F4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55</w:t>
            </w:r>
          </w:p>
        </w:tc>
        <w:tc>
          <w:tcPr>
            <w:tcW w:w="768" w:type="pct"/>
            <w:tcBorders>
              <w:top w:val="nil"/>
              <w:left w:val="nil"/>
              <w:bottom w:val="nil"/>
              <w:right w:val="nil"/>
            </w:tcBorders>
            <w:shd w:val="clear" w:color="auto" w:fill="auto"/>
            <w:vAlign w:val="center"/>
          </w:tcPr>
          <w:p w14:paraId="59DDB08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-0.098</w:t>
            </w:r>
          </w:p>
        </w:tc>
        <w:tc>
          <w:tcPr>
            <w:tcW w:w="820" w:type="pct"/>
            <w:tcBorders>
              <w:top w:val="nil"/>
              <w:left w:val="nil"/>
              <w:bottom w:val="nil"/>
              <w:right w:val="nil"/>
            </w:tcBorders>
            <w:shd w:val="clear" w:color="auto" w:fill="auto"/>
            <w:vAlign w:val="center"/>
          </w:tcPr>
          <w:p w14:paraId="28C937A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0.021</w:t>
            </w:r>
          </w:p>
        </w:tc>
        <w:tc>
          <w:tcPr>
            <w:tcW w:w="1244" w:type="pct"/>
            <w:tcBorders>
              <w:top w:val="nil"/>
              <w:left w:val="nil"/>
              <w:bottom w:val="nil"/>
              <w:right w:val="nil"/>
            </w:tcBorders>
            <w:shd w:val="clear" w:color="auto" w:fill="auto"/>
            <w:vAlign w:val="center"/>
          </w:tcPr>
          <w:p w14:paraId="4A68E5F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-0.067</w:t>
            </w:r>
          </w:p>
        </w:tc>
        <w:tc>
          <w:tcPr>
            <w:tcW w:w="809" w:type="pct"/>
            <w:tcBorders>
              <w:top w:val="nil"/>
              <w:left w:val="nil"/>
              <w:bottom w:val="nil"/>
              <w:right w:val="nil"/>
            </w:tcBorders>
            <w:shd w:val="clear" w:color="auto" w:fill="auto"/>
            <w:vAlign w:val="center"/>
          </w:tcPr>
          <w:p w14:paraId="354C49CB"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-4.656</w:t>
            </w:r>
          </w:p>
        </w:tc>
        <w:tc>
          <w:tcPr>
            <w:tcW w:w="582" w:type="pct"/>
            <w:tcBorders>
              <w:top w:val="nil"/>
              <w:left w:val="nil"/>
              <w:bottom w:val="nil"/>
              <w:right w:val="nil"/>
            </w:tcBorders>
            <w:shd w:val="clear" w:color="auto" w:fill="auto"/>
            <w:vAlign w:val="center"/>
          </w:tcPr>
          <w:p w14:paraId="4AB7C8A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0.000</w:t>
            </w:r>
          </w:p>
        </w:tc>
      </w:tr>
      <w:tr w:rsidR="00EE7F56" w:rsidRPr="00EE7F56" w14:paraId="1D4945E4" w14:textId="77777777" w:rsidTr="00927269">
        <w:trPr>
          <w:trHeight w:val="20"/>
          <w:jc w:val="center"/>
        </w:trPr>
        <w:tc>
          <w:tcPr>
            <w:tcW w:w="777" w:type="pct"/>
            <w:tcBorders>
              <w:top w:val="nil"/>
              <w:left w:val="nil"/>
              <w:bottom w:val="nil"/>
              <w:right w:val="nil"/>
            </w:tcBorders>
            <w:shd w:val="clear" w:color="auto" w:fill="auto"/>
            <w:vAlign w:val="center"/>
          </w:tcPr>
          <w:p w14:paraId="1176997E"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62</w:t>
            </w:r>
          </w:p>
        </w:tc>
        <w:tc>
          <w:tcPr>
            <w:tcW w:w="768" w:type="pct"/>
            <w:tcBorders>
              <w:top w:val="nil"/>
              <w:left w:val="nil"/>
              <w:bottom w:val="nil"/>
              <w:right w:val="nil"/>
            </w:tcBorders>
            <w:shd w:val="clear" w:color="auto" w:fill="auto"/>
            <w:vAlign w:val="center"/>
          </w:tcPr>
          <w:p w14:paraId="0DEB3B4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0.045</w:t>
            </w:r>
          </w:p>
        </w:tc>
        <w:tc>
          <w:tcPr>
            <w:tcW w:w="820" w:type="pct"/>
            <w:tcBorders>
              <w:top w:val="nil"/>
              <w:left w:val="nil"/>
              <w:bottom w:val="nil"/>
              <w:right w:val="nil"/>
            </w:tcBorders>
            <w:shd w:val="clear" w:color="auto" w:fill="auto"/>
            <w:vAlign w:val="center"/>
          </w:tcPr>
          <w:p w14:paraId="144D2D91"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0.014</w:t>
            </w:r>
          </w:p>
        </w:tc>
        <w:tc>
          <w:tcPr>
            <w:tcW w:w="1244" w:type="pct"/>
            <w:tcBorders>
              <w:top w:val="nil"/>
              <w:left w:val="nil"/>
              <w:bottom w:val="nil"/>
              <w:right w:val="nil"/>
            </w:tcBorders>
            <w:shd w:val="clear" w:color="auto" w:fill="auto"/>
            <w:vAlign w:val="center"/>
          </w:tcPr>
          <w:p w14:paraId="6FD9DE4D"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0.043</w:t>
            </w:r>
          </w:p>
        </w:tc>
        <w:tc>
          <w:tcPr>
            <w:tcW w:w="809" w:type="pct"/>
            <w:tcBorders>
              <w:top w:val="nil"/>
              <w:left w:val="nil"/>
              <w:bottom w:val="nil"/>
              <w:right w:val="nil"/>
            </w:tcBorders>
            <w:shd w:val="clear" w:color="auto" w:fill="auto"/>
            <w:vAlign w:val="center"/>
          </w:tcPr>
          <w:p w14:paraId="14322CE2"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3.321</w:t>
            </w:r>
          </w:p>
        </w:tc>
        <w:tc>
          <w:tcPr>
            <w:tcW w:w="582" w:type="pct"/>
            <w:tcBorders>
              <w:top w:val="nil"/>
              <w:left w:val="nil"/>
              <w:bottom w:val="nil"/>
              <w:right w:val="nil"/>
            </w:tcBorders>
            <w:shd w:val="clear" w:color="auto" w:fill="auto"/>
            <w:vAlign w:val="center"/>
          </w:tcPr>
          <w:p w14:paraId="63F085C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r>
      <w:tr w:rsidR="00EE7F56" w:rsidRPr="00EE7F56" w14:paraId="3CF04FF6" w14:textId="77777777" w:rsidTr="00927269">
        <w:trPr>
          <w:trHeight w:val="20"/>
          <w:jc w:val="center"/>
        </w:trPr>
        <w:tc>
          <w:tcPr>
            <w:tcW w:w="777" w:type="pct"/>
            <w:tcBorders>
              <w:top w:val="nil"/>
              <w:left w:val="nil"/>
              <w:bottom w:val="nil"/>
              <w:right w:val="nil"/>
            </w:tcBorders>
            <w:shd w:val="clear" w:color="auto" w:fill="auto"/>
            <w:vAlign w:val="center"/>
          </w:tcPr>
          <w:p w14:paraId="1F0AF57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67</w:t>
            </w:r>
          </w:p>
        </w:tc>
        <w:tc>
          <w:tcPr>
            <w:tcW w:w="768" w:type="pct"/>
            <w:tcBorders>
              <w:top w:val="nil"/>
              <w:left w:val="nil"/>
              <w:bottom w:val="nil"/>
              <w:right w:val="nil"/>
            </w:tcBorders>
            <w:shd w:val="clear" w:color="auto" w:fill="auto"/>
            <w:vAlign w:val="center"/>
          </w:tcPr>
          <w:p w14:paraId="02770A6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-0.081</w:t>
            </w:r>
          </w:p>
        </w:tc>
        <w:tc>
          <w:tcPr>
            <w:tcW w:w="820" w:type="pct"/>
            <w:tcBorders>
              <w:top w:val="nil"/>
              <w:left w:val="nil"/>
              <w:bottom w:val="nil"/>
              <w:right w:val="nil"/>
            </w:tcBorders>
            <w:shd w:val="clear" w:color="auto" w:fill="auto"/>
            <w:vAlign w:val="center"/>
          </w:tcPr>
          <w:p w14:paraId="2BD6F22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0.028</w:t>
            </w:r>
          </w:p>
        </w:tc>
        <w:tc>
          <w:tcPr>
            <w:tcW w:w="1244" w:type="pct"/>
            <w:tcBorders>
              <w:top w:val="nil"/>
              <w:left w:val="nil"/>
              <w:bottom w:val="nil"/>
              <w:right w:val="nil"/>
            </w:tcBorders>
            <w:shd w:val="clear" w:color="auto" w:fill="auto"/>
            <w:vAlign w:val="center"/>
          </w:tcPr>
          <w:p w14:paraId="701488C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-0.036</w:t>
            </w:r>
          </w:p>
        </w:tc>
        <w:tc>
          <w:tcPr>
            <w:tcW w:w="809" w:type="pct"/>
            <w:tcBorders>
              <w:top w:val="nil"/>
              <w:left w:val="nil"/>
              <w:bottom w:val="nil"/>
              <w:right w:val="nil"/>
            </w:tcBorders>
            <w:shd w:val="clear" w:color="auto" w:fill="auto"/>
            <w:vAlign w:val="center"/>
          </w:tcPr>
          <w:p w14:paraId="5ECF22A3"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-2.880</w:t>
            </w:r>
          </w:p>
        </w:tc>
        <w:tc>
          <w:tcPr>
            <w:tcW w:w="582" w:type="pct"/>
            <w:tcBorders>
              <w:top w:val="nil"/>
              <w:left w:val="nil"/>
              <w:bottom w:val="nil"/>
              <w:right w:val="nil"/>
            </w:tcBorders>
            <w:shd w:val="clear" w:color="auto" w:fill="auto"/>
            <w:vAlign w:val="center"/>
          </w:tcPr>
          <w:p w14:paraId="4B70AED7"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0.005</w:t>
            </w:r>
          </w:p>
        </w:tc>
      </w:tr>
      <w:tr w:rsidR="00EE7F56" w:rsidRPr="00EE7F56" w14:paraId="1A69E8E7" w14:textId="77777777" w:rsidTr="00927269">
        <w:trPr>
          <w:trHeight w:val="20"/>
          <w:jc w:val="center"/>
        </w:trPr>
        <w:tc>
          <w:tcPr>
            <w:tcW w:w="777" w:type="pct"/>
            <w:tcBorders>
              <w:top w:val="nil"/>
              <w:left w:val="nil"/>
              <w:bottom w:val="single" w:sz="12" w:space="0" w:color="auto"/>
              <w:right w:val="nil"/>
            </w:tcBorders>
            <w:shd w:val="clear" w:color="auto" w:fill="auto"/>
            <w:vAlign w:val="center"/>
          </w:tcPr>
          <w:p w14:paraId="6A3872B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i/>
                <w:iCs/>
                <w:sz w:val="16"/>
                <w:szCs w:val="16"/>
              </w:rPr>
              <w:t>U</w:t>
            </w:r>
            <w:r w:rsidRPr="00EE7F56">
              <w:rPr>
                <w:rFonts w:ascii="Times New Roman" w:hAnsi="Times New Roman" w:cs="Times New Roman"/>
                <w:b/>
                <w:bCs/>
                <w:i/>
                <w:iCs/>
                <w:sz w:val="16"/>
                <w:szCs w:val="16"/>
                <w:vertAlign w:val="subscript"/>
              </w:rPr>
              <w:t>69</w:t>
            </w:r>
          </w:p>
        </w:tc>
        <w:tc>
          <w:tcPr>
            <w:tcW w:w="768" w:type="pct"/>
            <w:tcBorders>
              <w:top w:val="nil"/>
              <w:left w:val="nil"/>
              <w:bottom w:val="single" w:sz="12" w:space="0" w:color="auto"/>
              <w:right w:val="nil"/>
            </w:tcBorders>
            <w:shd w:val="clear" w:color="auto" w:fill="auto"/>
            <w:vAlign w:val="center"/>
          </w:tcPr>
          <w:p w14:paraId="1296F630"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-0.032</w:t>
            </w:r>
          </w:p>
        </w:tc>
        <w:tc>
          <w:tcPr>
            <w:tcW w:w="820" w:type="pct"/>
            <w:tcBorders>
              <w:top w:val="nil"/>
              <w:left w:val="nil"/>
              <w:bottom w:val="single" w:sz="12" w:space="0" w:color="auto"/>
              <w:right w:val="nil"/>
            </w:tcBorders>
            <w:shd w:val="clear" w:color="auto" w:fill="auto"/>
            <w:vAlign w:val="center"/>
          </w:tcPr>
          <w:p w14:paraId="446F3906"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0.010</w:t>
            </w:r>
          </w:p>
        </w:tc>
        <w:tc>
          <w:tcPr>
            <w:tcW w:w="1244" w:type="pct"/>
            <w:tcBorders>
              <w:top w:val="nil"/>
              <w:left w:val="nil"/>
              <w:bottom w:val="single" w:sz="12" w:space="0" w:color="auto"/>
              <w:right w:val="nil"/>
            </w:tcBorders>
            <w:shd w:val="clear" w:color="auto" w:fill="auto"/>
            <w:vAlign w:val="center"/>
          </w:tcPr>
          <w:p w14:paraId="79EB6DBF"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0.042</w:t>
            </w:r>
          </w:p>
        </w:tc>
        <w:tc>
          <w:tcPr>
            <w:tcW w:w="809" w:type="pct"/>
            <w:tcBorders>
              <w:top w:val="nil"/>
              <w:left w:val="nil"/>
              <w:bottom w:val="single" w:sz="12" w:space="0" w:color="auto"/>
              <w:right w:val="nil"/>
            </w:tcBorders>
            <w:shd w:val="clear" w:color="auto" w:fill="auto"/>
            <w:vAlign w:val="center"/>
          </w:tcPr>
          <w:p w14:paraId="57DE3F08"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-3.314</w:t>
            </w:r>
          </w:p>
        </w:tc>
        <w:tc>
          <w:tcPr>
            <w:tcW w:w="582" w:type="pct"/>
            <w:tcBorders>
              <w:top w:val="nil"/>
              <w:left w:val="nil"/>
              <w:bottom w:val="single" w:sz="12" w:space="0" w:color="auto"/>
              <w:right w:val="nil"/>
            </w:tcBorders>
            <w:shd w:val="clear" w:color="auto" w:fill="auto"/>
            <w:vAlign w:val="center"/>
          </w:tcPr>
          <w:p w14:paraId="0424FF7C" w14:textId="77777777" w:rsidR="00870696" w:rsidRPr="00EE7F56" w:rsidRDefault="00870696" w:rsidP="00927269">
            <w:pPr>
              <w:ind w:leftChars="-50" w:left="-105" w:rightChars="-50" w:right="-105"/>
              <w:jc w:val="center"/>
              <w:rPr>
                <w:rFonts w:ascii="Times New Roman" w:hAnsi="Times New Roman" w:cs="Times New Roman"/>
                <w:b/>
                <w:bCs/>
                <w:sz w:val="16"/>
                <w:szCs w:val="16"/>
              </w:rPr>
            </w:pPr>
            <w:r w:rsidRPr="00EE7F56">
              <w:rPr>
                <w:rFonts w:ascii="Times New Roman" w:hAnsi="Times New Roman" w:cs="Times New Roman"/>
                <w:b/>
                <w:bCs/>
                <w:sz w:val="16"/>
                <w:szCs w:val="16"/>
              </w:rPr>
              <w:t>0.001</w:t>
            </w:r>
          </w:p>
        </w:tc>
      </w:tr>
    </w:tbl>
    <w:p w14:paraId="6C18A9E0"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As illustrated in Table V, the load current of the optimal independent variables will affect the residual current at a significance level of 0.05. Notably, the absolute value of the Std-coefficients of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are much higher than the other variables, which means that both user 1 and user 2 have a significant effect on the anomaly residual current of the LVDS. The standard coefficients of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1</w:t>
      </w:r>
      <w:r w:rsidRPr="00EE7F56">
        <w:rPr>
          <w:rFonts w:ascii="Times New Roman" w:hAnsi="Times New Roman" w:cs="Times New Roman"/>
          <w:sz w:val="20"/>
          <w:szCs w:val="20"/>
        </w:rPr>
        <w:t xml:space="preserve"> and </w:t>
      </w:r>
      <w:r w:rsidRPr="00EE7F56">
        <w:rPr>
          <w:rFonts w:ascii="Times New Roman" w:hAnsi="Times New Roman" w:cs="Times New Roman"/>
          <w:i/>
          <w:iCs/>
          <w:sz w:val="20"/>
          <w:szCs w:val="20"/>
        </w:rPr>
        <w:t>U</w:t>
      </w:r>
      <w:r w:rsidRPr="00EE7F56">
        <w:rPr>
          <w:rFonts w:ascii="Times New Roman" w:hAnsi="Times New Roman" w:cs="Times New Roman"/>
          <w:sz w:val="20"/>
          <w:szCs w:val="20"/>
          <w:vertAlign w:val="subscript"/>
        </w:rPr>
        <w:t>2</w:t>
      </w:r>
      <w:r w:rsidRPr="00EE7F56">
        <w:rPr>
          <w:rFonts w:ascii="Times New Roman" w:hAnsi="Times New Roman" w:cs="Times New Roman"/>
          <w:sz w:val="20"/>
          <w:szCs w:val="20"/>
        </w:rPr>
        <w:t xml:space="preserve"> are slightly higher for users in different phases compared to those users in the same phase. It is worth noting that the difference in phase angle increased the similarity between the load current of the user and the anomaly residual current of the LVDS. Consequently, user 1 and user 2 are identified as wiring faults users, which is also consistent with the simulation settings. </w:t>
      </w:r>
    </w:p>
    <w:p w14:paraId="0939ECEA" w14:textId="77777777" w:rsidR="00870696" w:rsidRPr="00EE7F56" w:rsidRDefault="00870696" w:rsidP="00870696">
      <w:pPr>
        <w:autoSpaceDE w:val="0"/>
        <w:autoSpaceDN w:val="0"/>
        <w:adjustRightInd w:val="0"/>
        <w:spacing w:line="252" w:lineRule="auto"/>
        <w:ind w:firstLineChars="100" w:firstLine="200"/>
        <w:rPr>
          <w:rFonts w:ascii="Times New Roman" w:hAnsi="Times New Roman" w:cs="Times New Roman"/>
          <w:sz w:val="20"/>
          <w:szCs w:val="20"/>
        </w:rPr>
      </w:pPr>
      <w:r w:rsidRPr="00EE7F56">
        <w:rPr>
          <w:rFonts w:ascii="Times New Roman" w:hAnsi="Times New Roman" w:cs="Times New Roman"/>
          <w:sz w:val="20"/>
          <w:szCs w:val="20"/>
        </w:rPr>
        <w:t xml:space="preserve">Based on the analysis of scenarios involving single-user with wiring faults, double-users with wiring faults in the same phase, and double-users with wiring faults in different phases, the simulation results demonstrate the effectiveness of the proposed method in locating the users with wiring fault. As a result, the power utilities can implement targeted inspections on anomaly users based on the location results, </w:t>
      </w:r>
      <w:r w:rsidRPr="00EE7F56">
        <w:rPr>
          <w:rFonts w:ascii="Times New Roman" w:hAnsi="Times New Roman" w:cs="Times New Roman"/>
          <w:sz w:val="20"/>
          <w:szCs w:val="20"/>
        </w:rPr>
        <w:lastRenderedPageBreak/>
        <w:t>which will enormously improve the efficiency of earth fault detection.</w:t>
      </w:r>
      <w:r w:rsidRPr="00EE7F56" w:rsidDel="002552CC">
        <w:rPr>
          <w:rFonts w:ascii="Times New Roman" w:hAnsi="Times New Roman" w:cs="Times New Roman"/>
          <w:sz w:val="20"/>
          <w:szCs w:val="20"/>
        </w:rPr>
        <w:t xml:space="preserve"> </w:t>
      </w:r>
    </w:p>
    <w:p w14:paraId="0E428E46" w14:textId="77777777" w:rsidR="00870696" w:rsidRPr="00EE7F56" w:rsidRDefault="00870696" w:rsidP="00870696">
      <w:pPr>
        <w:pStyle w:val="H1ListSpace"/>
        <w:rPr>
          <w:rFonts w:ascii="Times New Roman" w:hAnsi="Times New Roman"/>
          <w:color w:val="auto"/>
        </w:rPr>
      </w:pPr>
      <w:r w:rsidRPr="00EE7F56">
        <w:rPr>
          <w:rFonts w:ascii="Times New Roman" w:hAnsi="Times New Roman"/>
          <w:color w:val="auto"/>
        </w:rPr>
        <w:t>CONCLUSION</w:t>
      </w:r>
    </w:p>
    <w:p w14:paraId="2A58CEED" w14:textId="77777777" w:rsidR="00870696" w:rsidRPr="00EE7F56" w:rsidRDefault="00870696" w:rsidP="00870696">
      <w:pPr>
        <w:pStyle w:val="PARAIndent"/>
        <w:rPr>
          <w:rFonts w:cs="Times New Roman"/>
        </w:rPr>
      </w:pPr>
      <w:bookmarkStart w:id="32" w:name="_Hlk160551434"/>
      <w:r w:rsidRPr="00EE7F56">
        <w:rPr>
          <w:rFonts w:cs="Times New Roman"/>
        </w:rPr>
        <w:t>Wiring faults are commonly in LVDS. Unlike insulation failure associated earth faults, most traditional methods are not applicable to determine wiring faults. The composition of the residual current in the LVDS varies under different wiring fault scenarios. This paper proposes a method for the identification and localization of users with wiring faults based on MLR analysis, combined with metering data. This method can accurately distinguish and locate abnormal users in different wiring fault scenarios, thereby addressing a research gap in the current field of earth fault location. However, in practical engineering applications, factors such as data density, data quality, and the number of users can significantly affect the identification results. Additionally, due to the variety of earth fault types present in LVDS, more comprehensive and precise methods for the location and troubleshooting of earth faults still require further research.</w:t>
      </w:r>
    </w:p>
    <w:p w14:paraId="2C07161E" w14:textId="77777777" w:rsidR="00870696" w:rsidRPr="00EE7F56" w:rsidRDefault="00870696" w:rsidP="00870696">
      <w:pPr>
        <w:pStyle w:val="H1"/>
        <w:rPr>
          <w:rFonts w:ascii="Times New Roman" w:hAnsi="Times New Roman" w:cs="Times New Roman"/>
          <w:color w:val="auto"/>
        </w:rPr>
      </w:pPr>
      <w:r w:rsidRPr="00EE7F56">
        <w:rPr>
          <w:rFonts w:ascii="Times New Roman" w:hAnsi="Times New Roman" w:cs="Times New Roman"/>
          <w:color w:val="auto"/>
        </w:rPr>
        <w:t>APPENDIX A</w:t>
      </w:r>
    </w:p>
    <w:bookmarkEnd w:id="32"/>
    <w:p w14:paraId="26E84355" w14:textId="77777777" w:rsidR="00870696" w:rsidRPr="00EE7F56" w:rsidRDefault="00870696" w:rsidP="00870696">
      <w:pPr>
        <w:pStyle w:val="TableTitle"/>
      </w:pPr>
      <w:r w:rsidRPr="00EE7F56">
        <w:t>Table A1</w:t>
      </w:r>
    </w:p>
    <w:p w14:paraId="376BE3D4" w14:textId="77777777" w:rsidR="00870696" w:rsidRPr="00EE7F56" w:rsidRDefault="00870696" w:rsidP="00870696">
      <w:pPr>
        <w:pStyle w:val="TableTitle"/>
      </w:pPr>
      <w:r w:rsidRPr="00EE7F56">
        <w:t>VIF of users</w:t>
      </w:r>
    </w:p>
    <w:tbl>
      <w:tblPr>
        <w:tblW w:w="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34"/>
        <w:gridCol w:w="666"/>
        <w:gridCol w:w="535"/>
        <w:gridCol w:w="666"/>
        <w:gridCol w:w="535"/>
        <w:gridCol w:w="666"/>
        <w:gridCol w:w="535"/>
        <w:gridCol w:w="666"/>
      </w:tblGrid>
      <w:tr w:rsidR="00EE7F56" w:rsidRPr="00EE7F56" w14:paraId="4E8938C4" w14:textId="77777777" w:rsidTr="00927269">
        <w:trPr>
          <w:trHeight w:val="278"/>
          <w:jc w:val="center"/>
        </w:trPr>
        <w:tc>
          <w:tcPr>
            <w:tcW w:w="0" w:type="auto"/>
            <w:tcBorders>
              <w:top w:val="single" w:sz="12" w:space="0" w:color="auto"/>
              <w:left w:val="nil"/>
              <w:bottom w:val="nil"/>
              <w:right w:val="nil"/>
            </w:tcBorders>
            <w:shd w:val="clear" w:color="auto" w:fill="FFFFFF"/>
            <w:vAlign w:val="center"/>
            <w:hideMark/>
          </w:tcPr>
          <w:p w14:paraId="41100E96" w14:textId="77777777" w:rsidR="00870696" w:rsidRPr="00EE7F56" w:rsidRDefault="00870696" w:rsidP="00927269">
            <w:pPr>
              <w:jc w:val="center"/>
              <w:rPr>
                <w:rFonts w:ascii="Times New Roman" w:hAnsi="Times New Roman" w:cs="Times New Roman"/>
                <w:bCs/>
                <w:spacing w:val="2"/>
                <w:sz w:val="16"/>
                <w:szCs w:val="16"/>
              </w:rPr>
            </w:pPr>
            <w:r w:rsidRPr="00EE7F56">
              <w:rPr>
                <w:rFonts w:ascii="Times New Roman" w:hAnsi="Times New Roman" w:cs="Times New Roman"/>
                <w:bCs/>
                <w:spacing w:val="2"/>
                <w:sz w:val="16"/>
                <w:szCs w:val="16"/>
              </w:rPr>
              <w:t>User</w:t>
            </w:r>
          </w:p>
        </w:tc>
        <w:tc>
          <w:tcPr>
            <w:tcW w:w="0" w:type="auto"/>
            <w:tcBorders>
              <w:top w:val="single" w:sz="12" w:space="0" w:color="auto"/>
              <w:left w:val="nil"/>
              <w:bottom w:val="nil"/>
              <w:right w:val="single" w:sz="4" w:space="0" w:color="auto"/>
            </w:tcBorders>
            <w:shd w:val="clear" w:color="auto" w:fill="FFFFFF"/>
            <w:vAlign w:val="center"/>
            <w:hideMark/>
          </w:tcPr>
          <w:p w14:paraId="200C70C7" w14:textId="77777777" w:rsidR="00870696" w:rsidRPr="00EE7F56" w:rsidRDefault="00870696" w:rsidP="00927269">
            <w:pPr>
              <w:jc w:val="center"/>
              <w:rPr>
                <w:rFonts w:ascii="Times New Roman" w:hAnsi="Times New Roman" w:cs="Times New Roman"/>
                <w:bCs/>
                <w:i/>
                <w:iCs/>
                <w:spacing w:val="2"/>
                <w:sz w:val="16"/>
                <w:szCs w:val="16"/>
              </w:rPr>
            </w:pPr>
            <m:oMathPara>
              <m:oMath>
                <m:r>
                  <w:rPr>
                    <w:rFonts w:ascii="Cambria Math" w:hAnsi="Cambria Math" w:cs="Times New Roman"/>
                    <w:spacing w:val="2"/>
                    <w:sz w:val="16"/>
                    <w:szCs w:val="16"/>
                  </w:rPr>
                  <m:t>VIF</m:t>
                </m:r>
              </m:oMath>
            </m:oMathPara>
          </w:p>
        </w:tc>
        <w:tc>
          <w:tcPr>
            <w:tcW w:w="0" w:type="auto"/>
            <w:tcBorders>
              <w:top w:val="single" w:sz="12" w:space="0" w:color="auto"/>
              <w:left w:val="single" w:sz="4" w:space="0" w:color="auto"/>
              <w:bottom w:val="nil"/>
              <w:right w:val="nil"/>
            </w:tcBorders>
            <w:shd w:val="clear" w:color="auto" w:fill="FFFFFF"/>
            <w:vAlign w:val="center"/>
            <w:hideMark/>
          </w:tcPr>
          <w:p w14:paraId="184F456E" w14:textId="77777777" w:rsidR="00870696" w:rsidRPr="00EE7F56" w:rsidRDefault="00870696" w:rsidP="00927269">
            <w:pPr>
              <w:jc w:val="center"/>
              <w:rPr>
                <w:rFonts w:ascii="Times New Roman" w:hAnsi="Times New Roman" w:cs="Times New Roman"/>
                <w:bCs/>
                <w:spacing w:val="2"/>
                <w:sz w:val="16"/>
                <w:szCs w:val="16"/>
              </w:rPr>
            </w:pPr>
            <w:r w:rsidRPr="00EE7F56">
              <w:rPr>
                <w:rFonts w:ascii="Times New Roman" w:hAnsi="Times New Roman" w:cs="Times New Roman"/>
                <w:bCs/>
                <w:spacing w:val="2"/>
                <w:sz w:val="16"/>
                <w:szCs w:val="16"/>
              </w:rPr>
              <w:t>User</w:t>
            </w:r>
          </w:p>
        </w:tc>
        <w:tc>
          <w:tcPr>
            <w:tcW w:w="0" w:type="auto"/>
            <w:tcBorders>
              <w:top w:val="single" w:sz="12" w:space="0" w:color="auto"/>
              <w:left w:val="nil"/>
              <w:bottom w:val="nil"/>
              <w:right w:val="single" w:sz="4" w:space="0" w:color="auto"/>
            </w:tcBorders>
            <w:shd w:val="clear" w:color="auto" w:fill="FFFFFF"/>
            <w:vAlign w:val="center"/>
            <w:hideMark/>
          </w:tcPr>
          <w:p w14:paraId="34275D36" w14:textId="77777777" w:rsidR="00870696" w:rsidRPr="00EE7F56" w:rsidRDefault="00870696" w:rsidP="00927269">
            <w:pPr>
              <w:jc w:val="center"/>
              <w:rPr>
                <w:rFonts w:ascii="Times New Roman" w:hAnsi="Times New Roman" w:cs="Times New Roman"/>
                <w:bCs/>
                <w:i/>
                <w:iCs/>
                <w:spacing w:val="2"/>
                <w:sz w:val="16"/>
                <w:szCs w:val="16"/>
              </w:rPr>
            </w:pPr>
            <m:oMathPara>
              <m:oMath>
                <m:r>
                  <w:rPr>
                    <w:rFonts w:ascii="Cambria Math" w:hAnsi="Cambria Math" w:cs="Times New Roman"/>
                    <w:spacing w:val="2"/>
                    <w:sz w:val="16"/>
                    <w:szCs w:val="16"/>
                  </w:rPr>
                  <m:t>VIF</m:t>
                </m:r>
              </m:oMath>
            </m:oMathPara>
          </w:p>
        </w:tc>
        <w:tc>
          <w:tcPr>
            <w:tcW w:w="0" w:type="auto"/>
            <w:tcBorders>
              <w:top w:val="single" w:sz="12" w:space="0" w:color="auto"/>
              <w:left w:val="single" w:sz="4" w:space="0" w:color="auto"/>
              <w:bottom w:val="nil"/>
              <w:right w:val="nil"/>
            </w:tcBorders>
            <w:shd w:val="clear" w:color="auto" w:fill="FFFFFF"/>
            <w:vAlign w:val="center"/>
            <w:hideMark/>
          </w:tcPr>
          <w:p w14:paraId="652FA8B2" w14:textId="77777777" w:rsidR="00870696" w:rsidRPr="00EE7F56" w:rsidRDefault="00870696" w:rsidP="00927269">
            <w:pPr>
              <w:jc w:val="center"/>
              <w:rPr>
                <w:rFonts w:ascii="Times New Roman" w:hAnsi="Times New Roman" w:cs="Times New Roman"/>
                <w:bCs/>
                <w:spacing w:val="2"/>
                <w:sz w:val="16"/>
                <w:szCs w:val="16"/>
              </w:rPr>
            </w:pPr>
            <w:r w:rsidRPr="00EE7F56">
              <w:rPr>
                <w:rFonts w:ascii="Times New Roman" w:hAnsi="Times New Roman" w:cs="Times New Roman"/>
                <w:bCs/>
                <w:spacing w:val="2"/>
                <w:sz w:val="16"/>
                <w:szCs w:val="16"/>
              </w:rPr>
              <w:t>User</w:t>
            </w:r>
          </w:p>
        </w:tc>
        <w:tc>
          <w:tcPr>
            <w:tcW w:w="0" w:type="auto"/>
            <w:tcBorders>
              <w:top w:val="single" w:sz="12" w:space="0" w:color="auto"/>
              <w:left w:val="nil"/>
              <w:bottom w:val="nil"/>
              <w:right w:val="single" w:sz="4" w:space="0" w:color="auto"/>
            </w:tcBorders>
            <w:shd w:val="clear" w:color="auto" w:fill="FFFFFF"/>
            <w:vAlign w:val="center"/>
            <w:hideMark/>
          </w:tcPr>
          <w:p w14:paraId="7067AAD3" w14:textId="77777777" w:rsidR="00870696" w:rsidRPr="00EE7F56" w:rsidRDefault="00870696" w:rsidP="00927269">
            <w:pPr>
              <w:jc w:val="center"/>
              <w:rPr>
                <w:rFonts w:ascii="Times New Roman" w:hAnsi="Times New Roman" w:cs="Times New Roman"/>
                <w:bCs/>
                <w:i/>
                <w:iCs/>
                <w:spacing w:val="2"/>
                <w:sz w:val="16"/>
                <w:szCs w:val="16"/>
              </w:rPr>
            </w:pPr>
            <m:oMathPara>
              <m:oMath>
                <m:r>
                  <w:rPr>
                    <w:rFonts w:ascii="Cambria Math" w:hAnsi="Cambria Math" w:cs="Times New Roman"/>
                    <w:spacing w:val="2"/>
                    <w:sz w:val="16"/>
                    <w:szCs w:val="16"/>
                  </w:rPr>
                  <m:t>VIF</m:t>
                </m:r>
              </m:oMath>
            </m:oMathPara>
          </w:p>
        </w:tc>
        <w:tc>
          <w:tcPr>
            <w:tcW w:w="0" w:type="auto"/>
            <w:tcBorders>
              <w:top w:val="single" w:sz="12" w:space="0" w:color="auto"/>
              <w:left w:val="single" w:sz="4" w:space="0" w:color="auto"/>
              <w:bottom w:val="nil"/>
              <w:right w:val="nil"/>
            </w:tcBorders>
            <w:shd w:val="clear" w:color="auto" w:fill="FFFFFF"/>
            <w:vAlign w:val="center"/>
            <w:hideMark/>
          </w:tcPr>
          <w:p w14:paraId="54114BA6" w14:textId="77777777" w:rsidR="00870696" w:rsidRPr="00EE7F56" w:rsidRDefault="00870696" w:rsidP="00927269">
            <w:pPr>
              <w:jc w:val="center"/>
              <w:rPr>
                <w:rFonts w:ascii="Times New Roman" w:hAnsi="Times New Roman" w:cs="Times New Roman"/>
                <w:bCs/>
                <w:spacing w:val="2"/>
                <w:sz w:val="16"/>
                <w:szCs w:val="16"/>
              </w:rPr>
            </w:pPr>
            <w:r w:rsidRPr="00EE7F56">
              <w:rPr>
                <w:rFonts w:ascii="Times New Roman" w:hAnsi="Times New Roman" w:cs="Times New Roman"/>
                <w:bCs/>
                <w:spacing w:val="2"/>
                <w:sz w:val="16"/>
                <w:szCs w:val="16"/>
              </w:rPr>
              <w:t>User</w:t>
            </w:r>
          </w:p>
        </w:tc>
        <w:tc>
          <w:tcPr>
            <w:tcW w:w="0" w:type="auto"/>
            <w:tcBorders>
              <w:top w:val="single" w:sz="12" w:space="0" w:color="auto"/>
              <w:left w:val="nil"/>
              <w:bottom w:val="nil"/>
              <w:right w:val="nil"/>
            </w:tcBorders>
            <w:shd w:val="clear" w:color="auto" w:fill="FFFFFF"/>
            <w:vAlign w:val="center"/>
            <w:hideMark/>
          </w:tcPr>
          <w:p w14:paraId="369007D5" w14:textId="77777777" w:rsidR="00870696" w:rsidRPr="00EE7F56" w:rsidRDefault="00870696" w:rsidP="00927269">
            <w:pPr>
              <w:jc w:val="center"/>
              <w:rPr>
                <w:rFonts w:ascii="Times New Roman" w:hAnsi="Times New Roman" w:cs="Times New Roman"/>
                <w:bCs/>
                <w:i/>
                <w:iCs/>
                <w:spacing w:val="2"/>
                <w:sz w:val="16"/>
                <w:szCs w:val="16"/>
              </w:rPr>
            </w:pPr>
            <m:oMathPara>
              <m:oMath>
                <m:r>
                  <w:rPr>
                    <w:rFonts w:ascii="Cambria Math" w:hAnsi="Cambria Math" w:cs="Times New Roman"/>
                    <w:spacing w:val="2"/>
                    <w:sz w:val="16"/>
                    <w:szCs w:val="16"/>
                  </w:rPr>
                  <m:t>VIF</m:t>
                </m:r>
              </m:oMath>
            </m:oMathPara>
          </w:p>
        </w:tc>
      </w:tr>
      <w:tr w:rsidR="00EE7F56" w:rsidRPr="00EE7F56" w14:paraId="21670188" w14:textId="77777777" w:rsidTr="00927269">
        <w:trPr>
          <w:trHeight w:val="278"/>
          <w:jc w:val="center"/>
        </w:trPr>
        <w:tc>
          <w:tcPr>
            <w:tcW w:w="0" w:type="auto"/>
            <w:tcBorders>
              <w:top w:val="single" w:sz="12" w:space="0" w:color="auto"/>
              <w:left w:val="nil"/>
              <w:bottom w:val="nil"/>
              <w:right w:val="nil"/>
            </w:tcBorders>
            <w:shd w:val="clear" w:color="auto" w:fill="auto"/>
            <w:vAlign w:val="center"/>
          </w:tcPr>
          <w:p w14:paraId="01538E80" w14:textId="77777777" w:rsidR="00870696" w:rsidRPr="00EE7F56" w:rsidRDefault="00870696" w:rsidP="00927269">
            <w:pPr>
              <w:jc w:val="center"/>
              <w:rPr>
                <w:rFonts w:ascii="Times New Roman" w:eastAsia="宋体" w:hAnsi="Times New Roman" w:cs="Times New Roman"/>
                <w:bCs/>
                <w:i/>
                <w:i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w:t>
            </w:r>
          </w:p>
        </w:tc>
        <w:tc>
          <w:tcPr>
            <w:tcW w:w="0" w:type="auto"/>
            <w:tcBorders>
              <w:top w:val="single" w:sz="12" w:space="0" w:color="auto"/>
              <w:left w:val="nil"/>
              <w:bottom w:val="nil"/>
              <w:right w:val="single" w:sz="4" w:space="0" w:color="auto"/>
            </w:tcBorders>
            <w:shd w:val="clear" w:color="auto" w:fill="auto"/>
            <w:vAlign w:val="center"/>
          </w:tcPr>
          <w:p w14:paraId="7D8E6910"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7.077</w:t>
            </w:r>
          </w:p>
        </w:tc>
        <w:tc>
          <w:tcPr>
            <w:tcW w:w="0" w:type="auto"/>
            <w:tcBorders>
              <w:top w:val="single" w:sz="12" w:space="0" w:color="auto"/>
              <w:left w:val="single" w:sz="4" w:space="0" w:color="auto"/>
              <w:bottom w:val="nil"/>
              <w:right w:val="nil"/>
            </w:tcBorders>
            <w:shd w:val="clear" w:color="auto" w:fill="auto"/>
            <w:vAlign w:val="center"/>
          </w:tcPr>
          <w:p w14:paraId="5B617D3A"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21</w:t>
            </w:r>
          </w:p>
        </w:tc>
        <w:tc>
          <w:tcPr>
            <w:tcW w:w="0" w:type="auto"/>
            <w:tcBorders>
              <w:top w:val="single" w:sz="12" w:space="0" w:color="auto"/>
              <w:left w:val="nil"/>
              <w:bottom w:val="nil"/>
              <w:right w:val="single" w:sz="4" w:space="0" w:color="auto"/>
            </w:tcBorders>
            <w:shd w:val="clear" w:color="auto" w:fill="auto"/>
            <w:vAlign w:val="center"/>
          </w:tcPr>
          <w:p w14:paraId="460E0D89"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5.270</w:t>
            </w:r>
          </w:p>
        </w:tc>
        <w:tc>
          <w:tcPr>
            <w:tcW w:w="0" w:type="auto"/>
            <w:tcBorders>
              <w:top w:val="single" w:sz="12" w:space="0" w:color="auto"/>
              <w:left w:val="single" w:sz="4" w:space="0" w:color="auto"/>
              <w:bottom w:val="nil"/>
              <w:right w:val="nil"/>
            </w:tcBorders>
            <w:shd w:val="clear" w:color="auto" w:fill="auto"/>
            <w:vAlign w:val="center"/>
          </w:tcPr>
          <w:p w14:paraId="242A1717"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41</w:t>
            </w:r>
          </w:p>
        </w:tc>
        <w:tc>
          <w:tcPr>
            <w:tcW w:w="0" w:type="auto"/>
            <w:tcBorders>
              <w:top w:val="single" w:sz="12" w:space="0" w:color="auto"/>
              <w:left w:val="nil"/>
              <w:bottom w:val="nil"/>
              <w:right w:val="single" w:sz="4" w:space="0" w:color="auto"/>
            </w:tcBorders>
            <w:shd w:val="clear" w:color="auto" w:fill="auto"/>
            <w:vAlign w:val="center"/>
          </w:tcPr>
          <w:p w14:paraId="7DC48A6B"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7.217</w:t>
            </w:r>
          </w:p>
        </w:tc>
        <w:tc>
          <w:tcPr>
            <w:tcW w:w="0" w:type="auto"/>
            <w:tcBorders>
              <w:top w:val="single" w:sz="12" w:space="0" w:color="auto"/>
              <w:left w:val="single" w:sz="4" w:space="0" w:color="auto"/>
              <w:bottom w:val="nil"/>
              <w:right w:val="nil"/>
            </w:tcBorders>
            <w:shd w:val="clear" w:color="auto" w:fill="D9E2F3"/>
            <w:vAlign w:val="center"/>
          </w:tcPr>
          <w:p w14:paraId="77FF2C7E"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61</w:t>
            </w:r>
          </w:p>
        </w:tc>
        <w:tc>
          <w:tcPr>
            <w:tcW w:w="0" w:type="auto"/>
            <w:tcBorders>
              <w:top w:val="single" w:sz="12" w:space="0" w:color="auto"/>
              <w:left w:val="nil"/>
              <w:bottom w:val="nil"/>
              <w:right w:val="nil"/>
            </w:tcBorders>
            <w:shd w:val="clear" w:color="auto" w:fill="D9E2F3"/>
            <w:vAlign w:val="center"/>
          </w:tcPr>
          <w:p w14:paraId="135AE745"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14.911</w:t>
            </w:r>
          </w:p>
        </w:tc>
      </w:tr>
      <w:tr w:rsidR="00EE7F56" w:rsidRPr="00EE7F56" w14:paraId="37602E05" w14:textId="77777777" w:rsidTr="00927269">
        <w:trPr>
          <w:trHeight w:val="278"/>
          <w:jc w:val="center"/>
        </w:trPr>
        <w:tc>
          <w:tcPr>
            <w:tcW w:w="0" w:type="auto"/>
            <w:tcBorders>
              <w:top w:val="nil"/>
              <w:left w:val="nil"/>
              <w:bottom w:val="nil"/>
              <w:right w:val="nil"/>
            </w:tcBorders>
            <w:shd w:val="clear" w:color="auto" w:fill="D9E2F3"/>
            <w:vAlign w:val="center"/>
          </w:tcPr>
          <w:p w14:paraId="07B2927B"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w:t>
            </w:r>
          </w:p>
        </w:tc>
        <w:tc>
          <w:tcPr>
            <w:tcW w:w="0" w:type="auto"/>
            <w:tcBorders>
              <w:top w:val="nil"/>
              <w:left w:val="nil"/>
              <w:bottom w:val="nil"/>
              <w:right w:val="single" w:sz="4" w:space="0" w:color="auto"/>
            </w:tcBorders>
            <w:shd w:val="clear" w:color="auto" w:fill="D9E2F3"/>
            <w:vAlign w:val="center"/>
          </w:tcPr>
          <w:p w14:paraId="68AA248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19.570</w:t>
            </w:r>
          </w:p>
        </w:tc>
        <w:tc>
          <w:tcPr>
            <w:tcW w:w="0" w:type="auto"/>
            <w:tcBorders>
              <w:top w:val="nil"/>
              <w:left w:val="single" w:sz="4" w:space="0" w:color="auto"/>
              <w:bottom w:val="nil"/>
              <w:right w:val="nil"/>
            </w:tcBorders>
            <w:shd w:val="clear" w:color="auto" w:fill="auto"/>
            <w:vAlign w:val="center"/>
          </w:tcPr>
          <w:p w14:paraId="6247BFC1"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22</w:t>
            </w:r>
          </w:p>
        </w:tc>
        <w:tc>
          <w:tcPr>
            <w:tcW w:w="0" w:type="auto"/>
            <w:tcBorders>
              <w:top w:val="nil"/>
              <w:left w:val="nil"/>
              <w:bottom w:val="nil"/>
              <w:right w:val="single" w:sz="4" w:space="0" w:color="auto"/>
            </w:tcBorders>
            <w:shd w:val="clear" w:color="auto" w:fill="auto"/>
            <w:vAlign w:val="center"/>
          </w:tcPr>
          <w:p w14:paraId="75944D3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8.498</w:t>
            </w:r>
          </w:p>
        </w:tc>
        <w:tc>
          <w:tcPr>
            <w:tcW w:w="0" w:type="auto"/>
            <w:tcBorders>
              <w:top w:val="nil"/>
              <w:left w:val="single" w:sz="4" w:space="0" w:color="auto"/>
              <w:bottom w:val="nil"/>
              <w:right w:val="nil"/>
            </w:tcBorders>
            <w:shd w:val="clear" w:color="auto" w:fill="D9E2F3"/>
            <w:vAlign w:val="center"/>
          </w:tcPr>
          <w:p w14:paraId="55632BB8"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42</w:t>
            </w:r>
          </w:p>
        </w:tc>
        <w:tc>
          <w:tcPr>
            <w:tcW w:w="0" w:type="auto"/>
            <w:tcBorders>
              <w:top w:val="nil"/>
              <w:left w:val="nil"/>
              <w:bottom w:val="nil"/>
              <w:right w:val="single" w:sz="4" w:space="0" w:color="auto"/>
            </w:tcBorders>
            <w:shd w:val="clear" w:color="auto" w:fill="D9E2F3"/>
            <w:vAlign w:val="center"/>
          </w:tcPr>
          <w:p w14:paraId="58910BAE"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10.843</w:t>
            </w:r>
          </w:p>
        </w:tc>
        <w:tc>
          <w:tcPr>
            <w:tcW w:w="0" w:type="auto"/>
            <w:tcBorders>
              <w:top w:val="nil"/>
              <w:left w:val="single" w:sz="4" w:space="0" w:color="auto"/>
              <w:bottom w:val="nil"/>
              <w:right w:val="nil"/>
            </w:tcBorders>
            <w:shd w:val="clear" w:color="auto" w:fill="auto"/>
            <w:vAlign w:val="center"/>
          </w:tcPr>
          <w:p w14:paraId="4F7A0A3F"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62</w:t>
            </w:r>
          </w:p>
        </w:tc>
        <w:tc>
          <w:tcPr>
            <w:tcW w:w="0" w:type="auto"/>
            <w:tcBorders>
              <w:top w:val="nil"/>
              <w:left w:val="nil"/>
              <w:bottom w:val="nil"/>
              <w:right w:val="nil"/>
            </w:tcBorders>
            <w:shd w:val="clear" w:color="auto" w:fill="auto"/>
            <w:vAlign w:val="center"/>
          </w:tcPr>
          <w:p w14:paraId="17E7EC47"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9.61</w:t>
            </w:r>
          </w:p>
        </w:tc>
      </w:tr>
      <w:tr w:rsidR="00EE7F56" w:rsidRPr="00EE7F56" w14:paraId="5FDD5B8C" w14:textId="77777777" w:rsidTr="00927269">
        <w:trPr>
          <w:trHeight w:val="278"/>
          <w:jc w:val="center"/>
        </w:trPr>
        <w:tc>
          <w:tcPr>
            <w:tcW w:w="0" w:type="auto"/>
            <w:tcBorders>
              <w:top w:val="nil"/>
              <w:left w:val="nil"/>
              <w:bottom w:val="nil"/>
              <w:right w:val="nil"/>
            </w:tcBorders>
            <w:shd w:val="clear" w:color="auto" w:fill="D9E2F3"/>
            <w:vAlign w:val="center"/>
          </w:tcPr>
          <w:p w14:paraId="7FD24191"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w:t>
            </w:r>
          </w:p>
        </w:tc>
        <w:tc>
          <w:tcPr>
            <w:tcW w:w="0" w:type="auto"/>
            <w:tcBorders>
              <w:top w:val="nil"/>
              <w:left w:val="nil"/>
              <w:bottom w:val="nil"/>
              <w:right w:val="single" w:sz="4" w:space="0" w:color="auto"/>
            </w:tcBorders>
            <w:shd w:val="clear" w:color="auto" w:fill="D9E2F3"/>
            <w:vAlign w:val="center"/>
          </w:tcPr>
          <w:p w14:paraId="402A4A0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10.544</w:t>
            </w:r>
          </w:p>
        </w:tc>
        <w:tc>
          <w:tcPr>
            <w:tcW w:w="0" w:type="auto"/>
            <w:tcBorders>
              <w:top w:val="nil"/>
              <w:left w:val="single" w:sz="4" w:space="0" w:color="auto"/>
              <w:bottom w:val="nil"/>
              <w:right w:val="nil"/>
            </w:tcBorders>
            <w:shd w:val="clear" w:color="auto" w:fill="D9E2F3"/>
            <w:vAlign w:val="center"/>
          </w:tcPr>
          <w:p w14:paraId="31665C7D"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23</w:t>
            </w:r>
          </w:p>
        </w:tc>
        <w:tc>
          <w:tcPr>
            <w:tcW w:w="0" w:type="auto"/>
            <w:tcBorders>
              <w:top w:val="nil"/>
              <w:left w:val="nil"/>
              <w:bottom w:val="nil"/>
              <w:right w:val="single" w:sz="4" w:space="0" w:color="auto"/>
            </w:tcBorders>
            <w:shd w:val="clear" w:color="auto" w:fill="D9E2F3"/>
            <w:vAlign w:val="center"/>
          </w:tcPr>
          <w:p w14:paraId="3EF6E381"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22.245</w:t>
            </w:r>
          </w:p>
        </w:tc>
        <w:tc>
          <w:tcPr>
            <w:tcW w:w="0" w:type="auto"/>
            <w:tcBorders>
              <w:top w:val="nil"/>
              <w:left w:val="single" w:sz="4" w:space="0" w:color="auto"/>
              <w:bottom w:val="nil"/>
              <w:right w:val="nil"/>
            </w:tcBorders>
            <w:shd w:val="clear" w:color="auto" w:fill="D9E2F3"/>
            <w:vAlign w:val="center"/>
          </w:tcPr>
          <w:p w14:paraId="20829944"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43</w:t>
            </w:r>
          </w:p>
        </w:tc>
        <w:tc>
          <w:tcPr>
            <w:tcW w:w="0" w:type="auto"/>
            <w:tcBorders>
              <w:top w:val="nil"/>
              <w:left w:val="nil"/>
              <w:bottom w:val="nil"/>
              <w:right w:val="single" w:sz="4" w:space="0" w:color="auto"/>
            </w:tcBorders>
            <w:shd w:val="clear" w:color="auto" w:fill="D9E2F3"/>
            <w:vAlign w:val="center"/>
          </w:tcPr>
          <w:p w14:paraId="4D3E9188"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13.305</w:t>
            </w:r>
          </w:p>
        </w:tc>
        <w:tc>
          <w:tcPr>
            <w:tcW w:w="0" w:type="auto"/>
            <w:tcBorders>
              <w:top w:val="nil"/>
              <w:left w:val="single" w:sz="4" w:space="0" w:color="auto"/>
              <w:bottom w:val="nil"/>
              <w:right w:val="nil"/>
            </w:tcBorders>
            <w:shd w:val="clear" w:color="auto" w:fill="auto"/>
            <w:vAlign w:val="center"/>
          </w:tcPr>
          <w:p w14:paraId="7461E159"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63</w:t>
            </w:r>
          </w:p>
        </w:tc>
        <w:tc>
          <w:tcPr>
            <w:tcW w:w="0" w:type="auto"/>
            <w:tcBorders>
              <w:top w:val="nil"/>
              <w:left w:val="nil"/>
              <w:bottom w:val="nil"/>
              <w:right w:val="nil"/>
            </w:tcBorders>
            <w:shd w:val="clear" w:color="auto" w:fill="auto"/>
            <w:vAlign w:val="center"/>
          </w:tcPr>
          <w:p w14:paraId="6A0F1674"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6.541</w:t>
            </w:r>
          </w:p>
        </w:tc>
      </w:tr>
      <w:tr w:rsidR="00EE7F56" w:rsidRPr="00EE7F56" w14:paraId="753F8137" w14:textId="77777777" w:rsidTr="00927269">
        <w:trPr>
          <w:trHeight w:val="278"/>
          <w:jc w:val="center"/>
        </w:trPr>
        <w:tc>
          <w:tcPr>
            <w:tcW w:w="0" w:type="auto"/>
            <w:tcBorders>
              <w:top w:val="nil"/>
              <w:left w:val="nil"/>
              <w:bottom w:val="nil"/>
              <w:right w:val="nil"/>
            </w:tcBorders>
            <w:shd w:val="clear" w:color="auto" w:fill="auto"/>
            <w:vAlign w:val="center"/>
          </w:tcPr>
          <w:p w14:paraId="4A0DE9EB"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w:t>
            </w:r>
          </w:p>
        </w:tc>
        <w:tc>
          <w:tcPr>
            <w:tcW w:w="0" w:type="auto"/>
            <w:tcBorders>
              <w:top w:val="nil"/>
              <w:left w:val="nil"/>
              <w:bottom w:val="nil"/>
              <w:right w:val="single" w:sz="4" w:space="0" w:color="auto"/>
            </w:tcBorders>
            <w:shd w:val="clear" w:color="auto" w:fill="auto"/>
            <w:vAlign w:val="center"/>
          </w:tcPr>
          <w:p w14:paraId="12D3B0F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5.477</w:t>
            </w:r>
          </w:p>
        </w:tc>
        <w:tc>
          <w:tcPr>
            <w:tcW w:w="0" w:type="auto"/>
            <w:tcBorders>
              <w:top w:val="nil"/>
              <w:left w:val="single" w:sz="4" w:space="0" w:color="auto"/>
              <w:bottom w:val="nil"/>
              <w:right w:val="nil"/>
            </w:tcBorders>
            <w:shd w:val="clear" w:color="auto" w:fill="auto"/>
            <w:vAlign w:val="center"/>
          </w:tcPr>
          <w:p w14:paraId="5E38D057"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24</w:t>
            </w:r>
          </w:p>
        </w:tc>
        <w:tc>
          <w:tcPr>
            <w:tcW w:w="0" w:type="auto"/>
            <w:tcBorders>
              <w:top w:val="nil"/>
              <w:left w:val="nil"/>
              <w:bottom w:val="nil"/>
              <w:right w:val="single" w:sz="4" w:space="0" w:color="auto"/>
            </w:tcBorders>
            <w:shd w:val="clear" w:color="auto" w:fill="auto"/>
            <w:vAlign w:val="center"/>
          </w:tcPr>
          <w:p w14:paraId="449D86E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9.586</w:t>
            </w:r>
          </w:p>
        </w:tc>
        <w:tc>
          <w:tcPr>
            <w:tcW w:w="0" w:type="auto"/>
            <w:tcBorders>
              <w:top w:val="nil"/>
              <w:left w:val="single" w:sz="4" w:space="0" w:color="auto"/>
              <w:bottom w:val="nil"/>
              <w:right w:val="nil"/>
            </w:tcBorders>
            <w:shd w:val="clear" w:color="auto" w:fill="D9E2F3"/>
            <w:vAlign w:val="center"/>
          </w:tcPr>
          <w:p w14:paraId="6A4E0C75"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44</w:t>
            </w:r>
          </w:p>
        </w:tc>
        <w:tc>
          <w:tcPr>
            <w:tcW w:w="0" w:type="auto"/>
            <w:tcBorders>
              <w:top w:val="nil"/>
              <w:left w:val="nil"/>
              <w:bottom w:val="nil"/>
              <w:right w:val="single" w:sz="4" w:space="0" w:color="auto"/>
            </w:tcBorders>
            <w:shd w:val="clear" w:color="auto" w:fill="D9E2F3"/>
            <w:vAlign w:val="center"/>
          </w:tcPr>
          <w:p w14:paraId="4F40E6F4"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16.573</w:t>
            </w:r>
          </w:p>
        </w:tc>
        <w:tc>
          <w:tcPr>
            <w:tcW w:w="0" w:type="auto"/>
            <w:tcBorders>
              <w:top w:val="nil"/>
              <w:left w:val="single" w:sz="4" w:space="0" w:color="auto"/>
              <w:bottom w:val="nil"/>
              <w:right w:val="nil"/>
            </w:tcBorders>
            <w:shd w:val="clear" w:color="auto" w:fill="D9E2F3"/>
            <w:vAlign w:val="center"/>
          </w:tcPr>
          <w:p w14:paraId="07E9018D"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64</w:t>
            </w:r>
          </w:p>
        </w:tc>
        <w:tc>
          <w:tcPr>
            <w:tcW w:w="0" w:type="auto"/>
            <w:tcBorders>
              <w:top w:val="nil"/>
              <w:left w:val="nil"/>
              <w:bottom w:val="nil"/>
              <w:right w:val="nil"/>
            </w:tcBorders>
            <w:shd w:val="clear" w:color="auto" w:fill="D9E2F3"/>
            <w:vAlign w:val="center"/>
          </w:tcPr>
          <w:p w14:paraId="10ED28B6"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16.717</w:t>
            </w:r>
          </w:p>
        </w:tc>
      </w:tr>
      <w:tr w:rsidR="00EE7F56" w:rsidRPr="00EE7F56" w14:paraId="5CF82AD8" w14:textId="77777777" w:rsidTr="00927269">
        <w:trPr>
          <w:trHeight w:val="278"/>
          <w:jc w:val="center"/>
        </w:trPr>
        <w:tc>
          <w:tcPr>
            <w:tcW w:w="0" w:type="auto"/>
            <w:tcBorders>
              <w:top w:val="nil"/>
              <w:left w:val="nil"/>
              <w:bottom w:val="nil"/>
              <w:right w:val="nil"/>
            </w:tcBorders>
            <w:shd w:val="clear" w:color="auto" w:fill="D9E2F3"/>
            <w:vAlign w:val="center"/>
          </w:tcPr>
          <w:p w14:paraId="204D168A"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w:t>
            </w:r>
          </w:p>
        </w:tc>
        <w:tc>
          <w:tcPr>
            <w:tcW w:w="0" w:type="auto"/>
            <w:tcBorders>
              <w:top w:val="nil"/>
              <w:left w:val="nil"/>
              <w:bottom w:val="nil"/>
              <w:right w:val="single" w:sz="4" w:space="0" w:color="auto"/>
            </w:tcBorders>
            <w:shd w:val="clear" w:color="auto" w:fill="D9E2F3"/>
            <w:vAlign w:val="center"/>
          </w:tcPr>
          <w:p w14:paraId="486673D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15.908</w:t>
            </w:r>
          </w:p>
        </w:tc>
        <w:tc>
          <w:tcPr>
            <w:tcW w:w="0" w:type="auto"/>
            <w:tcBorders>
              <w:top w:val="nil"/>
              <w:left w:val="single" w:sz="4" w:space="0" w:color="auto"/>
              <w:bottom w:val="nil"/>
              <w:right w:val="nil"/>
            </w:tcBorders>
            <w:shd w:val="clear" w:color="auto" w:fill="D9E2F3"/>
            <w:vAlign w:val="center"/>
          </w:tcPr>
          <w:p w14:paraId="1D76D26E"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25</w:t>
            </w:r>
          </w:p>
        </w:tc>
        <w:tc>
          <w:tcPr>
            <w:tcW w:w="0" w:type="auto"/>
            <w:tcBorders>
              <w:top w:val="nil"/>
              <w:left w:val="nil"/>
              <w:bottom w:val="nil"/>
              <w:right w:val="single" w:sz="4" w:space="0" w:color="auto"/>
            </w:tcBorders>
            <w:shd w:val="clear" w:color="auto" w:fill="D9E2F3"/>
            <w:vAlign w:val="center"/>
          </w:tcPr>
          <w:p w14:paraId="727378D6"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12.499</w:t>
            </w:r>
          </w:p>
        </w:tc>
        <w:tc>
          <w:tcPr>
            <w:tcW w:w="0" w:type="auto"/>
            <w:tcBorders>
              <w:top w:val="nil"/>
              <w:left w:val="single" w:sz="4" w:space="0" w:color="auto"/>
              <w:bottom w:val="nil"/>
              <w:right w:val="nil"/>
            </w:tcBorders>
            <w:shd w:val="clear" w:color="auto" w:fill="D9E2F3"/>
            <w:vAlign w:val="center"/>
          </w:tcPr>
          <w:p w14:paraId="52EF9065"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45</w:t>
            </w:r>
          </w:p>
        </w:tc>
        <w:tc>
          <w:tcPr>
            <w:tcW w:w="0" w:type="auto"/>
            <w:tcBorders>
              <w:top w:val="nil"/>
              <w:left w:val="nil"/>
              <w:bottom w:val="nil"/>
              <w:right w:val="single" w:sz="4" w:space="0" w:color="auto"/>
            </w:tcBorders>
            <w:shd w:val="clear" w:color="auto" w:fill="D9E2F3"/>
            <w:vAlign w:val="center"/>
          </w:tcPr>
          <w:p w14:paraId="4B8346D6"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15.331</w:t>
            </w:r>
          </w:p>
        </w:tc>
        <w:tc>
          <w:tcPr>
            <w:tcW w:w="0" w:type="auto"/>
            <w:tcBorders>
              <w:top w:val="nil"/>
              <w:left w:val="single" w:sz="4" w:space="0" w:color="auto"/>
              <w:bottom w:val="nil"/>
              <w:right w:val="nil"/>
            </w:tcBorders>
            <w:shd w:val="clear" w:color="auto" w:fill="D9E2F3"/>
            <w:vAlign w:val="center"/>
          </w:tcPr>
          <w:p w14:paraId="064158E9"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65</w:t>
            </w:r>
          </w:p>
        </w:tc>
        <w:tc>
          <w:tcPr>
            <w:tcW w:w="0" w:type="auto"/>
            <w:tcBorders>
              <w:top w:val="nil"/>
              <w:left w:val="nil"/>
              <w:bottom w:val="nil"/>
              <w:right w:val="nil"/>
            </w:tcBorders>
            <w:shd w:val="clear" w:color="auto" w:fill="D9E2F3"/>
            <w:vAlign w:val="center"/>
          </w:tcPr>
          <w:p w14:paraId="13FC9BF8"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14.61</w:t>
            </w:r>
          </w:p>
        </w:tc>
      </w:tr>
      <w:tr w:rsidR="00EE7F56" w:rsidRPr="00EE7F56" w14:paraId="0EC96909" w14:textId="77777777" w:rsidTr="00927269">
        <w:trPr>
          <w:trHeight w:val="278"/>
          <w:jc w:val="center"/>
        </w:trPr>
        <w:tc>
          <w:tcPr>
            <w:tcW w:w="0" w:type="auto"/>
            <w:tcBorders>
              <w:top w:val="nil"/>
              <w:left w:val="nil"/>
              <w:bottom w:val="nil"/>
              <w:right w:val="nil"/>
            </w:tcBorders>
            <w:shd w:val="clear" w:color="auto" w:fill="D9E2F3"/>
            <w:vAlign w:val="center"/>
          </w:tcPr>
          <w:p w14:paraId="379091B0"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w:t>
            </w:r>
          </w:p>
        </w:tc>
        <w:tc>
          <w:tcPr>
            <w:tcW w:w="0" w:type="auto"/>
            <w:tcBorders>
              <w:top w:val="nil"/>
              <w:left w:val="nil"/>
              <w:bottom w:val="nil"/>
              <w:right w:val="single" w:sz="4" w:space="0" w:color="auto"/>
            </w:tcBorders>
            <w:shd w:val="clear" w:color="auto" w:fill="D9E2F3"/>
            <w:vAlign w:val="center"/>
          </w:tcPr>
          <w:p w14:paraId="4031D206"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16.205</w:t>
            </w:r>
          </w:p>
        </w:tc>
        <w:tc>
          <w:tcPr>
            <w:tcW w:w="0" w:type="auto"/>
            <w:tcBorders>
              <w:top w:val="nil"/>
              <w:left w:val="single" w:sz="4" w:space="0" w:color="auto"/>
              <w:bottom w:val="nil"/>
              <w:right w:val="nil"/>
            </w:tcBorders>
            <w:shd w:val="clear" w:color="auto" w:fill="D9E2F3"/>
            <w:vAlign w:val="center"/>
          </w:tcPr>
          <w:p w14:paraId="5252F5CA"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26</w:t>
            </w:r>
          </w:p>
        </w:tc>
        <w:tc>
          <w:tcPr>
            <w:tcW w:w="0" w:type="auto"/>
            <w:tcBorders>
              <w:top w:val="nil"/>
              <w:left w:val="nil"/>
              <w:bottom w:val="nil"/>
              <w:right w:val="single" w:sz="4" w:space="0" w:color="auto"/>
            </w:tcBorders>
            <w:shd w:val="clear" w:color="auto" w:fill="D9E2F3"/>
            <w:vAlign w:val="center"/>
          </w:tcPr>
          <w:p w14:paraId="53AC166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11.374</w:t>
            </w:r>
          </w:p>
        </w:tc>
        <w:tc>
          <w:tcPr>
            <w:tcW w:w="0" w:type="auto"/>
            <w:tcBorders>
              <w:top w:val="nil"/>
              <w:left w:val="single" w:sz="4" w:space="0" w:color="auto"/>
              <w:bottom w:val="nil"/>
              <w:right w:val="nil"/>
            </w:tcBorders>
            <w:shd w:val="clear" w:color="auto" w:fill="auto"/>
            <w:vAlign w:val="center"/>
          </w:tcPr>
          <w:p w14:paraId="0BE46D53"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46</w:t>
            </w:r>
          </w:p>
        </w:tc>
        <w:tc>
          <w:tcPr>
            <w:tcW w:w="0" w:type="auto"/>
            <w:tcBorders>
              <w:top w:val="nil"/>
              <w:left w:val="nil"/>
              <w:bottom w:val="nil"/>
              <w:right w:val="single" w:sz="4" w:space="0" w:color="auto"/>
            </w:tcBorders>
            <w:shd w:val="clear" w:color="auto" w:fill="auto"/>
            <w:vAlign w:val="center"/>
          </w:tcPr>
          <w:p w14:paraId="5542BEF3"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6.478</w:t>
            </w:r>
          </w:p>
        </w:tc>
        <w:tc>
          <w:tcPr>
            <w:tcW w:w="0" w:type="auto"/>
            <w:tcBorders>
              <w:top w:val="nil"/>
              <w:left w:val="single" w:sz="4" w:space="0" w:color="auto"/>
              <w:bottom w:val="nil"/>
              <w:right w:val="nil"/>
            </w:tcBorders>
            <w:shd w:val="clear" w:color="auto" w:fill="D9E2F3"/>
            <w:vAlign w:val="center"/>
          </w:tcPr>
          <w:p w14:paraId="7CA45A26"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66</w:t>
            </w:r>
          </w:p>
        </w:tc>
        <w:tc>
          <w:tcPr>
            <w:tcW w:w="0" w:type="auto"/>
            <w:tcBorders>
              <w:top w:val="nil"/>
              <w:left w:val="nil"/>
              <w:bottom w:val="nil"/>
              <w:right w:val="nil"/>
            </w:tcBorders>
            <w:shd w:val="clear" w:color="auto" w:fill="D9E2F3"/>
            <w:vAlign w:val="center"/>
          </w:tcPr>
          <w:p w14:paraId="482356E5"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14.373</w:t>
            </w:r>
          </w:p>
        </w:tc>
      </w:tr>
      <w:tr w:rsidR="00EE7F56" w:rsidRPr="00EE7F56" w14:paraId="14CC34F4" w14:textId="77777777" w:rsidTr="00927269">
        <w:trPr>
          <w:trHeight w:val="278"/>
          <w:jc w:val="center"/>
        </w:trPr>
        <w:tc>
          <w:tcPr>
            <w:tcW w:w="0" w:type="auto"/>
            <w:tcBorders>
              <w:top w:val="nil"/>
              <w:left w:val="nil"/>
              <w:bottom w:val="nil"/>
              <w:right w:val="nil"/>
            </w:tcBorders>
            <w:shd w:val="clear" w:color="auto" w:fill="auto"/>
            <w:vAlign w:val="center"/>
          </w:tcPr>
          <w:p w14:paraId="5FCF2994"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w:t>
            </w:r>
          </w:p>
        </w:tc>
        <w:tc>
          <w:tcPr>
            <w:tcW w:w="0" w:type="auto"/>
            <w:tcBorders>
              <w:top w:val="nil"/>
              <w:left w:val="nil"/>
              <w:bottom w:val="nil"/>
              <w:right w:val="single" w:sz="4" w:space="0" w:color="auto"/>
            </w:tcBorders>
            <w:shd w:val="clear" w:color="auto" w:fill="auto"/>
            <w:vAlign w:val="center"/>
          </w:tcPr>
          <w:p w14:paraId="297AEC2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9.938</w:t>
            </w:r>
          </w:p>
        </w:tc>
        <w:tc>
          <w:tcPr>
            <w:tcW w:w="0" w:type="auto"/>
            <w:tcBorders>
              <w:top w:val="nil"/>
              <w:left w:val="single" w:sz="4" w:space="0" w:color="auto"/>
              <w:bottom w:val="nil"/>
              <w:right w:val="nil"/>
            </w:tcBorders>
            <w:shd w:val="clear" w:color="auto" w:fill="D9E2F3"/>
            <w:vAlign w:val="center"/>
          </w:tcPr>
          <w:p w14:paraId="6BC288C1"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27</w:t>
            </w:r>
          </w:p>
        </w:tc>
        <w:tc>
          <w:tcPr>
            <w:tcW w:w="0" w:type="auto"/>
            <w:tcBorders>
              <w:top w:val="nil"/>
              <w:left w:val="nil"/>
              <w:bottom w:val="nil"/>
              <w:right w:val="single" w:sz="4" w:space="0" w:color="auto"/>
            </w:tcBorders>
            <w:shd w:val="clear" w:color="auto" w:fill="D9E2F3"/>
            <w:vAlign w:val="center"/>
          </w:tcPr>
          <w:p w14:paraId="2105463B"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27.887</w:t>
            </w:r>
          </w:p>
        </w:tc>
        <w:tc>
          <w:tcPr>
            <w:tcW w:w="0" w:type="auto"/>
            <w:tcBorders>
              <w:top w:val="nil"/>
              <w:left w:val="single" w:sz="4" w:space="0" w:color="auto"/>
              <w:bottom w:val="nil"/>
              <w:right w:val="nil"/>
            </w:tcBorders>
            <w:shd w:val="clear" w:color="auto" w:fill="D9E2F3"/>
            <w:vAlign w:val="center"/>
          </w:tcPr>
          <w:p w14:paraId="6264117C"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47</w:t>
            </w:r>
          </w:p>
        </w:tc>
        <w:tc>
          <w:tcPr>
            <w:tcW w:w="0" w:type="auto"/>
            <w:tcBorders>
              <w:top w:val="nil"/>
              <w:left w:val="nil"/>
              <w:bottom w:val="nil"/>
              <w:right w:val="single" w:sz="4" w:space="0" w:color="auto"/>
            </w:tcBorders>
            <w:shd w:val="clear" w:color="auto" w:fill="D9E2F3"/>
            <w:vAlign w:val="center"/>
          </w:tcPr>
          <w:p w14:paraId="33FFA9E6"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17.193</w:t>
            </w:r>
          </w:p>
        </w:tc>
        <w:tc>
          <w:tcPr>
            <w:tcW w:w="0" w:type="auto"/>
            <w:tcBorders>
              <w:top w:val="nil"/>
              <w:left w:val="single" w:sz="4" w:space="0" w:color="auto"/>
              <w:bottom w:val="nil"/>
              <w:right w:val="nil"/>
            </w:tcBorders>
            <w:shd w:val="clear" w:color="auto" w:fill="auto"/>
            <w:vAlign w:val="center"/>
          </w:tcPr>
          <w:p w14:paraId="7225ACF3"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67</w:t>
            </w:r>
          </w:p>
        </w:tc>
        <w:tc>
          <w:tcPr>
            <w:tcW w:w="0" w:type="auto"/>
            <w:tcBorders>
              <w:top w:val="nil"/>
              <w:left w:val="nil"/>
              <w:bottom w:val="nil"/>
              <w:right w:val="nil"/>
            </w:tcBorders>
            <w:shd w:val="clear" w:color="auto" w:fill="auto"/>
            <w:vAlign w:val="center"/>
          </w:tcPr>
          <w:p w14:paraId="2A68E2A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7.432</w:t>
            </w:r>
          </w:p>
        </w:tc>
      </w:tr>
      <w:tr w:rsidR="00EE7F56" w:rsidRPr="00EE7F56" w14:paraId="46529920" w14:textId="77777777" w:rsidTr="00927269">
        <w:trPr>
          <w:trHeight w:val="278"/>
          <w:jc w:val="center"/>
        </w:trPr>
        <w:tc>
          <w:tcPr>
            <w:tcW w:w="0" w:type="auto"/>
            <w:tcBorders>
              <w:top w:val="nil"/>
              <w:left w:val="nil"/>
              <w:bottom w:val="nil"/>
              <w:right w:val="nil"/>
            </w:tcBorders>
            <w:shd w:val="clear" w:color="auto" w:fill="auto"/>
            <w:vAlign w:val="center"/>
          </w:tcPr>
          <w:p w14:paraId="79183A05"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8</w:t>
            </w:r>
          </w:p>
        </w:tc>
        <w:tc>
          <w:tcPr>
            <w:tcW w:w="0" w:type="auto"/>
            <w:tcBorders>
              <w:top w:val="nil"/>
              <w:left w:val="nil"/>
              <w:bottom w:val="nil"/>
              <w:right w:val="single" w:sz="4" w:space="0" w:color="auto"/>
            </w:tcBorders>
            <w:shd w:val="clear" w:color="auto" w:fill="auto"/>
            <w:vAlign w:val="center"/>
          </w:tcPr>
          <w:p w14:paraId="3176D9AA"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7.013</w:t>
            </w:r>
          </w:p>
        </w:tc>
        <w:tc>
          <w:tcPr>
            <w:tcW w:w="0" w:type="auto"/>
            <w:tcBorders>
              <w:top w:val="nil"/>
              <w:left w:val="single" w:sz="4" w:space="0" w:color="auto"/>
              <w:bottom w:val="nil"/>
              <w:right w:val="nil"/>
            </w:tcBorders>
            <w:shd w:val="clear" w:color="auto" w:fill="D9E2F3"/>
            <w:vAlign w:val="center"/>
          </w:tcPr>
          <w:p w14:paraId="37890E5F"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28</w:t>
            </w:r>
          </w:p>
        </w:tc>
        <w:tc>
          <w:tcPr>
            <w:tcW w:w="0" w:type="auto"/>
            <w:tcBorders>
              <w:top w:val="nil"/>
              <w:left w:val="nil"/>
              <w:bottom w:val="nil"/>
              <w:right w:val="single" w:sz="4" w:space="0" w:color="auto"/>
            </w:tcBorders>
            <w:shd w:val="clear" w:color="auto" w:fill="D9E2F3"/>
            <w:vAlign w:val="center"/>
          </w:tcPr>
          <w:p w14:paraId="1FF9348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13.094</w:t>
            </w:r>
          </w:p>
        </w:tc>
        <w:tc>
          <w:tcPr>
            <w:tcW w:w="0" w:type="auto"/>
            <w:tcBorders>
              <w:top w:val="nil"/>
              <w:left w:val="single" w:sz="4" w:space="0" w:color="auto"/>
              <w:bottom w:val="nil"/>
              <w:right w:val="nil"/>
            </w:tcBorders>
            <w:shd w:val="clear" w:color="auto" w:fill="D9E2F3"/>
            <w:vAlign w:val="center"/>
          </w:tcPr>
          <w:p w14:paraId="36609C46"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48</w:t>
            </w:r>
          </w:p>
        </w:tc>
        <w:tc>
          <w:tcPr>
            <w:tcW w:w="0" w:type="auto"/>
            <w:tcBorders>
              <w:top w:val="nil"/>
              <w:left w:val="nil"/>
              <w:bottom w:val="nil"/>
              <w:right w:val="single" w:sz="4" w:space="0" w:color="auto"/>
            </w:tcBorders>
            <w:shd w:val="clear" w:color="auto" w:fill="D9E2F3"/>
            <w:vAlign w:val="center"/>
          </w:tcPr>
          <w:p w14:paraId="3357E79F"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13.69</w:t>
            </w:r>
          </w:p>
        </w:tc>
        <w:tc>
          <w:tcPr>
            <w:tcW w:w="0" w:type="auto"/>
            <w:tcBorders>
              <w:top w:val="nil"/>
              <w:left w:val="single" w:sz="4" w:space="0" w:color="auto"/>
              <w:bottom w:val="nil"/>
              <w:right w:val="nil"/>
            </w:tcBorders>
            <w:shd w:val="clear" w:color="auto" w:fill="auto"/>
            <w:vAlign w:val="center"/>
          </w:tcPr>
          <w:p w14:paraId="4E5D8F75"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68</w:t>
            </w:r>
          </w:p>
        </w:tc>
        <w:tc>
          <w:tcPr>
            <w:tcW w:w="0" w:type="auto"/>
            <w:tcBorders>
              <w:top w:val="nil"/>
              <w:left w:val="nil"/>
              <w:bottom w:val="nil"/>
              <w:right w:val="nil"/>
            </w:tcBorders>
            <w:shd w:val="clear" w:color="auto" w:fill="auto"/>
            <w:vAlign w:val="center"/>
          </w:tcPr>
          <w:p w14:paraId="76556D64"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3.09</w:t>
            </w:r>
          </w:p>
        </w:tc>
      </w:tr>
      <w:tr w:rsidR="00EE7F56" w:rsidRPr="00EE7F56" w14:paraId="39A554B3" w14:textId="77777777" w:rsidTr="00927269">
        <w:trPr>
          <w:trHeight w:val="278"/>
          <w:jc w:val="center"/>
        </w:trPr>
        <w:tc>
          <w:tcPr>
            <w:tcW w:w="0" w:type="auto"/>
            <w:tcBorders>
              <w:top w:val="nil"/>
              <w:left w:val="nil"/>
              <w:bottom w:val="nil"/>
              <w:right w:val="nil"/>
            </w:tcBorders>
            <w:shd w:val="clear" w:color="auto" w:fill="auto"/>
            <w:vAlign w:val="center"/>
          </w:tcPr>
          <w:p w14:paraId="69C94DF1"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9</w:t>
            </w:r>
          </w:p>
        </w:tc>
        <w:tc>
          <w:tcPr>
            <w:tcW w:w="0" w:type="auto"/>
            <w:tcBorders>
              <w:top w:val="nil"/>
              <w:left w:val="nil"/>
              <w:bottom w:val="nil"/>
              <w:right w:val="single" w:sz="4" w:space="0" w:color="auto"/>
            </w:tcBorders>
            <w:shd w:val="clear" w:color="auto" w:fill="auto"/>
            <w:vAlign w:val="center"/>
          </w:tcPr>
          <w:p w14:paraId="6AC01746"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6.839</w:t>
            </w:r>
          </w:p>
        </w:tc>
        <w:tc>
          <w:tcPr>
            <w:tcW w:w="0" w:type="auto"/>
            <w:tcBorders>
              <w:top w:val="nil"/>
              <w:left w:val="single" w:sz="4" w:space="0" w:color="auto"/>
              <w:bottom w:val="nil"/>
              <w:right w:val="nil"/>
            </w:tcBorders>
            <w:shd w:val="clear" w:color="auto" w:fill="D9E2F3"/>
            <w:vAlign w:val="center"/>
          </w:tcPr>
          <w:p w14:paraId="6649DAE1"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29</w:t>
            </w:r>
          </w:p>
        </w:tc>
        <w:tc>
          <w:tcPr>
            <w:tcW w:w="0" w:type="auto"/>
            <w:tcBorders>
              <w:top w:val="nil"/>
              <w:left w:val="nil"/>
              <w:bottom w:val="nil"/>
              <w:right w:val="single" w:sz="4" w:space="0" w:color="auto"/>
            </w:tcBorders>
            <w:shd w:val="clear" w:color="auto" w:fill="D9E2F3"/>
            <w:vAlign w:val="center"/>
          </w:tcPr>
          <w:p w14:paraId="3A5ECCA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10.056</w:t>
            </w:r>
          </w:p>
        </w:tc>
        <w:tc>
          <w:tcPr>
            <w:tcW w:w="0" w:type="auto"/>
            <w:tcBorders>
              <w:top w:val="nil"/>
              <w:left w:val="single" w:sz="4" w:space="0" w:color="auto"/>
              <w:bottom w:val="nil"/>
              <w:right w:val="nil"/>
            </w:tcBorders>
            <w:shd w:val="clear" w:color="auto" w:fill="auto"/>
            <w:vAlign w:val="center"/>
          </w:tcPr>
          <w:p w14:paraId="61DDA6CA"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49</w:t>
            </w:r>
          </w:p>
        </w:tc>
        <w:tc>
          <w:tcPr>
            <w:tcW w:w="0" w:type="auto"/>
            <w:tcBorders>
              <w:top w:val="nil"/>
              <w:left w:val="nil"/>
              <w:bottom w:val="nil"/>
              <w:right w:val="single" w:sz="4" w:space="0" w:color="auto"/>
            </w:tcBorders>
            <w:shd w:val="clear" w:color="auto" w:fill="auto"/>
            <w:vAlign w:val="center"/>
          </w:tcPr>
          <w:p w14:paraId="0F546CDA"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7.218</w:t>
            </w:r>
          </w:p>
        </w:tc>
        <w:tc>
          <w:tcPr>
            <w:tcW w:w="0" w:type="auto"/>
            <w:tcBorders>
              <w:top w:val="nil"/>
              <w:left w:val="single" w:sz="4" w:space="0" w:color="auto"/>
              <w:bottom w:val="nil"/>
              <w:right w:val="nil"/>
            </w:tcBorders>
            <w:shd w:val="clear" w:color="auto" w:fill="D9E2F3"/>
            <w:vAlign w:val="center"/>
          </w:tcPr>
          <w:p w14:paraId="34E09607"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69</w:t>
            </w:r>
          </w:p>
        </w:tc>
        <w:tc>
          <w:tcPr>
            <w:tcW w:w="0" w:type="auto"/>
            <w:tcBorders>
              <w:top w:val="nil"/>
              <w:left w:val="nil"/>
              <w:bottom w:val="nil"/>
              <w:right w:val="nil"/>
            </w:tcBorders>
            <w:shd w:val="clear" w:color="auto" w:fill="D9E2F3"/>
            <w:vAlign w:val="center"/>
          </w:tcPr>
          <w:p w14:paraId="26E8522D"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16.44</w:t>
            </w:r>
          </w:p>
        </w:tc>
      </w:tr>
      <w:tr w:rsidR="00EE7F56" w:rsidRPr="00EE7F56" w14:paraId="6248A0F1" w14:textId="77777777" w:rsidTr="00927269">
        <w:trPr>
          <w:trHeight w:val="278"/>
          <w:jc w:val="center"/>
        </w:trPr>
        <w:tc>
          <w:tcPr>
            <w:tcW w:w="0" w:type="auto"/>
            <w:tcBorders>
              <w:top w:val="nil"/>
              <w:left w:val="nil"/>
              <w:bottom w:val="nil"/>
              <w:right w:val="nil"/>
            </w:tcBorders>
            <w:shd w:val="clear" w:color="auto" w:fill="D9E2F3"/>
            <w:vAlign w:val="center"/>
          </w:tcPr>
          <w:p w14:paraId="16AF3464"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10</w:t>
            </w:r>
          </w:p>
        </w:tc>
        <w:tc>
          <w:tcPr>
            <w:tcW w:w="0" w:type="auto"/>
            <w:tcBorders>
              <w:top w:val="nil"/>
              <w:left w:val="nil"/>
              <w:bottom w:val="nil"/>
              <w:right w:val="single" w:sz="4" w:space="0" w:color="auto"/>
            </w:tcBorders>
            <w:shd w:val="clear" w:color="auto" w:fill="D9E2F3"/>
            <w:vAlign w:val="center"/>
          </w:tcPr>
          <w:p w14:paraId="5A79A03E"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14.181</w:t>
            </w:r>
          </w:p>
        </w:tc>
        <w:tc>
          <w:tcPr>
            <w:tcW w:w="0" w:type="auto"/>
            <w:tcBorders>
              <w:top w:val="nil"/>
              <w:left w:val="single" w:sz="4" w:space="0" w:color="auto"/>
              <w:bottom w:val="nil"/>
              <w:right w:val="nil"/>
            </w:tcBorders>
            <w:shd w:val="clear" w:color="auto" w:fill="auto"/>
            <w:vAlign w:val="center"/>
          </w:tcPr>
          <w:p w14:paraId="0705420B"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30</w:t>
            </w:r>
          </w:p>
        </w:tc>
        <w:tc>
          <w:tcPr>
            <w:tcW w:w="0" w:type="auto"/>
            <w:tcBorders>
              <w:top w:val="nil"/>
              <w:left w:val="nil"/>
              <w:bottom w:val="nil"/>
              <w:right w:val="single" w:sz="4" w:space="0" w:color="auto"/>
            </w:tcBorders>
            <w:shd w:val="clear" w:color="auto" w:fill="auto"/>
            <w:vAlign w:val="center"/>
          </w:tcPr>
          <w:p w14:paraId="6FC3597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9.258</w:t>
            </w:r>
          </w:p>
        </w:tc>
        <w:tc>
          <w:tcPr>
            <w:tcW w:w="0" w:type="auto"/>
            <w:tcBorders>
              <w:top w:val="nil"/>
              <w:left w:val="single" w:sz="4" w:space="0" w:color="auto"/>
              <w:bottom w:val="nil"/>
              <w:right w:val="nil"/>
            </w:tcBorders>
            <w:shd w:val="clear" w:color="auto" w:fill="auto"/>
            <w:vAlign w:val="center"/>
          </w:tcPr>
          <w:p w14:paraId="344C1049"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50</w:t>
            </w:r>
          </w:p>
        </w:tc>
        <w:tc>
          <w:tcPr>
            <w:tcW w:w="0" w:type="auto"/>
            <w:tcBorders>
              <w:top w:val="nil"/>
              <w:left w:val="nil"/>
              <w:bottom w:val="nil"/>
              <w:right w:val="single" w:sz="4" w:space="0" w:color="auto"/>
            </w:tcBorders>
            <w:shd w:val="clear" w:color="auto" w:fill="auto"/>
            <w:vAlign w:val="center"/>
          </w:tcPr>
          <w:p w14:paraId="65198347"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5.299</w:t>
            </w:r>
          </w:p>
        </w:tc>
        <w:tc>
          <w:tcPr>
            <w:tcW w:w="0" w:type="auto"/>
            <w:tcBorders>
              <w:top w:val="nil"/>
              <w:left w:val="single" w:sz="4" w:space="0" w:color="auto"/>
              <w:bottom w:val="nil"/>
              <w:right w:val="nil"/>
            </w:tcBorders>
            <w:shd w:val="clear" w:color="auto" w:fill="auto"/>
            <w:vAlign w:val="center"/>
          </w:tcPr>
          <w:p w14:paraId="1ECE34EE"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70</w:t>
            </w:r>
          </w:p>
        </w:tc>
        <w:tc>
          <w:tcPr>
            <w:tcW w:w="0" w:type="auto"/>
            <w:tcBorders>
              <w:top w:val="nil"/>
              <w:left w:val="nil"/>
              <w:bottom w:val="nil"/>
              <w:right w:val="nil"/>
            </w:tcBorders>
            <w:shd w:val="clear" w:color="auto" w:fill="auto"/>
            <w:vAlign w:val="center"/>
          </w:tcPr>
          <w:p w14:paraId="67D144C8"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7.376</w:t>
            </w:r>
          </w:p>
        </w:tc>
      </w:tr>
      <w:tr w:rsidR="00EE7F56" w:rsidRPr="00EE7F56" w14:paraId="63995F27" w14:textId="77777777" w:rsidTr="00927269">
        <w:trPr>
          <w:trHeight w:val="278"/>
          <w:jc w:val="center"/>
        </w:trPr>
        <w:tc>
          <w:tcPr>
            <w:tcW w:w="0" w:type="auto"/>
            <w:tcBorders>
              <w:top w:val="nil"/>
              <w:left w:val="nil"/>
              <w:bottom w:val="nil"/>
              <w:right w:val="nil"/>
            </w:tcBorders>
            <w:shd w:val="clear" w:color="auto" w:fill="D9E2F3"/>
            <w:vAlign w:val="center"/>
          </w:tcPr>
          <w:p w14:paraId="17533A29"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11</w:t>
            </w:r>
          </w:p>
        </w:tc>
        <w:tc>
          <w:tcPr>
            <w:tcW w:w="0" w:type="auto"/>
            <w:tcBorders>
              <w:top w:val="nil"/>
              <w:left w:val="nil"/>
              <w:bottom w:val="nil"/>
              <w:right w:val="single" w:sz="4" w:space="0" w:color="auto"/>
            </w:tcBorders>
            <w:shd w:val="clear" w:color="auto" w:fill="D9E2F3"/>
            <w:vAlign w:val="center"/>
          </w:tcPr>
          <w:p w14:paraId="6EEAECF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16.978</w:t>
            </w:r>
          </w:p>
        </w:tc>
        <w:tc>
          <w:tcPr>
            <w:tcW w:w="0" w:type="auto"/>
            <w:tcBorders>
              <w:top w:val="nil"/>
              <w:left w:val="single" w:sz="4" w:space="0" w:color="auto"/>
              <w:bottom w:val="nil"/>
              <w:right w:val="nil"/>
            </w:tcBorders>
            <w:shd w:val="clear" w:color="auto" w:fill="auto"/>
            <w:vAlign w:val="center"/>
          </w:tcPr>
          <w:p w14:paraId="4592ABA8"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31</w:t>
            </w:r>
          </w:p>
        </w:tc>
        <w:tc>
          <w:tcPr>
            <w:tcW w:w="0" w:type="auto"/>
            <w:tcBorders>
              <w:top w:val="nil"/>
              <w:left w:val="nil"/>
              <w:bottom w:val="nil"/>
              <w:right w:val="single" w:sz="4" w:space="0" w:color="auto"/>
            </w:tcBorders>
            <w:shd w:val="clear" w:color="auto" w:fill="auto"/>
            <w:vAlign w:val="center"/>
          </w:tcPr>
          <w:p w14:paraId="26D02EB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15.263</w:t>
            </w:r>
          </w:p>
        </w:tc>
        <w:tc>
          <w:tcPr>
            <w:tcW w:w="0" w:type="auto"/>
            <w:tcBorders>
              <w:top w:val="nil"/>
              <w:left w:val="single" w:sz="4" w:space="0" w:color="auto"/>
              <w:bottom w:val="nil"/>
              <w:right w:val="nil"/>
            </w:tcBorders>
            <w:shd w:val="clear" w:color="auto" w:fill="auto"/>
            <w:vAlign w:val="center"/>
          </w:tcPr>
          <w:p w14:paraId="1B9CDE6D"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51</w:t>
            </w:r>
          </w:p>
        </w:tc>
        <w:tc>
          <w:tcPr>
            <w:tcW w:w="0" w:type="auto"/>
            <w:tcBorders>
              <w:top w:val="nil"/>
              <w:left w:val="nil"/>
              <w:bottom w:val="nil"/>
              <w:right w:val="single" w:sz="4" w:space="0" w:color="auto"/>
            </w:tcBorders>
            <w:shd w:val="clear" w:color="auto" w:fill="auto"/>
            <w:vAlign w:val="center"/>
          </w:tcPr>
          <w:p w14:paraId="6C0DBB0F"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5.914</w:t>
            </w:r>
          </w:p>
        </w:tc>
        <w:tc>
          <w:tcPr>
            <w:tcW w:w="0" w:type="auto"/>
            <w:tcBorders>
              <w:top w:val="nil"/>
              <w:left w:val="single" w:sz="4" w:space="0" w:color="auto"/>
              <w:bottom w:val="nil"/>
              <w:right w:val="nil"/>
            </w:tcBorders>
            <w:shd w:val="clear" w:color="auto" w:fill="D9E2F3"/>
            <w:vAlign w:val="center"/>
          </w:tcPr>
          <w:p w14:paraId="65CE28E1"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71</w:t>
            </w:r>
          </w:p>
        </w:tc>
        <w:tc>
          <w:tcPr>
            <w:tcW w:w="0" w:type="auto"/>
            <w:tcBorders>
              <w:top w:val="nil"/>
              <w:left w:val="nil"/>
              <w:bottom w:val="nil"/>
              <w:right w:val="nil"/>
            </w:tcBorders>
            <w:shd w:val="clear" w:color="auto" w:fill="D9E2F3"/>
            <w:vAlign w:val="center"/>
          </w:tcPr>
          <w:p w14:paraId="31033873"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28.392</w:t>
            </w:r>
          </w:p>
        </w:tc>
      </w:tr>
      <w:tr w:rsidR="00EE7F56" w:rsidRPr="00EE7F56" w14:paraId="7DFFD345" w14:textId="77777777" w:rsidTr="00927269">
        <w:trPr>
          <w:trHeight w:val="278"/>
          <w:jc w:val="center"/>
        </w:trPr>
        <w:tc>
          <w:tcPr>
            <w:tcW w:w="0" w:type="auto"/>
            <w:tcBorders>
              <w:top w:val="nil"/>
              <w:left w:val="nil"/>
              <w:bottom w:val="nil"/>
              <w:right w:val="nil"/>
            </w:tcBorders>
            <w:shd w:val="clear" w:color="auto" w:fill="auto"/>
            <w:vAlign w:val="center"/>
          </w:tcPr>
          <w:p w14:paraId="0DE45109"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12</w:t>
            </w:r>
          </w:p>
        </w:tc>
        <w:tc>
          <w:tcPr>
            <w:tcW w:w="0" w:type="auto"/>
            <w:tcBorders>
              <w:top w:val="nil"/>
              <w:left w:val="nil"/>
              <w:bottom w:val="nil"/>
              <w:right w:val="single" w:sz="4" w:space="0" w:color="auto"/>
            </w:tcBorders>
            <w:shd w:val="clear" w:color="auto" w:fill="auto"/>
            <w:vAlign w:val="center"/>
          </w:tcPr>
          <w:p w14:paraId="0B056F09"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7.462</w:t>
            </w:r>
          </w:p>
        </w:tc>
        <w:tc>
          <w:tcPr>
            <w:tcW w:w="0" w:type="auto"/>
            <w:tcBorders>
              <w:top w:val="nil"/>
              <w:left w:val="single" w:sz="4" w:space="0" w:color="auto"/>
              <w:bottom w:val="nil"/>
              <w:right w:val="nil"/>
            </w:tcBorders>
            <w:shd w:val="clear" w:color="auto" w:fill="auto"/>
            <w:vAlign w:val="center"/>
          </w:tcPr>
          <w:p w14:paraId="6A81588D"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32</w:t>
            </w:r>
          </w:p>
        </w:tc>
        <w:tc>
          <w:tcPr>
            <w:tcW w:w="0" w:type="auto"/>
            <w:tcBorders>
              <w:top w:val="nil"/>
              <w:left w:val="nil"/>
              <w:bottom w:val="nil"/>
              <w:right w:val="single" w:sz="4" w:space="0" w:color="auto"/>
            </w:tcBorders>
            <w:shd w:val="clear" w:color="auto" w:fill="auto"/>
            <w:vAlign w:val="center"/>
          </w:tcPr>
          <w:p w14:paraId="7F2F007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17.181</w:t>
            </w:r>
          </w:p>
        </w:tc>
        <w:tc>
          <w:tcPr>
            <w:tcW w:w="0" w:type="auto"/>
            <w:tcBorders>
              <w:top w:val="nil"/>
              <w:left w:val="single" w:sz="4" w:space="0" w:color="auto"/>
              <w:bottom w:val="nil"/>
              <w:right w:val="nil"/>
            </w:tcBorders>
            <w:shd w:val="clear" w:color="auto" w:fill="auto"/>
            <w:vAlign w:val="center"/>
          </w:tcPr>
          <w:p w14:paraId="49320756"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52</w:t>
            </w:r>
          </w:p>
        </w:tc>
        <w:tc>
          <w:tcPr>
            <w:tcW w:w="0" w:type="auto"/>
            <w:tcBorders>
              <w:top w:val="nil"/>
              <w:left w:val="nil"/>
              <w:bottom w:val="nil"/>
              <w:right w:val="single" w:sz="4" w:space="0" w:color="auto"/>
            </w:tcBorders>
            <w:shd w:val="clear" w:color="auto" w:fill="auto"/>
            <w:vAlign w:val="center"/>
          </w:tcPr>
          <w:p w14:paraId="1F503EF1"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7.653</w:t>
            </w:r>
          </w:p>
        </w:tc>
        <w:tc>
          <w:tcPr>
            <w:tcW w:w="0" w:type="auto"/>
            <w:tcBorders>
              <w:top w:val="nil"/>
              <w:left w:val="single" w:sz="4" w:space="0" w:color="auto"/>
              <w:bottom w:val="nil"/>
              <w:right w:val="nil"/>
            </w:tcBorders>
            <w:shd w:val="clear" w:color="auto" w:fill="auto"/>
            <w:vAlign w:val="center"/>
          </w:tcPr>
          <w:p w14:paraId="648B6F14"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72</w:t>
            </w:r>
          </w:p>
        </w:tc>
        <w:tc>
          <w:tcPr>
            <w:tcW w:w="0" w:type="auto"/>
            <w:tcBorders>
              <w:top w:val="nil"/>
              <w:left w:val="nil"/>
              <w:bottom w:val="nil"/>
              <w:right w:val="nil"/>
            </w:tcBorders>
            <w:shd w:val="clear" w:color="auto" w:fill="auto"/>
            <w:vAlign w:val="center"/>
          </w:tcPr>
          <w:p w14:paraId="54312FB3"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8.503</w:t>
            </w:r>
          </w:p>
        </w:tc>
      </w:tr>
      <w:tr w:rsidR="00EE7F56" w:rsidRPr="00EE7F56" w14:paraId="3A053780" w14:textId="77777777" w:rsidTr="00927269">
        <w:trPr>
          <w:trHeight w:val="278"/>
          <w:jc w:val="center"/>
        </w:trPr>
        <w:tc>
          <w:tcPr>
            <w:tcW w:w="0" w:type="auto"/>
            <w:tcBorders>
              <w:top w:val="nil"/>
              <w:left w:val="nil"/>
              <w:bottom w:val="nil"/>
              <w:right w:val="nil"/>
            </w:tcBorders>
            <w:shd w:val="clear" w:color="auto" w:fill="D9E2F3"/>
            <w:vAlign w:val="center"/>
          </w:tcPr>
          <w:p w14:paraId="5A58F7D3"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13</w:t>
            </w:r>
          </w:p>
        </w:tc>
        <w:tc>
          <w:tcPr>
            <w:tcW w:w="0" w:type="auto"/>
            <w:tcBorders>
              <w:top w:val="nil"/>
              <w:left w:val="nil"/>
              <w:bottom w:val="nil"/>
              <w:right w:val="single" w:sz="4" w:space="0" w:color="auto"/>
            </w:tcBorders>
            <w:shd w:val="clear" w:color="auto" w:fill="D9E2F3"/>
            <w:vAlign w:val="center"/>
          </w:tcPr>
          <w:p w14:paraId="222839F0"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12.226</w:t>
            </w:r>
          </w:p>
        </w:tc>
        <w:tc>
          <w:tcPr>
            <w:tcW w:w="0" w:type="auto"/>
            <w:tcBorders>
              <w:top w:val="nil"/>
              <w:left w:val="single" w:sz="4" w:space="0" w:color="auto"/>
              <w:bottom w:val="nil"/>
              <w:right w:val="nil"/>
            </w:tcBorders>
            <w:shd w:val="clear" w:color="auto" w:fill="auto"/>
            <w:vAlign w:val="center"/>
          </w:tcPr>
          <w:p w14:paraId="7C436F52"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33</w:t>
            </w:r>
          </w:p>
        </w:tc>
        <w:tc>
          <w:tcPr>
            <w:tcW w:w="0" w:type="auto"/>
            <w:tcBorders>
              <w:top w:val="nil"/>
              <w:left w:val="nil"/>
              <w:bottom w:val="nil"/>
              <w:right w:val="single" w:sz="4" w:space="0" w:color="auto"/>
            </w:tcBorders>
            <w:shd w:val="clear" w:color="auto" w:fill="auto"/>
            <w:vAlign w:val="center"/>
          </w:tcPr>
          <w:p w14:paraId="4212936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6.564</w:t>
            </w:r>
          </w:p>
        </w:tc>
        <w:tc>
          <w:tcPr>
            <w:tcW w:w="0" w:type="auto"/>
            <w:tcBorders>
              <w:top w:val="nil"/>
              <w:left w:val="single" w:sz="4" w:space="0" w:color="auto"/>
              <w:bottom w:val="nil"/>
              <w:right w:val="nil"/>
            </w:tcBorders>
            <w:shd w:val="clear" w:color="auto" w:fill="D9E2F3"/>
            <w:vAlign w:val="center"/>
          </w:tcPr>
          <w:p w14:paraId="5DAD9E93"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53</w:t>
            </w:r>
          </w:p>
        </w:tc>
        <w:tc>
          <w:tcPr>
            <w:tcW w:w="0" w:type="auto"/>
            <w:tcBorders>
              <w:top w:val="nil"/>
              <w:left w:val="nil"/>
              <w:bottom w:val="nil"/>
              <w:right w:val="single" w:sz="4" w:space="0" w:color="auto"/>
            </w:tcBorders>
            <w:shd w:val="clear" w:color="auto" w:fill="D9E2F3"/>
            <w:vAlign w:val="center"/>
          </w:tcPr>
          <w:p w14:paraId="68A9442B"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25.502</w:t>
            </w:r>
          </w:p>
        </w:tc>
        <w:tc>
          <w:tcPr>
            <w:tcW w:w="0" w:type="auto"/>
            <w:tcBorders>
              <w:top w:val="nil"/>
              <w:left w:val="single" w:sz="4" w:space="0" w:color="auto"/>
              <w:bottom w:val="nil"/>
              <w:right w:val="nil"/>
            </w:tcBorders>
            <w:shd w:val="clear" w:color="auto" w:fill="D9E2F3"/>
            <w:vAlign w:val="center"/>
          </w:tcPr>
          <w:p w14:paraId="40A90C7F"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73</w:t>
            </w:r>
          </w:p>
        </w:tc>
        <w:tc>
          <w:tcPr>
            <w:tcW w:w="0" w:type="auto"/>
            <w:tcBorders>
              <w:top w:val="nil"/>
              <w:left w:val="nil"/>
              <w:bottom w:val="nil"/>
              <w:right w:val="nil"/>
            </w:tcBorders>
            <w:shd w:val="clear" w:color="auto" w:fill="D9E2F3"/>
            <w:vAlign w:val="center"/>
          </w:tcPr>
          <w:p w14:paraId="30514D0A"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19.505</w:t>
            </w:r>
          </w:p>
        </w:tc>
      </w:tr>
      <w:tr w:rsidR="00EE7F56" w:rsidRPr="00EE7F56" w14:paraId="109FA6C5" w14:textId="77777777" w:rsidTr="00927269">
        <w:trPr>
          <w:trHeight w:val="278"/>
          <w:jc w:val="center"/>
        </w:trPr>
        <w:tc>
          <w:tcPr>
            <w:tcW w:w="0" w:type="auto"/>
            <w:tcBorders>
              <w:top w:val="nil"/>
              <w:left w:val="nil"/>
              <w:bottom w:val="nil"/>
              <w:right w:val="nil"/>
            </w:tcBorders>
            <w:shd w:val="clear" w:color="auto" w:fill="D9E2F3"/>
            <w:vAlign w:val="center"/>
          </w:tcPr>
          <w:p w14:paraId="752EEC2F"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14</w:t>
            </w:r>
          </w:p>
        </w:tc>
        <w:tc>
          <w:tcPr>
            <w:tcW w:w="0" w:type="auto"/>
            <w:tcBorders>
              <w:top w:val="nil"/>
              <w:left w:val="nil"/>
              <w:bottom w:val="nil"/>
              <w:right w:val="single" w:sz="4" w:space="0" w:color="auto"/>
            </w:tcBorders>
            <w:shd w:val="clear" w:color="auto" w:fill="D9E2F3"/>
            <w:vAlign w:val="center"/>
          </w:tcPr>
          <w:p w14:paraId="2427BA3E"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14.305</w:t>
            </w:r>
          </w:p>
        </w:tc>
        <w:tc>
          <w:tcPr>
            <w:tcW w:w="0" w:type="auto"/>
            <w:tcBorders>
              <w:top w:val="nil"/>
              <w:left w:val="single" w:sz="4" w:space="0" w:color="auto"/>
              <w:bottom w:val="nil"/>
              <w:right w:val="nil"/>
            </w:tcBorders>
            <w:shd w:val="clear" w:color="auto" w:fill="D9E2F3"/>
            <w:vAlign w:val="center"/>
          </w:tcPr>
          <w:p w14:paraId="2320970B"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34</w:t>
            </w:r>
          </w:p>
        </w:tc>
        <w:tc>
          <w:tcPr>
            <w:tcW w:w="0" w:type="auto"/>
            <w:tcBorders>
              <w:top w:val="nil"/>
              <w:left w:val="nil"/>
              <w:bottom w:val="nil"/>
              <w:right w:val="single" w:sz="4" w:space="0" w:color="auto"/>
            </w:tcBorders>
            <w:shd w:val="clear" w:color="auto" w:fill="D9E2F3"/>
            <w:vAlign w:val="center"/>
          </w:tcPr>
          <w:p w14:paraId="344F558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10.414</w:t>
            </w:r>
          </w:p>
        </w:tc>
        <w:tc>
          <w:tcPr>
            <w:tcW w:w="0" w:type="auto"/>
            <w:tcBorders>
              <w:top w:val="nil"/>
              <w:left w:val="single" w:sz="4" w:space="0" w:color="auto"/>
              <w:bottom w:val="nil"/>
              <w:right w:val="nil"/>
            </w:tcBorders>
            <w:shd w:val="clear" w:color="auto" w:fill="auto"/>
            <w:vAlign w:val="center"/>
          </w:tcPr>
          <w:p w14:paraId="62907E98"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54</w:t>
            </w:r>
          </w:p>
        </w:tc>
        <w:tc>
          <w:tcPr>
            <w:tcW w:w="0" w:type="auto"/>
            <w:tcBorders>
              <w:top w:val="nil"/>
              <w:left w:val="nil"/>
              <w:bottom w:val="nil"/>
              <w:right w:val="single" w:sz="4" w:space="0" w:color="auto"/>
            </w:tcBorders>
            <w:shd w:val="clear" w:color="auto" w:fill="auto"/>
            <w:vAlign w:val="center"/>
          </w:tcPr>
          <w:p w14:paraId="5C557EA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9.355</w:t>
            </w:r>
          </w:p>
        </w:tc>
        <w:tc>
          <w:tcPr>
            <w:tcW w:w="0" w:type="auto"/>
            <w:tcBorders>
              <w:top w:val="nil"/>
              <w:left w:val="single" w:sz="4" w:space="0" w:color="auto"/>
              <w:bottom w:val="nil"/>
              <w:right w:val="nil"/>
            </w:tcBorders>
            <w:shd w:val="clear" w:color="auto" w:fill="D9E2F3"/>
            <w:vAlign w:val="center"/>
          </w:tcPr>
          <w:p w14:paraId="56E8F362"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74</w:t>
            </w:r>
          </w:p>
        </w:tc>
        <w:tc>
          <w:tcPr>
            <w:tcW w:w="0" w:type="auto"/>
            <w:tcBorders>
              <w:top w:val="nil"/>
              <w:left w:val="nil"/>
              <w:bottom w:val="nil"/>
              <w:right w:val="nil"/>
            </w:tcBorders>
            <w:shd w:val="clear" w:color="auto" w:fill="D9E2F3"/>
            <w:vAlign w:val="center"/>
          </w:tcPr>
          <w:p w14:paraId="41CDD636"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11.787</w:t>
            </w:r>
          </w:p>
        </w:tc>
      </w:tr>
      <w:tr w:rsidR="00EE7F56" w:rsidRPr="00EE7F56" w14:paraId="584046D2" w14:textId="77777777" w:rsidTr="00927269">
        <w:trPr>
          <w:trHeight w:val="278"/>
          <w:jc w:val="center"/>
        </w:trPr>
        <w:tc>
          <w:tcPr>
            <w:tcW w:w="0" w:type="auto"/>
            <w:tcBorders>
              <w:top w:val="nil"/>
              <w:left w:val="nil"/>
              <w:bottom w:val="nil"/>
              <w:right w:val="nil"/>
            </w:tcBorders>
            <w:shd w:val="clear" w:color="auto" w:fill="D9E2F3"/>
            <w:vAlign w:val="center"/>
          </w:tcPr>
          <w:p w14:paraId="57CD7C2D"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15</w:t>
            </w:r>
          </w:p>
        </w:tc>
        <w:tc>
          <w:tcPr>
            <w:tcW w:w="0" w:type="auto"/>
            <w:tcBorders>
              <w:top w:val="nil"/>
              <w:left w:val="nil"/>
              <w:bottom w:val="nil"/>
              <w:right w:val="single" w:sz="4" w:space="0" w:color="auto"/>
            </w:tcBorders>
            <w:shd w:val="clear" w:color="auto" w:fill="D9E2F3"/>
            <w:vAlign w:val="center"/>
          </w:tcPr>
          <w:p w14:paraId="0121B56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14.763</w:t>
            </w:r>
          </w:p>
        </w:tc>
        <w:tc>
          <w:tcPr>
            <w:tcW w:w="0" w:type="auto"/>
            <w:tcBorders>
              <w:top w:val="nil"/>
              <w:left w:val="single" w:sz="4" w:space="0" w:color="auto"/>
              <w:bottom w:val="nil"/>
              <w:right w:val="nil"/>
            </w:tcBorders>
            <w:shd w:val="clear" w:color="auto" w:fill="auto"/>
            <w:vAlign w:val="center"/>
          </w:tcPr>
          <w:p w14:paraId="0539B95E"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35</w:t>
            </w:r>
          </w:p>
        </w:tc>
        <w:tc>
          <w:tcPr>
            <w:tcW w:w="0" w:type="auto"/>
            <w:tcBorders>
              <w:top w:val="nil"/>
              <w:left w:val="nil"/>
              <w:bottom w:val="nil"/>
              <w:right w:val="single" w:sz="4" w:space="0" w:color="auto"/>
            </w:tcBorders>
            <w:shd w:val="clear" w:color="auto" w:fill="auto"/>
            <w:vAlign w:val="center"/>
          </w:tcPr>
          <w:p w14:paraId="1289096B"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8.352</w:t>
            </w:r>
          </w:p>
        </w:tc>
        <w:tc>
          <w:tcPr>
            <w:tcW w:w="0" w:type="auto"/>
            <w:tcBorders>
              <w:top w:val="nil"/>
              <w:left w:val="single" w:sz="4" w:space="0" w:color="auto"/>
              <w:bottom w:val="nil"/>
              <w:right w:val="nil"/>
            </w:tcBorders>
            <w:shd w:val="clear" w:color="auto" w:fill="D9E2F3"/>
            <w:vAlign w:val="center"/>
          </w:tcPr>
          <w:p w14:paraId="2E3B0AAC"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55</w:t>
            </w:r>
          </w:p>
        </w:tc>
        <w:tc>
          <w:tcPr>
            <w:tcW w:w="0" w:type="auto"/>
            <w:tcBorders>
              <w:top w:val="nil"/>
              <w:left w:val="nil"/>
              <w:bottom w:val="nil"/>
              <w:right w:val="single" w:sz="4" w:space="0" w:color="auto"/>
            </w:tcBorders>
            <w:shd w:val="clear" w:color="auto" w:fill="D9E2F3"/>
            <w:vAlign w:val="center"/>
          </w:tcPr>
          <w:p w14:paraId="2A1536EB"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16.358</w:t>
            </w:r>
          </w:p>
        </w:tc>
        <w:tc>
          <w:tcPr>
            <w:tcW w:w="0" w:type="auto"/>
            <w:tcBorders>
              <w:top w:val="nil"/>
              <w:left w:val="single" w:sz="4" w:space="0" w:color="auto"/>
              <w:bottom w:val="nil"/>
              <w:right w:val="nil"/>
            </w:tcBorders>
            <w:shd w:val="clear" w:color="auto" w:fill="auto"/>
            <w:vAlign w:val="center"/>
          </w:tcPr>
          <w:p w14:paraId="0AE89789"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75</w:t>
            </w:r>
          </w:p>
        </w:tc>
        <w:tc>
          <w:tcPr>
            <w:tcW w:w="0" w:type="auto"/>
            <w:tcBorders>
              <w:top w:val="nil"/>
              <w:left w:val="nil"/>
              <w:bottom w:val="nil"/>
              <w:right w:val="nil"/>
            </w:tcBorders>
            <w:shd w:val="clear" w:color="auto" w:fill="auto"/>
            <w:vAlign w:val="center"/>
          </w:tcPr>
          <w:p w14:paraId="180A252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7.338</w:t>
            </w:r>
          </w:p>
        </w:tc>
      </w:tr>
      <w:tr w:rsidR="00EE7F56" w:rsidRPr="00EE7F56" w14:paraId="033C27A5" w14:textId="77777777" w:rsidTr="00927269">
        <w:trPr>
          <w:trHeight w:val="278"/>
          <w:jc w:val="center"/>
        </w:trPr>
        <w:tc>
          <w:tcPr>
            <w:tcW w:w="0" w:type="auto"/>
            <w:tcBorders>
              <w:top w:val="nil"/>
              <w:left w:val="nil"/>
              <w:bottom w:val="nil"/>
              <w:right w:val="nil"/>
            </w:tcBorders>
            <w:shd w:val="clear" w:color="auto" w:fill="D9E2F3"/>
            <w:vAlign w:val="center"/>
          </w:tcPr>
          <w:p w14:paraId="34E9D795"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16</w:t>
            </w:r>
          </w:p>
        </w:tc>
        <w:tc>
          <w:tcPr>
            <w:tcW w:w="0" w:type="auto"/>
            <w:tcBorders>
              <w:top w:val="nil"/>
              <w:left w:val="nil"/>
              <w:bottom w:val="nil"/>
              <w:right w:val="single" w:sz="4" w:space="0" w:color="auto"/>
            </w:tcBorders>
            <w:shd w:val="clear" w:color="auto" w:fill="D9E2F3"/>
            <w:vAlign w:val="center"/>
          </w:tcPr>
          <w:p w14:paraId="0A003B2F"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11.512</w:t>
            </w:r>
          </w:p>
        </w:tc>
        <w:tc>
          <w:tcPr>
            <w:tcW w:w="0" w:type="auto"/>
            <w:tcBorders>
              <w:top w:val="nil"/>
              <w:left w:val="single" w:sz="4" w:space="0" w:color="auto"/>
              <w:bottom w:val="nil"/>
              <w:right w:val="nil"/>
            </w:tcBorders>
            <w:shd w:val="clear" w:color="auto" w:fill="auto"/>
            <w:vAlign w:val="center"/>
          </w:tcPr>
          <w:p w14:paraId="45EB3B90"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36</w:t>
            </w:r>
          </w:p>
        </w:tc>
        <w:tc>
          <w:tcPr>
            <w:tcW w:w="0" w:type="auto"/>
            <w:tcBorders>
              <w:top w:val="nil"/>
              <w:left w:val="nil"/>
              <w:bottom w:val="nil"/>
              <w:right w:val="single" w:sz="4" w:space="0" w:color="auto"/>
            </w:tcBorders>
            <w:shd w:val="clear" w:color="auto" w:fill="auto"/>
            <w:vAlign w:val="center"/>
          </w:tcPr>
          <w:p w14:paraId="6C58D3B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7.679</w:t>
            </w:r>
          </w:p>
        </w:tc>
        <w:tc>
          <w:tcPr>
            <w:tcW w:w="0" w:type="auto"/>
            <w:tcBorders>
              <w:top w:val="nil"/>
              <w:left w:val="single" w:sz="4" w:space="0" w:color="auto"/>
              <w:bottom w:val="nil"/>
              <w:right w:val="nil"/>
            </w:tcBorders>
            <w:shd w:val="clear" w:color="auto" w:fill="auto"/>
            <w:vAlign w:val="center"/>
          </w:tcPr>
          <w:p w14:paraId="26BEC323"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56</w:t>
            </w:r>
          </w:p>
        </w:tc>
        <w:tc>
          <w:tcPr>
            <w:tcW w:w="0" w:type="auto"/>
            <w:tcBorders>
              <w:top w:val="nil"/>
              <w:left w:val="nil"/>
              <w:bottom w:val="nil"/>
              <w:right w:val="single" w:sz="4" w:space="0" w:color="auto"/>
            </w:tcBorders>
            <w:shd w:val="clear" w:color="auto" w:fill="auto"/>
            <w:vAlign w:val="center"/>
          </w:tcPr>
          <w:p w14:paraId="7F50DD45"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4.226</w:t>
            </w:r>
          </w:p>
        </w:tc>
        <w:tc>
          <w:tcPr>
            <w:tcW w:w="0" w:type="auto"/>
            <w:tcBorders>
              <w:top w:val="nil"/>
              <w:left w:val="single" w:sz="4" w:space="0" w:color="auto"/>
              <w:bottom w:val="nil"/>
              <w:right w:val="nil"/>
            </w:tcBorders>
            <w:shd w:val="clear" w:color="auto" w:fill="auto"/>
            <w:vAlign w:val="center"/>
          </w:tcPr>
          <w:p w14:paraId="5C458BD0"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76</w:t>
            </w:r>
          </w:p>
        </w:tc>
        <w:tc>
          <w:tcPr>
            <w:tcW w:w="0" w:type="auto"/>
            <w:tcBorders>
              <w:top w:val="nil"/>
              <w:left w:val="nil"/>
              <w:bottom w:val="nil"/>
              <w:right w:val="nil"/>
            </w:tcBorders>
            <w:shd w:val="clear" w:color="auto" w:fill="auto"/>
            <w:vAlign w:val="center"/>
          </w:tcPr>
          <w:p w14:paraId="73118C31"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8.356</w:t>
            </w:r>
          </w:p>
        </w:tc>
      </w:tr>
      <w:tr w:rsidR="00EE7F56" w:rsidRPr="00EE7F56" w14:paraId="2520C1BD" w14:textId="77777777" w:rsidTr="00927269">
        <w:trPr>
          <w:trHeight w:val="278"/>
          <w:jc w:val="center"/>
        </w:trPr>
        <w:tc>
          <w:tcPr>
            <w:tcW w:w="0" w:type="auto"/>
            <w:tcBorders>
              <w:top w:val="nil"/>
              <w:left w:val="nil"/>
              <w:bottom w:val="nil"/>
              <w:right w:val="nil"/>
            </w:tcBorders>
            <w:shd w:val="clear" w:color="auto" w:fill="auto"/>
            <w:vAlign w:val="center"/>
          </w:tcPr>
          <w:p w14:paraId="35C99186"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17</w:t>
            </w:r>
          </w:p>
        </w:tc>
        <w:tc>
          <w:tcPr>
            <w:tcW w:w="0" w:type="auto"/>
            <w:tcBorders>
              <w:top w:val="nil"/>
              <w:left w:val="nil"/>
              <w:bottom w:val="nil"/>
              <w:right w:val="single" w:sz="4" w:space="0" w:color="auto"/>
            </w:tcBorders>
            <w:shd w:val="clear" w:color="auto" w:fill="auto"/>
            <w:vAlign w:val="center"/>
          </w:tcPr>
          <w:p w14:paraId="10E09E7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bCs/>
                <w:spacing w:val="2"/>
                <w:sz w:val="16"/>
                <w:szCs w:val="16"/>
              </w:rPr>
              <w:t>6.998</w:t>
            </w:r>
          </w:p>
        </w:tc>
        <w:tc>
          <w:tcPr>
            <w:tcW w:w="0" w:type="auto"/>
            <w:tcBorders>
              <w:top w:val="nil"/>
              <w:left w:val="single" w:sz="4" w:space="0" w:color="auto"/>
              <w:bottom w:val="nil"/>
              <w:right w:val="nil"/>
            </w:tcBorders>
            <w:shd w:val="clear" w:color="auto" w:fill="auto"/>
            <w:vAlign w:val="center"/>
          </w:tcPr>
          <w:p w14:paraId="142B40F3"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37</w:t>
            </w:r>
          </w:p>
        </w:tc>
        <w:tc>
          <w:tcPr>
            <w:tcW w:w="0" w:type="auto"/>
            <w:tcBorders>
              <w:top w:val="nil"/>
              <w:left w:val="nil"/>
              <w:bottom w:val="nil"/>
              <w:right w:val="single" w:sz="4" w:space="0" w:color="auto"/>
            </w:tcBorders>
            <w:shd w:val="clear" w:color="auto" w:fill="auto"/>
            <w:vAlign w:val="center"/>
          </w:tcPr>
          <w:p w14:paraId="5A67735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9.163</w:t>
            </w:r>
          </w:p>
        </w:tc>
        <w:tc>
          <w:tcPr>
            <w:tcW w:w="0" w:type="auto"/>
            <w:tcBorders>
              <w:top w:val="nil"/>
              <w:left w:val="single" w:sz="4" w:space="0" w:color="auto"/>
              <w:bottom w:val="nil"/>
              <w:right w:val="nil"/>
            </w:tcBorders>
            <w:shd w:val="clear" w:color="auto" w:fill="D9E2F3"/>
            <w:vAlign w:val="center"/>
          </w:tcPr>
          <w:p w14:paraId="4DC0618A"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57</w:t>
            </w:r>
          </w:p>
        </w:tc>
        <w:tc>
          <w:tcPr>
            <w:tcW w:w="0" w:type="auto"/>
            <w:tcBorders>
              <w:top w:val="nil"/>
              <w:left w:val="nil"/>
              <w:bottom w:val="nil"/>
              <w:right w:val="single" w:sz="4" w:space="0" w:color="auto"/>
            </w:tcBorders>
            <w:shd w:val="clear" w:color="auto" w:fill="D9E2F3"/>
            <w:vAlign w:val="center"/>
          </w:tcPr>
          <w:p w14:paraId="686AC6EB"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10.223</w:t>
            </w:r>
          </w:p>
        </w:tc>
        <w:tc>
          <w:tcPr>
            <w:tcW w:w="0" w:type="auto"/>
            <w:tcBorders>
              <w:top w:val="nil"/>
              <w:left w:val="single" w:sz="4" w:space="0" w:color="auto"/>
              <w:bottom w:val="nil"/>
              <w:right w:val="nil"/>
            </w:tcBorders>
            <w:shd w:val="clear" w:color="auto" w:fill="D9E2F3"/>
            <w:vAlign w:val="center"/>
          </w:tcPr>
          <w:p w14:paraId="635E12C4"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77</w:t>
            </w:r>
          </w:p>
        </w:tc>
        <w:tc>
          <w:tcPr>
            <w:tcW w:w="0" w:type="auto"/>
            <w:tcBorders>
              <w:top w:val="nil"/>
              <w:left w:val="nil"/>
              <w:bottom w:val="nil"/>
              <w:right w:val="nil"/>
            </w:tcBorders>
            <w:shd w:val="clear" w:color="auto" w:fill="D9E2F3"/>
            <w:vAlign w:val="center"/>
          </w:tcPr>
          <w:p w14:paraId="2B02CA8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14.127</w:t>
            </w:r>
          </w:p>
        </w:tc>
      </w:tr>
      <w:tr w:rsidR="00EE7F56" w:rsidRPr="00EE7F56" w14:paraId="1B7F801D" w14:textId="77777777" w:rsidTr="00927269">
        <w:trPr>
          <w:trHeight w:val="278"/>
          <w:jc w:val="center"/>
        </w:trPr>
        <w:tc>
          <w:tcPr>
            <w:tcW w:w="0" w:type="auto"/>
            <w:tcBorders>
              <w:top w:val="nil"/>
              <w:left w:val="nil"/>
              <w:bottom w:val="nil"/>
              <w:right w:val="nil"/>
            </w:tcBorders>
            <w:shd w:val="clear" w:color="auto" w:fill="D9E2F3"/>
            <w:vAlign w:val="center"/>
          </w:tcPr>
          <w:p w14:paraId="74B52C93"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18</w:t>
            </w:r>
          </w:p>
        </w:tc>
        <w:tc>
          <w:tcPr>
            <w:tcW w:w="0" w:type="auto"/>
            <w:tcBorders>
              <w:top w:val="nil"/>
              <w:left w:val="nil"/>
              <w:bottom w:val="nil"/>
              <w:right w:val="single" w:sz="4" w:space="0" w:color="auto"/>
            </w:tcBorders>
            <w:shd w:val="clear" w:color="auto" w:fill="D9E2F3"/>
            <w:vAlign w:val="center"/>
          </w:tcPr>
          <w:p w14:paraId="657BF71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10.450</w:t>
            </w:r>
          </w:p>
        </w:tc>
        <w:tc>
          <w:tcPr>
            <w:tcW w:w="0" w:type="auto"/>
            <w:tcBorders>
              <w:top w:val="nil"/>
              <w:left w:val="single" w:sz="4" w:space="0" w:color="auto"/>
              <w:bottom w:val="nil"/>
              <w:right w:val="nil"/>
            </w:tcBorders>
            <w:shd w:val="clear" w:color="auto" w:fill="D9E2F3"/>
            <w:vAlign w:val="center"/>
          </w:tcPr>
          <w:p w14:paraId="5FC31894"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38</w:t>
            </w:r>
          </w:p>
        </w:tc>
        <w:tc>
          <w:tcPr>
            <w:tcW w:w="0" w:type="auto"/>
            <w:tcBorders>
              <w:top w:val="nil"/>
              <w:left w:val="nil"/>
              <w:bottom w:val="nil"/>
              <w:right w:val="single" w:sz="4" w:space="0" w:color="auto"/>
            </w:tcBorders>
            <w:shd w:val="clear" w:color="auto" w:fill="D9E2F3"/>
            <w:vAlign w:val="center"/>
          </w:tcPr>
          <w:p w14:paraId="5A92BCD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27.727</w:t>
            </w:r>
          </w:p>
        </w:tc>
        <w:tc>
          <w:tcPr>
            <w:tcW w:w="0" w:type="auto"/>
            <w:tcBorders>
              <w:top w:val="nil"/>
              <w:left w:val="single" w:sz="4" w:space="0" w:color="auto"/>
              <w:bottom w:val="nil"/>
              <w:right w:val="nil"/>
            </w:tcBorders>
            <w:shd w:val="clear" w:color="auto" w:fill="auto"/>
            <w:vAlign w:val="center"/>
          </w:tcPr>
          <w:p w14:paraId="4A6313C4"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58</w:t>
            </w:r>
          </w:p>
        </w:tc>
        <w:tc>
          <w:tcPr>
            <w:tcW w:w="0" w:type="auto"/>
            <w:tcBorders>
              <w:top w:val="nil"/>
              <w:left w:val="nil"/>
              <w:bottom w:val="nil"/>
              <w:right w:val="single" w:sz="4" w:space="0" w:color="auto"/>
            </w:tcBorders>
            <w:shd w:val="clear" w:color="auto" w:fill="auto"/>
            <w:vAlign w:val="center"/>
          </w:tcPr>
          <w:p w14:paraId="55FA1E9E"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8.542</w:t>
            </w:r>
          </w:p>
        </w:tc>
        <w:tc>
          <w:tcPr>
            <w:tcW w:w="0" w:type="auto"/>
            <w:tcBorders>
              <w:top w:val="nil"/>
              <w:left w:val="single" w:sz="4" w:space="0" w:color="auto"/>
              <w:bottom w:val="nil"/>
              <w:right w:val="nil"/>
            </w:tcBorders>
            <w:shd w:val="clear" w:color="auto" w:fill="auto"/>
            <w:vAlign w:val="center"/>
          </w:tcPr>
          <w:p w14:paraId="77757A1F"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78</w:t>
            </w:r>
          </w:p>
        </w:tc>
        <w:tc>
          <w:tcPr>
            <w:tcW w:w="0" w:type="auto"/>
            <w:tcBorders>
              <w:top w:val="nil"/>
              <w:left w:val="nil"/>
              <w:bottom w:val="nil"/>
              <w:right w:val="nil"/>
            </w:tcBorders>
            <w:shd w:val="clear" w:color="auto" w:fill="auto"/>
            <w:vAlign w:val="center"/>
          </w:tcPr>
          <w:p w14:paraId="70DAF896"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8.75</w:t>
            </w:r>
          </w:p>
        </w:tc>
      </w:tr>
      <w:tr w:rsidR="00EE7F56" w:rsidRPr="00EE7F56" w14:paraId="2B17757D" w14:textId="77777777" w:rsidTr="00927269">
        <w:trPr>
          <w:trHeight w:val="278"/>
          <w:jc w:val="center"/>
        </w:trPr>
        <w:tc>
          <w:tcPr>
            <w:tcW w:w="0" w:type="auto"/>
            <w:tcBorders>
              <w:top w:val="nil"/>
              <w:left w:val="nil"/>
              <w:bottom w:val="nil"/>
              <w:right w:val="nil"/>
            </w:tcBorders>
            <w:shd w:val="clear" w:color="auto" w:fill="D9E2F3"/>
            <w:vAlign w:val="center"/>
          </w:tcPr>
          <w:p w14:paraId="0562A87D"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19</w:t>
            </w:r>
          </w:p>
        </w:tc>
        <w:tc>
          <w:tcPr>
            <w:tcW w:w="0" w:type="auto"/>
            <w:tcBorders>
              <w:top w:val="nil"/>
              <w:left w:val="nil"/>
              <w:bottom w:val="nil"/>
              <w:right w:val="single" w:sz="4" w:space="0" w:color="auto"/>
            </w:tcBorders>
            <w:shd w:val="clear" w:color="auto" w:fill="D9E2F3"/>
            <w:vAlign w:val="center"/>
          </w:tcPr>
          <w:p w14:paraId="34E66F9E"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20.840</w:t>
            </w:r>
          </w:p>
        </w:tc>
        <w:tc>
          <w:tcPr>
            <w:tcW w:w="0" w:type="auto"/>
            <w:tcBorders>
              <w:top w:val="nil"/>
              <w:left w:val="single" w:sz="4" w:space="0" w:color="auto"/>
              <w:bottom w:val="nil"/>
              <w:right w:val="nil"/>
            </w:tcBorders>
            <w:shd w:val="clear" w:color="auto" w:fill="auto"/>
            <w:vAlign w:val="center"/>
          </w:tcPr>
          <w:p w14:paraId="0754E0AF"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39</w:t>
            </w:r>
          </w:p>
        </w:tc>
        <w:tc>
          <w:tcPr>
            <w:tcW w:w="0" w:type="auto"/>
            <w:tcBorders>
              <w:top w:val="nil"/>
              <w:left w:val="nil"/>
              <w:bottom w:val="nil"/>
              <w:right w:val="single" w:sz="4" w:space="0" w:color="auto"/>
            </w:tcBorders>
            <w:shd w:val="clear" w:color="auto" w:fill="auto"/>
            <w:vAlign w:val="center"/>
          </w:tcPr>
          <w:p w14:paraId="5E3C5CB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9.931</w:t>
            </w:r>
          </w:p>
        </w:tc>
        <w:tc>
          <w:tcPr>
            <w:tcW w:w="0" w:type="auto"/>
            <w:tcBorders>
              <w:top w:val="nil"/>
              <w:left w:val="single" w:sz="4" w:space="0" w:color="auto"/>
              <w:bottom w:val="nil"/>
              <w:right w:val="nil"/>
            </w:tcBorders>
            <w:shd w:val="clear" w:color="auto" w:fill="auto"/>
            <w:vAlign w:val="center"/>
          </w:tcPr>
          <w:p w14:paraId="4CBD825D"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59</w:t>
            </w:r>
          </w:p>
        </w:tc>
        <w:tc>
          <w:tcPr>
            <w:tcW w:w="0" w:type="auto"/>
            <w:tcBorders>
              <w:top w:val="nil"/>
              <w:left w:val="nil"/>
              <w:bottom w:val="nil"/>
              <w:right w:val="single" w:sz="4" w:space="0" w:color="auto"/>
            </w:tcBorders>
            <w:shd w:val="clear" w:color="auto" w:fill="auto"/>
            <w:vAlign w:val="center"/>
          </w:tcPr>
          <w:p w14:paraId="1D3F183B"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7.49</w:t>
            </w:r>
          </w:p>
        </w:tc>
        <w:tc>
          <w:tcPr>
            <w:tcW w:w="0" w:type="auto"/>
            <w:tcBorders>
              <w:top w:val="nil"/>
              <w:left w:val="single" w:sz="4" w:space="0" w:color="auto"/>
              <w:bottom w:val="nil"/>
              <w:right w:val="nil"/>
            </w:tcBorders>
            <w:shd w:val="clear" w:color="auto" w:fill="auto"/>
            <w:vAlign w:val="center"/>
          </w:tcPr>
          <w:p w14:paraId="18915F3C"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79</w:t>
            </w:r>
          </w:p>
        </w:tc>
        <w:tc>
          <w:tcPr>
            <w:tcW w:w="0" w:type="auto"/>
            <w:tcBorders>
              <w:top w:val="nil"/>
              <w:left w:val="nil"/>
              <w:bottom w:val="nil"/>
              <w:right w:val="nil"/>
            </w:tcBorders>
            <w:shd w:val="clear" w:color="auto" w:fill="auto"/>
            <w:vAlign w:val="center"/>
          </w:tcPr>
          <w:p w14:paraId="1BFF456F"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7.949</w:t>
            </w:r>
          </w:p>
        </w:tc>
      </w:tr>
      <w:tr w:rsidR="00EE7F56" w:rsidRPr="00EE7F56" w14:paraId="3B6CCBF4" w14:textId="77777777" w:rsidTr="00927269">
        <w:trPr>
          <w:trHeight w:val="278"/>
          <w:jc w:val="center"/>
        </w:trPr>
        <w:tc>
          <w:tcPr>
            <w:tcW w:w="0" w:type="auto"/>
            <w:tcBorders>
              <w:top w:val="nil"/>
              <w:left w:val="nil"/>
              <w:bottom w:val="single" w:sz="12" w:space="0" w:color="auto"/>
              <w:right w:val="nil"/>
            </w:tcBorders>
            <w:shd w:val="clear" w:color="auto" w:fill="D9E2F3"/>
            <w:vAlign w:val="center"/>
          </w:tcPr>
          <w:p w14:paraId="3E02FECC"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20</w:t>
            </w:r>
          </w:p>
        </w:tc>
        <w:tc>
          <w:tcPr>
            <w:tcW w:w="0" w:type="auto"/>
            <w:tcBorders>
              <w:top w:val="nil"/>
              <w:left w:val="nil"/>
              <w:bottom w:val="single" w:sz="12" w:space="0" w:color="auto"/>
              <w:right w:val="single" w:sz="4" w:space="0" w:color="auto"/>
            </w:tcBorders>
            <w:shd w:val="clear" w:color="auto" w:fill="D9E2F3"/>
            <w:vAlign w:val="center"/>
          </w:tcPr>
          <w:p w14:paraId="13F5AF6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26.450</w:t>
            </w:r>
          </w:p>
        </w:tc>
        <w:tc>
          <w:tcPr>
            <w:tcW w:w="0" w:type="auto"/>
            <w:tcBorders>
              <w:top w:val="nil"/>
              <w:left w:val="single" w:sz="4" w:space="0" w:color="auto"/>
              <w:bottom w:val="single" w:sz="12" w:space="0" w:color="auto"/>
              <w:right w:val="nil"/>
            </w:tcBorders>
            <w:shd w:val="clear" w:color="auto" w:fill="D9E2F3"/>
            <w:vAlign w:val="center"/>
          </w:tcPr>
          <w:p w14:paraId="5356CD58" w14:textId="77777777" w:rsidR="00870696" w:rsidRPr="00EE7F56" w:rsidRDefault="00870696" w:rsidP="00927269">
            <w:pPr>
              <w:jc w:val="center"/>
              <w:rPr>
                <w:rFonts w:ascii="Times New Roman" w:eastAsia="宋体" w:hAnsi="Times New Roman" w:cs="Times New Roman"/>
                <w:bCs/>
                <w:spacing w:val="2"/>
                <w:sz w:val="16"/>
                <w:szCs w:val="16"/>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40</w:t>
            </w:r>
          </w:p>
        </w:tc>
        <w:tc>
          <w:tcPr>
            <w:tcW w:w="0" w:type="auto"/>
            <w:tcBorders>
              <w:top w:val="nil"/>
              <w:left w:val="nil"/>
              <w:bottom w:val="single" w:sz="12" w:space="0" w:color="auto"/>
              <w:right w:val="single" w:sz="4" w:space="0" w:color="auto"/>
            </w:tcBorders>
            <w:shd w:val="clear" w:color="auto" w:fill="D9E2F3"/>
            <w:vAlign w:val="center"/>
          </w:tcPr>
          <w:p w14:paraId="44109B6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18.335</w:t>
            </w:r>
          </w:p>
        </w:tc>
        <w:tc>
          <w:tcPr>
            <w:tcW w:w="0" w:type="auto"/>
            <w:tcBorders>
              <w:top w:val="nil"/>
              <w:left w:val="single" w:sz="4" w:space="0" w:color="auto"/>
              <w:bottom w:val="single" w:sz="12" w:space="0" w:color="auto"/>
              <w:right w:val="nil"/>
            </w:tcBorders>
            <w:shd w:val="clear" w:color="auto" w:fill="D9E2F3"/>
            <w:vAlign w:val="center"/>
          </w:tcPr>
          <w:p w14:paraId="4C25E674"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60</w:t>
            </w:r>
          </w:p>
        </w:tc>
        <w:tc>
          <w:tcPr>
            <w:tcW w:w="0" w:type="auto"/>
            <w:tcBorders>
              <w:top w:val="nil"/>
              <w:left w:val="nil"/>
              <w:bottom w:val="single" w:sz="12" w:space="0" w:color="auto"/>
              <w:right w:val="single" w:sz="4" w:space="0" w:color="auto"/>
            </w:tcBorders>
            <w:shd w:val="clear" w:color="auto" w:fill="D9E2F3"/>
            <w:vAlign w:val="center"/>
          </w:tcPr>
          <w:p w14:paraId="6506C08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12.266</w:t>
            </w:r>
          </w:p>
        </w:tc>
        <w:tc>
          <w:tcPr>
            <w:tcW w:w="0" w:type="auto"/>
            <w:tcBorders>
              <w:top w:val="nil"/>
              <w:left w:val="single" w:sz="4" w:space="0" w:color="auto"/>
              <w:bottom w:val="single" w:sz="12" w:space="0" w:color="auto"/>
              <w:right w:val="nil"/>
            </w:tcBorders>
            <w:shd w:val="clear" w:color="auto" w:fill="auto"/>
            <w:vAlign w:val="center"/>
          </w:tcPr>
          <w:p w14:paraId="4F154426" w14:textId="77777777" w:rsidR="00870696" w:rsidRPr="00EE7F56" w:rsidRDefault="00870696" w:rsidP="00927269">
            <w:pPr>
              <w:jc w:val="center"/>
              <w:rPr>
                <w:rFonts w:ascii="Times New Roman" w:eastAsia="宋体" w:hAnsi="Times New Roman" w:cs="Times New Roman"/>
                <w:bCs/>
                <w:spacing w:val="2"/>
                <w:sz w:val="16"/>
                <w:szCs w:val="16"/>
                <w:vertAlign w:val="subscript"/>
              </w:rPr>
            </w:pPr>
            <w:r w:rsidRPr="00EE7F56">
              <w:rPr>
                <w:rFonts w:ascii="Times New Roman" w:eastAsia="宋体" w:hAnsi="Times New Roman" w:cs="Times New Roman"/>
                <w:bCs/>
                <w:i/>
                <w:iCs/>
                <w:spacing w:val="2"/>
                <w:sz w:val="16"/>
                <w:szCs w:val="16"/>
              </w:rPr>
              <w:t>X</w:t>
            </w:r>
            <w:r w:rsidRPr="00EE7F56">
              <w:rPr>
                <w:rFonts w:ascii="Times New Roman" w:hAnsi="Times New Roman" w:cs="Times New Roman"/>
                <w:sz w:val="16"/>
                <w:szCs w:val="16"/>
                <w:vertAlign w:val="subscript"/>
              </w:rPr>
              <w:t>80</w:t>
            </w:r>
          </w:p>
        </w:tc>
        <w:tc>
          <w:tcPr>
            <w:tcW w:w="0" w:type="auto"/>
            <w:tcBorders>
              <w:top w:val="nil"/>
              <w:left w:val="nil"/>
              <w:bottom w:val="single" w:sz="12" w:space="0" w:color="auto"/>
              <w:right w:val="nil"/>
            </w:tcBorders>
            <w:shd w:val="clear" w:color="auto" w:fill="auto"/>
            <w:vAlign w:val="center"/>
          </w:tcPr>
          <w:p w14:paraId="7DE453B9" w14:textId="77777777" w:rsidR="00870696" w:rsidRPr="00EE7F56" w:rsidRDefault="00870696" w:rsidP="00927269">
            <w:pPr>
              <w:jc w:val="center"/>
              <w:rPr>
                <w:rFonts w:ascii="Times New Roman" w:hAnsi="Times New Roman" w:cs="Times New Roman"/>
                <w:sz w:val="16"/>
                <w:szCs w:val="16"/>
                <w:vertAlign w:val="subscript"/>
              </w:rPr>
            </w:pPr>
            <w:r w:rsidRPr="00EE7F56">
              <w:rPr>
                <w:rFonts w:ascii="Times New Roman" w:hAnsi="Times New Roman" w:cs="Times New Roman"/>
                <w:sz w:val="16"/>
                <w:szCs w:val="16"/>
              </w:rPr>
              <w:t>8.269</w:t>
            </w:r>
          </w:p>
        </w:tc>
      </w:tr>
    </w:tbl>
    <w:p w14:paraId="57D93145" w14:textId="77777777" w:rsidR="00870696" w:rsidRPr="00EE7F56" w:rsidRDefault="00870696" w:rsidP="00870696">
      <w:pPr>
        <w:rPr>
          <w:rFonts w:ascii="Times New Roman" w:hAnsi="Times New Roman" w:cs="Times New Roman"/>
        </w:rPr>
      </w:pPr>
    </w:p>
    <w:p w14:paraId="424417E8" w14:textId="77777777" w:rsidR="00870696" w:rsidRPr="00EE7F56" w:rsidRDefault="00870696" w:rsidP="00870696">
      <w:pPr>
        <w:pStyle w:val="TableTitle"/>
      </w:pPr>
      <w:r w:rsidRPr="00EE7F56">
        <w:t>Table A2</w:t>
      </w:r>
    </w:p>
    <w:p w14:paraId="4955F214" w14:textId="77777777" w:rsidR="00870696" w:rsidRPr="00EE7F56" w:rsidRDefault="00870696" w:rsidP="00870696">
      <w:pPr>
        <w:pStyle w:val="TableTitle"/>
      </w:pPr>
      <w:r w:rsidRPr="00EE7F56">
        <w:t>In-phase model goodness of fit test</w:t>
      </w:r>
    </w:p>
    <w:tbl>
      <w:tblPr>
        <w:tblW w:w="0" w:type="auto"/>
        <w:jc w:val="center"/>
        <w:tblBorders>
          <w:top w:val="single" w:sz="12" w:space="0" w:color="auto"/>
          <w:bottom w:val="single" w:sz="12" w:space="0" w:color="auto"/>
          <w:insideH w:val="single" w:sz="4" w:space="0" w:color="auto"/>
        </w:tblBorders>
        <w:tblLook w:val="04A0" w:firstRow="1" w:lastRow="0" w:firstColumn="1" w:lastColumn="0" w:noHBand="0" w:noVBand="1"/>
      </w:tblPr>
      <w:tblGrid>
        <w:gridCol w:w="1037"/>
        <w:gridCol w:w="709"/>
        <w:gridCol w:w="1599"/>
        <w:gridCol w:w="875"/>
      </w:tblGrid>
      <w:tr w:rsidR="00EE7F56" w:rsidRPr="00EE7F56" w14:paraId="032395B8" w14:textId="77777777" w:rsidTr="00927269">
        <w:trPr>
          <w:trHeight w:val="278"/>
          <w:jc w:val="center"/>
        </w:trPr>
        <w:tc>
          <w:tcPr>
            <w:tcW w:w="1037" w:type="dxa"/>
            <w:tcBorders>
              <w:top w:val="single" w:sz="12" w:space="0" w:color="auto"/>
              <w:left w:val="nil"/>
              <w:bottom w:val="single" w:sz="4" w:space="0" w:color="auto"/>
              <w:right w:val="nil"/>
            </w:tcBorders>
            <w:vAlign w:val="center"/>
            <w:hideMark/>
          </w:tcPr>
          <w:p w14:paraId="0134B818" w14:textId="77777777" w:rsidR="00870696" w:rsidRPr="00EE7F56" w:rsidRDefault="00870696" w:rsidP="00927269">
            <w:pPr>
              <w:ind w:left="-50" w:right="-50"/>
              <w:jc w:val="center"/>
              <w:rPr>
                <w:rFonts w:ascii="Times New Roman" w:hAnsi="Times New Roman" w:cs="Times New Roman"/>
                <w:i/>
                <w:iCs/>
                <w:sz w:val="16"/>
                <w:szCs w:val="16"/>
              </w:rPr>
            </w:pPr>
            <w:r w:rsidRPr="00EE7F56">
              <w:rPr>
                <w:rFonts w:ascii="Times New Roman" w:hAnsi="Times New Roman" w:cs="Times New Roman"/>
                <w:i/>
                <w:iCs/>
                <w:sz w:val="16"/>
                <w:szCs w:val="16"/>
              </w:rPr>
              <w:t>R</w:t>
            </w:r>
          </w:p>
        </w:tc>
        <w:tc>
          <w:tcPr>
            <w:tcW w:w="709" w:type="dxa"/>
            <w:tcBorders>
              <w:top w:val="single" w:sz="12" w:space="0" w:color="auto"/>
              <w:left w:val="nil"/>
              <w:bottom w:val="single" w:sz="4" w:space="0" w:color="auto"/>
              <w:right w:val="nil"/>
            </w:tcBorders>
            <w:vAlign w:val="center"/>
            <w:hideMark/>
          </w:tcPr>
          <w:p w14:paraId="5E87277D" w14:textId="77777777" w:rsidR="00870696" w:rsidRPr="00EE7F56" w:rsidRDefault="00870696" w:rsidP="00927269">
            <w:pPr>
              <w:ind w:left="-50" w:right="-50"/>
              <w:jc w:val="center"/>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p>
        </w:tc>
        <w:tc>
          <w:tcPr>
            <w:tcW w:w="1599" w:type="dxa"/>
            <w:tcBorders>
              <w:top w:val="single" w:sz="12" w:space="0" w:color="auto"/>
              <w:left w:val="nil"/>
              <w:bottom w:val="single" w:sz="4" w:space="0" w:color="auto"/>
              <w:right w:val="nil"/>
            </w:tcBorders>
            <w:vAlign w:val="center"/>
            <w:hideMark/>
          </w:tcPr>
          <w:p w14:paraId="0202DE27"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r w:rsidRPr="00EE7F56">
              <w:rPr>
                <w:rFonts w:ascii="Times New Roman" w:hAnsi="Times New Roman" w:cs="Times New Roman"/>
                <w:i/>
                <w:iCs/>
                <w:sz w:val="16"/>
                <w:szCs w:val="16"/>
              </w:rPr>
              <w:t>-Adjusted</w:t>
            </w:r>
          </w:p>
        </w:tc>
        <w:tc>
          <w:tcPr>
            <w:tcW w:w="0" w:type="auto"/>
            <w:tcBorders>
              <w:top w:val="single" w:sz="12" w:space="0" w:color="auto"/>
              <w:left w:val="nil"/>
              <w:bottom w:val="single" w:sz="4" w:space="0" w:color="auto"/>
              <w:right w:val="nil"/>
            </w:tcBorders>
            <w:vAlign w:val="center"/>
            <w:hideMark/>
          </w:tcPr>
          <w:p w14:paraId="431120C9"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Std Error</w:t>
            </w:r>
          </w:p>
        </w:tc>
      </w:tr>
      <w:tr w:rsidR="00870696" w:rsidRPr="00EE7F56" w14:paraId="6DDC7022" w14:textId="77777777" w:rsidTr="00927269">
        <w:trPr>
          <w:trHeight w:val="278"/>
          <w:jc w:val="center"/>
        </w:trPr>
        <w:tc>
          <w:tcPr>
            <w:tcW w:w="1037" w:type="dxa"/>
            <w:tcBorders>
              <w:top w:val="single" w:sz="4" w:space="0" w:color="auto"/>
              <w:left w:val="nil"/>
              <w:bottom w:val="single" w:sz="12" w:space="0" w:color="auto"/>
              <w:right w:val="nil"/>
            </w:tcBorders>
            <w:vAlign w:val="center"/>
            <w:hideMark/>
          </w:tcPr>
          <w:p w14:paraId="07335E08"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1.000</w:t>
            </w:r>
          </w:p>
        </w:tc>
        <w:tc>
          <w:tcPr>
            <w:tcW w:w="709" w:type="dxa"/>
            <w:tcBorders>
              <w:top w:val="single" w:sz="4" w:space="0" w:color="auto"/>
              <w:left w:val="nil"/>
              <w:bottom w:val="single" w:sz="12" w:space="0" w:color="auto"/>
              <w:right w:val="nil"/>
            </w:tcBorders>
            <w:vAlign w:val="center"/>
            <w:hideMark/>
          </w:tcPr>
          <w:p w14:paraId="58AB1680"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1.000</w:t>
            </w:r>
          </w:p>
        </w:tc>
        <w:tc>
          <w:tcPr>
            <w:tcW w:w="1599" w:type="dxa"/>
            <w:tcBorders>
              <w:top w:val="single" w:sz="4" w:space="0" w:color="auto"/>
              <w:left w:val="nil"/>
              <w:bottom w:val="single" w:sz="12" w:space="0" w:color="auto"/>
              <w:right w:val="nil"/>
            </w:tcBorders>
            <w:vAlign w:val="center"/>
            <w:hideMark/>
          </w:tcPr>
          <w:p w14:paraId="368B02CF"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1.000</w:t>
            </w:r>
          </w:p>
        </w:tc>
        <w:tc>
          <w:tcPr>
            <w:tcW w:w="0" w:type="auto"/>
            <w:tcBorders>
              <w:top w:val="single" w:sz="4" w:space="0" w:color="auto"/>
              <w:left w:val="nil"/>
              <w:bottom w:val="single" w:sz="12" w:space="0" w:color="auto"/>
              <w:right w:val="nil"/>
            </w:tcBorders>
            <w:vAlign w:val="center"/>
            <w:hideMark/>
          </w:tcPr>
          <w:p w14:paraId="0DF79359"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0.004</w:t>
            </w:r>
          </w:p>
        </w:tc>
      </w:tr>
    </w:tbl>
    <w:p w14:paraId="3CC6A809" w14:textId="77777777" w:rsidR="00870696" w:rsidRPr="00EE7F56" w:rsidRDefault="00870696" w:rsidP="00870696">
      <w:pPr>
        <w:rPr>
          <w:rFonts w:ascii="Times New Roman" w:eastAsia="黑体" w:hAnsi="Times New Roman" w:cs="Times New Roman"/>
          <w:sz w:val="18"/>
        </w:rPr>
      </w:pPr>
    </w:p>
    <w:p w14:paraId="2C293976" w14:textId="77777777" w:rsidR="00870696" w:rsidRPr="00EE7F56" w:rsidRDefault="00870696" w:rsidP="00870696">
      <w:pPr>
        <w:pStyle w:val="TableTitle"/>
      </w:pPr>
      <w:r w:rsidRPr="00EE7F56">
        <w:t>Table A3</w:t>
      </w:r>
    </w:p>
    <w:p w14:paraId="448E35B0" w14:textId="77777777" w:rsidR="00870696" w:rsidRPr="00EE7F56" w:rsidRDefault="00870696" w:rsidP="00870696">
      <w:pPr>
        <w:pStyle w:val="TableTitle"/>
      </w:pPr>
      <w:r w:rsidRPr="00EE7F56">
        <w:t>In-phase model ANOVA results</w:t>
      </w:r>
    </w:p>
    <w:tbl>
      <w:tblPr>
        <w:tblW w:w="0" w:type="auto"/>
        <w:jc w:val="center"/>
        <w:tblBorders>
          <w:top w:val="single" w:sz="12" w:space="0" w:color="auto"/>
          <w:bottom w:val="single" w:sz="12" w:space="0" w:color="auto"/>
        </w:tblBorders>
        <w:tblLayout w:type="fixed"/>
        <w:tblLook w:val="04A0" w:firstRow="1" w:lastRow="0" w:firstColumn="1" w:lastColumn="0" w:noHBand="0" w:noVBand="1"/>
      </w:tblPr>
      <w:tblGrid>
        <w:gridCol w:w="959"/>
        <w:gridCol w:w="888"/>
        <w:gridCol w:w="951"/>
        <w:gridCol w:w="830"/>
        <w:gridCol w:w="567"/>
        <w:gridCol w:w="567"/>
      </w:tblGrid>
      <w:tr w:rsidR="00EE7F56" w:rsidRPr="00EE7F56" w14:paraId="5698D1A1" w14:textId="77777777" w:rsidTr="00927269">
        <w:trPr>
          <w:trHeight w:val="278"/>
          <w:jc w:val="center"/>
        </w:trPr>
        <w:tc>
          <w:tcPr>
            <w:tcW w:w="959" w:type="dxa"/>
            <w:tcBorders>
              <w:top w:val="single" w:sz="12" w:space="0" w:color="auto"/>
              <w:left w:val="nil"/>
              <w:bottom w:val="single" w:sz="4" w:space="0" w:color="auto"/>
              <w:right w:val="nil"/>
            </w:tcBorders>
            <w:vAlign w:val="center"/>
            <w:hideMark/>
          </w:tcPr>
          <w:p w14:paraId="1EAE884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Statistic</w:t>
            </w:r>
          </w:p>
        </w:tc>
        <w:tc>
          <w:tcPr>
            <w:tcW w:w="888" w:type="dxa"/>
            <w:tcBorders>
              <w:top w:val="single" w:sz="12" w:space="0" w:color="auto"/>
              <w:left w:val="nil"/>
              <w:bottom w:val="single" w:sz="4" w:space="0" w:color="auto"/>
              <w:right w:val="nil"/>
            </w:tcBorders>
            <w:vAlign w:val="center"/>
            <w:hideMark/>
          </w:tcPr>
          <w:p w14:paraId="28AE5EB0"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Sum of Squares</w:t>
            </w:r>
          </w:p>
        </w:tc>
        <w:tc>
          <w:tcPr>
            <w:tcW w:w="951" w:type="dxa"/>
            <w:tcBorders>
              <w:top w:val="single" w:sz="12" w:space="0" w:color="auto"/>
              <w:left w:val="nil"/>
              <w:bottom w:val="single" w:sz="4" w:space="0" w:color="auto"/>
              <w:right w:val="nil"/>
            </w:tcBorders>
            <w:vAlign w:val="center"/>
            <w:hideMark/>
          </w:tcPr>
          <w:p w14:paraId="44735270"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Degrees of Freedom</w:t>
            </w:r>
          </w:p>
        </w:tc>
        <w:tc>
          <w:tcPr>
            <w:tcW w:w="830" w:type="dxa"/>
            <w:tcBorders>
              <w:top w:val="single" w:sz="12" w:space="0" w:color="auto"/>
              <w:left w:val="nil"/>
              <w:bottom w:val="single" w:sz="4" w:space="0" w:color="auto"/>
              <w:right w:val="nil"/>
            </w:tcBorders>
            <w:vAlign w:val="center"/>
            <w:hideMark/>
          </w:tcPr>
          <w:p w14:paraId="172E7DFD"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Mean Square</w:t>
            </w:r>
          </w:p>
        </w:tc>
        <w:tc>
          <w:tcPr>
            <w:tcW w:w="567" w:type="dxa"/>
            <w:tcBorders>
              <w:top w:val="single" w:sz="12" w:space="0" w:color="auto"/>
              <w:left w:val="nil"/>
              <w:bottom w:val="single" w:sz="4" w:space="0" w:color="auto"/>
              <w:right w:val="nil"/>
            </w:tcBorders>
            <w:vAlign w:val="center"/>
            <w:hideMark/>
          </w:tcPr>
          <w:p w14:paraId="6DA40A94" w14:textId="77777777" w:rsidR="00870696" w:rsidRPr="00EE7F56" w:rsidRDefault="00870696" w:rsidP="00927269">
            <w:pPr>
              <w:jc w:val="center"/>
              <w:rPr>
                <w:rFonts w:ascii="Times New Roman" w:hAnsi="Times New Roman" w:cs="Times New Roman"/>
                <w:i/>
                <w:iCs/>
                <w:sz w:val="16"/>
                <w:szCs w:val="16"/>
              </w:rPr>
            </w:pPr>
            <w:r w:rsidRPr="00EE7F56">
              <w:rPr>
                <w:rFonts w:ascii="Times New Roman" w:hAnsi="Times New Roman" w:cs="Times New Roman"/>
                <w:i/>
                <w:iCs/>
                <w:sz w:val="16"/>
                <w:szCs w:val="16"/>
              </w:rPr>
              <w:t>F</w:t>
            </w:r>
          </w:p>
        </w:tc>
        <w:tc>
          <w:tcPr>
            <w:tcW w:w="567" w:type="dxa"/>
            <w:tcBorders>
              <w:top w:val="single" w:sz="12" w:space="0" w:color="auto"/>
              <w:left w:val="nil"/>
              <w:bottom w:val="single" w:sz="4" w:space="0" w:color="auto"/>
              <w:right w:val="nil"/>
            </w:tcBorders>
            <w:vAlign w:val="center"/>
            <w:hideMark/>
          </w:tcPr>
          <w:p w14:paraId="4936CE65"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P</w:t>
            </w:r>
          </w:p>
        </w:tc>
      </w:tr>
      <w:tr w:rsidR="00EE7F56" w:rsidRPr="00EE7F56" w14:paraId="24B54F90" w14:textId="77777777" w:rsidTr="00927269">
        <w:trPr>
          <w:trHeight w:val="278"/>
          <w:jc w:val="center"/>
        </w:trPr>
        <w:tc>
          <w:tcPr>
            <w:tcW w:w="959" w:type="dxa"/>
            <w:tcBorders>
              <w:top w:val="single" w:sz="4" w:space="0" w:color="auto"/>
              <w:left w:val="nil"/>
              <w:bottom w:val="nil"/>
              <w:right w:val="nil"/>
            </w:tcBorders>
            <w:vAlign w:val="center"/>
            <w:hideMark/>
          </w:tcPr>
          <w:p w14:paraId="3FAEFEA1"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Regression</w:t>
            </w:r>
          </w:p>
        </w:tc>
        <w:tc>
          <w:tcPr>
            <w:tcW w:w="888" w:type="dxa"/>
            <w:tcBorders>
              <w:top w:val="single" w:sz="4" w:space="0" w:color="auto"/>
              <w:left w:val="nil"/>
              <w:bottom w:val="nil"/>
              <w:right w:val="nil"/>
            </w:tcBorders>
            <w:vAlign w:val="center"/>
            <w:hideMark/>
          </w:tcPr>
          <w:p w14:paraId="376B4AF8"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2032.835</w:t>
            </w:r>
          </w:p>
        </w:tc>
        <w:tc>
          <w:tcPr>
            <w:tcW w:w="951" w:type="dxa"/>
            <w:tcBorders>
              <w:top w:val="single" w:sz="4" w:space="0" w:color="auto"/>
              <w:left w:val="nil"/>
              <w:bottom w:val="nil"/>
              <w:right w:val="nil"/>
            </w:tcBorders>
            <w:vAlign w:val="center"/>
            <w:hideMark/>
          </w:tcPr>
          <w:p w14:paraId="2A27D5D3"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13</w:t>
            </w:r>
          </w:p>
        </w:tc>
        <w:tc>
          <w:tcPr>
            <w:tcW w:w="830" w:type="dxa"/>
            <w:tcBorders>
              <w:top w:val="single" w:sz="4" w:space="0" w:color="auto"/>
              <w:left w:val="nil"/>
              <w:bottom w:val="nil"/>
              <w:right w:val="nil"/>
            </w:tcBorders>
            <w:vAlign w:val="center"/>
            <w:hideMark/>
          </w:tcPr>
          <w:p w14:paraId="5542CF4D"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156.372</w:t>
            </w:r>
          </w:p>
        </w:tc>
        <w:tc>
          <w:tcPr>
            <w:tcW w:w="567" w:type="dxa"/>
            <w:tcBorders>
              <w:top w:val="single" w:sz="4" w:space="0" w:color="auto"/>
              <w:left w:val="nil"/>
              <w:bottom w:val="nil"/>
              <w:right w:val="nil"/>
            </w:tcBorders>
            <w:vAlign w:val="center"/>
            <w:hideMark/>
          </w:tcPr>
          <w:p w14:paraId="7F179A08"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7855873.187</w:t>
            </w:r>
          </w:p>
        </w:tc>
        <w:tc>
          <w:tcPr>
            <w:tcW w:w="567" w:type="dxa"/>
            <w:tcBorders>
              <w:top w:val="single" w:sz="4" w:space="0" w:color="auto"/>
              <w:left w:val="nil"/>
              <w:bottom w:val="nil"/>
              <w:right w:val="nil"/>
            </w:tcBorders>
            <w:vAlign w:val="center"/>
            <w:hideMark/>
          </w:tcPr>
          <w:p w14:paraId="477D15AC"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0.000</w:t>
            </w:r>
          </w:p>
        </w:tc>
      </w:tr>
      <w:tr w:rsidR="00EE7F56" w:rsidRPr="00EE7F56" w14:paraId="76197D9A" w14:textId="77777777" w:rsidTr="00927269">
        <w:trPr>
          <w:trHeight w:val="278"/>
          <w:jc w:val="center"/>
        </w:trPr>
        <w:tc>
          <w:tcPr>
            <w:tcW w:w="959" w:type="dxa"/>
            <w:tcBorders>
              <w:top w:val="nil"/>
              <w:left w:val="nil"/>
              <w:bottom w:val="nil"/>
              <w:right w:val="nil"/>
            </w:tcBorders>
            <w:vAlign w:val="center"/>
            <w:hideMark/>
          </w:tcPr>
          <w:p w14:paraId="5ABA0640"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Residuals</w:t>
            </w:r>
          </w:p>
        </w:tc>
        <w:tc>
          <w:tcPr>
            <w:tcW w:w="888" w:type="dxa"/>
            <w:tcBorders>
              <w:top w:val="nil"/>
              <w:left w:val="nil"/>
              <w:bottom w:val="nil"/>
              <w:right w:val="nil"/>
            </w:tcBorders>
            <w:vAlign w:val="center"/>
            <w:hideMark/>
          </w:tcPr>
          <w:p w14:paraId="2D8EB545"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0.002</w:t>
            </w:r>
          </w:p>
        </w:tc>
        <w:tc>
          <w:tcPr>
            <w:tcW w:w="951" w:type="dxa"/>
            <w:tcBorders>
              <w:top w:val="nil"/>
              <w:left w:val="nil"/>
              <w:bottom w:val="nil"/>
              <w:right w:val="nil"/>
            </w:tcBorders>
            <w:vAlign w:val="center"/>
            <w:hideMark/>
          </w:tcPr>
          <w:p w14:paraId="56CCE0BF"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82</w:t>
            </w:r>
          </w:p>
        </w:tc>
        <w:tc>
          <w:tcPr>
            <w:tcW w:w="830" w:type="dxa"/>
            <w:tcBorders>
              <w:top w:val="nil"/>
              <w:left w:val="nil"/>
              <w:bottom w:val="nil"/>
              <w:right w:val="nil"/>
            </w:tcBorders>
            <w:vAlign w:val="center"/>
            <w:hideMark/>
          </w:tcPr>
          <w:p w14:paraId="0CD6E09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0.000</w:t>
            </w:r>
          </w:p>
        </w:tc>
        <w:tc>
          <w:tcPr>
            <w:tcW w:w="567" w:type="dxa"/>
            <w:tcBorders>
              <w:top w:val="nil"/>
              <w:left w:val="nil"/>
              <w:bottom w:val="nil"/>
              <w:right w:val="nil"/>
            </w:tcBorders>
            <w:vAlign w:val="center"/>
            <w:hideMark/>
          </w:tcPr>
          <w:p w14:paraId="2A720B1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567" w:type="dxa"/>
            <w:tcBorders>
              <w:top w:val="nil"/>
              <w:left w:val="nil"/>
              <w:bottom w:val="nil"/>
              <w:right w:val="nil"/>
            </w:tcBorders>
            <w:vAlign w:val="center"/>
            <w:hideMark/>
          </w:tcPr>
          <w:p w14:paraId="741F76B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r w:rsidR="00870696" w:rsidRPr="00EE7F56" w14:paraId="419C4771" w14:textId="77777777" w:rsidTr="00927269">
        <w:trPr>
          <w:trHeight w:val="278"/>
          <w:jc w:val="center"/>
        </w:trPr>
        <w:tc>
          <w:tcPr>
            <w:tcW w:w="959" w:type="dxa"/>
            <w:tcBorders>
              <w:top w:val="nil"/>
              <w:left w:val="nil"/>
              <w:bottom w:val="single" w:sz="12" w:space="0" w:color="auto"/>
              <w:right w:val="nil"/>
            </w:tcBorders>
            <w:vAlign w:val="center"/>
            <w:hideMark/>
          </w:tcPr>
          <w:p w14:paraId="4AF46F5C"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Sum</w:t>
            </w:r>
          </w:p>
        </w:tc>
        <w:tc>
          <w:tcPr>
            <w:tcW w:w="888" w:type="dxa"/>
            <w:tcBorders>
              <w:top w:val="nil"/>
              <w:left w:val="nil"/>
              <w:bottom w:val="single" w:sz="12" w:space="0" w:color="auto"/>
              <w:right w:val="nil"/>
            </w:tcBorders>
            <w:vAlign w:val="center"/>
            <w:hideMark/>
          </w:tcPr>
          <w:p w14:paraId="1E61045A"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2032.837</w:t>
            </w:r>
          </w:p>
        </w:tc>
        <w:tc>
          <w:tcPr>
            <w:tcW w:w="951" w:type="dxa"/>
            <w:tcBorders>
              <w:top w:val="nil"/>
              <w:left w:val="nil"/>
              <w:bottom w:val="single" w:sz="12" w:space="0" w:color="auto"/>
              <w:right w:val="nil"/>
            </w:tcBorders>
            <w:vAlign w:val="center"/>
            <w:hideMark/>
          </w:tcPr>
          <w:p w14:paraId="0AF0A1B4"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95</w:t>
            </w:r>
          </w:p>
        </w:tc>
        <w:tc>
          <w:tcPr>
            <w:tcW w:w="830" w:type="dxa"/>
            <w:tcBorders>
              <w:top w:val="nil"/>
              <w:left w:val="nil"/>
              <w:bottom w:val="single" w:sz="12" w:space="0" w:color="auto"/>
              <w:right w:val="nil"/>
            </w:tcBorders>
            <w:vAlign w:val="center"/>
            <w:hideMark/>
          </w:tcPr>
          <w:p w14:paraId="4C7821EC"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567" w:type="dxa"/>
            <w:tcBorders>
              <w:top w:val="nil"/>
              <w:left w:val="nil"/>
              <w:bottom w:val="single" w:sz="12" w:space="0" w:color="auto"/>
              <w:right w:val="nil"/>
            </w:tcBorders>
            <w:vAlign w:val="center"/>
            <w:hideMark/>
          </w:tcPr>
          <w:p w14:paraId="37BA490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567" w:type="dxa"/>
            <w:tcBorders>
              <w:top w:val="nil"/>
              <w:left w:val="nil"/>
              <w:bottom w:val="single" w:sz="12" w:space="0" w:color="auto"/>
              <w:right w:val="nil"/>
            </w:tcBorders>
            <w:vAlign w:val="center"/>
            <w:hideMark/>
          </w:tcPr>
          <w:p w14:paraId="009079C6"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bl>
    <w:p w14:paraId="236DA1D4" w14:textId="77777777" w:rsidR="00870696" w:rsidRPr="00EE7F56" w:rsidRDefault="00870696" w:rsidP="00870696">
      <w:pPr>
        <w:rPr>
          <w:rFonts w:ascii="Times New Roman" w:eastAsia="黑体" w:hAnsi="Times New Roman" w:cs="Times New Roman"/>
          <w:sz w:val="18"/>
        </w:rPr>
      </w:pPr>
    </w:p>
    <w:p w14:paraId="3FE616E9" w14:textId="77777777" w:rsidR="00870696" w:rsidRPr="00EE7F56" w:rsidRDefault="00870696" w:rsidP="00870696">
      <w:pPr>
        <w:pStyle w:val="TableTitle"/>
      </w:pPr>
      <w:r w:rsidRPr="00EE7F56">
        <w:t>Table A4</w:t>
      </w:r>
    </w:p>
    <w:p w14:paraId="7909BAC3" w14:textId="77777777" w:rsidR="00870696" w:rsidRPr="00EE7F56" w:rsidRDefault="00870696" w:rsidP="00870696">
      <w:pPr>
        <w:pStyle w:val="TableTitle"/>
      </w:pPr>
      <w:r w:rsidRPr="00EE7F56">
        <w:t>Out-of-phase goodness of fit test</w:t>
      </w:r>
    </w:p>
    <w:tbl>
      <w:tblPr>
        <w:tblW w:w="0" w:type="auto"/>
        <w:jc w:val="center"/>
        <w:tblBorders>
          <w:top w:val="single" w:sz="12" w:space="0" w:color="auto"/>
          <w:bottom w:val="single" w:sz="12" w:space="0" w:color="auto"/>
          <w:insideH w:val="single" w:sz="4" w:space="0" w:color="auto"/>
        </w:tblBorders>
        <w:tblLook w:val="04A0" w:firstRow="1" w:lastRow="0" w:firstColumn="1" w:lastColumn="0" w:noHBand="0" w:noVBand="1"/>
      </w:tblPr>
      <w:tblGrid>
        <w:gridCol w:w="868"/>
        <w:gridCol w:w="851"/>
        <w:gridCol w:w="1726"/>
        <w:gridCol w:w="875"/>
      </w:tblGrid>
      <w:tr w:rsidR="00EE7F56" w:rsidRPr="00EE7F56" w14:paraId="24A776A5" w14:textId="77777777" w:rsidTr="00927269">
        <w:trPr>
          <w:trHeight w:val="278"/>
          <w:jc w:val="center"/>
        </w:trPr>
        <w:tc>
          <w:tcPr>
            <w:tcW w:w="868" w:type="dxa"/>
            <w:tcBorders>
              <w:top w:val="single" w:sz="12" w:space="0" w:color="auto"/>
              <w:left w:val="nil"/>
              <w:bottom w:val="single" w:sz="4" w:space="0" w:color="auto"/>
              <w:right w:val="nil"/>
            </w:tcBorders>
            <w:vAlign w:val="center"/>
            <w:hideMark/>
          </w:tcPr>
          <w:p w14:paraId="054ECE0B" w14:textId="77777777" w:rsidR="00870696" w:rsidRPr="00EE7F56" w:rsidRDefault="00870696" w:rsidP="00927269">
            <w:pPr>
              <w:jc w:val="center"/>
              <w:rPr>
                <w:rFonts w:ascii="Times New Roman" w:hAnsi="Times New Roman" w:cs="Times New Roman"/>
                <w:i/>
                <w:iCs/>
                <w:sz w:val="16"/>
                <w:szCs w:val="16"/>
              </w:rPr>
            </w:pPr>
            <w:r w:rsidRPr="00EE7F56">
              <w:rPr>
                <w:rFonts w:ascii="Times New Roman" w:hAnsi="Times New Roman" w:cs="Times New Roman"/>
                <w:i/>
                <w:iCs/>
                <w:sz w:val="16"/>
                <w:szCs w:val="16"/>
              </w:rPr>
              <w:t>R</w:t>
            </w:r>
          </w:p>
        </w:tc>
        <w:tc>
          <w:tcPr>
            <w:tcW w:w="851" w:type="dxa"/>
            <w:tcBorders>
              <w:top w:val="single" w:sz="12" w:space="0" w:color="auto"/>
              <w:left w:val="nil"/>
              <w:bottom w:val="single" w:sz="4" w:space="0" w:color="auto"/>
              <w:right w:val="nil"/>
            </w:tcBorders>
            <w:vAlign w:val="center"/>
          </w:tcPr>
          <w:p w14:paraId="3B433192" w14:textId="77777777" w:rsidR="00870696" w:rsidRPr="00EE7F56" w:rsidRDefault="00870696" w:rsidP="00927269">
            <w:pPr>
              <w:jc w:val="center"/>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p>
        </w:tc>
        <w:tc>
          <w:tcPr>
            <w:tcW w:w="1726" w:type="dxa"/>
            <w:tcBorders>
              <w:top w:val="single" w:sz="12" w:space="0" w:color="auto"/>
              <w:left w:val="nil"/>
              <w:bottom w:val="single" w:sz="4" w:space="0" w:color="auto"/>
              <w:right w:val="nil"/>
            </w:tcBorders>
            <w:vAlign w:val="center"/>
            <w:hideMark/>
          </w:tcPr>
          <w:p w14:paraId="1BD18303"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R</w:t>
            </w:r>
            <w:r w:rsidRPr="00EE7F56">
              <w:rPr>
                <w:rFonts w:ascii="Times New Roman" w:hAnsi="Times New Roman" w:cs="Times New Roman"/>
                <w:i/>
                <w:iCs/>
                <w:sz w:val="16"/>
                <w:szCs w:val="16"/>
                <w:vertAlign w:val="superscript"/>
              </w:rPr>
              <w:t>2</w:t>
            </w:r>
            <w:r w:rsidRPr="00EE7F56">
              <w:rPr>
                <w:rFonts w:ascii="Times New Roman" w:hAnsi="Times New Roman" w:cs="Times New Roman"/>
                <w:i/>
                <w:iCs/>
                <w:sz w:val="16"/>
                <w:szCs w:val="16"/>
              </w:rPr>
              <w:t>-Adjusted</w:t>
            </w:r>
          </w:p>
        </w:tc>
        <w:tc>
          <w:tcPr>
            <w:tcW w:w="0" w:type="auto"/>
            <w:tcBorders>
              <w:top w:val="single" w:sz="12" w:space="0" w:color="auto"/>
              <w:left w:val="nil"/>
              <w:bottom w:val="single" w:sz="4" w:space="0" w:color="auto"/>
              <w:right w:val="nil"/>
            </w:tcBorders>
            <w:vAlign w:val="center"/>
            <w:hideMark/>
          </w:tcPr>
          <w:p w14:paraId="4F9BBCD1"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Std Error</w:t>
            </w:r>
          </w:p>
        </w:tc>
      </w:tr>
      <w:tr w:rsidR="00870696" w:rsidRPr="00EE7F56" w14:paraId="3596B9BC" w14:textId="77777777" w:rsidTr="00927269">
        <w:trPr>
          <w:trHeight w:val="278"/>
          <w:jc w:val="center"/>
        </w:trPr>
        <w:tc>
          <w:tcPr>
            <w:tcW w:w="868" w:type="dxa"/>
            <w:tcBorders>
              <w:top w:val="single" w:sz="4" w:space="0" w:color="auto"/>
              <w:left w:val="nil"/>
              <w:bottom w:val="single" w:sz="12" w:space="0" w:color="auto"/>
              <w:right w:val="nil"/>
            </w:tcBorders>
            <w:vAlign w:val="center"/>
            <w:hideMark/>
          </w:tcPr>
          <w:p w14:paraId="477F4DD1"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0.994</w:t>
            </w:r>
          </w:p>
        </w:tc>
        <w:tc>
          <w:tcPr>
            <w:tcW w:w="851" w:type="dxa"/>
            <w:tcBorders>
              <w:top w:val="single" w:sz="4" w:space="0" w:color="auto"/>
              <w:left w:val="nil"/>
              <w:bottom w:val="single" w:sz="12" w:space="0" w:color="auto"/>
              <w:right w:val="nil"/>
            </w:tcBorders>
            <w:vAlign w:val="center"/>
            <w:hideMark/>
          </w:tcPr>
          <w:p w14:paraId="79D91567"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0.989</w:t>
            </w:r>
          </w:p>
        </w:tc>
        <w:tc>
          <w:tcPr>
            <w:tcW w:w="1726" w:type="dxa"/>
            <w:tcBorders>
              <w:top w:val="single" w:sz="4" w:space="0" w:color="auto"/>
              <w:left w:val="nil"/>
              <w:bottom w:val="single" w:sz="12" w:space="0" w:color="auto"/>
              <w:right w:val="nil"/>
            </w:tcBorders>
            <w:vAlign w:val="center"/>
            <w:hideMark/>
          </w:tcPr>
          <w:p w14:paraId="1816FF64"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0.987</w:t>
            </w:r>
          </w:p>
        </w:tc>
        <w:tc>
          <w:tcPr>
            <w:tcW w:w="0" w:type="auto"/>
            <w:tcBorders>
              <w:top w:val="single" w:sz="4" w:space="0" w:color="auto"/>
              <w:left w:val="nil"/>
              <w:bottom w:val="single" w:sz="12" w:space="0" w:color="auto"/>
              <w:right w:val="nil"/>
            </w:tcBorders>
            <w:vAlign w:val="center"/>
            <w:hideMark/>
          </w:tcPr>
          <w:p w14:paraId="45505341" w14:textId="77777777" w:rsidR="00870696" w:rsidRPr="00EE7F56" w:rsidRDefault="00870696" w:rsidP="00927269">
            <w:pPr>
              <w:ind w:left="-50" w:right="-50"/>
              <w:jc w:val="center"/>
              <w:rPr>
                <w:rFonts w:ascii="Times New Roman" w:hAnsi="Times New Roman" w:cs="Times New Roman"/>
                <w:sz w:val="16"/>
                <w:szCs w:val="16"/>
              </w:rPr>
            </w:pPr>
            <w:r w:rsidRPr="00EE7F56">
              <w:rPr>
                <w:rFonts w:ascii="Times New Roman" w:hAnsi="Times New Roman" w:cs="Times New Roman"/>
                <w:sz w:val="16"/>
                <w:szCs w:val="16"/>
              </w:rPr>
              <w:t>0.477</w:t>
            </w:r>
          </w:p>
        </w:tc>
      </w:tr>
    </w:tbl>
    <w:p w14:paraId="726021F5" w14:textId="77777777" w:rsidR="00870696" w:rsidRPr="00EE7F56" w:rsidRDefault="00870696" w:rsidP="00870696">
      <w:pPr>
        <w:rPr>
          <w:rFonts w:ascii="Times New Roman" w:hAnsi="Times New Roman" w:cs="Times New Roman"/>
        </w:rPr>
      </w:pPr>
    </w:p>
    <w:p w14:paraId="6D03AAD6" w14:textId="77777777" w:rsidR="00870696" w:rsidRPr="00EE7F56" w:rsidRDefault="00870696" w:rsidP="00870696">
      <w:pPr>
        <w:pStyle w:val="TableTitle"/>
      </w:pPr>
      <w:r w:rsidRPr="00EE7F56">
        <w:t>Table A5</w:t>
      </w:r>
    </w:p>
    <w:p w14:paraId="40BDD73E" w14:textId="77777777" w:rsidR="00870696" w:rsidRPr="00EE7F56" w:rsidRDefault="00870696" w:rsidP="00870696">
      <w:pPr>
        <w:pStyle w:val="TableTitle"/>
      </w:pPr>
      <w:r w:rsidRPr="00EE7F56">
        <w:t>Out-of-phase ANOVA results</w:t>
      </w:r>
    </w:p>
    <w:tbl>
      <w:tblPr>
        <w:tblW w:w="0" w:type="auto"/>
        <w:jc w:val="center"/>
        <w:tblBorders>
          <w:top w:val="single" w:sz="12" w:space="0" w:color="auto"/>
          <w:bottom w:val="single" w:sz="12" w:space="0" w:color="auto"/>
        </w:tblBorders>
        <w:tblLook w:val="04A0" w:firstRow="1" w:lastRow="0" w:firstColumn="1" w:lastColumn="0" w:noHBand="0" w:noVBand="1"/>
      </w:tblPr>
      <w:tblGrid>
        <w:gridCol w:w="881"/>
        <w:gridCol w:w="916"/>
        <w:gridCol w:w="1001"/>
        <w:gridCol w:w="806"/>
        <w:gridCol w:w="688"/>
        <w:gridCol w:w="528"/>
      </w:tblGrid>
      <w:tr w:rsidR="00EE7F56" w:rsidRPr="00EE7F56" w14:paraId="5AB0B707" w14:textId="77777777" w:rsidTr="00927269">
        <w:trPr>
          <w:trHeight w:val="278"/>
          <w:jc w:val="center"/>
        </w:trPr>
        <w:tc>
          <w:tcPr>
            <w:tcW w:w="0" w:type="auto"/>
            <w:tcBorders>
              <w:top w:val="single" w:sz="12" w:space="0" w:color="auto"/>
              <w:left w:val="nil"/>
              <w:bottom w:val="single" w:sz="4" w:space="0" w:color="auto"/>
              <w:right w:val="nil"/>
            </w:tcBorders>
            <w:vAlign w:val="center"/>
            <w:hideMark/>
          </w:tcPr>
          <w:p w14:paraId="4DF736F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Statistic</w:t>
            </w:r>
          </w:p>
        </w:tc>
        <w:tc>
          <w:tcPr>
            <w:tcW w:w="0" w:type="auto"/>
            <w:tcBorders>
              <w:top w:val="single" w:sz="12" w:space="0" w:color="auto"/>
              <w:left w:val="nil"/>
              <w:bottom w:val="single" w:sz="4" w:space="0" w:color="auto"/>
              <w:right w:val="nil"/>
            </w:tcBorders>
            <w:vAlign w:val="center"/>
            <w:hideMark/>
          </w:tcPr>
          <w:p w14:paraId="2004B2F2"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Sum of Squares</w:t>
            </w:r>
          </w:p>
        </w:tc>
        <w:tc>
          <w:tcPr>
            <w:tcW w:w="0" w:type="auto"/>
            <w:tcBorders>
              <w:top w:val="single" w:sz="12" w:space="0" w:color="auto"/>
              <w:left w:val="nil"/>
              <w:bottom w:val="single" w:sz="4" w:space="0" w:color="auto"/>
              <w:right w:val="nil"/>
            </w:tcBorders>
            <w:vAlign w:val="center"/>
            <w:hideMark/>
          </w:tcPr>
          <w:p w14:paraId="6F51A223"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Degrees of Freedom</w:t>
            </w:r>
          </w:p>
        </w:tc>
        <w:tc>
          <w:tcPr>
            <w:tcW w:w="0" w:type="auto"/>
            <w:tcBorders>
              <w:top w:val="single" w:sz="12" w:space="0" w:color="auto"/>
              <w:left w:val="nil"/>
              <w:bottom w:val="single" w:sz="4" w:space="0" w:color="auto"/>
              <w:right w:val="nil"/>
            </w:tcBorders>
            <w:vAlign w:val="center"/>
            <w:hideMark/>
          </w:tcPr>
          <w:p w14:paraId="29C609B5"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Mean Square</w:t>
            </w:r>
          </w:p>
        </w:tc>
        <w:tc>
          <w:tcPr>
            <w:tcW w:w="0" w:type="auto"/>
            <w:tcBorders>
              <w:top w:val="single" w:sz="12" w:space="0" w:color="auto"/>
              <w:left w:val="nil"/>
              <w:bottom w:val="single" w:sz="4" w:space="0" w:color="auto"/>
              <w:right w:val="nil"/>
            </w:tcBorders>
            <w:vAlign w:val="center"/>
            <w:hideMark/>
          </w:tcPr>
          <w:p w14:paraId="2D6F3B4C" w14:textId="77777777" w:rsidR="00870696" w:rsidRPr="00EE7F56" w:rsidRDefault="00870696" w:rsidP="00927269">
            <w:pPr>
              <w:jc w:val="center"/>
              <w:rPr>
                <w:rFonts w:ascii="Times New Roman" w:hAnsi="Times New Roman" w:cs="Times New Roman"/>
                <w:i/>
                <w:iCs/>
                <w:sz w:val="16"/>
                <w:szCs w:val="16"/>
              </w:rPr>
            </w:pPr>
            <w:r w:rsidRPr="00EE7F56">
              <w:rPr>
                <w:rFonts w:ascii="Times New Roman" w:hAnsi="Times New Roman" w:cs="Times New Roman"/>
                <w:i/>
                <w:iCs/>
                <w:sz w:val="16"/>
                <w:szCs w:val="16"/>
              </w:rPr>
              <w:t>F</w:t>
            </w:r>
          </w:p>
        </w:tc>
        <w:tc>
          <w:tcPr>
            <w:tcW w:w="0" w:type="auto"/>
            <w:tcBorders>
              <w:top w:val="single" w:sz="12" w:space="0" w:color="auto"/>
              <w:left w:val="nil"/>
              <w:bottom w:val="single" w:sz="4" w:space="0" w:color="auto"/>
              <w:right w:val="nil"/>
            </w:tcBorders>
            <w:vAlign w:val="center"/>
            <w:hideMark/>
          </w:tcPr>
          <w:p w14:paraId="1F42A495" w14:textId="77777777" w:rsidR="00870696" w:rsidRPr="00EE7F56" w:rsidRDefault="00870696" w:rsidP="00927269">
            <w:pPr>
              <w:ind w:leftChars="-50" w:left="-105" w:rightChars="-50" w:right="-105"/>
              <w:jc w:val="center"/>
              <w:rPr>
                <w:rFonts w:ascii="Times New Roman" w:hAnsi="Times New Roman" w:cs="Times New Roman"/>
                <w:i/>
                <w:iCs/>
                <w:sz w:val="16"/>
                <w:szCs w:val="16"/>
              </w:rPr>
            </w:pPr>
            <w:r w:rsidRPr="00EE7F56">
              <w:rPr>
                <w:rFonts w:ascii="Times New Roman" w:hAnsi="Times New Roman" w:cs="Times New Roman"/>
                <w:i/>
                <w:iCs/>
                <w:sz w:val="16"/>
                <w:szCs w:val="16"/>
              </w:rPr>
              <w:t>P</w:t>
            </w:r>
          </w:p>
        </w:tc>
      </w:tr>
      <w:tr w:rsidR="00EE7F56" w:rsidRPr="00EE7F56" w14:paraId="3B5AFFFA" w14:textId="77777777" w:rsidTr="00927269">
        <w:trPr>
          <w:trHeight w:val="278"/>
          <w:jc w:val="center"/>
        </w:trPr>
        <w:tc>
          <w:tcPr>
            <w:tcW w:w="0" w:type="auto"/>
            <w:tcBorders>
              <w:top w:val="single" w:sz="4" w:space="0" w:color="auto"/>
              <w:left w:val="nil"/>
              <w:bottom w:val="nil"/>
              <w:right w:val="nil"/>
            </w:tcBorders>
            <w:vAlign w:val="center"/>
            <w:hideMark/>
          </w:tcPr>
          <w:p w14:paraId="486A6BA6"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Regression</w:t>
            </w:r>
          </w:p>
        </w:tc>
        <w:tc>
          <w:tcPr>
            <w:tcW w:w="0" w:type="auto"/>
            <w:tcBorders>
              <w:top w:val="single" w:sz="4" w:space="0" w:color="auto"/>
              <w:left w:val="nil"/>
              <w:bottom w:val="nil"/>
              <w:right w:val="nil"/>
            </w:tcBorders>
            <w:vAlign w:val="center"/>
            <w:hideMark/>
          </w:tcPr>
          <w:p w14:paraId="35B08C8F"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1664.414</w:t>
            </w:r>
          </w:p>
        </w:tc>
        <w:tc>
          <w:tcPr>
            <w:tcW w:w="0" w:type="auto"/>
            <w:tcBorders>
              <w:top w:val="single" w:sz="4" w:space="0" w:color="auto"/>
              <w:left w:val="nil"/>
              <w:bottom w:val="nil"/>
              <w:right w:val="nil"/>
            </w:tcBorders>
            <w:vAlign w:val="center"/>
            <w:hideMark/>
          </w:tcPr>
          <w:p w14:paraId="510D07D7"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11</w:t>
            </w:r>
          </w:p>
        </w:tc>
        <w:tc>
          <w:tcPr>
            <w:tcW w:w="0" w:type="auto"/>
            <w:tcBorders>
              <w:top w:val="single" w:sz="4" w:space="0" w:color="auto"/>
              <w:left w:val="nil"/>
              <w:bottom w:val="nil"/>
              <w:right w:val="nil"/>
            </w:tcBorders>
            <w:vAlign w:val="center"/>
            <w:hideMark/>
          </w:tcPr>
          <w:p w14:paraId="7BF29E4A"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151.310</w:t>
            </w:r>
          </w:p>
        </w:tc>
        <w:tc>
          <w:tcPr>
            <w:tcW w:w="0" w:type="auto"/>
            <w:tcBorders>
              <w:top w:val="single" w:sz="4" w:space="0" w:color="auto"/>
              <w:left w:val="nil"/>
              <w:bottom w:val="nil"/>
              <w:right w:val="nil"/>
            </w:tcBorders>
            <w:vAlign w:val="center"/>
            <w:hideMark/>
          </w:tcPr>
          <w:p w14:paraId="25AF7F43"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664.284</w:t>
            </w:r>
          </w:p>
        </w:tc>
        <w:tc>
          <w:tcPr>
            <w:tcW w:w="0" w:type="auto"/>
            <w:tcBorders>
              <w:top w:val="single" w:sz="4" w:space="0" w:color="auto"/>
              <w:left w:val="nil"/>
              <w:bottom w:val="nil"/>
              <w:right w:val="nil"/>
            </w:tcBorders>
            <w:vAlign w:val="center"/>
            <w:hideMark/>
          </w:tcPr>
          <w:p w14:paraId="58B1E2EA"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0.000</w:t>
            </w:r>
          </w:p>
        </w:tc>
      </w:tr>
      <w:tr w:rsidR="00EE7F56" w:rsidRPr="00EE7F56" w14:paraId="5EFE5C4C" w14:textId="77777777" w:rsidTr="00927269">
        <w:trPr>
          <w:trHeight w:val="278"/>
          <w:jc w:val="center"/>
        </w:trPr>
        <w:tc>
          <w:tcPr>
            <w:tcW w:w="0" w:type="auto"/>
            <w:tcBorders>
              <w:top w:val="nil"/>
              <w:left w:val="nil"/>
              <w:bottom w:val="nil"/>
              <w:right w:val="nil"/>
            </w:tcBorders>
            <w:vAlign w:val="center"/>
            <w:hideMark/>
          </w:tcPr>
          <w:p w14:paraId="2D1AF2E9"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Residuals</w:t>
            </w:r>
          </w:p>
        </w:tc>
        <w:tc>
          <w:tcPr>
            <w:tcW w:w="0" w:type="auto"/>
            <w:tcBorders>
              <w:top w:val="nil"/>
              <w:left w:val="nil"/>
              <w:bottom w:val="nil"/>
              <w:right w:val="nil"/>
            </w:tcBorders>
            <w:vAlign w:val="center"/>
            <w:hideMark/>
          </w:tcPr>
          <w:p w14:paraId="7DE5AD5B"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19.133</w:t>
            </w:r>
          </w:p>
        </w:tc>
        <w:tc>
          <w:tcPr>
            <w:tcW w:w="0" w:type="auto"/>
            <w:tcBorders>
              <w:top w:val="nil"/>
              <w:left w:val="nil"/>
              <w:bottom w:val="nil"/>
              <w:right w:val="nil"/>
            </w:tcBorders>
            <w:vAlign w:val="center"/>
            <w:hideMark/>
          </w:tcPr>
          <w:p w14:paraId="6F387EA8"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84</w:t>
            </w:r>
          </w:p>
        </w:tc>
        <w:tc>
          <w:tcPr>
            <w:tcW w:w="0" w:type="auto"/>
            <w:tcBorders>
              <w:top w:val="nil"/>
              <w:left w:val="nil"/>
              <w:bottom w:val="nil"/>
              <w:right w:val="nil"/>
            </w:tcBorders>
            <w:vAlign w:val="center"/>
            <w:hideMark/>
          </w:tcPr>
          <w:p w14:paraId="655FE3F2"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0.228</w:t>
            </w:r>
          </w:p>
        </w:tc>
        <w:tc>
          <w:tcPr>
            <w:tcW w:w="0" w:type="auto"/>
            <w:tcBorders>
              <w:top w:val="nil"/>
              <w:left w:val="nil"/>
              <w:bottom w:val="nil"/>
              <w:right w:val="nil"/>
            </w:tcBorders>
            <w:vAlign w:val="center"/>
            <w:hideMark/>
          </w:tcPr>
          <w:p w14:paraId="2AB8B0EE"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0" w:type="auto"/>
            <w:tcBorders>
              <w:top w:val="nil"/>
              <w:left w:val="nil"/>
              <w:bottom w:val="nil"/>
              <w:right w:val="nil"/>
            </w:tcBorders>
            <w:vAlign w:val="center"/>
            <w:hideMark/>
          </w:tcPr>
          <w:p w14:paraId="0A68512A"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r w:rsidR="00870696" w:rsidRPr="00EE7F56" w14:paraId="3B70E1AB" w14:textId="77777777" w:rsidTr="00927269">
        <w:trPr>
          <w:trHeight w:val="278"/>
          <w:jc w:val="center"/>
        </w:trPr>
        <w:tc>
          <w:tcPr>
            <w:tcW w:w="0" w:type="auto"/>
            <w:tcBorders>
              <w:top w:val="nil"/>
              <w:left w:val="nil"/>
              <w:bottom w:val="single" w:sz="12" w:space="0" w:color="auto"/>
              <w:right w:val="nil"/>
            </w:tcBorders>
            <w:vAlign w:val="center"/>
            <w:hideMark/>
          </w:tcPr>
          <w:p w14:paraId="5F27B79C"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Sum</w:t>
            </w:r>
          </w:p>
        </w:tc>
        <w:tc>
          <w:tcPr>
            <w:tcW w:w="0" w:type="auto"/>
            <w:tcBorders>
              <w:top w:val="nil"/>
              <w:left w:val="nil"/>
              <w:bottom w:val="single" w:sz="12" w:space="0" w:color="auto"/>
              <w:right w:val="nil"/>
            </w:tcBorders>
            <w:vAlign w:val="center"/>
            <w:hideMark/>
          </w:tcPr>
          <w:p w14:paraId="11BBBA02" w14:textId="77777777" w:rsidR="00870696" w:rsidRPr="00EE7F56" w:rsidRDefault="00870696" w:rsidP="00927269">
            <w:pPr>
              <w:ind w:leftChars="-50" w:left="-105" w:rightChars="-50" w:right="-105"/>
              <w:jc w:val="center"/>
              <w:rPr>
                <w:rFonts w:ascii="Times New Roman" w:hAnsi="Times New Roman" w:cs="Times New Roman"/>
                <w:sz w:val="16"/>
                <w:szCs w:val="16"/>
              </w:rPr>
            </w:pPr>
            <w:r w:rsidRPr="00EE7F56">
              <w:rPr>
                <w:rFonts w:ascii="Times New Roman" w:hAnsi="Times New Roman" w:cs="Times New Roman"/>
                <w:sz w:val="16"/>
                <w:szCs w:val="16"/>
              </w:rPr>
              <w:t>1683.547</w:t>
            </w:r>
          </w:p>
        </w:tc>
        <w:tc>
          <w:tcPr>
            <w:tcW w:w="0" w:type="auto"/>
            <w:tcBorders>
              <w:top w:val="nil"/>
              <w:left w:val="nil"/>
              <w:bottom w:val="single" w:sz="12" w:space="0" w:color="auto"/>
              <w:right w:val="nil"/>
            </w:tcBorders>
            <w:vAlign w:val="center"/>
            <w:hideMark/>
          </w:tcPr>
          <w:p w14:paraId="69DBAC80"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95</w:t>
            </w:r>
          </w:p>
        </w:tc>
        <w:tc>
          <w:tcPr>
            <w:tcW w:w="0" w:type="auto"/>
            <w:tcBorders>
              <w:top w:val="nil"/>
              <w:left w:val="nil"/>
              <w:bottom w:val="single" w:sz="12" w:space="0" w:color="auto"/>
              <w:right w:val="nil"/>
            </w:tcBorders>
            <w:vAlign w:val="center"/>
            <w:hideMark/>
          </w:tcPr>
          <w:p w14:paraId="2B75992C"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0" w:type="auto"/>
            <w:tcBorders>
              <w:top w:val="nil"/>
              <w:left w:val="nil"/>
              <w:bottom w:val="single" w:sz="12" w:space="0" w:color="auto"/>
              <w:right w:val="nil"/>
            </w:tcBorders>
            <w:vAlign w:val="center"/>
            <w:hideMark/>
          </w:tcPr>
          <w:p w14:paraId="5981EB53"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c>
          <w:tcPr>
            <w:tcW w:w="0" w:type="auto"/>
            <w:tcBorders>
              <w:top w:val="nil"/>
              <w:left w:val="nil"/>
              <w:bottom w:val="single" w:sz="12" w:space="0" w:color="auto"/>
              <w:right w:val="nil"/>
            </w:tcBorders>
            <w:vAlign w:val="center"/>
            <w:hideMark/>
          </w:tcPr>
          <w:p w14:paraId="682DADC9" w14:textId="77777777" w:rsidR="00870696" w:rsidRPr="00EE7F56" w:rsidRDefault="00870696" w:rsidP="00927269">
            <w:pPr>
              <w:jc w:val="center"/>
              <w:rPr>
                <w:rFonts w:ascii="Times New Roman" w:hAnsi="Times New Roman" w:cs="Times New Roman"/>
                <w:sz w:val="16"/>
                <w:szCs w:val="16"/>
              </w:rPr>
            </w:pPr>
            <w:r w:rsidRPr="00EE7F56">
              <w:rPr>
                <w:rFonts w:ascii="Times New Roman" w:hAnsi="Times New Roman" w:cs="Times New Roman"/>
                <w:sz w:val="16"/>
                <w:szCs w:val="16"/>
              </w:rPr>
              <w:t>——</w:t>
            </w:r>
          </w:p>
        </w:tc>
      </w:tr>
    </w:tbl>
    <w:p w14:paraId="748E3B4E" w14:textId="77777777" w:rsidR="00870696" w:rsidRPr="00EE7F56" w:rsidRDefault="00870696" w:rsidP="00870696">
      <w:pPr>
        <w:pStyle w:val="REFBUL"/>
        <w:numPr>
          <w:ilvl w:val="0"/>
          <w:numId w:val="0"/>
        </w:numPr>
        <w:rPr>
          <w:rFonts w:eastAsia="CMR10" w:cs="Times New Roman"/>
          <w:lang w:eastAsia="en-IN"/>
        </w:rPr>
      </w:pPr>
    </w:p>
    <w:p w14:paraId="0F86058B" w14:textId="77777777" w:rsidR="00870696" w:rsidRPr="00EE7F56" w:rsidRDefault="00870696" w:rsidP="00870696">
      <w:pPr>
        <w:pStyle w:val="H1"/>
        <w:spacing w:before="300"/>
        <w:rPr>
          <w:rFonts w:ascii="Times New Roman" w:hAnsi="Times New Roman" w:cs="Times New Roman"/>
          <w:color w:val="auto"/>
        </w:rPr>
      </w:pPr>
      <w:r w:rsidRPr="00EE7F56">
        <w:rPr>
          <w:rFonts w:ascii="Times New Roman" w:hAnsi="Times New Roman" w:cs="Times New Roman"/>
          <w:color w:val="auto"/>
        </w:rPr>
        <w:t>REFERENCES</w:t>
      </w:r>
    </w:p>
    <w:p w14:paraId="6A0C5CFE" w14:textId="77777777" w:rsidR="00EE7F56" w:rsidRPr="00EE7F56" w:rsidRDefault="00EE7F56" w:rsidP="00EE7F56">
      <w:pPr>
        <w:pStyle w:val="References"/>
      </w:pPr>
      <w:bookmarkStart w:id="33" w:name="_Ref98406365"/>
      <w:bookmarkStart w:id="34" w:name="_Ref88078220"/>
      <w:bookmarkStart w:id="35" w:name="_Ref88078201"/>
      <w:bookmarkStart w:id="36" w:name="_Hlk88553896"/>
      <w:bookmarkStart w:id="37" w:name="_Hlk97645757"/>
      <w:bookmarkStart w:id="38" w:name="_Hlk97645008"/>
      <w:r w:rsidRPr="00EE7F56">
        <w:t>H. Zhao, X. Xiao, Q. Sun, “Identifying electric shock in the human body via ɑ dispersion,” IEEE Trans. Power Del., vol. 33, no. 3, pp. 1107-1114, Jun. 2018.</w:t>
      </w:r>
    </w:p>
    <w:p w14:paraId="77586DC9" w14:textId="77777777" w:rsidR="00EE7F56" w:rsidRPr="00EE7F56" w:rsidRDefault="00EE7F56" w:rsidP="00EE7F56">
      <w:pPr>
        <w:pStyle w:val="References"/>
      </w:pPr>
      <w:r w:rsidRPr="00EE7F56">
        <w:t>Y. Liu, G. Liu, W. Sheng, S. Du, J. Wang, “An electric shock impedance modeling method of living organisms in low-voltage distribution network,” in Proc. IEEE China Int. Conf. Electricity Distrib., Xi'an, China, 2016, pp. 1-5.</w:t>
      </w:r>
    </w:p>
    <w:p w14:paraId="1678BF58" w14:textId="77777777" w:rsidR="00EE7F56" w:rsidRPr="00EE7F56" w:rsidRDefault="00EE7F56" w:rsidP="00EE7F56">
      <w:pPr>
        <w:pStyle w:val="References"/>
      </w:pPr>
      <w:r w:rsidRPr="00EE7F56">
        <w:t>N. Permal, M. Osman, M. Z. A. A. Kadir, A. M. Ariffin, “Review of substation grounding system behavior under high frequency and transient faults in uniform soil,” IEEE Access, vol. 8, pp. 142468-142482, Aug. 2020</w:t>
      </w:r>
      <w:r w:rsidRPr="00EE7F56">
        <w:t>．</w:t>
      </w:r>
    </w:p>
    <w:p w14:paraId="3151483E" w14:textId="77777777" w:rsidR="00EE7F56" w:rsidRPr="00EE7F56" w:rsidRDefault="00EE7F56" w:rsidP="00EE7F56">
      <w:pPr>
        <w:pStyle w:val="References"/>
      </w:pPr>
      <w:r w:rsidRPr="00EE7F56">
        <w:t>Y. M. Liu, S. H. Du, W. X. Sheng, “Classification and identification of electric shock current for safety operation in power distribution network,” IET Control. Theory Appl., vol. 5, no. 2, pp. 145-152. Jan. 2020</w:t>
      </w:r>
      <w:r w:rsidRPr="00EE7F56">
        <w:t>．</w:t>
      </w:r>
    </w:p>
    <w:p w14:paraId="164D51FC" w14:textId="77777777" w:rsidR="00EE7F56" w:rsidRPr="00EE7F56" w:rsidRDefault="00EE7F56" w:rsidP="00EE7F56">
      <w:pPr>
        <w:pStyle w:val="References"/>
      </w:pPr>
      <w:r w:rsidRPr="00EE7F56">
        <w:t>X. Han, W. Sheng, S. Du, J. Su, G. Liu, “Novel protection scheme for residual current device-based electric fault time detection and touch current identification,” IET Gener. Transm. Distrib., vol. 11, no. 10, pp. 2478-2488, 2017.</w:t>
      </w:r>
    </w:p>
    <w:p w14:paraId="2F4EF3C2" w14:textId="77777777" w:rsidR="00EE7F56" w:rsidRPr="00EE7F56" w:rsidRDefault="00EE7F56" w:rsidP="00EE7F56">
      <w:pPr>
        <w:pStyle w:val="References"/>
      </w:pPr>
      <w:r w:rsidRPr="00EE7F56">
        <w:t>H. Guan, M. Liu, C. L. Li, et al., “Classification recognition model of electric shock fault based on wavelet packet transformation and quantum neural network,” Trans. of the Chinese Society of Agricultural Engineering, vol. 34, no. 5, pp. 183-190, May. 2018.</w:t>
      </w:r>
    </w:p>
    <w:p w14:paraId="02EA30B2" w14:textId="77777777" w:rsidR="00EE7F56" w:rsidRPr="00EE7F56" w:rsidRDefault="00EE7F56" w:rsidP="00EE7F56">
      <w:pPr>
        <w:pStyle w:val="References"/>
      </w:pPr>
      <w:r w:rsidRPr="00EE7F56">
        <w:t>G. Yang, S. Quan, W. Gao, “A new-designed biological electric shock identification method in low-voltage distribution network,” IEEE Trans. Power Del., vol. 38, no. 3, pp. 1558-1568, June. 2023.</w:t>
      </w:r>
    </w:p>
    <w:p w14:paraId="6D5AE09F" w14:textId="77777777" w:rsidR="00EE7F56" w:rsidRPr="00EE7F56" w:rsidRDefault="00EE7F56" w:rsidP="00EE7F56">
      <w:pPr>
        <w:pStyle w:val="References"/>
      </w:pPr>
      <w:r w:rsidRPr="00EE7F56">
        <w:t xml:space="preserve">C. L. Li, J. Wang, Z. Shi, C. </w:t>
      </w:r>
      <w:proofErr w:type="gramStart"/>
      <w:r w:rsidRPr="00EE7F56">
        <w:t>Y .</w:t>
      </w:r>
      <w:proofErr w:type="gramEnd"/>
      <w:r w:rsidRPr="00EE7F56">
        <w:t xml:space="preserve"> Wang, J. Luo, </w:t>
      </w:r>
      <w:proofErr w:type="gramStart"/>
      <w:r w:rsidRPr="00EE7F56">
        <w:t>P .</w:t>
      </w:r>
      <w:proofErr w:type="gramEnd"/>
      <w:r w:rsidRPr="00EE7F56">
        <w:t xml:space="preserve"> Ren, “Research on extraction method of electric shock current based on VMD-LSTM,” </w:t>
      </w:r>
      <w:proofErr w:type="gramStart"/>
      <w:r w:rsidRPr="00EE7F56">
        <w:t>J.Hunan</w:t>
      </w:r>
      <w:proofErr w:type="gramEnd"/>
      <w:r w:rsidRPr="00EE7F56">
        <w:t xml:space="preserve"> Univ. (Natural Sci.), vol. 49, no. 2, pp. 149–159, Feb. 2022.</w:t>
      </w:r>
    </w:p>
    <w:p w14:paraId="52682A4D" w14:textId="77777777" w:rsidR="00EE7F56" w:rsidRPr="00EE7F56" w:rsidRDefault="00EE7F56" w:rsidP="00EE7F56">
      <w:pPr>
        <w:pStyle w:val="References"/>
      </w:pPr>
      <w:r w:rsidRPr="00EE7F56">
        <w:t xml:space="preserve">J. Wang et al., “Spectrum analysis method of residual current based on Hilbert-Huang transform,” in Proc. IEEE Int. Conf. Probabilistic Methods Appl. Power Syst., Beijing, China, 2016, pp. 1-5. </w:t>
      </w:r>
    </w:p>
    <w:p w14:paraId="012BA42B" w14:textId="77777777" w:rsidR="00EE7F56" w:rsidRPr="00EE7F56" w:rsidRDefault="00EE7F56" w:rsidP="00EE7F56">
      <w:pPr>
        <w:pStyle w:val="References"/>
      </w:pPr>
      <w:r w:rsidRPr="00EE7F56">
        <w:rPr>
          <w:rFonts w:hint="eastAsia"/>
        </w:rPr>
        <w:t>Á</w:t>
      </w:r>
      <w:r w:rsidRPr="00EE7F56">
        <w:t>. Espín-Delgado, J. Sutaria, S. Rönnberg, N. Nakhodchi, M. Bollen, “Impact of supraharmonics and quasi-DC on the operation of residual current devices,” IET Conf. Proc., vol. 2021, no. 6, pp. 668-672, 2021.</w:t>
      </w:r>
    </w:p>
    <w:p w14:paraId="0245B115" w14:textId="77777777" w:rsidR="00EE7F56" w:rsidRPr="00EE7F56" w:rsidRDefault="00EE7F56" w:rsidP="00EE7F56">
      <w:pPr>
        <w:pStyle w:val="References"/>
      </w:pPr>
      <w:r w:rsidRPr="00EE7F56">
        <w:t>S. Czapp and K. Borowski, “Verification of safety in low-voltage power systems without nuisance tripping of residual current devices,” Electric Power Syst. Res., vol. 172, pp. 260–268, Jul. 2019</w:t>
      </w:r>
      <w:r w:rsidRPr="00EE7F56">
        <w:t>．</w:t>
      </w:r>
    </w:p>
    <w:p w14:paraId="46A73398" w14:textId="77777777" w:rsidR="00EE7F56" w:rsidRPr="00EE7F56" w:rsidRDefault="00EE7F56" w:rsidP="00EE7F56">
      <w:pPr>
        <w:pStyle w:val="References"/>
      </w:pPr>
      <w:r w:rsidRPr="00EE7F56">
        <w:t xml:space="preserve">K. Li et al., “A novel fault leakage current detection method with protection deadzone elimination,” IEEE Trans. Instrum. Meas., vol. 70, Art no. 3505009, pp. 1-9, Nov. 2021. </w:t>
      </w:r>
    </w:p>
    <w:p w14:paraId="17731FB4" w14:textId="77777777" w:rsidR="00EE7F56" w:rsidRPr="00EE7F56" w:rsidRDefault="00EE7F56" w:rsidP="00EE7F56">
      <w:pPr>
        <w:pStyle w:val="References"/>
      </w:pPr>
      <w:r w:rsidRPr="00EE7F56">
        <w:lastRenderedPageBreak/>
        <w:t>K. Li, C. Y. Xie, F. Niu, et al., “Modeling of residual current transformer considering nonlinear characteristics and design of output conditioning circuit parameters,” Proc. of the CSEE, vol. 42, no.10, pp. 3815-3826, 2022</w:t>
      </w:r>
      <w:r w:rsidRPr="00EE7F56">
        <w:t>．</w:t>
      </w:r>
    </w:p>
    <w:p w14:paraId="36940094" w14:textId="77777777" w:rsidR="00EE7F56" w:rsidRPr="00EE7F56" w:rsidRDefault="00EE7F56" w:rsidP="00EE7F56">
      <w:pPr>
        <w:pStyle w:val="References"/>
      </w:pPr>
      <w:r w:rsidRPr="00EE7F56">
        <w:t>"Child hero saves entire building's inhabitants!": An electrician in Qingdao cracks a perplexing case, chilling details emerge accessed: Mar. 06, 2024. [Online]. Available: https://m.thepaper.cn/newsDetail _forward_25159549</w:t>
      </w:r>
    </w:p>
    <w:p w14:paraId="66E6EC7B" w14:textId="77777777" w:rsidR="00EE7F56" w:rsidRPr="00EE7F56" w:rsidRDefault="00EE7F56" w:rsidP="00EE7F56">
      <w:pPr>
        <w:pStyle w:val="References"/>
      </w:pPr>
      <w:r w:rsidRPr="00EE7F56">
        <w:t xml:space="preserve">A Heartbreaking Tragedy: Electrocution in the bathroom, </w:t>
      </w:r>
      <w:proofErr w:type="gramStart"/>
      <w:r w:rsidRPr="00EE7F56">
        <w:t>Who</w:t>
      </w:r>
      <w:proofErr w:type="gramEnd"/>
      <w:r w:rsidRPr="00EE7F56">
        <w:t xml:space="preserve"> is the culprit? accessed: Mar. 06, 2024. [Online]. Available: https:// </w:t>
      </w:r>
      <w:proofErr w:type="gramStart"/>
      <w:r w:rsidRPr="00EE7F56">
        <w:t>www.sznews.com/news/content/2021-09/20/content_24585216.htm .</w:t>
      </w:r>
      <w:proofErr w:type="gramEnd"/>
    </w:p>
    <w:p w14:paraId="440B05CC" w14:textId="77777777" w:rsidR="00EE7F56" w:rsidRPr="00EE7F56" w:rsidRDefault="00EE7F56" w:rsidP="00EE7F56">
      <w:pPr>
        <w:pStyle w:val="References"/>
      </w:pPr>
      <w:r w:rsidRPr="00EE7F56">
        <w:t>M. Orlando et al., “A smart meter infrastructure for smart grid iot applications,” IEEE Internet Things J., vol. 9, no. 14, pp. 12529-12541, July. 2022</w:t>
      </w:r>
      <w:r w:rsidRPr="00EE7F56">
        <w:t>．</w:t>
      </w:r>
    </w:p>
    <w:p w14:paraId="75EA3826" w14:textId="77777777" w:rsidR="00EE7F56" w:rsidRPr="00EE7F56" w:rsidRDefault="00EE7F56" w:rsidP="00EE7F56">
      <w:pPr>
        <w:pStyle w:val="References"/>
      </w:pPr>
      <w:r w:rsidRPr="00EE7F56">
        <w:t xml:space="preserve">Y. Li, C.F. Xia, Z. Yuan, B.Q. Liao, S. Huang, “Research on residual current warning technology based on big data analysis,” J. of Physics: Conference </w:t>
      </w:r>
      <w:proofErr w:type="gramStart"/>
      <w:r w:rsidRPr="00EE7F56">
        <w:t>Series(</w:t>
      </w:r>
      <w:proofErr w:type="gramEnd"/>
      <w:r w:rsidRPr="00EE7F56">
        <w:t>JPCS), vol. 2108, no.1, pp.012012, Nov. 2021.</w:t>
      </w:r>
    </w:p>
    <w:p w14:paraId="37F84962" w14:textId="77777777" w:rsidR="00870696" w:rsidRPr="00EE7F56" w:rsidRDefault="00870696" w:rsidP="00870696">
      <w:pPr>
        <w:pStyle w:val="References"/>
      </w:pPr>
      <w:r w:rsidRPr="00EE7F56">
        <w:t>K. Bhatia, P. B. Darji</w:t>
      </w:r>
      <w:r w:rsidRPr="00EE7F56">
        <w:rPr>
          <w:lang w:eastAsia="zh-CN"/>
        </w:rPr>
        <w:t>,</w:t>
      </w:r>
      <w:r w:rsidRPr="00EE7F56">
        <w:t xml:space="preserve"> H. R. Jariwala, “Safety analysis of TN-S and TN-C-S earthing system,” in </w:t>
      </w:r>
      <w:r w:rsidRPr="00EE7F56">
        <w:rPr>
          <w:i/>
          <w:iCs/>
        </w:rPr>
        <w:t>Proc. IEEE Int. Conf. Environ. Electr. Eng.,</w:t>
      </w:r>
      <w:r w:rsidRPr="00EE7F56">
        <w:t xml:space="preserve"> Palermo, Italy, 2018, pp. 1-6.</w:t>
      </w:r>
      <w:bookmarkEnd w:id="33"/>
      <w:bookmarkEnd w:id="34"/>
    </w:p>
    <w:p w14:paraId="4B240945" w14:textId="77777777" w:rsidR="00870696" w:rsidRPr="00EE7F56" w:rsidRDefault="00870696" w:rsidP="00870696">
      <w:pPr>
        <w:pStyle w:val="References"/>
      </w:pPr>
      <w:r w:rsidRPr="00EE7F56">
        <w:t xml:space="preserve">F. Freschi, “High-frequency behaviour of residual current devices,” </w:t>
      </w:r>
      <w:r w:rsidRPr="00EE7F56">
        <w:rPr>
          <w:i/>
          <w:iCs/>
        </w:rPr>
        <w:t>IEEE Trans. Power Deliv.</w:t>
      </w:r>
      <w:r w:rsidRPr="00EE7F56">
        <w:t>, vol. 27, no. 3, pp. 1629–1635, Apr. 2012</w:t>
      </w:r>
      <w:r w:rsidRPr="00EE7F56">
        <w:rPr>
          <w:lang w:eastAsia="zh-CN"/>
        </w:rPr>
        <w:t>.</w:t>
      </w:r>
    </w:p>
    <w:p w14:paraId="40847FA5" w14:textId="77777777" w:rsidR="00870696" w:rsidRPr="00EE7F56" w:rsidRDefault="00870696" w:rsidP="00870696">
      <w:pPr>
        <w:pStyle w:val="References"/>
      </w:pPr>
      <w:r w:rsidRPr="00EE7F56">
        <w:t>F. Möller, A. M. Blanco</w:t>
      </w:r>
      <w:r w:rsidRPr="00EE7F56">
        <w:rPr>
          <w:lang w:eastAsia="zh-CN"/>
        </w:rPr>
        <w:t>,</w:t>
      </w:r>
      <w:r w:rsidRPr="00EE7F56">
        <w:t xml:space="preserve"> J. Meyer, “Characteristic leakage current of household devices and their impact on the tripping behaviour of residual current devices,”</w:t>
      </w:r>
      <w:r w:rsidRPr="00EE7F56">
        <w:rPr>
          <w:i/>
          <w:iCs/>
        </w:rPr>
        <w:t xml:space="preserve"> Electr. Power Syst. Res.</w:t>
      </w:r>
      <w:r w:rsidRPr="00EE7F56">
        <w:t>, vol. 214, 108832, Jan. 2023</w:t>
      </w:r>
      <w:r w:rsidRPr="00EE7F56">
        <w:rPr>
          <w:lang w:eastAsia="zh-CN"/>
        </w:rPr>
        <w:t>.</w:t>
      </w:r>
    </w:p>
    <w:p w14:paraId="3621C624" w14:textId="77777777" w:rsidR="00870696" w:rsidRPr="00EE7F56" w:rsidRDefault="00870696" w:rsidP="00870696">
      <w:pPr>
        <w:pStyle w:val="References"/>
      </w:pPr>
      <w:r w:rsidRPr="00EE7F56">
        <w:t>J. Sutaria, A. Espin-Delgado</w:t>
      </w:r>
      <w:r w:rsidRPr="00EE7F56">
        <w:rPr>
          <w:lang w:eastAsia="zh-CN"/>
        </w:rPr>
        <w:t>,</w:t>
      </w:r>
      <w:r w:rsidRPr="00EE7F56">
        <w:t xml:space="preserve"> S. Rönnberg, “Measurements and modeling of the frequency behavior of residual current devices-from 4 Hz to 40 kHz,”</w:t>
      </w:r>
      <w:r w:rsidRPr="00EE7F56">
        <w:rPr>
          <w:i/>
          <w:iCs/>
        </w:rPr>
        <w:t xml:space="preserve"> Electr. Power Syst. Res.</w:t>
      </w:r>
      <w:r w:rsidRPr="00EE7F56">
        <w:t>, vol. 209, 108052, Aug. 2022.</w:t>
      </w:r>
      <w:bookmarkStart w:id="39" w:name="_Hlk161395996"/>
      <w:bookmarkEnd w:id="35"/>
    </w:p>
    <w:p w14:paraId="48BB2DD1" w14:textId="77777777" w:rsidR="00870696" w:rsidRPr="00EE7F56" w:rsidRDefault="00870696" w:rsidP="00870696">
      <w:pPr>
        <w:pStyle w:val="References"/>
      </w:pPr>
      <w:r w:rsidRPr="00EE7F56">
        <w:t>Y. Wang, Q. Chen, T. Hong</w:t>
      </w:r>
      <w:r w:rsidRPr="00EE7F56">
        <w:rPr>
          <w:lang w:eastAsia="zh-CN"/>
        </w:rPr>
        <w:t>,</w:t>
      </w:r>
      <w:r w:rsidRPr="00EE7F56">
        <w:t xml:space="preserve"> C. Kang, "Review of Smart Meter Data Analytics: Applications, Methodologies, and Challenges," </w:t>
      </w:r>
      <w:r w:rsidRPr="00EE7F56">
        <w:rPr>
          <w:i/>
          <w:iCs/>
        </w:rPr>
        <w:t>IEEE Trans. Smart Grid,</w:t>
      </w:r>
      <w:r w:rsidRPr="00EE7F56">
        <w:t xml:space="preserve"> vol. 10, no. 3, pp. 3125-3148, May 2019.</w:t>
      </w:r>
      <w:bookmarkEnd w:id="39"/>
    </w:p>
    <w:p w14:paraId="4FD9837E" w14:textId="77777777" w:rsidR="00870696" w:rsidRPr="00EE7F56" w:rsidRDefault="00870696" w:rsidP="00870696">
      <w:pPr>
        <w:pStyle w:val="References"/>
      </w:pPr>
      <w:r w:rsidRPr="00EE7F56">
        <w:t>A. C. Sameepa Hettiarachchige-Don</w:t>
      </w:r>
      <w:r w:rsidRPr="00EE7F56">
        <w:rPr>
          <w:lang w:eastAsia="zh-CN"/>
        </w:rPr>
        <w:t>,</w:t>
      </w:r>
      <w:r w:rsidRPr="00EE7F56">
        <w:t xml:space="preserve"> V. Aravinthan, “Estimation of missing transmission line reactance data using multiple linear regression,” in </w:t>
      </w:r>
      <w:r w:rsidRPr="00EE7F56">
        <w:rPr>
          <w:i/>
          <w:iCs/>
        </w:rPr>
        <w:t>Proc. North Amer.</w:t>
      </w:r>
      <w:r w:rsidRPr="00EE7F56">
        <w:rPr>
          <w:i/>
          <w:iCs/>
          <w:lang w:eastAsia="zh-CN"/>
        </w:rPr>
        <w:t xml:space="preserve"> </w:t>
      </w:r>
      <w:r w:rsidRPr="00EE7F56">
        <w:rPr>
          <w:i/>
          <w:iCs/>
        </w:rPr>
        <w:t>Power Symp., Morgantown</w:t>
      </w:r>
      <w:r w:rsidRPr="00EE7F56">
        <w:t>, Morgantown, WV, USA,</w:t>
      </w:r>
      <w:r w:rsidRPr="00EE7F56">
        <w:rPr>
          <w:lang w:eastAsia="zh-CN"/>
        </w:rPr>
        <w:t xml:space="preserve"> </w:t>
      </w:r>
      <w:r w:rsidRPr="00EE7F56">
        <w:t>2017, pp. 1-6</w:t>
      </w:r>
      <w:r w:rsidRPr="00EE7F56">
        <w:rPr>
          <w:lang w:eastAsia="zh-CN"/>
        </w:rPr>
        <w:t>.</w:t>
      </w:r>
    </w:p>
    <w:p w14:paraId="66964712" w14:textId="77777777" w:rsidR="00870696" w:rsidRPr="00EE7F56" w:rsidRDefault="00870696" w:rsidP="00870696">
      <w:pPr>
        <w:pStyle w:val="References"/>
      </w:pPr>
      <w:r w:rsidRPr="00EE7F56">
        <w:t>H. H. Kenchannavar, P. M. Pujar, R. M. Kulkarni</w:t>
      </w:r>
      <w:r w:rsidRPr="00EE7F56">
        <w:rPr>
          <w:lang w:eastAsia="zh-CN"/>
        </w:rPr>
        <w:t>,</w:t>
      </w:r>
      <w:r w:rsidRPr="00EE7F56">
        <w:t xml:space="preserve"> U. P. Kulkarni, “Evaluation and analysis of goodness of fit for water quality parameters using linear regression through the internet-of-things-based water quality monitoring system,” </w:t>
      </w:r>
      <w:r w:rsidRPr="00EE7F56">
        <w:rPr>
          <w:i/>
          <w:iCs/>
        </w:rPr>
        <w:t>IEEE Internet Things J.</w:t>
      </w:r>
      <w:r w:rsidRPr="00EE7F56">
        <w:t>, vol. 9, no. 16, pp. 14400-14407, Aug. 2022</w:t>
      </w:r>
      <w:r w:rsidRPr="00EE7F56">
        <w:t>．</w:t>
      </w:r>
      <w:bookmarkStart w:id="40" w:name="_Ref88661037"/>
    </w:p>
    <w:p w14:paraId="2E3176A0" w14:textId="77777777" w:rsidR="00870696" w:rsidRPr="00EE7F56" w:rsidRDefault="00870696" w:rsidP="00870696">
      <w:pPr>
        <w:pStyle w:val="References"/>
      </w:pPr>
      <w:r w:rsidRPr="00EE7F56">
        <w:t>S</w:t>
      </w:r>
      <w:r w:rsidRPr="00EE7F56">
        <w:rPr>
          <w:lang w:eastAsia="zh-CN"/>
        </w:rPr>
        <w:t xml:space="preserve">. </w:t>
      </w:r>
      <w:r w:rsidRPr="00EE7F56">
        <w:t>Kumar</w:t>
      </w:r>
      <w:r w:rsidRPr="00EE7F56">
        <w:rPr>
          <w:lang w:eastAsia="zh-CN"/>
        </w:rPr>
        <w:t xml:space="preserve">, </w:t>
      </w:r>
      <w:r w:rsidRPr="00EE7F56">
        <w:t>S</w:t>
      </w:r>
      <w:r w:rsidRPr="00EE7F56">
        <w:rPr>
          <w:lang w:eastAsia="zh-CN"/>
        </w:rPr>
        <w:t xml:space="preserve">. </w:t>
      </w:r>
      <w:r w:rsidRPr="00EE7F56">
        <w:t>Mishra</w:t>
      </w:r>
      <w:r w:rsidRPr="00EE7F56">
        <w:rPr>
          <w:lang w:eastAsia="zh-CN"/>
        </w:rPr>
        <w:t xml:space="preserve">, </w:t>
      </w:r>
      <w:r w:rsidRPr="00EE7F56">
        <w:t>S</w:t>
      </w:r>
      <w:r w:rsidRPr="00EE7F56">
        <w:rPr>
          <w:lang w:eastAsia="zh-CN"/>
        </w:rPr>
        <w:t xml:space="preserve">. </w:t>
      </w:r>
      <w:r w:rsidRPr="00EE7F56">
        <w:t>Gupta</w:t>
      </w:r>
      <w:r w:rsidRPr="00EE7F56">
        <w:rPr>
          <w:lang w:eastAsia="zh-CN"/>
        </w:rPr>
        <w:t>, “</w:t>
      </w:r>
      <w:r w:rsidRPr="00EE7F56">
        <w:t>Short term load forecasting using ANN and multiple linear regression</w:t>
      </w:r>
      <w:r w:rsidRPr="00EE7F56">
        <w:rPr>
          <w:lang w:eastAsia="zh-CN"/>
        </w:rPr>
        <w:t xml:space="preserve">,” in </w:t>
      </w:r>
      <w:r w:rsidRPr="00EE7F56">
        <w:rPr>
          <w:i/>
          <w:iCs/>
          <w:lang w:eastAsia="zh-CN"/>
        </w:rPr>
        <w:t>Proc. 2nd Int. Conf. Comput. Intell. Commun. Technol. (CICT)</w:t>
      </w:r>
      <w:r w:rsidRPr="00EE7F56">
        <w:rPr>
          <w:lang w:eastAsia="zh-CN"/>
        </w:rPr>
        <w:t>,</w:t>
      </w:r>
      <w:r w:rsidRPr="00EE7F56">
        <w:t xml:space="preserve"> Ghaziabad, India, </w:t>
      </w:r>
      <w:bookmarkEnd w:id="40"/>
      <w:r w:rsidRPr="00EE7F56">
        <w:rPr>
          <w:lang w:eastAsia="zh-CN"/>
        </w:rPr>
        <w:t xml:space="preserve">2016, pp. </w:t>
      </w:r>
      <w:r w:rsidRPr="00EE7F56">
        <w:t>184-186</w:t>
      </w:r>
      <w:r w:rsidRPr="00EE7F56">
        <w:rPr>
          <w:lang w:eastAsia="zh-CN"/>
        </w:rPr>
        <w:t>.</w:t>
      </w:r>
    </w:p>
    <w:p w14:paraId="3AA09FFB" w14:textId="77777777" w:rsidR="00870696" w:rsidRPr="00EE7F56" w:rsidRDefault="00870696" w:rsidP="00870696">
      <w:pPr>
        <w:pStyle w:val="References"/>
      </w:pPr>
      <w:r w:rsidRPr="00EE7F56">
        <w:t>G. Kermarrec, A. Jain</w:t>
      </w:r>
      <w:r w:rsidRPr="00EE7F56">
        <w:rPr>
          <w:lang w:eastAsia="zh-CN"/>
        </w:rPr>
        <w:t>,</w:t>
      </w:r>
      <w:r w:rsidRPr="00EE7F56">
        <w:t xml:space="preserve"> S. Schön, “Kalman filter and correlated measurement noise: the variance inflation factor,” </w:t>
      </w:r>
      <w:r w:rsidRPr="00EE7F56">
        <w:rPr>
          <w:i/>
          <w:iCs/>
        </w:rPr>
        <w:t>IEEE Trans. Aerosp. Electron. Syst.</w:t>
      </w:r>
      <w:r w:rsidRPr="00EE7F56">
        <w:t>, vol. 58, no. 2, pp. 766-780, Apr. 2022.</w:t>
      </w:r>
    </w:p>
    <w:p w14:paraId="3F264171" w14:textId="77777777" w:rsidR="00870696" w:rsidRPr="00EE7F56" w:rsidRDefault="00870696" w:rsidP="00870696">
      <w:pPr>
        <w:pStyle w:val="References"/>
      </w:pPr>
      <w:r w:rsidRPr="00EE7F56">
        <w:t>O</w:t>
      </w:r>
      <w:proofErr w:type="gramStart"/>
      <w:r w:rsidRPr="00EE7F56">
        <w:t>’</w:t>
      </w:r>
      <w:proofErr w:type="gramEnd"/>
      <w:r w:rsidRPr="00EE7F56">
        <w:t xml:space="preserve">brien, R.M, “A </w:t>
      </w:r>
      <w:r w:rsidRPr="00EE7F56">
        <w:rPr>
          <w:lang w:eastAsia="zh-CN"/>
        </w:rPr>
        <w:t>c</w:t>
      </w:r>
      <w:r w:rsidRPr="00EE7F56">
        <w:t xml:space="preserve">aution </w:t>
      </w:r>
      <w:r w:rsidRPr="00EE7F56">
        <w:rPr>
          <w:lang w:eastAsia="zh-CN"/>
        </w:rPr>
        <w:t>r</w:t>
      </w:r>
      <w:r w:rsidRPr="00EE7F56">
        <w:t xml:space="preserve">egarding </w:t>
      </w:r>
      <w:r w:rsidRPr="00EE7F56">
        <w:rPr>
          <w:lang w:eastAsia="zh-CN"/>
        </w:rPr>
        <w:t>r</w:t>
      </w:r>
      <w:r w:rsidRPr="00EE7F56">
        <w:t xml:space="preserve">ules of </w:t>
      </w:r>
      <w:r w:rsidRPr="00EE7F56">
        <w:rPr>
          <w:lang w:eastAsia="zh-CN"/>
        </w:rPr>
        <w:t>t</w:t>
      </w:r>
      <w:r w:rsidRPr="00EE7F56">
        <w:t xml:space="preserve">humb for </w:t>
      </w:r>
      <w:r w:rsidRPr="00EE7F56">
        <w:rPr>
          <w:lang w:eastAsia="zh-CN"/>
        </w:rPr>
        <w:t>v</w:t>
      </w:r>
      <w:r w:rsidRPr="00EE7F56">
        <w:t xml:space="preserve">ariance </w:t>
      </w:r>
      <w:r w:rsidRPr="00EE7F56">
        <w:rPr>
          <w:lang w:eastAsia="zh-CN"/>
        </w:rPr>
        <w:t>i</w:t>
      </w:r>
      <w:r w:rsidRPr="00EE7F56">
        <w:t xml:space="preserve">nflation </w:t>
      </w:r>
      <w:r w:rsidRPr="00EE7F56">
        <w:rPr>
          <w:lang w:eastAsia="zh-CN"/>
        </w:rPr>
        <w:t>f</w:t>
      </w:r>
      <w:r w:rsidRPr="00EE7F56">
        <w:t xml:space="preserve">actors,” </w:t>
      </w:r>
      <w:r w:rsidRPr="00EE7F56">
        <w:rPr>
          <w:i/>
          <w:iCs/>
        </w:rPr>
        <w:t>Qual Quant</w:t>
      </w:r>
      <w:r w:rsidRPr="00EE7F56">
        <w:rPr>
          <w:lang w:eastAsia="zh-CN"/>
        </w:rPr>
        <w:t>，</w:t>
      </w:r>
      <w:r w:rsidRPr="00EE7F56">
        <w:rPr>
          <w:lang w:eastAsia="zh-CN"/>
        </w:rPr>
        <w:t>vol.</w:t>
      </w:r>
      <w:r w:rsidRPr="00EE7F56">
        <w:t xml:space="preserve"> 41, pp. 673–690, Mar. 2007. </w:t>
      </w:r>
      <w:bookmarkStart w:id="41" w:name="_Hlk160550891"/>
      <w:bookmarkEnd w:id="36"/>
      <w:bookmarkEnd w:id="37"/>
      <w:bookmarkEnd w:id="38"/>
    </w:p>
    <w:p w14:paraId="2E6D3E64" w14:textId="1973C822" w:rsidR="00D62855" w:rsidRPr="001D1573" w:rsidRDefault="00870696" w:rsidP="00EE7F56">
      <w:pPr>
        <w:pStyle w:val="References"/>
      </w:pPr>
      <w:r w:rsidRPr="00EE7F56">
        <w:t>Y. Yi, S. Liu, Y. Zhang, Y. Xue, W. Deng</w:t>
      </w:r>
      <w:r w:rsidRPr="00EE7F56">
        <w:rPr>
          <w:lang w:eastAsia="zh-CN"/>
        </w:rPr>
        <w:t>,</w:t>
      </w:r>
      <w:r w:rsidRPr="00EE7F56">
        <w:t xml:space="preserve"> Q. Li, “Phase identification of low-voltage distribution network based on stepwise regression method,” </w:t>
      </w:r>
      <w:r w:rsidRPr="00EE7F56">
        <w:rPr>
          <w:i/>
          <w:iCs/>
        </w:rPr>
        <w:t>J. Mod. Power Syst. Clean Energy</w:t>
      </w:r>
      <w:r w:rsidRPr="00EE7F56">
        <w:t>, vol. 11, no. 4, pp. 1224-1234, Jul. 2023.</w:t>
      </w:r>
      <w:bookmarkEnd w:id="41"/>
    </w:p>
    <w:sectPr w:rsidR="00D62855" w:rsidRPr="001D1573" w:rsidSect="00CB2DB1">
      <w:footerReference w:type="default" r:id="rId92"/>
      <w:type w:val="continuous"/>
      <w:pgSz w:w="11520" w:h="15660" w:code="1"/>
      <w:pgMar w:top="1300" w:right="740" w:bottom="1040" w:left="740" w:header="360" w:footer="640" w:gutter="0"/>
      <w:cols w:num="2" w:space="40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16FCB" w14:textId="77777777" w:rsidR="00624305" w:rsidRDefault="00624305">
      <w:r>
        <w:separator/>
      </w:r>
    </w:p>
  </w:endnote>
  <w:endnote w:type="continuationSeparator" w:id="0">
    <w:p w14:paraId="0B3C8A52" w14:textId="77777777" w:rsidR="00624305" w:rsidRDefault="00624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TimesLTStd-Roman">
    <w:altName w:val="Times New Roman"/>
    <w:panose1 w:val="00000000000000000000"/>
    <w:charset w:val="00"/>
    <w:family w:val="auto"/>
    <w:notTrueType/>
    <w:pitch w:val="default"/>
    <w:sig w:usb0="00000003" w:usb1="00000000" w:usb2="00000000" w:usb3="00000000" w:csb0="00000001" w:csb1="00000000"/>
  </w:font>
  <w:font w:name="FormataOTF-Bold">
    <w:altName w:val="Calibri"/>
    <w:panose1 w:val="00000000000000000000"/>
    <w:charset w:val="00"/>
    <w:family w:val="auto"/>
    <w:notTrueType/>
    <w:pitch w:val="default"/>
    <w:sig w:usb0="00000003" w:usb1="00000000" w:usb2="00000000" w:usb3="00000000" w:csb0="00000001" w:csb1="00000000"/>
  </w:font>
  <w:font w:name="MTSYN">
    <w:panose1 w:val="00000000000000000000"/>
    <w:charset w:val="00"/>
    <w:family w:val="auto"/>
    <w:notTrueType/>
    <w:pitch w:val="default"/>
    <w:sig w:usb0="00000003" w:usb1="00000000" w:usb2="00000000" w:usb3="00000000" w:csb0="00000001" w:csb1="00000000"/>
  </w:font>
  <w:font w:name="FormataOTF-Reg">
    <w:panose1 w:val="00000000000000000000"/>
    <w:charset w:val="00"/>
    <w:family w:val="auto"/>
    <w:notTrueType/>
    <w:pitch w:val="default"/>
    <w:sig w:usb0="00000003" w:usb1="00000000" w:usb2="00000000" w:usb3="00000000" w:csb0="00000001" w:csb1="00000000"/>
  </w:font>
  <w:font w:name="FormataOTFMd">
    <w:panose1 w:val="00000000000000000000"/>
    <w:charset w:val="00"/>
    <w:family w:val="auto"/>
    <w:notTrueType/>
    <w:pitch w:val="default"/>
    <w:sig w:usb0="00000003" w:usb1="00000000" w:usb2="00000000" w:usb3="00000000" w:csb0="00000001" w:csb1="00000000"/>
  </w:font>
  <w:font w:name="FormataOTF-Italic">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ormataOTFMdIt">
    <w:altName w:val="Calibri"/>
    <w:panose1 w:val="00000000000000000000"/>
    <w:charset w:val="00"/>
    <w:family w:val="auto"/>
    <w:notTrueType/>
    <w:pitch w:val="default"/>
    <w:sig w:usb0="00000003" w:usb1="00000000" w:usb2="00000000" w:usb3="00000000" w:csb0="00000001" w:csb1="00000000"/>
  </w:font>
  <w:font w:name="Formata-Regular">
    <w:altName w:val="Formata Regular"/>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skerville">
    <w:altName w:val="Cambria Math"/>
    <w:charset w:val="00"/>
    <w:family w:val="auto"/>
    <w:pitch w:val="variable"/>
    <w:sig w:usb0="80000063" w:usb1="00000000" w:usb2="00000000" w:usb3="00000000" w:csb0="000001FB"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方正书宋简体">
    <w:altName w:val="宋体"/>
    <w:charset w:val="86"/>
    <w:family w:val="script"/>
    <w:pitch w:val="default"/>
    <w:sig w:usb0="00000000" w:usb1="0000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方正仿宋简体">
    <w:altName w:val="Microsoft YaHei"/>
    <w:charset w:val="86"/>
    <w:family w:val="script"/>
    <w:pitch w:val="fixed"/>
    <w:sig w:usb0="00000000" w:usb1="080E0000" w:usb2="00000010" w:usb3="00000000" w:csb0="00040000" w:csb1="00000000"/>
  </w:font>
  <w:font w:name="方正黑体简体">
    <w:altName w:val="微软雅黑"/>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方正楷体简体">
    <w:altName w:val="Arial Unicode MS"/>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Formata OTF">
    <w:altName w:val="Calibri"/>
    <w:panose1 w:val="00000000000000000000"/>
    <w:charset w:val="00"/>
    <w:family w:val="modern"/>
    <w:notTrueType/>
    <w:pitch w:val="variable"/>
    <w:sig w:usb0="8000002F" w:usb1="40000048"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MR10">
    <w:altName w:val="MS Gothic"/>
    <w:panose1 w:val="00000000000000000000"/>
    <w:charset w:val="80"/>
    <w:family w:val="auto"/>
    <w:notTrueType/>
    <w:pitch w:val="default"/>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B14E3" w14:textId="77777777" w:rsidR="009C79C4" w:rsidRPr="00B979BB" w:rsidRDefault="0034184A" w:rsidP="00422716">
    <w:pPr>
      <w:pStyle w:val="a7"/>
      <w:tabs>
        <w:tab w:val="clear" w:pos="4320"/>
        <w:tab w:val="clear" w:pos="8640"/>
        <w:tab w:val="right" w:pos="10044"/>
      </w:tabs>
      <w:rPr>
        <w:rFonts w:ascii="Helvetica" w:hAnsi="Helvetica"/>
        <w:sz w:val="12"/>
        <w:szCs w:val="12"/>
      </w:rPr>
    </w:pPr>
    <w:r w:rsidRPr="00B979BB">
      <w:rPr>
        <w:rFonts w:ascii="Helvetica" w:hAnsi="Helvetica" w:cs="FormataOTF-Reg"/>
        <w:sz w:val="12"/>
        <w:szCs w:val="12"/>
      </w:rPr>
      <w:t>VOLUME XX, 2017</w:t>
    </w:r>
    <w:r w:rsidRPr="00B979BB">
      <w:rPr>
        <w:rFonts w:ascii="Helvetica" w:hAnsi="Helvetica" w:cs="FormataOTF-Reg"/>
        <w:sz w:val="12"/>
        <w:szCs w:val="12"/>
      </w:rPr>
      <w:tab/>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753D8" w14:textId="77777777" w:rsidR="005C7DF8" w:rsidRPr="00B979BB" w:rsidRDefault="0034184A" w:rsidP="005C7DF8">
    <w:pPr>
      <w:pStyle w:val="a7"/>
      <w:tabs>
        <w:tab w:val="clear" w:pos="4320"/>
        <w:tab w:val="clear" w:pos="8640"/>
        <w:tab w:val="center" w:pos="9540"/>
      </w:tabs>
      <w:rPr>
        <w:rFonts w:ascii="Helvetica" w:hAnsi="Helvetica"/>
        <w:sz w:val="12"/>
      </w:rPr>
    </w:pPr>
    <w:r>
      <w:rPr>
        <w:rFonts w:ascii="Helvetica" w:hAnsi="Helvetica" w:cs="FormataOTF-Reg"/>
        <w:sz w:val="12"/>
        <w:szCs w:val="14"/>
      </w:rPr>
      <w:t>8</w:t>
    </w:r>
    <w:r w:rsidRPr="00B979BB">
      <w:rPr>
        <w:rFonts w:ascii="Helvetica" w:hAnsi="Helvetica" w:cs="FormataOTF-Reg"/>
        <w:sz w:val="12"/>
        <w:szCs w:val="14"/>
      </w:rPr>
      <w:tab/>
    </w:r>
    <w:r w:rsidRPr="00B979BB">
      <w:rPr>
        <w:rFonts w:ascii="Helvetica" w:hAnsi="Helvetica" w:cs="FormataOTF-Reg"/>
        <w:sz w:val="12"/>
        <w:szCs w:val="12"/>
      </w:rPr>
      <w:t>VOLUME XX, 2017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C3726" w14:textId="77777777" w:rsidR="00624305" w:rsidRDefault="00624305">
      <w:r>
        <w:separator/>
      </w:r>
    </w:p>
  </w:footnote>
  <w:footnote w:type="continuationSeparator" w:id="0">
    <w:p w14:paraId="3C34886A" w14:textId="77777777" w:rsidR="00624305" w:rsidRDefault="00624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38DA5" w14:textId="5636A98E" w:rsidR="009C79C4" w:rsidRPr="00E721A9" w:rsidRDefault="00624305" w:rsidP="00E721A9">
    <w:pPr>
      <w:pStyle w:val="a5"/>
      <w:pBdr>
        <w:bottom w:val="single" w:sz="4" w:space="3" w:color="auto"/>
      </w:pBdr>
      <w:tabs>
        <w:tab w:val="clear" w:pos="4320"/>
        <w:tab w:val="left" w:pos="5532"/>
      </w:tabs>
      <w:jc w:val="right"/>
      <w:rPr>
        <w:rFonts w:ascii="Formata OTF" w:hAnsi="Formata OTF"/>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62F820A2"/>
    <w:lvl w:ilvl="0">
      <w:start w:val="1"/>
      <w:numFmt w:val="upperRoman"/>
      <w:pStyle w:val="1"/>
      <w:lvlText w:val="%1."/>
      <w:legacy w:legacy="1" w:legacySpace="144" w:legacyIndent="144"/>
      <w:lvlJc w:val="left"/>
    </w:lvl>
    <w:lvl w:ilvl="1">
      <w:start w:val="1"/>
      <w:numFmt w:val="upperLetter"/>
      <w:pStyle w:val="2"/>
      <w:lvlText w:val="%2."/>
      <w:legacy w:legacy="1" w:legacySpace="144" w:legacyIndent="144"/>
      <w:lvlJc w:val="left"/>
      <w:rPr>
        <w:b w:val="0"/>
      </w:rPr>
    </w:lvl>
    <w:lvl w:ilvl="2">
      <w:start w:val="1"/>
      <w:numFmt w:val="decimal"/>
      <w:pStyle w:val="3"/>
      <w:lvlText w:val="%3)"/>
      <w:legacy w:legacy="1" w:legacySpace="144" w:legacyIndent="144"/>
      <w:lvlJc w:val="left"/>
      <w:rPr>
        <w:i/>
      </w:rPr>
    </w:lvl>
    <w:lvl w:ilvl="3">
      <w:start w:val="1"/>
      <w:numFmt w:val="lowerLetter"/>
      <w:pStyle w:val="4"/>
      <w:lvlText w:val="%4)"/>
      <w:legacy w:legacy="1" w:legacySpace="0" w:legacyIndent="720"/>
      <w:lvlJc w:val="left"/>
      <w:pPr>
        <w:ind w:left="1578" w:hanging="720"/>
      </w:pPr>
    </w:lvl>
    <w:lvl w:ilvl="4">
      <w:start w:val="1"/>
      <w:numFmt w:val="decimal"/>
      <w:pStyle w:val="5"/>
      <w:lvlText w:val="(%5)"/>
      <w:legacy w:legacy="1" w:legacySpace="0" w:legacyIndent="720"/>
      <w:lvlJc w:val="left"/>
      <w:pPr>
        <w:ind w:left="2298" w:hanging="720"/>
      </w:pPr>
    </w:lvl>
    <w:lvl w:ilvl="5">
      <w:start w:val="1"/>
      <w:numFmt w:val="lowerLetter"/>
      <w:pStyle w:val="6"/>
      <w:lvlText w:val="(%6)"/>
      <w:legacy w:legacy="1" w:legacySpace="0" w:legacyIndent="720"/>
      <w:lvlJc w:val="left"/>
      <w:pPr>
        <w:ind w:left="3018" w:hanging="720"/>
      </w:pPr>
    </w:lvl>
    <w:lvl w:ilvl="6">
      <w:start w:val="1"/>
      <w:numFmt w:val="lowerRoman"/>
      <w:pStyle w:val="7"/>
      <w:lvlText w:val="(%7)"/>
      <w:legacy w:legacy="1" w:legacySpace="0" w:legacyIndent="720"/>
      <w:lvlJc w:val="left"/>
      <w:pPr>
        <w:ind w:left="3738" w:hanging="720"/>
      </w:pPr>
    </w:lvl>
    <w:lvl w:ilvl="7">
      <w:start w:val="1"/>
      <w:numFmt w:val="lowerLetter"/>
      <w:pStyle w:val="8"/>
      <w:lvlText w:val="(%8)"/>
      <w:legacy w:legacy="1" w:legacySpace="0" w:legacyIndent="720"/>
      <w:lvlJc w:val="left"/>
      <w:pPr>
        <w:ind w:left="4458" w:hanging="720"/>
      </w:pPr>
    </w:lvl>
    <w:lvl w:ilvl="8">
      <w:start w:val="1"/>
      <w:numFmt w:val="lowerRoman"/>
      <w:pStyle w:val="9"/>
      <w:lvlText w:val="(%9)"/>
      <w:legacy w:legacy="1" w:legacySpace="0" w:legacyIndent="720"/>
      <w:lvlJc w:val="left"/>
      <w:pPr>
        <w:ind w:left="5178" w:hanging="720"/>
      </w:pPr>
    </w:lvl>
  </w:abstractNum>
  <w:abstractNum w:abstractNumId="1" w15:restartNumberingAfterBreak="0">
    <w:nsid w:val="00334CBB"/>
    <w:multiLevelType w:val="multilevel"/>
    <w:tmpl w:val="7C88D4CC"/>
    <w:lvl w:ilvl="0">
      <w:start w:val="2"/>
      <w:numFmt w:val="upperLetter"/>
      <w:pStyle w:val="H2Cont"/>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7C07FDF"/>
    <w:multiLevelType w:val="multilevel"/>
    <w:tmpl w:val="CD96871E"/>
    <w:styleLink w:val="H2Restart"/>
    <w:lvl w:ilvl="0">
      <w:start w:val="1"/>
      <w:numFmt w:val="upperLetter"/>
      <w:suff w:val="space"/>
      <w:lvlText w:val="%1."/>
      <w:lvlJc w:val="left"/>
      <w:pPr>
        <w:ind w:left="18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96E735E"/>
    <w:multiLevelType w:val="multilevel"/>
    <w:tmpl w:val="CD96871E"/>
    <w:numStyleLink w:val="H2Restart"/>
  </w:abstractNum>
  <w:abstractNum w:abstractNumId="4" w15:restartNumberingAfterBreak="0">
    <w:nsid w:val="0DEA0F58"/>
    <w:multiLevelType w:val="multilevel"/>
    <w:tmpl w:val="A3CEC990"/>
    <w:styleLink w:val="H2afterH1New"/>
    <w:lvl w:ilvl="0">
      <w:start w:val="1"/>
      <w:numFmt w:val="upperLetter"/>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17274C"/>
    <w:multiLevelType w:val="singleLevel"/>
    <w:tmpl w:val="04090011"/>
    <w:lvl w:ilvl="0">
      <w:start w:val="1"/>
      <w:numFmt w:val="decimal"/>
      <w:pStyle w:val="Theorem"/>
      <w:lvlText w:val="%1)"/>
      <w:lvlJc w:val="left"/>
      <w:pPr>
        <w:tabs>
          <w:tab w:val="num" w:pos="360"/>
        </w:tabs>
        <w:ind w:left="360" w:hanging="360"/>
      </w:pPr>
    </w:lvl>
  </w:abstractNum>
  <w:abstractNum w:abstractNumId="6" w15:restartNumberingAfterBreak="0">
    <w:nsid w:val="256849EF"/>
    <w:multiLevelType w:val="multilevel"/>
    <w:tmpl w:val="86D4EC90"/>
    <w:lvl w:ilvl="0">
      <w:start w:val="5"/>
      <w:numFmt w:val="upperLetter"/>
      <w:pStyle w:val="H2ConSpaceBefore12pt"/>
      <w:suff w:val="space"/>
      <w:lvlText w:val="%1."/>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F8B23F8"/>
    <w:multiLevelType w:val="singleLevel"/>
    <w:tmpl w:val="12CEED98"/>
    <w:lvl w:ilvl="0">
      <w:start w:val="1"/>
      <w:numFmt w:val="decimal"/>
      <w:pStyle w:val="Lemma"/>
      <w:lvlText w:val="%1."/>
      <w:legacy w:legacy="1" w:legacySpace="0" w:legacyIndent="360"/>
      <w:lvlJc w:val="left"/>
      <w:pPr>
        <w:ind w:left="360" w:hanging="360"/>
      </w:pPr>
    </w:lvl>
  </w:abstractNum>
  <w:abstractNum w:abstractNumId="8" w15:restartNumberingAfterBreak="0">
    <w:nsid w:val="33E4726D"/>
    <w:multiLevelType w:val="multilevel"/>
    <w:tmpl w:val="90B4B226"/>
    <w:lvl w:ilvl="0">
      <w:start w:val="1"/>
      <w:numFmt w:val="upperRoman"/>
      <w:pStyle w:val="H1ListNoSpace"/>
      <w:suff w:val="space"/>
      <w:lvlText w:val="%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7A62AE8"/>
    <w:multiLevelType w:val="hybridMultilevel"/>
    <w:tmpl w:val="31D04022"/>
    <w:lvl w:ilvl="0" w:tplc="04090015">
      <w:start w:val="1"/>
      <w:numFmt w:val="upperLetter"/>
      <w:pStyle w:val="H2AfterH1"/>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37E4B88C"/>
    <w:lvl w:ilvl="0">
      <w:start w:val="1"/>
      <w:numFmt w:val="decimal"/>
      <w:pStyle w:val="References"/>
      <w:lvlText w:val="[%1]"/>
      <w:lvlJc w:val="left"/>
      <w:pPr>
        <w:tabs>
          <w:tab w:val="num" w:pos="1170"/>
        </w:tabs>
        <w:ind w:left="1170" w:hanging="360"/>
      </w:pPr>
      <w:rPr>
        <w:i w:val="0"/>
      </w:rPr>
    </w:lvl>
  </w:abstractNum>
  <w:abstractNum w:abstractNumId="11" w15:restartNumberingAfterBreak="0">
    <w:nsid w:val="3B240BA4"/>
    <w:multiLevelType w:val="multilevel"/>
    <w:tmpl w:val="ACAAA3AA"/>
    <w:lvl w:ilvl="0">
      <w:start w:val="1"/>
      <w:numFmt w:val="decimal"/>
      <w:pStyle w:val="H3"/>
      <w:lvlText w:val="%1)"/>
      <w:lvlJc w:val="left"/>
      <w:pPr>
        <w:tabs>
          <w:tab w:val="num" w:pos="320"/>
        </w:tabs>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AD925CE"/>
    <w:multiLevelType w:val="multilevel"/>
    <w:tmpl w:val="3D72A97E"/>
    <w:lvl w:ilvl="0">
      <w:start w:val="4"/>
      <w:numFmt w:val="upperLetter"/>
      <w:pStyle w:val="H2ConNoSpace"/>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5D64C9C"/>
    <w:multiLevelType w:val="hybridMultilevel"/>
    <w:tmpl w:val="A45CD83A"/>
    <w:lvl w:ilvl="0" w:tplc="B6E8773A">
      <w:start w:val="1"/>
      <w:numFmt w:val="bullet"/>
      <w:pStyle w:val="REFBU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C20FDB"/>
    <w:multiLevelType w:val="multilevel"/>
    <w:tmpl w:val="4C909A88"/>
    <w:lvl w:ilvl="0">
      <w:start w:val="1"/>
      <w:numFmt w:val="decimal"/>
      <w:pStyle w:val="FigCaption"/>
      <w:lvlText w:val="FIGURE %1."/>
      <w:lvlJc w:val="left"/>
      <w:pPr>
        <w:tabs>
          <w:tab w:val="num" w:pos="760"/>
        </w:tabs>
        <w:ind w:left="0" w:firstLine="0"/>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6A1E5FA6"/>
    <w:multiLevelType w:val="hybridMultilevel"/>
    <w:tmpl w:val="4344FB3C"/>
    <w:lvl w:ilvl="0" w:tplc="F8AA2B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BFE4F79"/>
    <w:multiLevelType w:val="hybridMultilevel"/>
    <w:tmpl w:val="2E865934"/>
    <w:lvl w:ilvl="0" w:tplc="6B505B88">
      <w:start w:val="1"/>
      <w:numFmt w:val="upperLetter"/>
      <w:pStyle w:val="H2First"/>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6C181062"/>
    <w:multiLevelType w:val="multilevel"/>
    <w:tmpl w:val="6C181062"/>
    <w:lvl w:ilvl="0">
      <w:start w:val="1"/>
      <w:numFmt w:val="decimal"/>
      <w:pStyle w:val="a"/>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0"/>
  </w:num>
  <w:num w:numId="2">
    <w:abstractNumId w:val="5"/>
  </w:num>
  <w:num w:numId="3">
    <w:abstractNumId w:val="10"/>
  </w:num>
  <w:num w:numId="4">
    <w:abstractNumId w:val="8"/>
  </w:num>
  <w:num w:numId="5">
    <w:abstractNumId w:val="14"/>
  </w:num>
  <w:num w:numId="6">
    <w:abstractNumId w:val="11"/>
  </w:num>
  <w:num w:numId="7">
    <w:abstractNumId w:val="12"/>
  </w:num>
  <w:num w:numId="8">
    <w:abstractNumId w:val="4"/>
  </w:num>
  <w:num w:numId="9">
    <w:abstractNumId w:val="2"/>
  </w:num>
  <w:num w:numId="10">
    <w:abstractNumId w:val="3"/>
    <w:lvlOverride w:ilvl="0">
      <w:lvl w:ilvl="0">
        <w:start w:val="1"/>
        <w:numFmt w:val="upperLetter"/>
        <w:suff w:val="space"/>
        <w:lvlText w:val="%1."/>
        <w:lvlJc w:val="left"/>
        <w:pPr>
          <w:ind w:left="0" w:firstLine="0"/>
        </w:pPr>
        <w:rPr>
          <w:rFonts w:hint="default"/>
        </w:rPr>
      </w:lvl>
    </w:lvlOverride>
  </w:num>
  <w:num w:numId="11">
    <w:abstractNumId w:val="6"/>
  </w:num>
  <w:num w:numId="12">
    <w:abstractNumId w:val="16"/>
  </w:num>
  <w:num w:numId="13">
    <w:abstractNumId w:val="9"/>
  </w:num>
  <w:num w:numId="14">
    <w:abstractNumId w:val="1"/>
  </w:num>
  <w:num w:numId="15">
    <w:abstractNumId w:val="13"/>
  </w:num>
  <w:num w:numId="16">
    <w:abstractNumId w:val="7"/>
  </w:num>
  <w:num w:numId="17">
    <w:abstractNumId w:val="17"/>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0696"/>
    <w:rsid w:val="000B0970"/>
    <w:rsid w:val="001D1573"/>
    <w:rsid w:val="0034184A"/>
    <w:rsid w:val="00624305"/>
    <w:rsid w:val="007A6892"/>
    <w:rsid w:val="007E5435"/>
    <w:rsid w:val="00870696"/>
    <w:rsid w:val="008D5240"/>
    <w:rsid w:val="009138CE"/>
    <w:rsid w:val="00B21151"/>
    <w:rsid w:val="00C21D60"/>
    <w:rsid w:val="00D34E37"/>
    <w:rsid w:val="00D62855"/>
    <w:rsid w:val="00E9160F"/>
    <w:rsid w:val="00EE7F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D3E517"/>
  <w15:chartTrackingRefBased/>
  <w15:docId w15:val="{A3916944-D099-4156-AB9A-26756C471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style>
  <w:style w:type="paragraph" w:styleId="1">
    <w:name w:val="heading 1"/>
    <w:aliases w:val="标题1,Section Heading,标题11,Section Heading1,标题12,Section Heading2,标题13,Section Heading3,标题14,Section Heading4,标题15,Section Heading5,标题111,Section Heading11,标题121,Section Heading21,标题131,Section Heading31,标题141,Section Heading41,标题16,标题112,标题122"/>
    <w:basedOn w:val="a0"/>
    <w:next w:val="a0"/>
    <w:link w:val="10"/>
    <w:uiPriority w:val="9"/>
    <w:qFormat/>
    <w:rsid w:val="00870696"/>
    <w:pPr>
      <w:keepNext/>
      <w:widowControl/>
      <w:numPr>
        <w:numId w:val="1"/>
      </w:numPr>
      <w:spacing w:before="240" w:after="80"/>
      <w:jc w:val="center"/>
      <w:outlineLvl w:val="0"/>
    </w:pPr>
    <w:rPr>
      <w:rFonts w:ascii="Times New Roman" w:hAnsi="Times New Roman" w:cs="Times New Roman"/>
      <w:smallCaps/>
      <w:kern w:val="28"/>
      <w:sz w:val="20"/>
      <w:szCs w:val="20"/>
      <w:lang w:val="x-none" w:eastAsia="x-none"/>
    </w:rPr>
  </w:style>
  <w:style w:type="paragraph" w:styleId="2">
    <w:name w:val="heading 2"/>
    <w:aliases w:val="一级节名,H2,Heading 2 Hidden,Heading 2 CCBS,heading 2,标题2,Subsection Heading,标题21,Subsection Heading1,标题22,Subsection Heading2,标题23,Subsection Heading3,标题24,Subsection Heading4,标题25,Subsection Heading5,标题211,Subsection Heading11,标题221,标题231,标题241,标题26"/>
    <w:basedOn w:val="a0"/>
    <w:next w:val="a0"/>
    <w:link w:val="20"/>
    <w:uiPriority w:val="9"/>
    <w:qFormat/>
    <w:rsid w:val="00870696"/>
    <w:pPr>
      <w:keepNext/>
      <w:widowControl/>
      <w:numPr>
        <w:ilvl w:val="1"/>
        <w:numId w:val="1"/>
      </w:numPr>
      <w:spacing w:before="120" w:after="60"/>
      <w:jc w:val="left"/>
      <w:outlineLvl w:val="1"/>
    </w:pPr>
    <w:rPr>
      <w:rFonts w:ascii="Times New Roman" w:hAnsi="Times New Roman" w:cs="Times New Roman"/>
      <w:i/>
      <w:iCs/>
      <w:kern w:val="0"/>
      <w:sz w:val="20"/>
      <w:szCs w:val="20"/>
      <w:lang w:val="x-none" w:eastAsia="x-none"/>
    </w:rPr>
  </w:style>
  <w:style w:type="paragraph" w:styleId="3">
    <w:name w:val="heading 3"/>
    <w:basedOn w:val="a0"/>
    <w:next w:val="a0"/>
    <w:link w:val="30"/>
    <w:qFormat/>
    <w:rsid w:val="00870696"/>
    <w:pPr>
      <w:keepNext/>
      <w:widowControl/>
      <w:numPr>
        <w:ilvl w:val="2"/>
        <w:numId w:val="1"/>
      </w:numPr>
      <w:jc w:val="left"/>
      <w:outlineLvl w:val="2"/>
    </w:pPr>
    <w:rPr>
      <w:rFonts w:ascii="Times New Roman" w:hAnsi="Times New Roman" w:cs="Times New Roman"/>
      <w:i/>
      <w:iCs/>
      <w:kern w:val="0"/>
      <w:sz w:val="20"/>
      <w:szCs w:val="20"/>
      <w:lang w:eastAsia="en-US"/>
    </w:rPr>
  </w:style>
  <w:style w:type="paragraph" w:styleId="4">
    <w:name w:val="heading 4"/>
    <w:aliases w:val="标题 4 三极题名,标题41,标题42,标题43,标题411,标题421,标题44,标题412,标题422,标题45,标题413,标题423,标题431,标题4111,标题4211,标题441,标题4121,标题4221,标题46,标题414,标题424,标题432,标题4112,标题4212,标题442,标题4122,标题4222,标题47,标题415,标题425,标题433,标题4113,标题4213,标题443,标题4123,标题4223,标题48,标题416,标题49"/>
    <w:basedOn w:val="a0"/>
    <w:next w:val="a0"/>
    <w:link w:val="40"/>
    <w:qFormat/>
    <w:rsid w:val="00870696"/>
    <w:pPr>
      <w:keepNext/>
      <w:widowControl/>
      <w:numPr>
        <w:ilvl w:val="3"/>
        <w:numId w:val="1"/>
      </w:numPr>
      <w:spacing w:before="240" w:after="60"/>
      <w:jc w:val="left"/>
      <w:outlineLvl w:val="3"/>
    </w:pPr>
    <w:rPr>
      <w:rFonts w:ascii="Times New Roman" w:hAnsi="Times New Roman" w:cs="Times New Roman"/>
      <w:i/>
      <w:iCs/>
      <w:kern w:val="0"/>
      <w:sz w:val="18"/>
      <w:szCs w:val="18"/>
      <w:lang w:eastAsia="en-US"/>
    </w:rPr>
  </w:style>
  <w:style w:type="paragraph" w:styleId="5">
    <w:name w:val="heading 5"/>
    <w:basedOn w:val="a0"/>
    <w:next w:val="a0"/>
    <w:link w:val="50"/>
    <w:qFormat/>
    <w:rsid w:val="00870696"/>
    <w:pPr>
      <w:widowControl/>
      <w:numPr>
        <w:ilvl w:val="4"/>
        <w:numId w:val="1"/>
      </w:numPr>
      <w:spacing w:before="240" w:after="60"/>
      <w:jc w:val="left"/>
      <w:outlineLvl w:val="4"/>
    </w:pPr>
    <w:rPr>
      <w:rFonts w:ascii="Times New Roman" w:hAnsi="Times New Roman" w:cs="Times New Roman"/>
      <w:kern w:val="0"/>
      <w:sz w:val="18"/>
      <w:szCs w:val="18"/>
      <w:lang w:eastAsia="en-US"/>
    </w:rPr>
  </w:style>
  <w:style w:type="paragraph" w:styleId="6">
    <w:name w:val="heading 6"/>
    <w:basedOn w:val="a0"/>
    <w:next w:val="a0"/>
    <w:link w:val="60"/>
    <w:qFormat/>
    <w:rsid w:val="00870696"/>
    <w:pPr>
      <w:widowControl/>
      <w:numPr>
        <w:ilvl w:val="5"/>
        <w:numId w:val="1"/>
      </w:numPr>
      <w:spacing w:before="240" w:after="60"/>
      <w:jc w:val="left"/>
      <w:outlineLvl w:val="5"/>
    </w:pPr>
    <w:rPr>
      <w:rFonts w:ascii="Times New Roman" w:hAnsi="Times New Roman" w:cs="Times New Roman"/>
      <w:i/>
      <w:iCs/>
      <w:kern w:val="0"/>
      <w:sz w:val="16"/>
      <w:szCs w:val="16"/>
      <w:lang w:eastAsia="en-US"/>
    </w:rPr>
  </w:style>
  <w:style w:type="paragraph" w:styleId="7">
    <w:name w:val="heading 7"/>
    <w:basedOn w:val="a0"/>
    <w:next w:val="a0"/>
    <w:link w:val="70"/>
    <w:qFormat/>
    <w:rsid w:val="00870696"/>
    <w:pPr>
      <w:widowControl/>
      <w:numPr>
        <w:ilvl w:val="6"/>
        <w:numId w:val="1"/>
      </w:numPr>
      <w:spacing w:before="240" w:after="60"/>
      <w:jc w:val="left"/>
      <w:outlineLvl w:val="6"/>
    </w:pPr>
    <w:rPr>
      <w:rFonts w:ascii="Times New Roman" w:hAnsi="Times New Roman" w:cs="Times New Roman"/>
      <w:kern w:val="0"/>
      <w:sz w:val="16"/>
      <w:szCs w:val="16"/>
      <w:lang w:eastAsia="en-US"/>
    </w:rPr>
  </w:style>
  <w:style w:type="paragraph" w:styleId="8">
    <w:name w:val="heading 8"/>
    <w:basedOn w:val="a0"/>
    <w:next w:val="a0"/>
    <w:link w:val="80"/>
    <w:qFormat/>
    <w:rsid w:val="00870696"/>
    <w:pPr>
      <w:widowControl/>
      <w:numPr>
        <w:ilvl w:val="7"/>
        <w:numId w:val="1"/>
      </w:numPr>
      <w:spacing w:before="240" w:after="60"/>
      <w:jc w:val="left"/>
      <w:outlineLvl w:val="7"/>
    </w:pPr>
    <w:rPr>
      <w:rFonts w:ascii="Times New Roman" w:hAnsi="Times New Roman" w:cs="Times New Roman"/>
      <w:i/>
      <w:iCs/>
      <w:kern w:val="0"/>
      <w:sz w:val="16"/>
      <w:szCs w:val="16"/>
      <w:lang w:eastAsia="en-US"/>
    </w:rPr>
  </w:style>
  <w:style w:type="paragraph" w:styleId="9">
    <w:name w:val="heading 9"/>
    <w:basedOn w:val="a0"/>
    <w:next w:val="a0"/>
    <w:link w:val="90"/>
    <w:qFormat/>
    <w:rsid w:val="00870696"/>
    <w:pPr>
      <w:widowControl/>
      <w:numPr>
        <w:ilvl w:val="8"/>
        <w:numId w:val="1"/>
      </w:numPr>
      <w:spacing w:before="240" w:after="60"/>
      <w:jc w:val="left"/>
      <w:outlineLvl w:val="8"/>
    </w:pPr>
    <w:rPr>
      <w:rFonts w:ascii="Times New Roman" w:hAnsi="Times New Roman" w:cs="Times New Roman"/>
      <w:kern w:val="0"/>
      <w:sz w:val="16"/>
      <w:szCs w:val="16"/>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标题1 字符,Section Heading 字符,标题11 字符,Section Heading1 字符,标题12 字符,Section Heading2 字符,标题13 字符,Section Heading3 字符,标题14 字符,Section Heading4 字符,标题15 字符,Section Heading5 字符,标题111 字符,Section Heading11 字符,标题121 字符,Section Heading21 字符,标题131 字符,标题141 字符"/>
    <w:basedOn w:val="a1"/>
    <w:link w:val="1"/>
    <w:uiPriority w:val="9"/>
    <w:rsid w:val="00870696"/>
    <w:rPr>
      <w:rFonts w:ascii="Times New Roman" w:hAnsi="Times New Roman" w:cs="Times New Roman"/>
      <w:smallCaps/>
      <w:kern w:val="28"/>
      <w:sz w:val="20"/>
      <w:szCs w:val="20"/>
      <w:lang w:val="x-none" w:eastAsia="x-none"/>
    </w:rPr>
  </w:style>
  <w:style w:type="character" w:customStyle="1" w:styleId="20">
    <w:name w:val="标题 2 字符"/>
    <w:aliases w:val="一级节名 字符,H2 字符,Heading 2 Hidden 字符,Heading 2 CCBS 字符,heading 2 字符,标题2 字符,Subsection Heading 字符,标题21 字符,Subsection Heading1 字符,标题22 字符,Subsection Heading2 字符,标题23 字符,Subsection Heading3 字符,标题24 字符,Subsection Heading4 字符,标题25 字符,标题211 字符,标题221 字符"/>
    <w:basedOn w:val="a1"/>
    <w:link w:val="2"/>
    <w:uiPriority w:val="9"/>
    <w:rsid w:val="00870696"/>
    <w:rPr>
      <w:rFonts w:ascii="Times New Roman" w:hAnsi="Times New Roman" w:cs="Times New Roman"/>
      <w:i/>
      <w:iCs/>
      <w:kern w:val="0"/>
      <w:sz w:val="20"/>
      <w:szCs w:val="20"/>
      <w:lang w:val="x-none" w:eastAsia="x-none"/>
    </w:rPr>
  </w:style>
  <w:style w:type="character" w:customStyle="1" w:styleId="30">
    <w:name w:val="标题 3 字符"/>
    <w:basedOn w:val="a1"/>
    <w:link w:val="3"/>
    <w:rsid w:val="00870696"/>
    <w:rPr>
      <w:rFonts w:ascii="Times New Roman" w:hAnsi="Times New Roman" w:cs="Times New Roman"/>
      <w:i/>
      <w:iCs/>
      <w:kern w:val="0"/>
      <w:sz w:val="20"/>
      <w:szCs w:val="20"/>
      <w:lang w:eastAsia="en-US"/>
    </w:rPr>
  </w:style>
  <w:style w:type="character" w:customStyle="1" w:styleId="40">
    <w:name w:val="标题 4 字符"/>
    <w:aliases w:val="标题 4 三极题名 字符,标题41 字符,标题42 字符,标题43 字符,标题411 字符,标题421 字符,标题44 字符,标题412 字符,标题422 字符,标题45 字符,标题413 字符,标题423 字符,标题431 字符,标题4111 字符,标题4211 字符,标题441 字符,标题4121 字符,标题4221 字符,标题46 字符,标题414 字符,标题424 字符,标题432 字符,标题4112 字符,标题4212 字符,标题442 字符,标题4122 字符"/>
    <w:basedOn w:val="a1"/>
    <w:link w:val="4"/>
    <w:rsid w:val="00870696"/>
    <w:rPr>
      <w:rFonts w:ascii="Times New Roman" w:hAnsi="Times New Roman" w:cs="Times New Roman"/>
      <w:i/>
      <w:iCs/>
      <w:kern w:val="0"/>
      <w:sz w:val="18"/>
      <w:szCs w:val="18"/>
      <w:lang w:eastAsia="en-US"/>
    </w:rPr>
  </w:style>
  <w:style w:type="character" w:customStyle="1" w:styleId="50">
    <w:name w:val="标题 5 字符"/>
    <w:basedOn w:val="a1"/>
    <w:link w:val="5"/>
    <w:rsid w:val="00870696"/>
    <w:rPr>
      <w:rFonts w:ascii="Times New Roman" w:hAnsi="Times New Roman" w:cs="Times New Roman"/>
      <w:kern w:val="0"/>
      <w:sz w:val="18"/>
      <w:szCs w:val="18"/>
      <w:lang w:eastAsia="en-US"/>
    </w:rPr>
  </w:style>
  <w:style w:type="character" w:customStyle="1" w:styleId="60">
    <w:name w:val="标题 6 字符"/>
    <w:basedOn w:val="a1"/>
    <w:link w:val="6"/>
    <w:rsid w:val="00870696"/>
    <w:rPr>
      <w:rFonts w:ascii="Times New Roman" w:hAnsi="Times New Roman" w:cs="Times New Roman"/>
      <w:i/>
      <w:iCs/>
      <w:kern w:val="0"/>
      <w:sz w:val="16"/>
      <w:szCs w:val="16"/>
      <w:lang w:eastAsia="en-US"/>
    </w:rPr>
  </w:style>
  <w:style w:type="character" w:customStyle="1" w:styleId="70">
    <w:name w:val="标题 7 字符"/>
    <w:basedOn w:val="a1"/>
    <w:link w:val="7"/>
    <w:rsid w:val="00870696"/>
    <w:rPr>
      <w:rFonts w:ascii="Times New Roman" w:hAnsi="Times New Roman" w:cs="Times New Roman"/>
      <w:kern w:val="0"/>
      <w:sz w:val="16"/>
      <w:szCs w:val="16"/>
      <w:lang w:eastAsia="en-US"/>
    </w:rPr>
  </w:style>
  <w:style w:type="character" w:customStyle="1" w:styleId="80">
    <w:name w:val="标题 8 字符"/>
    <w:basedOn w:val="a1"/>
    <w:link w:val="8"/>
    <w:rsid w:val="00870696"/>
    <w:rPr>
      <w:rFonts w:ascii="Times New Roman" w:hAnsi="Times New Roman" w:cs="Times New Roman"/>
      <w:i/>
      <w:iCs/>
      <w:kern w:val="0"/>
      <w:sz w:val="16"/>
      <w:szCs w:val="16"/>
      <w:lang w:eastAsia="en-US"/>
    </w:rPr>
  </w:style>
  <w:style w:type="character" w:customStyle="1" w:styleId="90">
    <w:name w:val="标题 9 字符"/>
    <w:basedOn w:val="a1"/>
    <w:link w:val="9"/>
    <w:rsid w:val="00870696"/>
    <w:rPr>
      <w:rFonts w:ascii="Times New Roman" w:hAnsi="Times New Roman" w:cs="Times New Roman"/>
      <w:kern w:val="0"/>
      <w:sz w:val="16"/>
      <w:szCs w:val="16"/>
      <w:lang w:eastAsia="en-US"/>
    </w:rPr>
  </w:style>
  <w:style w:type="character" w:styleId="a4">
    <w:name w:val="Hyperlink"/>
    <w:uiPriority w:val="99"/>
    <w:rsid w:val="00870696"/>
    <w:rPr>
      <w:color w:val="0000FF"/>
      <w:u w:val="single"/>
    </w:rPr>
  </w:style>
  <w:style w:type="paragraph" w:customStyle="1" w:styleId="DOP">
    <w:name w:val="DOP"/>
    <w:basedOn w:val="a0"/>
    <w:rsid w:val="00870696"/>
    <w:pPr>
      <w:widowControl/>
      <w:spacing w:after="120"/>
      <w:jc w:val="left"/>
    </w:pPr>
    <w:rPr>
      <w:rFonts w:ascii="Helvetica" w:hAnsi="Helvetica" w:cs="Times New Roman"/>
      <w:kern w:val="0"/>
      <w:sz w:val="14"/>
      <w:szCs w:val="14"/>
      <w:lang w:eastAsia="en-US"/>
    </w:rPr>
  </w:style>
  <w:style w:type="paragraph" w:customStyle="1" w:styleId="DOI">
    <w:name w:val="DOI"/>
    <w:basedOn w:val="a0"/>
    <w:rsid w:val="00870696"/>
    <w:pPr>
      <w:widowControl/>
      <w:jc w:val="left"/>
    </w:pPr>
    <w:rPr>
      <w:rFonts w:ascii="Times New Roman" w:hAnsi="Times New Roman" w:cs="Times New Roman"/>
      <w:i/>
      <w:kern w:val="0"/>
      <w:sz w:val="12"/>
      <w:szCs w:val="12"/>
      <w:lang w:eastAsia="en-US"/>
    </w:rPr>
  </w:style>
  <w:style w:type="paragraph" w:customStyle="1" w:styleId="Abstract">
    <w:name w:val="Abstract"/>
    <w:basedOn w:val="a0"/>
    <w:link w:val="AbstractChar"/>
    <w:rsid w:val="00870696"/>
    <w:pPr>
      <w:widowControl/>
      <w:spacing w:after="340" w:line="240" w:lineRule="exact"/>
      <w:ind w:right="1380"/>
    </w:pPr>
    <w:rPr>
      <w:rFonts w:ascii="Times New Roman" w:hAnsi="Times New Roman" w:cs="Times New Roman"/>
      <w:kern w:val="0"/>
      <w:sz w:val="20"/>
      <w:szCs w:val="20"/>
      <w:lang w:eastAsia="en-US"/>
    </w:rPr>
  </w:style>
  <w:style w:type="paragraph" w:customStyle="1" w:styleId="H5">
    <w:name w:val="H5"/>
    <w:basedOn w:val="Abstract"/>
    <w:link w:val="H5CharChar"/>
    <w:rsid w:val="00870696"/>
    <w:rPr>
      <w:rFonts w:ascii="Helvetica" w:hAnsi="Helvetica"/>
      <w:b/>
      <w:color w:val="00629B"/>
    </w:rPr>
  </w:style>
  <w:style w:type="character" w:customStyle="1" w:styleId="AbstractChar">
    <w:name w:val="Abstract Char"/>
    <w:link w:val="Abstract"/>
    <w:rsid w:val="00870696"/>
    <w:rPr>
      <w:rFonts w:ascii="Times New Roman" w:hAnsi="Times New Roman" w:cs="Times New Roman"/>
      <w:kern w:val="0"/>
      <w:sz w:val="20"/>
      <w:szCs w:val="20"/>
      <w:lang w:eastAsia="en-US"/>
    </w:rPr>
  </w:style>
  <w:style w:type="character" w:customStyle="1" w:styleId="H5CharChar">
    <w:name w:val="H5 Char Char"/>
    <w:link w:val="H5"/>
    <w:rsid w:val="00870696"/>
    <w:rPr>
      <w:rFonts w:ascii="Helvetica" w:hAnsi="Helvetica" w:cs="Times New Roman"/>
      <w:b/>
      <w:color w:val="00629B"/>
      <w:kern w:val="0"/>
      <w:sz w:val="20"/>
      <w:szCs w:val="20"/>
      <w:lang w:eastAsia="en-US"/>
    </w:rPr>
  </w:style>
  <w:style w:type="paragraph" w:customStyle="1" w:styleId="IT">
    <w:name w:val="IT"/>
    <w:basedOn w:val="a0"/>
    <w:rsid w:val="00870696"/>
    <w:pPr>
      <w:widowControl/>
      <w:autoSpaceDE w:val="0"/>
      <w:autoSpaceDN w:val="0"/>
      <w:adjustRightInd w:val="0"/>
      <w:spacing w:after="520"/>
      <w:ind w:right="1380"/>
      <w:jc w:val="left"/>
    </w:pPr>
    <w:rPr>
      <w:rFonts w:ascii="Times New Roman" w:hAnsi="Times New Roman" w:cs="TimesLTStd-Roman"/>
      <w:kern w:val="0"/>
      <w:sz w:val="20"/>
      <w:szCs w:val="20"/>
      <w:lang w:eastAsia="en-US"/>
    </w:rPr>
  </w:style>
  <w:style w:type="paragraph" w:customStyle="1" w:styleId="PARA">
    <w:name w:val="PARA"/>
    <w:basedOn w:val="a0"/>
    <w:link w:val="PARAChar"/>
    <w:rsid w:val="00870696"/>
    <w:pPr>
      <w:widowControl/>
      <w:suppressAutoHyphens/>
      <w:autoSpaceDE w:val="0"/>
      <w:autoSpaceDN w:val="0"/>
      <w:adjustRightInd w:val="0"/>
      <w:spacing w:line="240" w:lineRule="exact"/>
    </w:pPr>
    <w:rPr>
      <w:rFonts w:ascii="Times New Roman" w:hAnsi="Times New Roman" w:cs="TimesLTStd-Roman"/>
      <w:spacing w:val="-2"/>
      <w:kern w:val="0"/>
      <w:sz w:val="20"/>
      <w:szCs w:val="20"/>
      <w:lang w:eastAsia="en-US"/>
    </w:rPr>
  </w:style>
  <w:style w:type="paragraph" w:customStyle="1" w:styleId="PARAIndent">
    <w:name w:val="PARA_Indent"/>
    <w:basedOn w:val="PARA"/>
    <w:link w:val="PARAIndentChar"/>
    <w:rsid w:val="00870696"/>
    <w:pPr>
      <w:ind w:firstLine="200"/>
    </w:pPr>
  </w:style>
  <w:style w:type="character" w:customStyle="1" w:styleId="ITAL">
    <w:name w:val="ITAL"/>
    <w:rsid w:val="00870696"/>
    <w:rPr>
      <w:i/>
    </w:rPr>
  </w:style>
  <w:style w:type="paragraph" w:customStyle="1" w:styleId="AU">
    <w:name w:val="AU"/>
    <w:basedOn w:val="a0"/>
    <w:rsid w:val="00870696"/>
    <w:pPr>
      <w:widowControl/>
      <w:spacing w:after="100"/>
      <w:ind w:right="1380"/>
      <w:jc w:val="left"/>
    </w:pPr>
    <w:rPr>
      <w:rFonts w:ascii="Helvetica" w:hAnsi="Helvetica" w:cs="Times New Roman"/>
      <w:b/>
      <w:kern w:val="0"/>
      <w:sz w:val="20"/>
      <w:szCs w:val="20"/>
      <w:lang w:eastAsia="en-US"/>
    </w:rPr>
  </w:style>
  <w:style w:type="paragraph" w:customStyle="1" w:styleId="Aff">
    <w:name w:val="Aff"/>
    <w:basedOn w:val="a0"/>
    <w:rsid w:val="00870696"/>
    <w:pPr>
      <w:widowControl/>
      <w:spacing w:after="40" w:line="140" w:lineRule="exact"/>
      <w:ind w:right="1380"/>
      <w:jc w:val="left"/>
    </w:pPr>
    <w:rPr>
      <w:rFonts w:ascii="Times New Roman" w:hAnsi="Times New Roman" w:cs="Times New Roman"/>
      <w:kern w:val="0"/>
      <w:sz w:val="14"/>
      <w:szCs w:val="24"/>
      <w:lang w:eastAsia="en-US"/>
    </w:rPr>
  </w:style>
  <w:style w:type="paragraph" w:customStyle="1" w:styleId="CA">
    <w:name w:val="CA"/>
    <w:basedOn w:val="a0"/>
    <w:rsid w:val="00870696"/>
    <w:pPr>
      <w:widowControl/>
      <w:spacing w:before="100" w:after="100"/>
      <w:ind w:right="1380"/>
      <w:jc w:val="left"/>
    </w:pPr>
    <w:rPr>
      <w:rFonts w:ascii="Times New Roman" w:hAnsi="Times New Roman" w:cs="Times New Roman"/>
      <w:kern w:val="0"/>
      <w:sz w:val="15"/>
      <w:szCs w:val="24"/>
      <w:lang w:eastAsia="en-US"/>
    </w:rPr>
  </w:style>
  <w:style w:type="paragraph" w:customStyle="1" w:styleId="PI">
    <w:name w:val="PI"/>
    <w:basedOn w:val="a0"/>
    <w:rsid w:val="00870696"/>
    <w:pPr>
      <w:widowControl/>
      <w:spacing w:after="540" w:line="180" w:lineRule="exact"/>
      <w:ind w:right="1600" w:firstLine="180"/>
      <w:jc w:val="left"/>
    </w:pPr>
    <w:rPr>
      <w:rFonts w:ascii="Times New Roman" w:hAnsi="Times New Roman" w:cs="Times New Roman"/>
      <w:kern w:val="0"/>
      <w:sz w:val="15"/>
      <w:szCs w:val="24"/>
      <w:lang w:eastAsia="en-US"/>
    </w:rPr>
  </w:style>
  <w:style w:type="paragraph" w:customStyle="1" w:styleId="PaperTitle">
    <w:name w:val="Paper Title"/>
    <w:basedOn w:val="a0"/>
    <w:rsid w:val="00870696"/>
    <w:pPr>
      <w:widowControl/>
      <w:spacing w:before="480" w:after="300"/>
      <w:jc w:val="left"/>
    </w:pPr>
    <w:rPr>
      <w:rFonts w:ascii="Helvetica" w:hAnsi="Helvetica" w:cs="Times New Roman"/>
      <w:b/>
      <w:color w:val="00629B"/>
      <w:kern w:val="0"/>
      <w:sz w:val="44"/>
      <w:szCs w:val="44"/>
      <w:lang w:eastAsia="en-US"/>
    </w:rPr>
  </w:style>
  <w:style w:type="paragraph" w:customStyle="1" w:styleId="H1">
    <w:name w:val="H1"/>
    <w:basedOn w:val="a0"/>
    <w:rsid w:val="00870696"/>
    <w:pPr>
      <w:widowControl/>
      <w:autoSpaceDE w:val="0"/>
      <w:autoSpaceDN w:val="0"/>
      <w:adjustRightInd w:val="0"/>
      <w:spacing w:before="240"/>
      <w:jc w:val="left"/>
    </w:pPr>
    <w:rPr>
      <w:rFonts w:ascii="Helvetica" w:hAnsi="Helvetica" w:cs="FormataOTF-Bold"/>
      <w:b/>
      <w:bCs/>
      <w:color w:val="00629B"/>
      <w:kern w:val="0"/>
      <w:sz w:val="18"/>
      <w:szCs w:val="18"/>
      <w:lang w:eastAsia="en-US"/>
    </w:rPr>
  </w:style>
  <w:style w:type="numbering" w:customStyle="1" w:styleId="H2Restart">
    <w:name w:val="H2_Restart"/>
    <w:rsid w:val="00870696"/>
    <w:pPr>
      <w:numPr>
        <w:numId w:val="9"/>
      </w:numPr>
    </w:pPr>
  </w:style>
  <w:style w:type="paragraph" w:customStyle="1" w:styleId="Equation">
    <w:name w:val="Equation"/>
    <w:basedOn w:val="a0"/>
    <w:rsid w:val="00870696"/>
    <w:pPr>
      <w:widowControl/>
      <w:tabs>
        <w:tab w:val="left" w:pos="4584"/>
      </w:tabs>
      <w:autoSpaceDE w:val="0"/>
      <w:autoSpaceDN w:val="0"/>
      <w:adjustRightInd w:val="0"/>
      <w:spacing w:before="120" w:after="120"/>
      <w:ind w:left="1600"/>
      <w:jc w:val="left"/>
    </w:pPr>
    <w:rPr>
      <w:rFonts w:ascii="Times New Roman" w:hAnsi="Times New Roman" w:cs="MTSYN"/>
      <w:i/>
      <w:kern w:val="0"/>
      <w:sz w:val="20"/>
      <w:szCs w:val="20"/>
      <w:lang w:eastAsia="en-US"/>
    </w:rPr>
  </w:style>
  <w:style w:type="paragraph" w:customStyle="1" w:styleId="FigCaption">
    <w:name w:val="Fig Caption"/>
    <w:basedOn w:val="a0"/>
    <w:rsid w:val="00870696"/>
    <w:pPr>
      <w:widowControl/>
      <w:numPr>
        <w:numId w:val="5"/>
      </w:numPr>
      <w:autoSpaceDE w:val="0"/>
      <w:autoSpaceDN w:val="0"/>
      <w:adjustRightInd w:val="0"/>
      <w:spacing w:before="140"/>
      <w:jc w:val="left"/>
    </w:pPr>
    <w:rPr>
      <w:rFonts w:ascii="Helvetica" w:hAnsi="Helvetica" w:cs="FormataOTF-Bold"/>
      <w:b/>
      <w:bCs/>
      <w:kern w:val="0"/>
      <w:sz w:val="14"/>
      <w:szCs w:val="14"/>
      <w:lang w:eastAsia="en-US"/>
    </w:rPr>
  </w:style>
  <w:style w:type="character" w:customStyle="1" w:styleId="CaptionColor">
    <w:name w:val="Caption Color"/>
    <w:rsid w:val="00870696"/>
    <w:rPr>
      <w:rFonts w:ascii="Helvetica" w:hAnsi="Helvetica" w:cs="FormataOTF-Bold"/>
      <w:bCs/>
      <w:color w:val="00629B"/>
      <w:sz w:val="14"/>
      <w:szCs w:val="14"/>
    </w:rPr>
  </w:style>
  <w:style w:type="paragraph" w:customStyle="1" w:styleId="H3">
    <w:name w:val="H3"/>
    <w:basedOn w:val="a0"/>
    <w:rsid w:val="00870696"/>
    <w:pPr>
      <w:widowControl/>
      <w:numPr>
        <w:numId w:val="6"/>
      </w:numPr>
      <w:tabs>
        <w:tab w:val="clear" w:pos="320"/>
        <w:tab w:val="left" w:pos="240"/>
      </w:tabs>
      <w:autoSpaceDE w:val="0"/>
      <w:autoSpaceDN w:val="0"/>
      <w:adjustRightInd w:val="0"/>
      <w:spacing w:before="80"/>
      <w:jc w:val="left"/>
    </w:pPr>
    <w:rPr>
      <w:rFonts w:ascii="Helvetica" w:hAnsi="Helvetica" w:cs="FormataOTF-Reg"/>
      <w:caps/>
      <w:color w:val="58595B"/>
      <w:kern w:val="0"/>
      <w:sz w:val="18"/>
      <w:szCs w:val="18"/>
      <w:lang w:eastAsia="en-US"/>
    </w:rPr>
  </w:style>
  <w:style w:type="paragraph" w:customStyle="1" w:styleId="TableCaption">
    <w:name w:val="Table Caption"/>
    <w:basedOn w:val="a0"/>
    <w:rsid w:val="00870696"/>
    <w:pPr>
      <w:widowControl/>
      <w:autoSpaceDE w:val="0"/>
      <w:autoSpaceDN w:val="0"/>
      <w:adjustRightInd w:val="0"/>
      <w:spacing w:before="320" w:after="220"/>
      <w:jc w:val="left"/>
    </w:pPr>
    <w:rPr>
      <w:rFonts w:ascii="Helvetica" w:hAnsi="Helvetica" w:cs="FormataOTFMd"/>
      <w:b/>
      <w:kern w:val="0"/>
      <w:sz w:val="14"/>
      <w:szCs w:val="14"/>
      <w:lang w:eastAsia="en-US"/>
    </w:rPr>
  </w:style>
  <w:style w:type="paragraph" w:customStyle="1" w:styleId="H4">
    <w:name w:val="H4"/>
    <w:basedOn w:val="a0"/>
    <w:rsid w:val="00870696"/>
    <w:pPr>
      <w:widowControl/>
      <w:autoSpaceDE w:val="0"/>
      <w:autoSpaceDN w:val="0"/>
      <w:adjustRightInd w:val="0"/>
      <w:spacing w:before="480"/>
      <w:jc w:val="left"/>
    </w:pPr>
    <w:rPr>
      <w:rFonts w:ascii="Helvetica" w:hAnsi="Helvetica" w:cs="FormataOTF-Italic"/>
      <w:i/>
      <w:iCs/>
      <w:color w:val="58595B"/>
      <w:kern w:val="0"/>
      <w:sz w:val="18"/>
      <w:szCs w:val="18"/>
      <w:lang w:eastAsia="en-US"/>
    </w:rPr>
  </w:style>
  <w:style w:type="paragraph" w:customStyle="1" w:styleId="H1ListNoSpace">
    <w:name w:val="H1_List (No Space)"/>
    <w:basedOn w:val="H1"/>
    <w:qFormat/>
    <w:rsid w:val="00870696"/>
    <w:pPr>
      <w:numPr>
        <w:numId w:val="4"/>
      </w:numPr>
      <w:spacing w:before="0"/>
    </w:pPr>
  </w:style>
  <w:style w:type="paragraph" w:customStyle="1" w:styleId="Ref1">
    <w:name w:val="Ref_1"/>
    <w:basedOn w:val="a0"/>
    <w:rsid w:val="00870696"/>
    <w:pPr>
      <w:widowControl/>
      <w:autoSpaceDE w:val="0"/>
      <w:autoSpaceDN w:val="0"/>
      <w:adjustRightInd w:val="0"/>
      <w:spacing w:before="40"/>
      <w:ind w:left="300" w:hanging="260"/>
    </w:pPr>
    <w:rPr>
      <w:rFonts w:ascii="Times New Roman" w:hAnsi="Times New Roman" w:cs="TimesLTStd-Roman"/>
      <w:kern w:val="0"/>
      <w:sz w:val="15"/>
      <w:szCs w:val="15"/>
      <w:lang w:eastAsia="en-US"/>
    </w:rPr>
  </w:style>
  <w:style w:type="paragraph" w:customStyle="1" w:styleId="Ref">
    <w:name w:val="Ref"/>
    <w:basedOn w:val="Ref1"/>
    <w:rsid w:val="00870696"/>
    <w:pPr>
      <w:spacing w:before="0"/>
    </w:pPr>
  </w:style>
  <w:style w:type="paragraph" w:customStyle="1" w:styleId="AUBios">
    <w:name w:val="AU_Bios"/>
    <w:basedOn w:val="a0"/>
    <w:rsid w:val="00870696"/>
    <w:pPr>
      <w:widowControl/>
      <w:autoSpaceDE w:val="0"/>
      <w:autoSpaceDN w:val="0"/>
      <w:adjustRightInd w:val="0"/>
      <w:spacing w:before="1340"/>
    </w:pPr>
    <w:rPr>
      <w:rFonts w:ascii="Times New Roman" w:hAnsi="Times New Roman" w:cs="TimesLTStd-Roman"/>
      <w:kern w:val="0"/>
      <w:sz w:val="16"/>
      <w:szCs w:val="16"/>
      <w:lang w:eastAsia="en-US"/>
    </w:rPr>
  </w:style>
  <w:style w:type="character" w:customStyle="1" w:styleId="AUBiosbd">
    <w:name w:val="AU_Bios bd"/>
    <w:rsid w:val="00870696"/>
    <w:rPr>
      <w:rFonts w:ascii="Helvetica" w:hAnsi="Helvetica" w:cs="FormataOTFMd"/>
      <w:b/>
    </w:rPr>
  </w:style>
  <w:style w:type="paragraph" w:styleId="a5">
    <w:name w:val="header"/>
    <w:aliases w:val="页眉1"/>
    <w:basedOn w:val="a0"/>
    <w:link w:val="a6"/>
    <w:uiPriority w:val="99"/>
    <w:rsid w:val="00870696"/>
    <w:pPr>
      <w:widowControl/>
      <w:tabs>
        <w:tab w:val="center" w:pos="4320"/>
        <w:tab w:val="right" w:pos="8640"/>
      </w:tabs>
      <w:jc w:val="left"/>
    </w:pPr>
    <w:rPr>
      <w:rFonts w:ascii="Times New Roman" w:hAnsi="Times New Roman" w:cs="Times New Roman"/>
      <w:kern w:val="0"/>
      <w:sz w:val="24"/>
      <w:szCs w:val="24"/>
      <w:lang w:eastAsia="en-US"/>
    </w:rPr>
  </w:style>
  <w:style w:type="character" w:customStyle="1" w:styleId="a6">
    <w:name w:val="页眉 字符"/>
    <w:aliases w:val="页眉1 字符"/>
    <w:basedOn w:val="a1"/>
    <w:link w:val="a5"/>
    <w:uiPriority w:val="99"/>
    <w:rsid w:val="00870696"/>
    <w:rPr>
      <w:rFonts w:ascii="Times New Roman" w:hAnsi="Times New Roman" w:cs="Times New Roman"/>
      <w:kern w:val="0"/>
      <w:sz w:val="24"/>
      <w:szCs w:val="24"/>
      <w:lang w:eastAsia="en-US"/>
    </w:rPr>
  </w:style>
  <w:style w:type="paragraph" w:styleId="a7">
    <w:name w:val="footer"/>
    <w:basedOn w:val="a0"/>
    <w:link w:val="a8"/>
    <w:uiPriority w:val="99"/>
    <w:rsid w:val="00870696"/>
    <w:pPr>
      <w:widowControl/>
      <w:tabs>
        <w:tab w:val="center" w:pos="4320"/>
        <w:tab w:val="right" w:pos="8640"/>
      </w:tabs>
      <w:jc w:val="left"/>
    </w:pPr>
    <w:rPr>
      <w:rFonts w:ascii="Times New Roman" w:hAnsi="Times New Roman" w:cs="Times New Roman"/>
      <w:kern w:val="0"/>
      <w:sz w:val="24"/>
      <w:szCs w:val="24"/>
      <w:lang w:eastAsia="en-US"/>
    </w:rPr>
  </w:style>
  <w:style w:type="character" w:customStyle="1" w:styleId="a8">
    <w:name w:val="页脚 字符"/>
    <w:basedOn w:val="a1"/>
    <w:link w:val="a7"/>
    <w:uiPriority w:val="99"/>
    <w:rsid w:val="00870696"/>
    <w:rPr>
      <w:rFonts w:ascii="Times New Roman" w:hAnsi="Times New Roman" w:cs="Times New Roman"/>
      <w:kern w:val="0"/>
      <w:sz w:val="24"/>
      <w:szCs w:val="24"/>
      <w:lang w:eastAsia="en-US"/>
    </w:rPr>
  </w:style>
  <w:style w:type="character" w:customStyle="1" w:styleId="SuperScript">
    <w:name w:val="Super Script"/>
    <w:rsid w:val="00870696"/>
    <w:rPr>
      <w:vertAlign w:val="superscript"/>
    </w:rPr>
  </w:style>
  <w:style w:type="paragraph" w:customStyle="1" w:styleId="PINoSpace">
    <w:name w:val="PI_No Space"/>
    <w:basedOn w:val="PI"/>
    <w:rsid w:val="00870696"/>
    <w:pPr>
      <w:spacing w:after="0"/>
    </w:pPr>
  </w:style>
  <w:style w:type="paragraph" w:customStyle="1" w:styleId="Text">
    <w:name w:val="Text"/>
    <w:basedOn w:val="a0"/>
    <w:link w:val="TextChar"/>
    <w:rsid w:val="00870696"/>
    <w:pPr>
      <w:spacing w:line="252" w:lineRule="auto"/>
      <w:ind w:firstLine="202"/>
    </w:pPr>
    <w:rPr>
      <w:rFonts w:ascii="Times New Roman" w:hAnsi="Times New Roman" w:cs="Times New Roman"/>
      <w:kern w:val="0"/>
      <w:sz w:val="20"/>
      <w:szCs w:val="20"/>
      <w:lang w:eastAsia="en-US"/>
    </w:rPr>
  </w:style>
  <w:style w:type="paragraph" w:customStyle="1" w:styleId="H3Space">
    <w:name w:val="H3_Space"/>
    <w:basedOn w:val="H3"/>
    <w:rsid w:val="00870696"/>
    <w:pPr>
      <w:spacing w:before="260"/>
    </w:pPr>
  </w:style>
  <w:style w:type="character" w:customStyle="1" w:styleId="BodyText2">
    <w:name w:val="Body Text2"/>
    <w:uiPriority w:val="99"/>
    <w:rsid w:val="00870696"/>
    <w:rPr>
      <w:rFonts w:ascii="Verdana" w:hAnsi="Verdana" w:cs="Verdana"/>
      <w:color w:val="000000"/>
      <w:sz w:val="22"/>
      <w:szCs w:val="22"/>
    </w:rPr>
  </w:style>
  <w:style w:type="paragraph" w:styleId="a9">
    <w:name w:val="footnote text"/>
    <w:basedOn w:val="a0"/>
    <w:link w:val="aa"/>
    <w:semiHidden/>
    <w:rsid w:val="00870696"/>
    <w:pPr>
      <w:widowControl/>
      <w:ind w:firstLine="202"/>
    </w:pPr>
    <w:rPr>
      <w:rFonts w:ascii="Times New Roman" w:hAnsi="Times New Roman" w:cs="Times New Roman"/>
      <w:kern w:val="0"/>
      <w:sz w:val="16"/>
      <w:szCs w:val="16"/>
      <w:lang w:val="x-none" w:eastAsia="x-none"/>
    </w:rPr>
  </w:style>
  <w:style w:type="character" w:customStyle="1" w:styleId="aa">
    <w:name w:val="脚注文本 字符"/>
    <w:basedOn w:val="a1"/>
    <w:link w:val="a9"/>
    <w:semiHidden/>
    <w:rsid w:val="00870696"/>
    <w:rPr>
      <w:rFonts w:ascii="Times New Roman" w:hAnsi="Times New Roman" w:cs="Times New Roman"/>
      <w:kern w:val="0"/>
      <w:sz w:val="16"/>
      <w:szCs w:val="16"/>
      <w:lang w:val="x-none" w:eastAsia="x-none"/>
    </w:rPr>
  </w:style>
  <w:style w:type="paragraph" w:customStyle="1" w:styleId="TableTitle">
    <w:name w:val="Table Title"/>
    <w:basedOn w:val="a0"/>
    <w:rsid w:val="00870696"/>
    <w:pPr>
      <w:widowControl/>
      <w:jc w:val="center"/>
    </w:pPr>
    <w:rPr>
      <w:rFonts w:ascii="Times New Roman" w:hAnsi="Times New Roman" w:cs="Times New Roman"/>
      <w:smallCaps/>
      <w:kern w:val="0"/>
      <w:sz w:val="16"/>
      <w:szCs w:val="16"/>
      <w:lang w:eastAsia="en-US"/>
    </w:rPr>
  </w:style>
  <w:style w:type="paragraph" w:customStyle="1" w:styleId="H2AfterH1">
    <w:name w:val="H2_After H1"/>
    <w:rsid w:val="00870696"/>
    <w:pPr>
      <w:numPr>
        <w:numId w:val="13"/>
      </w:numPr>
      <w:spacing w:before="120"/>
    </w:pPr>
    <w:rPr>
      <w:rFonts w:ascii="Helvetica" w:hAnsi="Helvetica" w:cs="FormataOTFMdIt"/>
      <w:b/>
      <w:i/>
      <w:caps/>
      <w:color w:val="58595B"/>
      <w:kern w:val="0"/>
      <w:sz w:val="18"/>
      <w:szCs w:val="18"/>
      <w:lang w:eastAsia="en-US"/>
    </w:rPr>
  </w:style>
  <w:style w:type="character" w:customStyle="1" w:styleId="bodytype">
    <w:name w:val="body type"/>
    <w:uiPriority w:val="99"/>
    <w:rsid w:val="00870696"/>
    <w:rPr>
      <w:rFonts w:ascii="Formata-Regular" w:hAnsi="Formata-Regular" w:cs="Formata-Regular"/>
      <w:color w:val="000000"/>
      <w:sz w:val="22"/>
      <w:szCs w:val="22"/>
    </w:rPr>
  </w:style>
  <w:style w:type="paragraph" w:customStyle="1" w:styleId="Style1">
    <w:name w:val="Style1"/>
    <w:basedOn w:val="a0"/>
    <w:link w:val="Style1Char"/>
    <w:qFormat/>
    <w:rsid w:val="00870696"/>
    <w:pPr>
      <w:keepNext/>
      <w:widowControl/>
      <w:spacing w:before="240" w:after="80"/>
      <w:jc w:val="center"/>
      <w:outlineLvl w:val="0"/>
    </w:pPr>
    <w:rPr>
      <w:rFonts w:ascii="Times New Roman" w:hAnsi="Times New Roman" w:cs="Times New Roman"/>
      <w:smallCaps/>
      <w:kern w:val="28"/>
      <w:sz w:val="20"/>
      <w:szCs w:val="20"/>
      <w:lang w:val="x-none" w:eastAsia="x-none"/>
    </w:rPr>
  </w:style>
  <w:style w:type="character" w:customStyle="1" w:styleId="Style1Char">
    <w:name w:val="Style1 Char"/>
    <w:link w:val="Style1"/>
    <w:rsid w:val="00870696"/>
    <w:rPr>
      <w:rFonts w:ascii="Times New Roman" w:hAnsi="Times New Roman" w:cs="Times New Roman"/>
      <w:smallCaps/>
      <w:kern w:val="28"/>
      <w:sz w:val="20"/>
      <w:szCs w:val="20"/>
      <w:lang w:val="x-none" w:eastAsia="x-none"/>
    </w:rPr>
  </w:style>
  <w:style w:type="character" w:styleId="ab">
    <w:name w:val="footnote reference"/>
    <w:semiHidden/>
    <w:rsid w:val="00870696"/>
    <w:rPr>
      <w:vertAlign w:val="superscript"/>
    </w:rPr>
  </w:style>
  <w:style w:type="paragraph" w:customStyle="1" w:styleId="References">
    <w:name w:val="References"/>
    <w:basedOn w:val="a0"/>
    <w:rsid w:val="00870696"/>
    <w:pPr>
      <w:widowControl/>
      <w:numPr>
        <w:numId w:val="3"/>
      </w:numPr>
      <w:ind w:left="360"/>
    </w:pPr>
    <w:rPr>
      <w:rFonts w:ascii="Times New Roman" w:hAnsi="Times New Roman" w:cs="Times New Roman"/>
      <w:kern w:val="0"/>
      <w:sz w:val="16"/>
      <w:szCs w:val="16"/>
      <w:lang w:eastAsia="en-US"/>
    </w:rPr>
  </w:style>
  <w:style w:type="paragraph" w:customStyle="1" w:styleId="AUBiosNoSpace">
    <w:name w:val="AU_Bios_No Space"/>
    <w:basedOn w:val="AUBios"/>
    <w:rsid w:val="00870696"/>
    <w:pPr>
      <w:spacing w:before="0"/>
      <w:ind w:firstLine="180"/>
    </w:pPr>
  </w:style>
  <w:style w:type="paragraph" w:customStyle="1" w:styleId="FigureCaption">
    <w:name w:val="Figure Caption"/>
    <w:basedOn w:val="a0"/>
    <w:rsid w:val="00870696"/>
    <w:pPr>
      <w:widowControl/>
    </w:pPr>
    <w:rPr>
      <w:rFonts w:ascii="Times New Roman" w:hAnsi="Times New Roman" w:cs="Times New Roman"/>
      <w:kern w:val="0"/>
      <w:sz w:val="16"/>
      <w:szCs w:val="16"/>
      <w:lang w:eastAsia="en-US"/>
    </w:rPr>
  </w:style>
  <w:style w:type="paragraph" w:customStyle="1" w:styleId="H1ListSpace">
    <w:name w:val="H1_List (Space)"/>
    <w:basedOn w:val="H1ListNoSpace"/>
    <w:rsid w:val="00870696"/>
    <w:pPr>
      <w:spacing w:before="240"/>
    </w:pPr>
    <w:rPr>
      <w:rFonts w:cs="Times New Roman"/>
      <w:szCs w:val="20"/>
    </w:rPr>
  </w:style>
  <w:style w:type="paragraph" w:customStyle="1" w:styleId="H2First">
    <w:name w:val="H2_First"/>
    <w:basedOn w:val="a0"/>
    <w:qFormat/>
    <w:rsid w:val="00870696"/>
    <w:pPr>
      <w:widowControl/>
      <w:numPr>
        <w:numId w:val="12"/>
      </w:numPr>
      <w:autoSpaceDE w:val="0"/>
      <w:autoSpaceDN w:val="0"/>
      <w:adjustRightInd w:val="0"/>
      <w:spacing w:before="260"/>
      <w:ind w:left="0" w:firstLine="0"/>
      <w:jc w:val="left"/>
    </w:pPr>
    <w:rPr>
      <w:rFonts w:ascii="Helvetica" w:hAnsi="Helvetica" w:cs="FormataOTFMdIt"/>
      <w:b/>
      <w:i/>
      <w:color w:val="58595B"/>
      <w:kern w:val="0"/>
      <w:sz w:val="18"/>
      <w:szCs w:val="18"/>
      <w:lang w:eastAsia="en-US"/>
    </w:rPr>
  </w:style>
  <w:style w:type="paragraph" w:customStyle="1" w:styleId="H2ConSpaceBefore12pt">
    <w:name w:val="H2_Con Space(Before: 12 pt)"/>
    <w:basedOn w:val="H2AfterH1"/>
    <w:rsid w:val="00870696"/>
    <w:pPr>
      <w:numPr>
        <w:numId w:val="11"/>
      </w:numPr>
      <w:spacing w:before="260"/>
    </w:pPr>
    <w:rPr>
      <w:rFonts w:cs="Times New Roman"/>
      <w:bCs/>
      <w:iCs/>
      <w:szCs w:val="20"/>
    </w:rPr>
  </w:style>
  <w:style w:type="paragraph" w:customStyle="1" w:styleId="H2ConNoSpace">
    <w:name w:val="H2_Con NoSpace"/>
    <w:rsid w:val="00870696"/>
    <w:pPr>
      <w:numPr>
        <w:numId w:val="7"/>
      </w:numPr>
    </w:pPr>
    <w:rPr>
      <w:rFonts w:ascii="Helvetica" w:hAnsi="Helvetica" w:cs="Times New Roman"/>
      <w:b/>
      <w:bCs/>
      <w:i/>
      <w:iCs/>
      <w:color w:val="58595B"/>
      <w:kern w:val="0"/>
      <w:sz w:val="18"/>
      <w:szCs w:val="20"/>
      <w:lang w:eastAsia="en-US"/>
    </w:rPr>
  </w:style>
  <w:style w:type="paragraph" w:customStyle="1" w:styleId="StyleH2ConNoSpace">
    <w:name w:val="Style H2_Con NoSpace"/>
    <w:basedOn w:val="H2ConSpaceBefore12pt"/>
    <w:rsid w:val="00870696"/>
    <w:pPr>
      <w:spacing w:before="0"/>
    </w:pPr>
  </w:style>
  <w:style w:type="numbering" w:customStyle="1" w:styleId="H2afterH1New">
    <w:name w:val="H2 after H1_New"/>
    <w:rsid w:val="00870696"/>
    <w:pPr>
      <w:numPr>
        <w:numId w:val="8"/>
      </w:numPr>
    </w:pPr>
  </w:style>
  <w:style w:type="paragraph" w:customStyle="1" w:styleId="H2Cont">
    <w:name w:val="H2_Cont"/>
    <w:rsid w:val="00870696"/>
    <w:pPr>
      <w:numPr>
        <w:numId w:val="14"/>
      </w:numPr>
      <w:spacing w:before="260"/>
    </w:pPr>
    <w:rPr>
      <w:rFonts w:ascii="Helvetica" w:hAnsi="Helvetica" w:cs="Times New Roman"/>
      <w:b/>
      <w:bCs/>
      <w:i/>
      <w:iCs/>
      <w:color w:val="58595B"/>
      <w:kern w:val="0"/>
      <w:sz w:val="18"/>
      <w:szCs w:val="20"/>
      <w:lang w:eastAsia="en-US"/>
    </w:rPr>
  </w:style>
  <w:style w:type="paragraph" w:customStyle="1" w:styleId="H2ContNoSpace">
    <w:name w:val="H2_Cont (No Space)"/>
    <w:basedOn w:val="H2AfterH1"/>
    <w:rsid w:val="00870696"/>
    <w:pPr>
      <w:spacing w:before="0"/>
    </w:pPr>
    <w:rPr>
      <w:rFonts w:cs="Times New Roman"/>
      <w:bCs/>
      <w:iCs/>
      <w:szCs w:val="20"/>
    </w:rPr>
  </w:style>
  <w:style w:type="paragraph" w:styleId="ac">
    <w:name w:val="Balloon Text"/>
    <w:basedOn w:val="a0"/>
    <w:link w:val="ad"/>
    <w:uiPriority w:val="99"/>
    <w:rsid w:val="00870696"/>
    <w:pPr>
      <w:widowControl/>
      <w:jc w:val="left"/>
    </w:pPr>
    <w:rPr>
      <w:rFonts w:ascii="Tahoma" w:hAnsi="Tahoma" w:cs="Tahoma"/>
      <w:kern w:val="0"/>
      <w:sz w:val="16"/>
      <w:szCs w:val="16"/>
      <w:lang w:eastAsia="en-US"/>
    </w:rPr>
  </w:style>
  <w:style w:type="character" w:customStyle="1" w:styleId="ad">
    <w:name w:val="批注框文本 字符"/>
    <w:basedOn w:val="a1"/>
    <w:link w:val="ac"/>
    <w:uiPriority w:val="99"/>
    <w:rsid w:val="00870696"/>
    <w:rPr>
      <w:rFonts w:ascii="Tahoma" w:hAnsi="Tahoma" w:cs="Tahoma"/>
      <w:kern w:val="0"/>
      <w:sz w:val="16"/>
      <w:szCs w:val="16"/>
      <w:lang w:eastAsia="en-US"/>
    </w:rPr>
  </w:style>
  <w:style w:type="character" w:styleId="ae">
    <w:name w:val="annotation reference"/>
    <w:basedOn w:val="a1"/>
    <w:uiPriority w:val="99"/>
    <w:unhideWhenUsed/>
    <w:rsid w:val="00870696"/>
    <w:rPr>
      <w:sz w:val="16"/>
      <w:szCs w:val="16"/>
    </w:rPr>
  </w:style>
  <w:style w:type="paragraph" w:styleId="af">
    <w:name w:val="annotation text"/>
    <w:basedOn w:val="a0"/>
    <w:link w:val="af0"/>
    <w:uiPriority w:val="99"/>
    <w:unhideWhenUsed/>
    <w:rsid w:val="00870696"/>
    <w:pPr>
      <w:widowControl/>
      <w:jc w:val="left"/>
    </w:pPr>
    <w:rPr>
      <w:rFonts w:ascii="Times New Roman" w:hAnsi="Times New Roman" w:cs="Times New Roman"/>
      <w:kern w:val="0"/>
      <w:sz w:val="20"/>
      <w:szCs w:val="20"/>
      <w:lang w:eastAsia="en-US"/>
    </w:rPr>
  </w:style>
  <w:style w:type="character" w:customStyle="1" w:styleId="af0">
    <w:name w:val="批注文字 字符"/>
    <w:basedOn w:val="a1"/>
    <w:link w:val="af"/>
    <w:uiPriority w:val="99"/>
    <w:rsid w:val="00870696"/>
    <w:rPr>
      <w:rFonts w:ascii="Times New Roman" w:hAnsi="Times New Roman" w:cs="Times New Roman"/>
      <w:kern w:val="0"/>
      <w:sz w:val="20"/>
      <w:szCs w:val="20"/>
      <w:lang w:eastAsia="en-US"/>
    </w:rPr>
  </w:style>
  <w:style w:type="paragraph" w:styleId="af1">
    <w:name w:val="annotation subject"/>
    <w:basedOn w:val="af"/>
    <w:next w:val="af"/>
    <w:link w:val="af2"/>
    <w:unhideWhenUsed/>
    <w:rsid w:val="00870696"/>
    <w:rPr>
      <w:b/>
      <w:bCs/>
    </w:rPr>
  </w:style>
  <w:style w:type="character" w:customStyle="1" w:styleId="af2">
    <w:name w:val="批注主题 字符"/>
    <w:basedOn w:val="af0"/>
    <w:link w:val="af1"/>
    <w:rsid w:val="00870696"/>
    <w:rPr>
      <w:rFonts w:ascii="Times New Roman" w:hAnsi="Times New Roman" w:cs="Times New Roman"/>
      <w:b/>
      <w:bCs/>
      <w:kern w:val="0"/>
      <w:sz w:val="20"/>
      <w:szCs w:val="20"/>
      <w:lang w:eastAsia="en-US"/>
    </w:rPr>
  </w:style>
  <w:style w:type="paragraph" w:customStyle="1" w:styleId="REFBUL">
    <w:name w:val="REF_BUL"/>
    <w:basedOn w:val="PARA"/>
    <w:qFormat/>
    <w:rsid w:val="00870696"/>
    <w:pPr>
      <w:numPr>
        <w:numId w:val="15"/>
      </w:numPr>
      <w:ind w:left="480" w:hanging="240"/>
    </w:pPr>
    <w:rPr>
      <w:i/>
    </w:rPr>
  </w:style>
  <w:style w:type="paragraph" w:customStyle="1" w:styleId="REFTxt">
    <w:name w:val="REF_Txt"/>
    <w:basedOn w:val="a0"/>
    <w:qFormat/>
    <w:rsid w:val="00870696"/>
    <w:pPr>
      <w:widowControl/>
      <w:ind w:left="480"/>
    </w:pPr>
    <w:rPr>
      <w:rFonts w:ascii="Times New Roman" w:hAnsi="Times New Roman" w:cs="Times New Roman"/>
      <w:kern w:val="0"/>
      <w:sz w:val="20"/>
      <w:szCs w:val="16"/>
      <w:lang w:eastAsia="en-US"/>
    </w:rPr>
  </w:style>
  <w:style w:type="paragraph" w:customStyle="1" w:styleId="StyleREFTxt8ptItalic">
    <w:name w:val="Style REF_Txt + 8 pt Italic"/>
    <w:basedOn w:val="REFTxt"/>
    <w:rsid w:val="00870696"/>
    <w:rPr>
      <w:i/>
      <w:iCs/>
    </w:rPr>
  </w:style>
  <w:style w:type="character" w:styleId="af3">
    <w:name w:val="Emphasis"/>
    <w:basedOn w:val="a1"/>
    <w:uiPriority w:val="20"/>
    <w:qFormat/>
    <w:rsid w:val="00870696"/>
    <w:rPr>
      <w:i/>
      <w:iCs/>
    </w:rPr>
  </w:style>
  <w:style w:type="character" w:customStyle="1" w:styleId="MemberType">
    <w:name w:val="MemberType"/>
    <w:rsid w:val="00870696"/>
    <w:rPr>
      <w:rFonts w:ascii="Helvetica" w:hAnsi="Helvetica" w:cs="Times New Roman"/>
      <w:i/>
      <w:iCs/>
      <w:sz w:val="22"/>
      <w:szCs w:val="22"/>
    </w:rPr>
  </w:style>
  <w:style w:type="paragraph" w:styleId="af4">
    <w:name w:val="List Paragraph"/>
    <w:basedOn w:val="a0"/>
    <w:uiPriority w:val="34"/>
    <w:qFormat/>
    <w:rsid w:val="00870696"/>
    <w:pPr>
      <w:widowControl/>
      <w:ind w:firstLineChars="200" w:firstLine="420"/>
      <w:jc w:val="left"/>
    </w:pPr>
    <w:rPr>
      <w:rFonts w:ascii="Times New Roman" w:hAnsi="Times New Roman" w:cs="Times New Roman"/>
      <w:kern w:val="0"/>
      <w:sz w:val="24"/>
      <w:szCs w:val="24"/>
      <w:lang w:eastAsia="en-US"/>
    </w:rPr>
  </w:style>
  <w:style w:type="paragraph" w:customStyle="1" w:styleId="Authors">
    <w:name w:val="Authors"/>
    <w:basedOn w:val="a0"/>
    <w:next w:val="a0"/>
    <w:rsid w:val="00870696"/>
    <w:pPr>
      <w:framePr w:w="9072" w:hSpace="187" w:vSpace="187" w:wrap="notBeside" w:vAnchor="text" w:hAnchor="page" w:xAlign="center" w:y="1"/>
      <w:widowControl/>
      <w:spacing w:after="320"/>
      <w:jc w:val="center"/>
    </w:pPr>
    <w:rPr>
      <w:rFonts w:ascii="Helvetica" w:eastAsia="等线" w:hAnsi="Helvetica" w:cs="Times New Roman"/>
      <w:kern w:val="0"/>
      <w:sz w:val="22"/>
      <w:lang w:eastAsia="en-US"/>
    </w:rPr>
  </w:style>
  <w:style w:type="paragraph" w:styleId="af5">
    <w:name w:val="Title"/>
    <w:basedOn w:val="a0"/>
    <w:next w:val="a0"/>
    <w:link w:val="af6"/>
    <w:qFormat/>
    <w:rsid w:val="00870696"/>
    <w:pPr>
      <w:framePr w:w="9360" w:hSpace="187" w:vSpace="187" w:wrap="notBeside" w:vAnchor="text" w:hAnchor="page" w:xAlign="center" w:y="1"/>
      <w:widowControl/>
      <w:jc w:val="center"/>
    </w:pPr>
    <w:rPr>
      <w:rFonts w:ascii="Helvetica" w:eastAsia="等线" w:hAnsi="Helvetica" w:cs="Times New Roman"/>
      <w:color w:val="004393"/>
      <w:kern w:val="28"/>
      <w:sz w:val="48"/>
      <w:szCs w:val="48"/>
      <w:lang w:eastAsia="en-US"/>
    </w:rPr>
  </w:style>
  <w:style w:type="character" w:customStyle="1" w:styleId="af6">
    <w:name w:val="标题 字符"/>
    <w:basedOn w:val="a1"/>
    <w:link w:val="af5"/>
    <w:rsid w:val="00870696"/>
    <w:rPr>
      <w:rFonts w:ascii="Helvetica" w:eastAsia="等线" w:hAnsi="Helvetica" w:cs="Times New Roman"/>
      <w:color w:val="004393"/>
      <w:kern w:val="28"/>
      <w:sz w:val="48"/>
      <w:szCs w:val="48"/>
      <w:lang w:eastAsia="en-US"/>
    </w:rPr>
  </w:style>
  <w:style w:type="paragraph" w:customStyle="1" w:styleId="IndexTerms">
    <w:name w:val="IndexTerms"/>
    <w:basedOn w:val="a0"/>
    <w:next w:val="a0"/>
    <w:rsid w:val="00870696"/>
    <w:pPr>
      <w:widowControl/>
      <w:ind w:firstLine="202"/>
    </w:pPr>
    <w:rPr>
      <w:rFonts w:ascii="Helvetica" w:eastAsia="等线" w:hAnsi="Helvetica" w:cs="Times New Roman"/>
      <w:b/>
      <w:bCs/>
      <w:kern w:val="0"/>
      <w:sz w:val="18"/>
      <w:szCs w:val="18"/>
      <w:lang w:eastAsia="en-US"/>
    </w:rPr>
  </w:style>
  <w:style w:type="character" w:customStyle="1" w:styleId="TextChar">
    <w:name w:val="Text Char"/>
    <w:link w:val="Text"/>
    <w:rsid w:val="00870696"/>
    <w:rPr>
      <w:rFonts w:ascii="Times New Roman" w:hAnsi="Times New Roman" w:cs="Times New Roman"/>
      <w:kern w:val="0"/>
      <w:sz w:val="20"/>
      <w:szCs w:val="20"/>
      <w:lang w:eastAsia="en-US"/>
    </w:rPr>
  </w:style>
  <w:style w:type="paragraph" w:customStyle="1" w:styleId="ReferenceHead">
    <w:name w:val="Reference Head"/>
    <w:basedOn w:val="1"/>
    <w:link w:val="ReferenceHeadChar"/>
    <w:rsid w:val="00870696"/>
    <w:pPr>
      <w:numPr>
        <w:numId w:val="0"/>
      </w:numPr>
    </w:pPr>
    <w:rPr>
      <w:rFonts w:ascii="Helvetica" w:eastAsia="等线" w:hAnsi="Helvetica"/>
      <w:color w:val="004393"/>
    </w:rPr>
  </w:style>
  <w:style w:type="character" w:customStyle="1" w:styleId="ReferenceHeadChar">
    <w:name w:val="Reference Head Char"/>
    <w:link w:val="ReferenceHead"/>
    <w:rsid w:val="00870696"/>
    <w:rPr>
      <w:rFonts w:ascii="Helvetica" w:eastAsia="等线" w:hAnsi="Helvetica" w:cs="Times New Roman"/>
      <w:smallCaps/>
      <w:color w:val="004393"/>
      <w:kern w:val="28"/>
      <w:sz w:val="20"/>
      <w:szCs w:val="20"/>
      <w:lang w:val="x-none" w:eastAsia="x-none"/>
    </w:rPr>
  </w:style>
  <w:style w:type="character" w:styleId="af7">
    <w:name w:val="FollowedHyperlink"/>
    <w:rsid w:val="00870696"/>
    <w:rPr>
      <w:color w:val="800080"/>
      <w:u w:val="single"/>
    </w:rPr>
  </w:style>
  <w:style w:type="paragraph" w:styleId="af8">
    <w:name w:val="Body Text Indent"/>
    <w:basedOn w:val="a0"/>
    <w:link w:val="af9"/>
    <w:rsid w:val="00870696"/>
    <w:pPr>
      <w:widowControl/>
      <w:ind w:left="630" w:hanging="630"/>
      <w:jc w:val="left"/>
    </w:pPr>
    <w:rPr>
      <w:rFonts w:ascii="Times New Roman" w:eastAsia="等线" w:hAnsi="Times New Roman" w:cs="Times New Roman"/>
      <w:kern w:val="0"/>
      <w:sz w:val="20"/>
      <w:szCs w:val="24"/>
      <w:lang w:val="x-none" w:eastAsia="x-none"/>
    </w:rPr>
  </w:style>
  <w:style w:type="character" w:customStyle="1" w:styleId="af9">
    <w:name w:val="正文文本缩进 字符"/>
    <w:basedOn w:val="a1"/>
    <w:link w:val="af8"/>
    <w:rsid w:val="00870696"/>
    <w:rPr>
      <w:rFonts w:ascii="Times New Roman" w:eastAsia="等线" w:hAnsi="Times New Roman" w:cs="Times New Roman"/>
      <w:kern w:val="0"/>
      <w:sz w:val="20"/>
      <w:szCs w:val="24"/>
      <w:lang w:val="x-none" w:eastAsia="x-none"/>
    </w:rPr>
  </w:style>
  <w:style w:type="paragraph" w:styleId="afa">
    <w:name w:val="Document Map"/>
    <w:basedOn w:val="a0"/>
    <w:link w:val="afb"/>
    <w:semiHidden/>
    <w:rsid w:val="00870696"/>
    <w:pPr>
      <w:widowControl/>
      <w:shd w:val="clear" w:color="auto" w:fill="000080"/>
      <w:jc w:val="left"/>
    </w:pPr>
    <w:rPr>
      <w:rFonts w:ascii="Tahoma" w:eastAsia="等线" w:hAnsi="Tahoma" w:cs="Tahoma"/>
      <w:kern w:val="0"/>
      <w:sz w:val="20"/>
      <w:szCs w:val="20"/>
      <w:lang w:eastAsia="en-US"/>
    </w:rPr>
  </w:style>
  <w:style w:type="character" w:customStyle="1" w:styleId="afb">
    <w:name w:val="文档结构图 字符"/>
    <w:basedOn w:val="a1"/>
    <w:link w:val="afa"/>
    <w:semiHidden/>
    <w:rsid w:val="00870696"/>
    <w:rPr>
      <w:rFonts w:ascii="Tahoma" w:eastAsia="等线" w:hAnsi="Tahoma" w:cs="Tahoma"/>
      <w:kern w:val="0"/>
      <w:sz w:val="20"/>
      <w:szCs w:val="20"/>
      <w:shd w:val="clear" w:color="auto" w:fill="000080"/>
      <w:lang w:eastAsia="en-US"/>
    </w:rPr>
  </w:style>
  <w:style w:type="paragraph" w:customStyle="1" w:styleId="Pa0">
    <w:name w:val="Pa0"/>
    <w:basedOn w:val="a0"/>
    <w:next w:val="a0"/>
    <w:rsid w:val="00870696"/>
    <w:pPr>
      <w:adjustRightInd w:val="0"/>
      <w:spacing w:line="241" w:lineRule="atLeast"/>
      <w:jc w:val="left"/>
    </w:pPr>
    <w:rPr>
      <w:rFonts w:ascii="Baskerville" w:eastAsia="等线" w:hAnsi="Baskerville" w:cs="Times New Roman"/>
      <w:kern w:val="0"/>
      <w:sz w:val="24"/>
      <w:szCs w:val="24"/>
      <w:lang w:eastAsia="en-US"/>
    </w:rPr>
  </w:style>
  <w:style w:type="character" w:customStyle="1" w:styleId="A50">
    <w:name w:val="A5"/>
    <w:rsid w:val="00870696"/>
    <w:rPr>
      <w:color w:val="00529F"/>
      <w:sz w:val="20"/>
      <w:szCs w:val="20"/>
    </w:rPr>
  </w:style>
  <w:style w:type="character" w:customStyle="1" w:styleId="MediumGrid11">
    <w:name w:val="Medium Grid 11"/>
    <w:uiPriority w:val="99"/>
    <w:semiHidden/>
    <w:rsid w:val="00870696"/>
    <w:rPr>
      <w:color w:val="808080"/>
    </w:rPr>
  </w:style>
  <w:style w:type="paragraph" w:customStyle="1" w:styleId="ParagraphStyle1">
    <w:name w:val="Paragraph Style 1"/>
    <w:basedOn w:val="a0"/>
    <w:uiPriority w:val="99"/>
    <w:rsid w:val="00870696"/>
    <w:pPr>
      <w:tabs>
        <w:tab w:val="left" w:pos="480"/>
      </w:tabs>
      <w:adjustRightInd w:val="0"/>
      <w:spacing w:before="100" w:line="280" w:lineRule="atLeast"/>
      <w:jc w:val="left"/>
      <w:textAlignment w:val="center"/>
    </w:pPr>
    <w:rPr>
      <w:rFonts w:ascii="Formata-Regular" w:eastAsia="MS Mincho" w:hAnsi="Formata-Regular" w:cs="Formata-Regular"/>
      <w:color w:val="000000"/>
      <w:kern w:val="0"/>
      <w:sz w:val="22"/>
      <w:lang w:eastAsia="ja-JP"/>
    </w:rPr>
  </w:style>
  <w:style w:type="character" w:customStyle="1" w:styleId="BodyText1">
    <w:name w:val="Body Text1"/>
    <w:uiPriority w:val="99"/>
    <w:rsid w:val="00870696"/>
    <w:rPr>
      <w:rFonts w:ascii="Verdana" w:hAnsi="Verdana" w:cs="Verdana"/>
      <w:color w:val="000000"/>
      <w:sz w:val="22"/>
      <w:szCs w:val="22"/>
    </w:rPr>
  </w:style>
  <w:style w:type="paragraph" w:customStyle="1" w:styleId="ColorfulShading-Accent11">
    <w:name w:val="Colorful Shading - Accent 11"/>
    <w:hidden/>
    <w:uiPriority w:val="99"/>
    <w:semiHidden/>
    <w:rsid w:val="00870696"/>
    <w:rPr>
      <w:rFonts w:ascii="Times New Roman" w:eastAsia="等线" w:hAnsi="Times New Roman" w:cs="Times New Roman"/>
      <w:kern w:val="0"/>
      <w:sz w:val="20"/>
      <w:szCs w:val="20"/>
      <w:lang w:eastAsia="en-US"/>
    </w:rPr>
  </w:style>
  <w:style w:type="paragraph" w:customStyle="1" w:styleId="TextL-MAG">
    <w:name w:val="Text L-MAG"/>
    <w:basedOn w:val="a0"/>
    <w:link w:val="TextL-MAGChar"/>
    <w:qFormat/>
    <w:rsid w:val="00870696"/>
    <w:pPr>
      <w:tabs>
        <w:tab w:val="left" w:pos="360"/>
      </w:tabs>
      <w:spacing w:line="276" w:lineRule="auto"/>
      <w:ind w:firstLine="360"/>
    </w:pPr>
    <w:rPr>
      <w:rFonts w:ascii="Arial" w:eastAsia="MS Mincho" w:hAnsi="Arial" w:cs="Times New Roman"/>
      <w:kern w:val="0"/>
      <w:sz w:val="18"/>
      <w:lang w:val="x-none" w:eastAsia="ja-JP"/>
    </w:rPr>
  </w:style>
  <w:style w:type="character" w:customStyle="1" w:styleId="TextL-MAGChar">
    <w:name w:val="Text L-MAG Char"/>
    <w:link w:val="TextL-MAG"/>
    <w:rsid w:val="00870696"/>
    <w:rPr>
      <w:rFonts w:ascii="Arial" w:eastAsia="MS Mincho" w:hAnsi="Arial" w:cs="Times New Roman"/>
      <w:kern w:val="0"/>
      <w:sz w:val="18"/>
      <w:lang w:val="x-none" w:eastAsia="ja-JP"/>
    </w:rPr>
  </w:style>
  <w:style w:type="character" w:customStyle="1" w:styleId="m5113501246024331607m-6864882937387638336gmail-il">
    <w:name w:val="m_5113501246024331607m_-6864882937387638336gmail-il"/>
    <w:basedOn w:val="a1"/>
    <w:rsid w:val="00870696"/>
  </w:style>
  <w:style w:type="paragraph" w:customStyle="1" w:styleId="ColorfulList-Accent11">
    <w:name w:val="Colorful List - Accent 11"/>
    <w:basedOn w:val="a0"/>
    <w:uiPriority w:val="34"/>
    <w:qFormat/>
    <w:rsid w:val="00870696"/>
    <w:pPr>
      <w:widowControl/>
      <w:ind w:left="720"/>
      <w:contextualSpacing/>
      <w:jc w:val="left"/>
    </w:pPr>
    <w:rPr>
      <w:rFonts w:ascii="Times New Roman" w:eastAsia="等线" w:hAnsi="Times New Roman" w:cs="Times New Roman"/>
      <w:kern w:val="0"/>
      <w:sz w:val="20"/>
      <w:szCs w:val="20"/>
      <w:lang w:eastAsia="en-US"/>
    </w:rPr>
  </w:style>
  <w:style w:type="character" w:customStyle="1" w:styleId="apple-converted-space">
    <w:name w:val="apple-converted-space"/>
    <w:basedOn w:val="a1"/>
    <w:rsid w:val="00870696"/>
  </w:style>
  <w:style w:type="paragraph" w:customStyle="1" w:styleId="StyleHeading18pt">
    <w:name w:val="Style Heading 1 + 8 pt"/>
    <w:basedOn w:val="1"/>
    <w:link w:val="StyleHeading18ptChar"/>
    <w:rsid w:val="00870696"/>
    <w:rPr>
      <w:rFonts w:ascii="Helvetica" w:eastAsia="等线" w:hAnsi="Helvetica"/>
      <w:color w:val="004393"/>
      <w:sz w:val="16"/>
    </w:rPr>
  </w:style>
  <w:style w:type="character" w:customStyle="1" w:styleId="StyleHeading18ptChar">
    <w:name w:val="Style Heading 1 + 8 pt Char"/>
    <w:link w:val="StyleHeading18pt"/>
    <w:rsid w:val="00870696"/>
    <w:rPr>
      <w:rFonts w:ascii="Helvetica" w:eastAsia="等线" w:hAnsi="Helvetica" w:cs="Times New Roman"/>
      <w:smallCaps/>
      <w:color w:val="004393"/>
      <w:kern w:val="28"/>
      <w:sz w:val="16"/>
      <w:szCs w:val="20"/>
      <w:lang w:val="x-none" w:eastAsia="x-none"/>
    </w:rPr>
  </w:style>
  <w:style w:type="paragraph" w:customStyle="1" w:styleId="RH">
    <w:name w:val="RH"/>
    <w:basedOn w:val="a0"/>
    <w:rsid w:val="00870696"/>
    <w:pPr>
      <w:widowControl/>
      <w:pBdr>
        <w:bottom w:val="single" w:sz="12" w:space="2" w:color="auto"/>
      </w:pBdr>
      <w:tabs>
        <w:tab w:val="left" w:pos="5679"/>
      </w:tabs>
      <w:ind w:right="900"/>
      <w:jc w:val="left"/>
    </w:pPr>
    <w:rPr>
      <w:rFonts w:ascii="Helvetica" w:eastAsia="等线" w:hAnsi="Helvetica" w:cs="Times New Roman"/>
      <w:kern w:val="0"/>
      <w:sz w:val="14"/>
      <w:szCs w:val="14"/>
      <w:lang w:eastAsia="en-US"/>
    </w:rPr>
  </w:style>
  <w:style w:type="character" w:customStyle="1" w:styleId="PARAChar">
    <w:name w:val="PARA Char"/>
    <w:link w:val="PARA"/>
    <w:rsid w:val="00870696"/>
    <w:rPr>
      <w:rFonts w:ascii="Times New Roman" w:hAnsi="Times New Roman" w:cs="TimesLTStd-Roman"/>
      <w:spacing w:val="-2"/>
      <w:kern w:val="0"/>
      <w:sz w:val="20"/>
      <w:szCs w:val="20"/>
      <w:lang w:eastAsia="en-US"/>
    </w:rPr>
  </w:style>
  <w:style w:type="character" w:customStyle="1" w:styleId="PARAIndentChar">
    <w:name w:val="PARA_Indent Char"/>
    <w:link w:val="PARAIndent"/>
    <w:rsid w:val="00870696"/>
    <w:rPr>
      <w:rFonts w:ascii="Times New Roman" w:hAnsi="Times New Roman" w:cs="TimesLTStd-Roman"/>
      <w:spacing w:val="-2"/>
      <w:kern w:val="0"/>
      <w:sz w:val="20"/>
      <w:szCs w:val="20"/>
      <w:lang w:eastAsia="en-US"/>
    </w:rPr>
  </w:style>
  <w:style w:type="paragraph" w:styleId="afc">
    <w:name w:val="Revision"/>
    <w:hidden/>
    <w:uiPriority w:val="99"/>
    <w:rsid w:val="00870696"/>
    <w:rPr>
      <w:rFonts w:ascii="Times New Roman" w:eastAsia="等线" w:hAnsi="Times New Roman" w:cs="Times New Roman"/>
      <w:kern w:val="0"/>
      <w:sz w:val="20"/>
      <w:szCs w:val="20"/>
      <w:lang w:eastAsia="en-US"/>
    </w:rPr>
  </w:style>
  <w:style w:type="table" w:styleId="afd">
    <w:name w:val="Table Grid"/>
    <w:basedOn w:val="a2"/>
    <w:uiPriority w:val="59"/>
    <w:rsid w:val="00870696"/>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List Number"/>
    <w:basedOn w:val="a0"/>
    <w:rsid w:val="00870696"/>
    <w:pPr>
      <w:widowControl/>
      <w:ind w:left="360" w:hanging="360"/>
      <w:jc w:val="left"/>
    </w:pPr>
    <w:rPr>
      <w:rFonts w:ascii="Times New Roman" w:eastAsia="等线" w:hAnsi="Times New Roman" w:cs="Times New Roman"/>
      <w:kern w:val="0"/>
      <w:sz w:val="20"/>
      <w:szCs w:val="20"/>
      <w:lang w:eastAsia="en-US"/>
    </w:rPr>
  </w:style>
  <w:style w:type="paragraph" w:customStyle="1" w:styleId="Theorem">
    <w:name w:val="Theorem"/>
    <w:basedOn w:val="3"/>
    <w:rsid w:val="00870696"/>
    <w:pPr>
      <w:numPr>
        <w:ilvl w:val="0"/>
        <w:numId w:val="2"/>
      </w:numPr>
      <w:outlineLvl w:val="9"/>
    </w:pPr>
    <w:rPr>
      <w:rFonts w:eastAsia="等线"/>
      <w:iCs w:val="0"/>
    </w:rPr>
  </w:style>
  <w:style w:type="paragraph" w:customStyle="1" w:styleId="Lemma">
    <w:name w:val="Lemma"/>
    <w:basedOn w:val="3"/>
    <w:rsid w:val="00870696"/>
    <w:pPr>
      <w:numPr>
        <w:ilvl w:val="0"/>
        <w:numId w:val="16"/>
      </w:numPr>
      <w:outlineLvl w:val="9"/>
    </w:pPr>
    <w:rPr>
      <w:rFonts w:eastAsia="等线"/>
      <w:iCs w:val="0"/>
    </w:rPr>
  </w:style>
  <w:style w:type="paragraph" w:styleId="aff0">
    <w:name w:val="Body Text"/>
    <w:basedOn w:val="a0"/>
    <w:link w:val="aff1"/>
    <w:rsid w:val="00870696"/>
    <w:pPr>
      <w:widowControl/>
    </w:pPr>
    <w:rPr>
      <w:rFonts w:ascii="Times New Roman" w:eastAsia="等线" w:hAnsi="Times New Roman" w:cs="Times New Roman"/>
      <w:kern w:val="0"/>
      <w:sz w:val="20"/>
      <w:szCs w:val="20"/>
      <w:lang w:eastAsia="en-US"/>
    </w:rPr>
  </w:style>
  <w:style w:type="character" w:customStyle="1" w:styleId="aff1">
    <w:name w:val="正文文本 字符"/>
    <w:basedOn w:val="a1"/>
    <w:link w:val="aff0"/>
    <w:rsid w:val="00870696"/>
    <w:rPr>
      <w:rFonts w:ascii="Times New Roman" w:eastAsia="等线" w:hAnsi="Times New Roman" w:cs="Times New Roman"/>
      <w:kern w:val="0"/>
      <w:sz w:val="20"/>
      <w:szCs w:val="20"/>
      <w:lang w:eastAsia="en-US"/>
    </w:rPr>
  </w:style>
  <w:style w:type="character" w:styleId="aff2">
    <w:name w:val="page number"/>
    <w:basedOn w:val="a1"/>
    <w:rsid w:val="00870696"/>
  </w:style>
  <w:style w:type="paragraph" w:styleId="aff3">
    <w:name w:val="Plain Text"/>
    <w:basedOn w:val="a0"/>
    <w:link w:val="aff4"/>
    <w:rsid w:val="00870696"/>
    <w:pPr>
      <w:widowControl/>
      <w:jc w:val="left"/>
    </w:pPr>
    <w:rPr>
      <w:rFonts w:ascii="Courier New" w:eastAsia="等线" w:hAnsi="Courier New" w:cs="Times New Roman"/>
      <w:kern w:val="0"/>
      <w:sz w:val="20"/>
      <w:szCs w:val="20"/>
      <w:lang w:eastAsia="en-US"/>
    </w:rPr>
  </w:style>
  <w:style w:type="character" w:customStyle="1" w:styleId="aff4">
    <w:name w:val="纯文本 字符"/>
    <w:basedOn w:val="a1"/>
    <w:link w:val="aff3"/>
    <w:rsid w:val="00870696"/>
    <w:rPr>
      <w:rFonts w:ascii="Courier New" w:eastAsia="等线" w:hAnsi="Courier New" w:cs="Times New Roman"/>
      <w:kern w:val="0"/>
      <w:sz w:val="20"/>
      <w:szCs w:val="20"/>
      <w:lang w:eastAsia="en-US"/>
    </w:rPr>
  </w:style>
  <w:style w:type="paragraph" w:customStyle="1" w:styleId="Biography">
    <w:name w:val="Biography"/>
    <w:basedOn w:val="aff3"/>
    <w:rsid w:val="00870696"/>
    <w:pPr>
      <w:spacing w:before="240"/>
      <w:jc w:val="both"/>
    </w:pPr>
    <w:rPr>
      <w:rFonts w:ascii="Times New Roman" w:hAnsi="Times New Roman"/>
      <w:sz w:val="16"/>
    </w:rPr>
  </w:style>
  <w:style w:type="paragraph" w:customStyle="1" w:styleId="BiographyBody">
    <w:name w:val="Biography Body"/>
    <w:basedOn w:val="Biography"/>
    <w:rsid w:val="00870696"/>
    <w:pPr>
      <w:spacing w:before="0"/>
      <w:ind w:firstLine="240"/>
    </w:pPr>
  </w:style>
  <w:style w:type="character" w:styleId="aff5">
    <w:name w:val="Strong"/>
    <w:qFormat/>
    <w:rsid w:val="00870696"/>
    <w:rPr>
      <w:b/>
    </w:rPr>
  </w:style>
  <w:style w:type="paragraph" w:styleId="21">
    <w:name w:val="Body Text 2"/>
    <w:basedOn w:val="a0"/>
    <w:link w:val="22"/>
    <w:rsid w:val="00870696"/>
    <w:rPr>
      <w:rFonts w:ascii="Arial" w:eastAsia="等线" w:hAnsi="Arial" w:cs="Times New Roman"/>
      <w:snapToGrid w:val="0"/>
      <w:kern w:val="0"/>
      <w:sz w:val="20"/>
      <w:szCs w:val="20"/>
      <w:lang w:eastAsia="en-US"/>
    </w:rPr>
  </w:style>
  <w:style w:type="character" w:customStyle="1" w:styleId="22">
    <w:name w:val="正文文本 2 字符"/>
    <w:basedOn w:val="a1"/>
    <w:link w:val="21"/>
    <w:rsid w:val="00870696"/>
    <w:rPr>
      <w:rFonts w:ascii="Arial" w:eastAsia="等线" w:hAnsi="Arial" w:cs="Times New Roman"/>
      <w:snapToGrid w:val="0"/>
      <w:kern w:val="0"/>
      <w:sz w:val="20"/>
      <w:szCs w:val="20"/>
      <w:lang w:eastAsia="en-US"/>
    </w:rPr>
  </w:style>
  <w:style w:type="character" w:styleId="aff6">
    <w:name w:val="line number"/>
    <w:basedOn w:val="a1"/>
    <w:rsid w:val="00870696"/>
  </w:style>
  <w:style w:type="character" w:customStyle="1" w:styleId="4Char">
    <w:name w:val="样式4 Char"/>
    <w:rsid w:val="00870696"/>
    <w:rPr>
      <w:rFonts w:eastAsia="方正书宋简体"/>
      <w:spacing w:val="2"/>
      <w:kern w:val="2"/>
      <w:lang w:val="en-US" w:eastAsia="zh-CN" w:bidi="ar-SA"/>
    </w:rPr>
  </w:style>
  <w:style w:type="character" w:customStyle="1" w:styleId="2GB2312Char">
    <w:name w:val="样式 样式2 + (中文) 仿宋_GB2312 Char"/>
    <w:rsid w:val="00870696"/>
    <w:rPr>
      <w:rFonts w:eastAsia="楷体_GB2312"/>
      <w:snapToGrid w:val="0"/>
      <w:spacing w:val="4"/>
      <w:kern w:val="2"/>
      <w:sz w:val="21"/>
      <w:lang w:val="en-US" w:eastAsia="zh-CN" w:bidi="ar-SA"/>
    </w:rPr>
  </w:style>
  <w:style w:type="character" w:customStyle="1" w:styleId="CharChar3">
    <w:name w:val="Char Char3"/>
    <w:rsid w:val="00870696"/>
    <w:rPr>
      <w:rFonts w:eastAsia="方正书宋简体"/>
      <w:spacing w:val="4"/>
      <w:kern w:val="2"/>
      <w:sz w:val="18"/>
      <w:szCs w:val="18"/>
      <w:lang w:val="en-US" w:eastAsia="zh-CN" w:bidi="ar-SA"/>
    </w:rPr>
  </w:style>
  <w:style w:type="character" w:customStyle="1" w:styleId="hps">
    <w:name w:val="hps"/>
    <w:basedOn w:val="a1"/>
    <w:rsid w:val="00870696"/>
  </w:style>
  <w:style w:type="character" w:customStyle="1" w:styleId="7Char">
    <w:name w:val="标题 7 Char"/>
    <w:rsid w:val="00870696"/>
    <w:rPr>
      <w:rFonts w:eastAsia="方正书宋简体"/>
      <w:b/>
      <w:bCs/>
      <w:spacing w:val="4"/>
      <w:kern w:val="2"/>
      <w:sz w:val="17"/>
      <w:szCs w:val="21"/>
      <w:lang w:val="en-US" w:eastAsia="zh-CN" w:bidi="ar-SA"/>
    </w:rPr>
  </w:style>
  <w:style w:type="character" w:customStyle="1" w:styleId="2Char">
    <w:name w:val="样式2 Char"/>
    <w:rsid w:val="00870696"/>
    <w:rPr>
      <w:rFonts w:eastAsia="方正仿宋简体"/>
      <w:snapToGrid w:val="0"/>
      <w:spacing w:val="4"/>
      <w:kern w:val="2"/>
      <w:lang w:val="en-US" w:eastAsia="zh-CN" w:bidi="ar-SA"/>
    </w:rPr>
  </w:style>
  <w:style w:type="character" w:customStyle="1" w:styleId="4Char0">
    <w:name w:val="标题 4 Char"/>
    <w:rsid w:val="00870696"/>
    <w:rPr>
      <w:rFonts w:eastAsia="方正书宋简体"/>
      <w:bCs/>
      <w:spacing w:val="2"/>
      <w:kern w:val="2"/>
      <w:sz w:val="24"/>
      <w:szCs w:val="24"/>
      <w:lang w:val="en-US" w:eastAsia="zh-CN" w:bidi="ar-SA"/>
    </w:rPr>
  </w:style>
  <w:style w:type="character" w:customStyle="1" w:styleId="6Char">
    <w:name w:val="标题 6 Char"/>
    <w:rsid w:val="00870696"/>
    <w:rPr>
      <w:rFonts w:eastAsia="方正黑体简体"/>
      <w:bCs/>
      <w:spacing w:val="4"/>
      <w:kern w:val="2"/>
      <w:szCs w:val="21"/>
      <w:lang w:val="en-US" w:eastAsia="zh-CN" w:bidi="ar-SA"/>
    </w:rPr>
  </w:style>
  <w:style w:type="character" w:customStyle="1" w:styleId="datatitle1">
    <w:name w:val="datatitle1"/>
    <w:rsid w:val="00870696"/>
    <w:rPr>
      <w:b/>
      <w:bCs/>
      <w:color w:val="10619F"/>
      <w:sz w:val="21"/>
      <w:szCs w:val="21"/>
    </w:rPr>
  </w:style>
  <w:style w:type="character" w:customStyle="1" w:styleId="8Char">
    <w:name w:val="标题 8 Char"/>
    <w:rsid w:val="00870696"/>
    <w:rPr>
      <w:rFonts w:eastAsia="方正书宋简体"/>
      <w:b/>
      <w:bCs/>
      <w:spacing w:val="4"/>
      <w:kern w:val="2"/>
      <w:sz w:val="16"/>
      <w:szCs w:val="21"/>
      <w:lang w:val="en-US" w:eastAsia="zh-CN" w:bidi="ar-SA"/>
    </w:rPr>
  </w:style>
  <w:style w:type="character" w:customStyle="1" w:styleId="CharChar2">
    <w:name w:val="Char Char2"/>
    <w:rsid w:val="00870696"/>
    <w:rPr>
      <w:rFonts w:eastAsia="方正书宋简体"/>
      <w:spacing w:val="4"/>
      <w:kern w:val="2"/>
      <w:sz w:val="18"/>
      <w:szCs w:val="18"/>
      <w:lang w:val="en-US" w:eastAsia="zh-CN" w:bidi="ar-SA"/>
    </w:rPr>
  </w:style>
  <w:style w:type="character" w:customStyle="1" w:styleId="402Char">
    <w:name w:val="样式 标题 4 + 紧缩量  0.2 磅 Char"/>
    <w:rsid w:val="00870696"/>
    <w:rPr>
      <w:rFonts w:eastAsia="黑体"/>
      <w:bCs/>
      <w:spacing w:val="-4"/>
      <w:kern w:val="2"/>
      <w:sz w:val="24"/>
      <w:szCs w:val="24"/>
      <w:lang w:val="en-US" w:eastAsia="zh-CN" w:bidi="ar-SA"/>
    </w:rPr>
  </w:style>
  <w:style w:type="character" w:customStyle="1" w:styleId="4Char1">
    <w:name w:val="样式 样式4 + 五号 Char"/>
    <w:rsid w:val="00870696"/>
    <w:rPr>
      <w:rFonts w:eastAsia="方正书宋简体"/>
      <w:spacing w:val="2"/>
      <w:kern w:val="2"/>
      <w:sz w:val="21"/>
      <w:lang w:val="en-US" w:eastAsia="zh-CN" w:bidi="ar-SA"/>
    </w:rPr>
  </w:style>
  <w:style w:type="paragraph" w:styleId="aff7">
    <w:name w:val="endnote text"/>
    <w:basedOn w:val="a0"/>
    <w:link w:val="aff8"/>
    <w:rsid w:val="00870696"/>
    <w:pPr>
      <w:snapToGrid w:val="0"/>
      <w:jc w:val="left"/>
    </w:pPr>
    <w:rPr>
      <w:rFonts w:ascii="Times New Roman" w:eastAsia="宋体" w:hAnsi="Times New Roman" w:cs="Times New Roman"/>
      <w:szCs w:val="24"/>
    </w:rPr>
  </w:style>
  <w:style w:type="character" w:customStyle="1" w:styleId="aff8">
    <w:name w:val="尾注文本 字符"/>
    <w:basedOn w:val="a1"/>
    <w:link w:val="aff7"/>
    <w:rsid w:val="00870696"/>
    <w:rPr>
      <w:rFonts w:ascii="Times New Roman" w:eastAsia="宋体" w:hAnsi="Times New Roman" w:cs="Times New Roman"/>
      <w:szCs w:val="24"/>
    </w:rPr>
  </w:style>
  <w:style w:type="paragraph" w:customStyle="1" w:styleId="23">
    <w:name w:val="样式2"/>
    <w:basedOn w:val="a0"/>
    <w:rsid w:val="00870696"/>
    <w:pPr>
      <w:snapToGrid w:val="0"/>
      <w:spacing w:after="360" w:line="259" w:lineRule="auto"/>
      <w:ind w:left="454" w:right="454"/>
    </w:pPr>
    <w:rPr>
      <w:rFonts w:ascii="Times New Roman" w:eastAsia="方正仿宋简体" w:hAnsi="Times New Roman" w:cs="Times New Roman"/>
      <w:snapToGrid w:val="0"/>
      <w:spacing w:val="2"/>
      <w:sz w:val="20"/>
      <w:szCs w:val="20"/>
    </w:rPr>
  </w:style>
  <w:style w:type="paragraph" w:customStyle="1" w:styleId="11">
    <w:name w:val="样式1"/>
    <w:basedOn w:val="a0"/>
    <w:rsid w:val="00870696"/>
    <w:pPr>
      <w:snapToGrid w:val="0"/>
      <w:spacing w:after="360" w:line="276" w:lineRule="auto"/>
      <w:jc w:val="center"/>
    </w:pPr>
    <w:rPr>
      <w:rFonts w:ascii="Times New Roman" w:eastAsia="方正书宋简体" w:hAnsi="Times New Roman" w:cs="Times New Roman"/>
      <w:spacing w:val="2"/>
      <w:sz w:val="18"/>
      <w:szCs w:val="18"/>
    </w:rPr>
  </w:style>
  <w:style w:type="paragraph" w:customStyle="1" w:styleId="51">
    <w:name w:val="标题5"/>
    <w:basedOn w:val="a0"/>
    <w:rsid w:val="00870696"/>
    <w:pPr>
      <w:snapToGrid w:val="0"/>
      <w:spacing w:before="120" w:after="120" w:line="300" w:lineRule="exact"/>
      <w:jc w:val="center"/>
      <w:outlineLvl w:val="4"/>
    </w:pPr>
    <w:rPr>
      <w:rFonts w:ascii="Times New Roman" w:eastAsia="方正黑体简体" w:hAnsi="Times New Roman" w:cs="Times New Roman"/>
      <w:bCs/>
      <w:color w:val="000000"/>
      <w:spacing w:val="2"/>
      <w:sz w:val="20"/>
      <w:szCs w:val="20"/>
    </w:rPr>
  </w:style>
  <w:style w:type="paragraph" w:customStyle="1" w:styleId="a">
    <w:name w:val="参考文献"/>
    <w:basedOn w:val="a0"/>
    <w:rsid w:val="00870696"/>
    <w:pPr>
      <w:widowControl/>
      <w:numPr>
        <w:numId w:val="17"/>
      </w:numPr>
      <w:tabs>
        <w:tab w:val="left" w:pos="420"/>
      </w:tabs>
      <w:snapToGrid w:val="0"/>
      <w:spacing w:line="252" w:lineRule="exact"/>
    </w:pPr>
    <w:rPr>
      <w:rFonts w:ascii="Times New Roman" w:eastAsia="方正书宋简体" w:hAnsi="Times New Roman" w:cs="Times New Roman"/>
      <w:spacing w:val="2"/>
      <w:kern w:val="0"/>
      <w:sz w:val="17"/>
      <w:szCs w:val="17"/>
    </w:rPr>
  </w:style>
  <w:style w:type="paragraph" w:styleId="aff9">
    <w:name w:val="Normal Indent"/>
    <w:basedOn w:val="a0"/>
    <w:rsid w:val="00870696"/>
    <w:pPr>
      <w:spacing w:line="300" w:lineRule="auto"/>
      <w:ind w:leftChars="131" w:left="314" w:firstLineChars="200" w:firstLine="480"/>
    </w:pPr>
    <w:rPr>
      <w:rFonts w:ascii="Times New Roman" w:eastAsia="宋体" w:hAnsi="Times New Roman" w:cs="Times New Roman"/>
      <w:sz w:val="24"/>
      <w:szCs w:val="24"/>
    </w:rPr>
  </w:style>
  <w:style w:type="paragraph" w:customStyle="1" w:styleId="402">
    <w:name w:val="样式 标题 4 + 紧缩量  0.2 磅"/>
    <w:basedOn w:val="4"/>
    <w:rsid w:val="00870696"/>
    <w:pPr>
      <w:widowControl w:val="0"/>
      <w:numPr>
        <w:ilvl w:val="0"/>
        <w:numId w:val="0"/>
      </w:numPr>
      <w:snapToGrid w:val="0"/>
      <w:spacing w:before="120" w:after="120" w:line="300" w:lineRule="exact"/>
    </w:pPr>
    <w:rPr>
      <w:rFonts w:eastAsia="黑体"/>
      <w:i w:val="0"/>
      <w:iCs w:val="0"/>
      <w:spacing w:val="-4"/>
      <w:kern w:val="2"/>
      <w:sz w:val="24"/>
      <w:szCs w:val="24"/>
      <w:lang w:eastAsia="zh-CN"/>
    </w:rPr>
  </w:style>
  <w:style w:type="paragraph" w:styleId="affa">
    <w:name w:val="table of figures"/>
    <w:basedOn w:val="a0"/>
    <w:next w:val="a0"/>
    <w:rsid w:val="00870696"/>
    <w:pPr>
      <w:snapToGrid w:val="0"/>
      <w:spacing w:line="264" w:lineRule="auto"/>
      <w:ind w:left="340" w:hanging="340"/>
    </w:pPr>
    <w:rPr>
      <w:rFonts w:ascii="Times New Roman" w:eastAsia="方正书宋简体" w:hAnsi="Times New Roman" w:cs="Times New Roman"/>
      <w:spacing w:val="2"/>
      <w:sz w:val="17"/>
      <w:szCs w:val="20"/>
    </w:rPr>
  </w:style>
  <w:style w:type="paragraph" w:customStyle="1" w:styleId="2771617">
    <w:name w:val="样式 样式2 + 左侧:  7 毫米 右侧:  7 毫米 段后: 16 磅 行距: 固定值 17 磅"/>
    <w:basedOn w:val="23"/>
    <w:rsid w:val="00870696"/>
    <w:pPr>
      <w:spacing w:after="320" w:line="340" w:lineRule="exact"/>
      <w:ind w:left="397" w:right="397"/>
    </w:pPr>
    <w:rPr>
      <w:rFonts w:eastAsia="方正楷体简体" w:cs="宋体"/>
      <w:szCs w:val="21"/>
    </w:rPr>
  </w:style>
  <w:style w:type="paragraph" w:customStyle="1" w:styleId="41">
    <w:name w:val="样式4"/>
    <w:basedOn w:val="a0"/>
    <w:rsid w:val="00870696"/>
    <w:pPr>
      <w:snapToGrid w:val="0"/>
      <w:spacing w:line="312" w:lineRule="auto"/>
    </w:pPr>
    <w:rPr>
      <w:rFonts w:ascii="Times New Roman" w:eastAsia="方正书宋简体" w:hAnsi="Times New Roman" w:cs="Times New Roman"/>
      <w:spacing w:val="2"/>
      <w:sz w:val="20"/>
      <w:szCs w:val="20"/>
    </w:rPr>
  </w:style>
  <w:style w:type="paragraph" w:customStyle="1" w:styleId="200977">
    <w:name w:val="样式 样式 样式2 + 分散对齐 段后: 0 磅 行距: 多倍行距 0.9 字行 + 左侧:  7 毫米 右侧:  7 毫米"/>
    <w:basedOn w:val="2009"/>
    <w:rsid w:val="00870696"/>
    <w:pPr>
      <w:ind w:left="397" w:right="397"/>
    </w:pPr>
    <w:rPr>
      <w:rFonts w:eastAsia="仿宋_GB2312"/>
    </w:rPr>
  </w:style>
  <w:style w:type="paragraph" w:customStyle="1" w:styleId="2009">
    <w:name w:val="样式 样式2 + 分散对齐 段后: 0 磅 行距: 多倍行距 0.9 字行"/>
    <w:basedOn w:val="23"/>
    <w:rsid w:val="00870696"/>
    <w:pPr>
      <w:spacing w:after="0" w:line="216" w:lineRule="auto"/>
      <w:jc w:val="distribute"/>
    </w:pPr>
    <w:rPr>
      <w:rFonts w:cs="宋体"/>
    </w:rPr>
  </w:style>
  <w:style w:type="paragraph" w:customStyle="1" w:styleId="4158">
    <w:name w:val="样式 样式4 + 行距: 固定值 15.8 磅"/>
    <w:basedOn w:val="41"/>
    <w:rsid w:val="00870696"/>
    <w:pPr>
      <w:spacing w:line="290" w:lineRule="exact"/>
    </w:pPr>
    <w:rPr>
      <w:rFonts w:cs="宋体"/>
    </w:rPr>
  </w:style>
  <w:style w:type="paragraph" w:customStyle="1" w:styleId="42">
    <w:name w:val="样式 样式4 + 五号"/>
    <w:basedOn w:val="41"/>
    <w:rsid w:val="00870696"/>
    <w:pPr>
      <w:spacing w:line="300" w:lineRule="exact"/>
    </w:pPr>
    <w:rPr>
      <w:sz w:val="21"/>
    </w:rPr>
  </w:style>
  <w:style w:type="paragraph" w:customStyle="1" w:styleId="71">
    <w:name w:val="标题7"/>
    <w:basedOn w:val="a0"/>
    <w:rsid w:val="00870696"/>
    <w:pPr>
      <w:snapToGrid w:val="0"/>
      <w:spacing w:before="1080" w:after="360" w:line="300" w:lineRule="exact"/>
      <w:jc w:val="center"/>
      <w:outlineLvl w:val="6"/>
    </w:pPr>
    <w:rPr>
      <w:rFonts w:ascii="Times New Roman" w:eastAsia="方正书宋简体" w:hAnsi="Times New Roman" w:cs="Times New Roman"/>
      <w:b/>
      <w:bCs/>
      <w:color w:val="000000"/>
      <w:spacing w:val="2"/>
      <w:sz w:val="28"/>
      <w:szCs w:val="28"/>
    </w:rPr>
  </w:style>
  <w:style w:type="paragraph" w:customStyle="1" w:styleId="81">
    <w:name w:val="标题8"/>
    <w:basedOn w:val="a0"/>
    <w:rsid w:val="00870696"/>
    <w:pPr>
      <w:snapToGrid w:val="0"/>
      <w:spacing w:after="40" w:line="300" w:lineRule="exact"/>
      <w:jc w:val="center"/>
      <w:outlineLvl w:val="7"/>
    </w:pPr>
    <w:rPr>
      <w:rFonts w:ascii="Times New Roman" w:eastAsia="方正书宋简体" w:hAnsi="Times New Roman" w:cs="Times New Roman"/>
      <w:color w:val="000000"/>
      <w:spacing w:val="2"/>
      <w:sz w:val="20"/>
      <w:szCs w:val="20"/>
    </w:rPr>
  </w:style>
  <w:style w:type="paragraph" w:customStyle="1" w:styleId="31">
    <w:name w:val="样式3"/>
    <w:basedOn w:val="a0"/>
    <w:rsid w:val="00870696"/>
    <w:pPr>
      <w:snapToGrid w:val="0"/>
      <w:spacing w:after="480" w:line="300" w:lineRule="exact"/>
      <w:jc w:val="center"/>
    </w:pPr>
    <w:rPr>
      <w:rFonts w:ascii="Times New Roman" w:eastAsia="方正书宋简体" w:hAnsi="Times New Roman" w:cs="Times New Roman"/>
      <w:i/>
      <w:color w:val="000000"/>
      <w:spacing w:val="2"/>
      <w:sz w:val="17"/>
      <w:szCs w:val="18"/>
    </w:rPr>
  </w:style>
  <w:style w:type="paragraph" w:customStyle="1" w:styleId="116">
    <w:name w:val="样式 样式1 + 段后: 16 磅"/>
    <w:basedOn w:val="11"/>
    <w:rsid w:val="00870696"/>
    <w:pPr>
      <w:spacing w:after="280"/>
    </w:pPr>
    <w:rPr>
      <w:rFonts w:cs="宋体"/>
      <w:szCs w:val="20"/>
    </w:rPr>
  </w:style>
  <w:style w:type="paragraph" w:customStyle="1" w:styleId="2GB2312">
    <w:name w:val="样式 样式2 + (中文) 仿宋_GB2312"/>
    <w:basedOn w:val="23"/>
    <w:rsid w:val="00870696"/>
    <w:rPr>
      <w:rFonts w:eastAsia="楷体_GB2312"/>
    </w:rPr>
  </w:style>
  <w:style w:type="character" w:customStyle="1" w:styleId="jlqj4b">
    <w:name w:val="jlqj4b"/>
    <w:basedOn w:val="a1"/>
    <w:rsid w:val="00870696"/>
  </w:style>
  <w:style w:type="character" w:customStyle="1" w:styleId="bregtxt">
    <w:name w:val="b_regtxt"/>
    <w:basedOn w:val="a1"/>
    <w:rsid w:val="00870696"/>
  </w:style>
  <w:style w:type="paragraph" w:styleId="affb">
    <w:name w:val="Bibliography"/>
    <w:basedOn w:val="a0"/>
    <w:next w:val="a0"/>
    <w:uiPriority w:val="37"/>
    <w:unhideWhenUsed/>
    <w:rsid w:val="00870696"/>
    <w:pPr>
      <w:widowControl/>
      <w:tabs>
        <w:tab w:val="left" w:pos="384"/>
      </w:tabs>
      <w:ind w:left="384" w:hanging="384"/>
      <w:jc w:val="left"/>
    </w:pPr>
    <w:rPr>
      <w:rFonts w:ascii="Times New Roman" w:eastAsia="宋体" w:hAnsi="Times New Roman" w:cs="Times New Roman"/>
      <w:kern w:val="0"/>
      <w:sz w:val="20"/>
      <w:szCs w:val="20"/>
      <w:lang w:eastAsia="en-US"/>
    </w:rPr>
  </w:style>
  <w:style w:type="character" w:customStyle="1" w:styleId="MTDisplayEquation">
    <w:name w:val="MTDisplayEquation 字符"/>
    <w:basedOn w:val="a1"/>
    <w:link w:val="MTDisplayEquation0"/>
    <w:locked/>
    <w:rsid w:val="00870696"/>
  </w:style>
  <w:style w:type="paragraph" w:customStyle="1" w:styleId="MTDisplayEquation0">
    <w:name w:val="MTDisplayEquation"/>
    <w:basedOn w:val="a0"/>
    <w:next w:val="a0"/>
    <w:link w:val="MTDisplayEquation"/>
    <w:rsid w:val="00870696"/>
    <w:pPr>
      <w:tabs>
        <w:tab w:val="center" w:pos="4160"/>
        <w:tab w:val="right" w:pos="8300"/>
      </w:tabs>
      <w:snapToGrid w:val="0"/>
      <w:ind w:firstLineChars="200" w:firstLine="420"/>
      <w:jc w:val="center"/>
    </w:pPr>
  </w:style>
  <w:style w:type="character" w:customStyle="1" w:styleId="MTEquationSection">
    <w:name w:val="MTEquationSection"/>
    <w:rsid w:val="00870696"/>
    <w:rPr>
      <w:vanish/>
      <w:color w:val="FF0000"/>
    </w:rPr>
  </w:style>
  <w:style w:type="character" w:customStyle="1" w:styleId="link-annotation-unknown-block-id--1137551133">
    <w:name w:val="link-annotation-unknown-block-id--1137551133"/>
    <w:basedOn w:val="a1"/>
    <w:rsid w:val="00870696"/>
  </w:style>
  <w:style w:type="character" w:styleId="affc">
    <w:name w:val="endnote reference"/>
    <w:unhideWhenUsed/>
    <w:rsid w:val="00870696"/>
    <w:rPr>
      <w:vertAlign w:val="superscript"/>
    </w:rPr>
  </w:style>
  <w:style w:type="paragraph" w:styleId="affd">
    <w:name w:val="Normal (Web)"/>
    <w:basedOn w:val="a0"/>
    <w:uiPriority w:val="99"/>
    <w:unhideWhenUsed/>
    <w:rsid w:val="00870696"/>
    <w:pPr>
      <w:widowControl/>
      <w:spacing w:before="100" w:beforeAutospacing="1" w:after="100" w:afterAutospacing="1"/>
      <w:jc w:val="left"/>
    </w:pPr>
    <w:rPr>
      <w:rFonts w:ascii="Times New Roman" w:eastAsia="等线" w:hAnsi="Times New Roman" w:cs="Times New Roman"/>
      <w:kern w:val="0"/>
      <w:sz w:val="24"/>
      <w:szCs w:val="24"/>
      <w:lang w:eastAsia="en-US"/>
    </w:rPr>
  </w:style>
  <w:style w:type="paragraph" w:styleId="24">
    <w:name w:val="Body Text Indent 2"/>
    <w:basedOn w:val="a0"/>
    <w:link w:val="25"/>
    <w:unhideWhenUsed/>
    <w:rsid w:val="00870696"/>
    <w:pPr>
      <w:widowControl/>
      <w:spacing w:after="120" w:line="480" w:lineRule="auto"/>
      <w:ind w:leftChars="200" w:left="420"/>
      <w:jc w:val="left"/>
    </w:pPr>
    <w:rPr>
      <w:rFonts w:ascii="Times New Roman" w:eastAsia="等线" w:hAnsi="Times New Roman" w:cs="Times New Roman"/>
      <w:kern w:val="0"/>
      <w:sz w:val="20"/>
      <w:szCs w:val="20"/>
      <w:lang w:eastAsia="en-US"/>
    </w:rPr>
  </w:style>
  <w:style w:type="character" w:customStyle="1" w:styleId="25">
    <w:name w:val="正文文本缩进 2 字符"/>
    <w:basedOn w:val="a1"/>
    <w:link w:val="24"/>
    <w:rsid w:val="00870696"/>
    <w:rPr>
      <w:rFonts w:ascii="Times New Roman" w:eastAsia="等线" w:hAnsi="Times New Roman" w:cs="Times New Roman"/>
      <w:kern w:val="0"/>
      <w:sz w:val="20"/>
      <w:szCs w:val="20"/>
      <w:lang w:eastAsia="en-US"/>
    </w:rPr>
  </w:style>
  <w:style w:type="character" w:styleId="affe">
    <w:name w:val="Unresolved Mention"/>
    <w:uiPriority w:val="99"/>
    <w:semiHidden/>
    <w:unhideWhenUsed/>
    <w:rsid w:val="008706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990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8.wmf"/><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28.bin"/><Relationship Id="rId84" Type="http://schemas.openxmlformats.org/officeDocument/2006/relationships/image" Target="media/image40.wmf"/><Relationship Id="rId89" Type="http://schemas.openxmlformats.org/officeDocument/2006/relationships/oleObject" Target="embeddings/oleObject37.bin"/><Relationship Id="rId16" Type="http://schemas.openxmlformats.org/officeDocument/2006/relationships/oleObject" Target="embeddings/oleObject2.bin"/><Relationship Id="rId11" Type="http://schemas.openxmlformats.org/officeDocument/2006/relationships/package" Target="embeddings/Microsoft_Visio_Drawing.vsdx"/><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jpeg"/><Relationship Id="rId5" Type="http://schemas.openxmlformats.org/officeDocument/2006/relationships/footnotes" Target="footnotes.xml"/><Relationship Id="rId90"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wmf"/><Relationship Id="rId8" Type="http://schemas.openxmlformats.org/officeDocument/2006/relationships/footer" Target="footer1.xml"/><Relationship Id="rId51" Type="http://schemas.openxmlformats.org/officeDocument/2006/relationships/image" Target="media/image23.wmf"/><Relationship Id="rId72" Type="http://schemas.openxmlformats.org/officeDocument/2006/relationships/oleObject" Target="embeddings/oleObject30.bin"/><Relationship Id="rId80" Type="http://schemas.openxmlformats.org/officeDocument/2006/relationships/image" Target="media/image38.wmf"/><Relationship Id="rId85" Type="http://schemas.openxmlformats.org/officeDocument/2006/relationships/oleObject" Target="embeddings/oleObject35.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oleObject" Target="embeddings/oleObject4.bin"/><Relationship Id="rId41" Type="http://schemas.openxmlformats.org/officeDocument/2006/relationships/image" Target="media/image18.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wmf"/><Relationship Id="rId83" Type="http://schemas.openxmlformats.org/officeDocument/2006/relationships/oleObject" Target="embeddings/oleObject34.bin"/><Relationship Id="rId88" Type="http://schemas.openxmlformats.org/officeDocument/2006/relationships/image" Target="media/image42.wmf"/><Relationship Id="rId91" Type="http://schemas.openxmlformats.org/officeDocument/2006/relationships/oleObject" Target="embeddings/oleObject38.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image" Target="media/image2.emf"/><Relationship Id="rId31" Type="http://schemas.openxmlformats.org/officeDocument/2006/relationships/image" Target="media/image13.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package" Target="embeddings/Microsoft_Visio_Drawing1.vsdx"/><Relationship Id="rId81" Type="http://schemas.openxmlformats.org/officeDocument/2006/relationships/oleObject" Target="embeddings/oleObject33.bin"/><Relationship Id="rId86" Type="http://schemas.openxmlformats.org/officeDocument/2006/relationships/image" Target="media/image41.w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emf"/><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image" Target="media/image17.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2.bin"/><Relationship Id="rId7" Type="http://schemas.openxmlformats.org/officeDocument/2006/relationships/header" Target="header1.xml"/><Relationship Id="rId71" Type="http://schemas.openxmlformats.org/officeDocument/2006/relationships/image" Target="media/image33.wmf"/><Relationship Id="rId92" Type="http://schemas.openxmlformats.org/officeDocument/2006/relationships/footer" Target="footer2.xml"/><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oleObject" Target="embeddings/oleObject27.bin"/><Relationship Id="rId87" Type="http://schemas.openxmlformats.org/officeDocument/2006/relationships/oleObject" Target="embeddings/oleObject36.bin"/><Relationship Id="rId61" Type="http://schemas.openxmlformats.org/officeDocument/2006/relationships/image" Target="media/image28.wmf"/><Relationship Id="rId82" Type="http://schemas.openxmlformats.org/officeDocument/2006/relationships/image" Target="media/image39.emf"/><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image" Target="media/image3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69</TotalTime>
  <Pages>10</Pages>
  <Words>7354</Words>
  <Characters>41921</Characters>
  <Application>Microsoft Office Word</Application>
  <DocSecurity>0</DocSecurity>
  <Lines>349</Lines>
  <Paragraphs>98</Paragraphs>
  <ScaleCrop>false</ScaleCrop>
  <Company/>
  <LinksUpToDate>false</LinksUpToDate>
  <CharactersWithSpaces>49177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彬 li</dc:creator>
  <cp:keywords/>
  <dc:description/>
  <cp:lastModifiedBy>彬 li</cp:lastModifiedBy>
  <cp:revision>10</cp:revision>
  <dcterms:created xsi:type="dcterms:W3CDTF">2024-11-20T06:44:00Z</dcterms:created>
  <dcterms:modified xsi:type="dcterms:W3CDTF">2024-11-20T09:12:00Z</dcterms:modified>
</cp:coreProperties>
</file>