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5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275"/>
        <w:gridCol w:w="1200"/>
        <w:gridCol w:w="750"/>
        <w:gridCol w:w="960"/>
        <w:gridCol w:w="1245"/>
        <w:gridCol w:w="1185"/>
        <w:gridCol w:w="1155"/>
        <w:gridCol w:w="990"/>
        <w:gridCol w:w="1485"/>
        <w:gridCol w:w="1704.9999999999995"/>
        <w:gridCol w:w="1400.0000000000005"/>
        <w:tblGridChange w:id="0">
          <w:tblGrid>
            <w:gridCol w:w="1275"/>
            <w:gridCol w:w="1200"/>
            <w:gridCol w:w="750"/>
            <w:gridCol w:w="960"/>
            <w:gridCol w:w="1245"/>
            <w:gridCol w:w="1185"/>
            <w:gridCol w:w="1155"/>
            <w:gridCol w:w="990"/>
            <w:gridCol w:w="1485"/>
            <w:gridCol w:w="1704.9999999999995"/>
            <w:gridCol w:w="1400.0000000000005"/>
          </w:tblGrid>
        </w:tblGridChange>
      </w:tblGrid>
      <w:tr>
        <w:trPr>
          <w:cantSplit w:val="0"/>
          <w:trHeight w:val="9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FIrst author, year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No. of participants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Drug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Duration of therapy (days)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Cumulative dose in mg (assume 70kg)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Average daily dose (mg)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Pred equivalent (mg)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after="160" w:line="278.0000000000000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160" w:line="278.0000000000000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Length of follow 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160" w:line="278.0000000000000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Methods of AE reporting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after="160" w:line="278.0000000000000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Relevant exclusion 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Additional therapies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Liu 2023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60.0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Diabetes, severe hypertension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Swachia 2016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690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49.3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49.3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60 days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highlight w:val="white"/>
                <w:rtl w:val="0"/>
              </w:rPr>
              <w:t xml:space="preserve">Patients encouraged to report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Pregnant women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Koo 2016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440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36.7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45.8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28 days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History and examination 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Severe renal/hepatic/respiratory disease or  severe heart failure,pregnancy, breast-feeding, 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Xie 2023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391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60.0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 months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Patients examined at follow-up appointments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Diabetes, gastrointestinal ulcers, mental disorders, epilepsy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039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Gingko biloba extract, Vitamin B1,  and mecobalamin tablets for 14 days, mannitol for ascending type-hearing loss, batroxobin for flat-type and profound hearing loss.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Gundogan 2013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480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34.3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42.9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weeks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Low-salt diet, PPI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Han 2009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43.0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43.0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8 weeks (IP 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Blood glucose monitoring for high risk patients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Took rest, quit smoking, low-salt diet, trimetazidine 50mg TDS, gingko bilobba extract 80mg BD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Rauch 2011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121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990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52.1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52.1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6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Questionnaire, examinations, bloods and urine analysis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Previous ear surgery, insulin-dependent diabetes mellitus, rheumatic disease, active atherosclerotic vascular disease, severe osteoporosis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Yu 2019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42.5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42.5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Slattery 2005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46.1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46.1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Dispenza 2011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36.4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36.4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Online questionnaire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Any contraindication to systemic steroid administration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Choi 2014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66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432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30.9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38.6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months (IP +OP)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Medical chart review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Uncontrolled hypertension or diabetes mellitus 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Continuous infusion of 10 µg/d alprostadil over 7 days or daily infusions of 88 mg of zinc sulfate hydrate were provided.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Choi 2014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MPD (low dose)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144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18.0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22.5</w:t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Ermutlu 2017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35.0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Patients examined at follow-up appointments, case report form detailed side effects and complications.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Low molecular dextran for 5-10 days; acetazolamide for 1 month; betahistine; trimetazidine for 3 months</w:t>
            </w:r>
          </w:p>
          <w:p w:rsidR="00000000" w:rsidDel="00000000" w:rsidP="00000000" w:rsidRDefault="00000000" w:rsidRPr="00000000" w14:paraId="0000009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Plontke 2024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DEX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200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40.0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400.0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180 days (OP)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highlight w:val="white"/>
                <w:rtl w:val="0"/>
              </w:rPr>
              <w:t xml:space="preserve">24-hour ambulatory blood pressure measurement, insulin and glucose measurements to assess for insulin resistance. Special safety interest events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vMerge w:val="restart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450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45.0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45.0</w:t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Kara 2010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400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40.0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50.0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 months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Antiviral agents, low molecular weight dextran, anti-aggregants and vitamins. Low salt diet, antacid treatment.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Ahn 2008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544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38.9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48.6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months (IP 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Low salt diet, prostaglandin E1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Hong 2009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45.0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45.0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Diabetes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spacing w:after="160" w:line="278.0000000000000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Peripheral vasodilator, gingko biloba extract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Tong 2021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MPD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35.0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month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Low salt diet, instructed to stop drinking alcohol and smoking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Halevy 2022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143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Specifics unreported.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Unreported (IP)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BP  and blood glucose monitoring 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None</w:t>
            </w:r>
          </w:p>
        </w:tc>
      </w:tr>
    </w:tbl>
    <w:p w:rsidR="00000000" w:rsidDel="00000000" w:rsidP="00000000" w:rsidRDefault="00000000" w:rsidRPr="00000000" w14:paraId="000000E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