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E80A5" w14:textId="0ECD8E4E" w:rsidR="0041752D" w:rsidRPr="0041752D" w:rsidRDefault="00664968" w:rsidP="0041752D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T</w:t>
      </w:r>
      <w:r w:rsidR="0041752D" w:rsidRPr="0041752D">
        <w:rPr>
          <w:rFonts w:ascii="Times New Roman" w:hAnsi="Times New Roman"/>
          <w:sz w:val="24"/>
          <w:szCs w:val="24"/>
        </w:rPr>
        <w:t xml:space="preserve">able 1 Clinical characteristics of patients with </w:t>
      </w:r>
      <w:r w:rsidR="0041752D" w:rsidRPr="0041752D">
        <w:rPr>
          <w:rFonts w:ascii="Times New Roman" w:hAnsi="Times New Roman"/>
          <w:i/>
          <w:iCs/>
          <w:sz w:val="24"/>
          <w:szCs w:val="24"/>
        </w:rPr>
        <w:t>NF1</w:t>
      </w:r>
      <w:r w:rsidR="0041752D" w:rsidRPr="0041752D">
        <w:rPr>
          <w:rFonts w:ascii="Times New Roman" w:hAnsi="Times New Roman"/>
          <w:sz w:val="24"/>
          <w:szCs w:val="24"/>
        </w:rPr>
        <w:t xml:space="preserve"> mutation-positive acute leukemia</w:t>
      </w:r>
    </w:p>
    <w:tbl>
      <w:tblPr>
        <w:tblW w:w="9577" w:type="dxa"/>
        <w:tblLook w:val="04A0" w:firstRow="1" w:lastRow="0" w:firstColumn="1" w:lastColumn="0" w:noHBand="0" w:noVBand="1"/>
      </w:tblPr>
      <w:tblGrid>
        <w:gridCol w:w="1589"/>
        <w:gridCol w:w="2211"/>
        <w:gridCol w:w="1984"/>
        <w:gridCol w:w="2126"/>
        <w:gridCol w:w="1701"/>
      </w:tblGrid>
      <w:tr w:rsidR="0041752D" w:rsidRPr="0041752D" w14:paraId="414D4AB2" w14:textId="77777777" w:rsidTr="009F6834">
        <w:trPr>
          <w:trHeight w:val="32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E9EA6B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Patients’ clinical characteristics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D2F8B7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9C6942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ALL(n=12)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7EEEA8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AML(n=15)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96692A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APL(n=1)</w:t>
            </w:r>
          </w:p>
        </w:tc>
      </w:tr>
      <w:tr w:rsidR="0041752D" w:rsidRPr="0041752D" w14:paraId="1C3695ED" w14:textId="77777777" w:rsidTr="009F6834">
        <w:trPr>
          <w:trHeight w:val="320"/>
        </w:trPr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D3771B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Sex: Male/Female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3127EA0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790B7B6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7:5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5E4970F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2:1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D840167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0:1</w:t>
            </w:r>
          </w:p>
        </w:tc>
      </w:tr>
      <w:tr w:rsidR="0041752D" w:rsidRPr="0041752D" w14:paraId="0029933A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75225FD7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Age:</w:t>
            </w: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42C3A48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68BBEC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7(3.3-14.8)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A221203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11(0.6-15.4)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819C865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kern w:val="0"/>
                <w:sz w:val="24"/>
                <w:szCs w:val="24"/>
              </w:rPr>
              <w:t>8</w:t>
            </w:r>
          </w:p>
        </w:tc>
      </w:tr>
      <w:tr w:rsidR="0041752D" w:rsidRPr="0041752D" w14:paraId="49BD5CC7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5601C4F4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Chromosomal karyotype</w:t>
            </w: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1CED96E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1C361CD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F8BEAAA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5B63288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41752D" w:rsidRPr="0041752D" w14:paraId="5A5FC832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009D222D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2734D0B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Normal karyotype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03706EC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10(83.3%)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A114AF0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13(86.6%)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74A80D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1(100%)</w:t>
            </w:r>
          </w:p>
        </w:tc>
      </w:tr>
      <w:tr w:rsidR="0041752D" w:rsidRPr="0041752D" w14:paraId="3653F0D3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27901F53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5F0E81F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Hyperdiploid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A9D30F5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2(16.7%)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B6BF861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8245EC1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41752D" w:rsidRPr="0041752D" w14:paraId="6FC41D1C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4D4A98E8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41D8D65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6A3D48C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61DCBE3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1(6.7%)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02392D1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41752D" w:rsidRPr="0041752D" w14:paraId="7216F3C9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519DBC6D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2B527033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t(</w:t>
            </w:r>
            <w:proofErr w:type="gramEnd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7; 11)(p15; p15)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4A71CC3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A071C36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1(6.7%)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DD22660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41752D" w:rsidRPr="0041752D" w14:paraId="52596521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759347B9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Level of risk</w:t>
            </w: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2E337F04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89C8B35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895200E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BFBB4F2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41752D" w:rsidRPr="0041752D" w14:paraId="7C4EA8F5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4A898C30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19D3E82E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Low risk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17EDEE9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1(8.3%)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B3A854F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3(20.0%)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18FA7E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1(100%)</w:t>
            </w:r>
          </w:p>
        </w:tc>
      </w:tr>
      <w:tr w:rsidR="0041752D" w:rsidRPr="0041752D" w14:paraId="57A28C86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70B4C280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6196A04F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A90E19F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9(75.0%)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32C7251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2(13.3%)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B2A7A4B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41752D" w:rsidRPr="0041752D" w14:paraId="39D63474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11F5E57F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2171F36F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B94A8F1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2(16.7%)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121E133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10(66.7%)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BC9051F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41752D" w:rsidRPr="0041752D" w14:paraId="4C10973A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69A72256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Treatment protocols</w:t>
            </w: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4BDD3DD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1996F7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65506D5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6F40FD8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41752D" w:rsidRPr="0041752D" w14:paraId="3EF5C9B7" w14:textId="77777777" w:rsidTr="009F6834">
        <w:trPr>
          <w:trHeight w:val="320"/>
        </w:trPr>
        <w:tc>
          <w:tcPr>
            <w:tcW w:w="1555" w:type="dxa"/>
            <w:shd w:val="clear" w:color="auto" w:fill="auto"/>
            <w:noWrap/>
            <w:vAlign w:val="center"/>
          </w:tcPr>
          <w:p w14:paraId="33866A0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shd w:val="clear" w:color="auto" w:fill="auto"/>
            <w:noWrap/>
            <w:vAlign w:val="center"/>
          </w:tcPr>
          <w:p w14:paraId="469E8634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Targeted drugs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A8F55CD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3(25.0%)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7DB7C4D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7(46.7%)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A3C8637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41752D" w:rsidRPr="0041752D" w14:paraId="242B51FD" w14:textId="77777777" w:rsidTr="009F6834">
        <w:trPr>
          <w:trHeight w:val="320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48543C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D46B1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Transplantation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1C7353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80EC34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9(60.0%)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F25173" w14:textId="77777777" w:rsidR="0041752D" w:rsidRPr="0041752D" w:rsidRDefault="0041752D" w:rsidP="009F6834">
            <w:pPr>
              <w:widowControl/>
              <w:spacing w:line="48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 w14:paraId="2CF52D01" w14:textId="77777777" w:rsidR="0041752D" w:rsidRPr="0041752D" w:rsidRDefault="0041752D" w:rsidP="0041752D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54CC4DE3" w14:textId="77777777" w:rsidR="0041752D" w:rsidRPr="0041752D" w:rsidRDefault="0041752D" w:rsidP="0041752D">
      <w:pPr>
        <w:spacing w:line="480" w:lineRule="auto"/>
        <w:rPr>
          <w:rFonts w:ascii="Times New Roman" w:hAnsi="Times New Roman"/>
          <w:sz w:val="24"/>
          <w:szCs w:val="24"/>
        </w:rPr>
      </w:pPr>
      <w:r w:rsidRPr="0041752D">
        <w:rPr>
          <w:rFonts w:ascii="Times New Roman" w:hAnsi="Times New Roman"/>
          <w:sz w:val="24"/>
          <w:szCs w:val="24"/>
        </w:rPr>
        <w:t xml:space="preserve">Table 2 Genes, MRD and survival of patients with </w:t>
      </w:r>
      <w:r w:rsidRPr="0041752D">
        <w:rPr>
          <w:rFonts w:ascii="Times New Roman" w:hAnsi="Times New Roman"/>
          <w:i/>
          <w:iCs/>
          <w:sz w:val="24"/>
          <w:szCs w:val="24"/>
        </w:rPr>
        <w:t xml:space="preserve">NF1 </w:t>
      </w:r>
      <w:r w:rsidRPr="0041752D">
        <w:rPr>
          <w:rFonts w:ascii="Times New Roman" w:hAnsi="Times New Roman"/>
          <w:sz w:val="24"/>
          <w:szCs w:val="24"/>
        </w:rPr>
        <w:t>mutation-positive ALL</w:t>
      </w:r>
    </w:p>
    <w:tbl>
      <w:tblPr>
        <w:tblW w:w="1350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814"/>
        <w:gridCol w:w="2098"/>
        <w:gridCol w:w="1936"/>
        <w:gridCol w:w="1984"/>
        <w:gridCol w:w="1276"/>
        <w:gridCol w:w="1276"/>
        <w:gridCol w:w="2268"/>
      </w:tblGrid>
      <w:tr w:rsidR="00F52CFF" w:rsidRPr="0041752D" w14:paraId="14732748" w14:textId="77777777" w:rsidTr="00F52CFF">
        <w:trPr>
          <w:trHeight w:val="320"/>
        </w:trPr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CD4E517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bookmarkStart w:id="0" w:name="_Hlk174573559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No.</w:t>
            </w:r>
          </w:p>
        </w:tc>
        <w:tc>
          <w:tcPr>
            <w:tcW w:w="18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E658536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Level of Risk</w:t>
            </w:r>
          </w:p>
        </w:tc>
        <w:tc>
          <w:tcPr>
            <w:tcW w:w="20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7B44B00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Gene Mutations</w:t>
            </w:r>
          </w:p>
        </w:tc>
        <w:tc>
          <w:tcPr>
            <w:tcW w:w="1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AAE056F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Gene Fusion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1134347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Treatment Methods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B08A701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D15 MRD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5FB8B49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D33 MRD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E1B32A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Current Condition</w:t>
            </w:r>
          </w:p>
        </w:tc>
      </w:tr>
      <w:tr w:rsidR="00F52CFF" w:rsidRPr="0041752D" w14:paraId="09505CB7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6BD3D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69CF6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04E00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D3E86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4836F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2EA40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6.2×10^-2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18A8B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5.0×10^-4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CC28C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6AD015B7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18283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ALL-2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8D7F9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Low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23303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IKZF1, KMT2C, ASXL3, SMC1A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BE5D6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D2460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9445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0037E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1.32×10-6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2C799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Drug withdrawal for one year</w:t>
            </w:r>
          </w:p>
        </w:tc>
      </w:tr>
      <w:tr w:rsidR="00F52CFF" w:rsidRPr="0041752D" w14:paraId="367869B4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E0537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AF303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9805F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TP53, RB1, PIK3CD, USH2A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EA4E3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87346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B4A55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1.0×10-3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F42C5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159A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0E1281EE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BEDA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97357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AAF9D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INRAS, KRAS, CSMD1, SOS1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0002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314D6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33DD2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3.0×10^e-3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7604E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2.1×10e-4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660F5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11B030A6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F42B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FCD69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8081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CREBBP, KRAS, IRF8, TBL1XR1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B371E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SPI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1::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ZNF384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E4ECB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 + blinatumomab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193DE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2.0×10^e-2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2887D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8.0×10^e-5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AD8E9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6C622179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70727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A3B8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9C9FB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NRAS, FLT3, IKZF3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6A7A1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DUX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4::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lgHJ6(582)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9B8A9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DF7D2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5.5×10^e-3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9179E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BEA8E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172E948A" w14:textId="77777777" w:rsidTr="00F52CFF">
        <w:trPr>
          <w:trHeight w:val="2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B21A3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6154D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BEF76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E361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E0159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689E0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1.0×10^e-4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4285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CAD3B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4CA39934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53F6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D76D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58AE6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FLT3, PTPN11, KRAS, ETV6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E5D37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EP300-ZNF384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AE1A4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F488A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7.2×10e-3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EA88E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4×10^e-5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521EE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3B69A665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92F8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19E3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EAE9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NRAS, KRAS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BD8AD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4432F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22FD9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2.2×10^e-3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28681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EC147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12C16C6B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1563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ALL-10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580E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F009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NRAS, KRAS, CREBBP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6CFE4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21D4C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 + blinatumomab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A9A51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1.3×10^e-2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EE7A0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8A291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3FB0581D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91340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43193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EBE80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F1621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TEL-AML1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0E3D3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10EF6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5.8×10^e-3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7D034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4×10^e-5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B36C2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F52CFF" w:rsidRPr="0041752D" w14:paraId="748BB851" w14:textId="77777777" w:rsidTr="00F52CFF">
        <w:trPr>
          <w:trHeight w:val="320"/>
        </w:trPr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B312DBE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ALL-12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8B4D0BA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BB84F6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ASXL1, ATRX, CHD2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CB0878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EP300-ZNF384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010CC93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F84C2E0" w14:textId="77777777" w:rsidR="0041752D" w:rsidRPr="0041752D" w:rsidRDefault="0041752D" w:rsidP="009F6834">
            <w:pPr>
              <w:widowControl/>
              <w:spacing w:line="480" w:lineRule="auto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2.0×10^e-4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334C9F1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B33FD5D" w14:textId="77777777" w:rsidR="0041752D" w:rsidRPr="0041752D" w:rsidRDefault="0041752D" w:rsidP="009F6834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bookmarkEnd w:id="0"/>
    </w:tbl>
    <w:p w14:paraId="2F2AEBF8" w14:textId="77777777" w:rsidR="0041752D" w:rsidRPr="0041752D" w:rsidRDefault="0041752D" w:rsidP="0041752D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1CAB5C57" w14:textId="77777777" w:rsidR="0041752D" w:rsidRPr="0041752D" w:rsidRDefault="0041752D" w:rsidP="0041752D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750247E0" w14:textId="77777777" w:rsidR="0041752D" w:rsidRPr="0041752D" w:rsidRDefault="0041752D" w:rsidP="0041752D">
      <w:pPr>
        <w:spacing w:line="480" w:lineRule="auto"/>
        <w:rPr>
          <w:rFonts w:ascii="Times New Roman" w:hAnsi="Times New Roman"/>
          <w:sz w:val="24"/>
          <w:szCs w:val="24"/>
        </w:rPr>
      </w:pPr>
      <w:r w:rsidRPr="0041752D">
        <w:rPr>
          <w:rFonts w:ascii="Times New Roman" w:hAnsi="Times New Roman"/>
          <w:sz w:val="24"/>
          <w:szCs w:val="24"/>
        </w:rPr>
        <w:t xml:space="preserve">Table 3 Genes, MRD and survival of patients with </w:t>
      </w:r>
      <w:r w:rsidRPr="0041752D">
        <w:rPr>
          <w:rFonts w:ascii="Times New Roman" w:hAnsi="Times New Roman"/>
          <w:i/>
          <w:iCs/>
          <w:sz w:val="24"/>
          <w:szCs w:val="24"/>
        </w:rPr>
        <w:t xml:space="preserve">NF1 </w:t>
      </w:r>
      <w:r w:rsidRPr="0041752D">
        <w:rPr>
          <w:rFonts w:ascii="Times New Roman" w:hAnsi="Times New Roman"/>
          <w:sz w:val="24"/>
          <w:szCs w:val="24"/>
        </w:rPr>
        <w:t>mutation-positive AML + APL</w:t>
      </w:r>
    </w:p>
    <w:tbl>
      <w:tblPr>
        <w:tblW w:w="1349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1417"/>
        <w:gridCol w:w="1066"/>
        <w:gridCol w:w="1486"/>
        <w:gridCol w:w="1701"/>
        <w:gridCol w:w="1417"/>
        <w:gridCol w:w="1304"/>
        <w:gridCol w:w="3118"/>
      </w:tblGrid>
      <w:tr w:rsidR="0041752D" w:rsidRPr="0041752D" w14:paraId="21D98BB2" w14:textId="77777777" w:rsidTr="00F52CFF">
        <w:trPr>
          <w:trHeight w:val="320"/>
        </w:trPr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38C472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792507F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Regimens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327144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Level of Risk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D425A4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Gene Mutations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58D8E16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Gene Fusion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290C25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Treatment Method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67CC0CC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D21 MRD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AFD449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D28 MRD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13D906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Current Condition</w:t>
            </w:r>
          </w:p>
        </w:tc>
      </w:tr>
      <w:tr w:rsidR="0041752D" w:rsidRPr="0041752D" w14:paraId="2F8548B0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1020F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8BD7C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9A1531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BB5CC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PTPN11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A010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KMT2A-MLLT3, MLL-AF9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6C3B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Chemotherapy + </w:t>
            </w:r>
            <w:proofErr w:type="spell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venetoclax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FDABC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Bone marrow no response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75D9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EA7B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Died due to severe infection after chemotherapy</w:t>
            </w:r>
          </w:p>
        </w:tc>
      </w:tr>
      <w:tr w:rsidR="0041752D" w:rsidRPr="0041752D" w14:paraId="7DCD607F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251A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AML-2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3DCC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94EA0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A40E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GATA2, WT1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852D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NUP98-HoxA9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E6D5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 + transplantation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5E37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9.36×10-3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4614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2.609×10-3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42C1E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Relapsed and died 3 years after transplantation</w:t>
            </w:r>
          </w:p>
        </w:tc>
      </w:tr>
      <w:tr w:rsidR="0041752D" w:rsidRPr="0041752D" w14:paraId="220C7BCA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BF40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D8F2E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A9AFE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906D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78C92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86E31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Chemotherapy + </w:t>
            </w:r>
            <w:proofErr w:type="spell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venetoclax</w:t>
            </w:r>
            <w:proofErr w:type="spellEnd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+ transplantation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82DA2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4.67×10-2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B85F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7.72×10-2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FB7D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Died after transplantation</w:t>
            </w:r>
          </w:p>
        </w:tc>
      </w:tr>
      <w:tr w:rsidR="0041752D" w:rsidRPr="0041752D" w14:paraId="5A5431C3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5AF3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F27EC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B4DE4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816C4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E4F7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B8882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Chemotherapy + </w:t>
            </w:r>
            <w:proofErr w:type="spell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venetoclax</w:t>
            </w:r>
            <w:proofErr w:type="spellEnd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+ transplantation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0BBDF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408E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6EDF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transplantation</w:t>
            </w:r>
          </w:p>
        </w:tc>
      </w:tr>
      <w:tr w:rsidR="0041752D" w:rsidRPr="0041752D" w14:paraId="23674A33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5EA8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3B521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89CB6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0D74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IDH2, NRAS, WT1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F544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1C67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Chemotherapy + </w:t>
            </w:r>
            <w:proofErr w:type="spell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venetoclax</w:t>
            </w:r>
            <w:proofErr w:type="spellEnd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+ transplantation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7C1C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6×10-4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20DE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9×10-4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CB84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One year after transplantation</w:t>
            </w:r>
          </w:p>
        </w:tc>
      </w:tr>
      <w:tr w:rsidR="0041752D" w:rsidRPr="0041752D" w14:paraId="0705B312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6536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AML-6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A7E32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80D9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E5A5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IDH1, NPM1, PTPN11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D429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Low-level FLT3-ITD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0FD5E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Chemotherapy + </w:t>
            </w:r>
            <w:proofErr w:type="spell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venetoclax</w:t>
            </w:r>
            <w:proofErr w:type="spellEnd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+ </w:t>
            </w:r>
            <w:proofErr w:type="spell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gilteritinib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4B67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80F3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C04EC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 chemotherapy</w:t>
            </w:r>
          </w:p>
        </w:tc>
      </w:tr>
      <w:tr w:rsidR="0041752D" w:rsidRPr="0041752D" w14:paraId="55FC5F11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36B3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5073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32BA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E036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6462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D88E0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Chemotherapy + </w:t>
            </w:r>
            <w:proofErr w:type="spell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venetoclax</w:t>
            </w:r>
            <w:proofErr w:type="spellEnd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+ transplantation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8E340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2DAF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782A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One year after transplantation</w:t>
            </w:r>
          </w:p>
        </w:tc>
      </w:tr>
      <w:tr w:rsidR="0041752D" w:rsidRPr="0041752D" w14:paraId="30FF70EF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7E891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1D0E6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7F9AC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Standard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2078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7FA9E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CBFβ-MYH11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6762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FD8E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15090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C900F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Drug withdrawal for three years</w:t>
            </w:r>
          </w:p>
        </w:tc>
      </w:tr>
      <w:tr w:rsidR="0041752D" w:rsidRPr="0041752D" w14:paraId="72087F04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C405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E0AD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20EB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BD9C0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RUNX1, ASXL1, SETBP1, EZH2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D6EF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7003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Chemotherapy + </w:t>
            </w:r>
            <w:proofErr w:type="spellStart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venetoclax</w:t>
            </w:r>
            <w:proofErr w:type="spellEnd"/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+ transplantation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08CB6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1.44×10^e-2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2DB3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1.83×10^e-2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09030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One year after transplantation</w:t>
            </w:r>
          </w:p>
        </w:tc>
      </w:tr>
      <w:tr w:rsidR="0041752D" w:rsidRPr="0041752D" w14:paraId="1D133DF1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DA6C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AML-10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3F08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FCC94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819B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F540E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85701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 + transplantation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EAADC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DB08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3.4×10-3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A3FE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Two years after transplantation</w:t>
            </w:r>
          </w:p>
        </w:tc>
      </w:tr>
      <w:tr w:rsidR="0041752D" w:rsidRPr="0041752D" w14:paraId="0EA6D508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C0E0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32DAF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C782E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Standard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B3BE1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PHF6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4DEF0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AML1-ETO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95981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B8C2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2.694×10-3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D337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4.3×10-4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B96D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Drug withdrawal for five years</w:t>
            </w:r>
          </w:p>
        </w:tc>
      </w:tr>
      <w:tr w:rsidR="0041752D" w:rsidRPr="0041752D" w14:paraId="1E359AC2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7515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89B1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1F64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sz w:val="24"/>
                <w:szCs w:val="24"/>
              </w:rPr>
              <w:t>Intermediate</w:t>
            </w: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1DB7C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PTPN11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DE7C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1C549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A755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5.05×10-2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51D3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2.28×10-2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EBC2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Gave up and died after chemotherapy</w:t>
            </w:r>
          </w:p>
        </w:tc>
      </w:tr>
      <w:tr w:rsidR="0041752D" w:rsidRPr="0041752D" w14:paraId="2446B882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ED5D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EC9B6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D29D4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A744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WT1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B5522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DB992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 + transplantation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4BCB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814B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Positive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07E36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Six years after transplantation</w:t>
            </w:r>
          </w:p>
        </w:tc>
      </w:tr>
      <w:tr w:rsidR="0041752D" w:rsidRPr="0041752D" w14:paraId="6F9C4AB1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1135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0C33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D9BB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Standard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BEF62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TP53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B610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AML1-ETO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584D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5C9E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1.413×10-1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06E54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6.9×10-2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54F33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Drug withdrawal for six years</w:t>
            </w:r>
          </w:p>
        </w:tc>
      </w:tr>
      <w:tr w:rsidR="0041752D" w:rsidRPr="0041752D" w14:paraId="6718997E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A491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AML-15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384B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CCLG-2015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786F8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High risk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1C92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c-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KIT,TP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F077A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CBFβ-MYH11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ECE82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 + transplantation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50D04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2.43×10^-3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150B6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2.04×10-3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20C2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Six years after transplantation</w:t>
            </w:r>
          </w:p>
        </w:tc>
      </w:tr>
      <w:tr w:rsidR="0041752D" w:rsidRPr="0041752D" w14:paraId="530B875C" w14:textId="77777777" w:rsidTr="00F52CFF">
        <w:trPr>
          <w:trHeight w:val="320"/>
        </w:trPr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5C55D80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APL-1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FA0D276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APL-2016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B6E65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Standard risk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AF599F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80DDD3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</w:rPr>
              <w:t>PML-RARA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6EC4027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Chemotherapy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065E26B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Negative</w:t>
            </w:r>
          </w:p>
          <w:p w14:paraId="0FAC234D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9D30156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5.87×10-2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EE71B35" w14:textId="77777777" w:rsidR="0041752D" w:rsidRPr="0041752D" w:rsidRDefault="0041752D" w:rsidP="00F52CFF">
            <w:pPr>
              <w:widowControl/>
              <w:spacing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Drug withdrawal for three years</w:t>
            </w:r>
          </w:p>
        </w:tc>
      </w:tr>
    </w:tbl>
    <w:p w14:paraId="7C54BCB8" w14:textId="77777777" w:rsidR="0041752D" w:rsidRPr="0041752D" w:rsidRDefault="0041752D" w:rsidP="0041752D">
      <w:pPr>
        <w:spacing w:line="480" w:lineRule="auto"/>
        <w:ind w:firstLine="420"/>
        <w:rPr>
          <w:rFonts w:ascii="Times New Roman" w:hAnsi="Times New Roman"/>
          <w:sz w:val="24"/>
          <w:szCs w:val="24"/>
        </w:rPr>
      </w:pPr>
    </w:p>
    <w:p w14:paraId="59D8D90D" w14:textId="77777777" w:rsidR="0041752D" w:rsidRPr="0041752D" w:rsidRDefault="0041752D" w:rsidP="0041752D">
      <w:pPr>
        <w:spacing w:line="480" w:lineRule="auto"/>
        <w:rPr>
          <w:rFonts w:ascii="Times New Roman" w:hAnsi="Times New Roman"/>
          <w:sz w:val="24"/>
          <w:szCs w:val="24"/>
        </w:rPr>
      </w:pPr>
      <w:r w:rsidRPr="0041752D">
        <w:rPr>
          <w:rFonts w:ascii="Times New Roman" w:hAnsi="Times New Roman"/>
          <w:sz w:val="24"/>
          <w:szCs w:val="24"/>
        </w:rPr>
        <w:t>Table 4 Summary of the symptoms of patients with neurofibromatosis and their</w:t>
      </w:r>
      <w:r w:rsidRPr="0041752D">
        <w:rPr>
          <w:rFonts w:ascii="Times New Roman" w:hAnsi="Times New Roman"/>
          <w:i/>
          <w:iCs/>
          <w:sz w:val="24"/>
          <w:szCs w:val="24"/>
        </w:rPr>
        <w:t xml:space="preserve"> NF1</w:t>
      </w:r>
      <w:r w:rsidRPr="0041752D">
        <w:rPr>
          <w:rFonts w:ascii="Times New Roman" w:hAnsi="Times New Roman"/>
          <w:sz w:val="24"/>
          <w:szCs w:val="24"/>
        </w:rPr>
        <w:t xml:space="preserve"> gene loci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642"/>
        <w:gridCol w:w="2649"/>
        <w:gridCol w:w="7328"/>
        <w:gridCol w:w="2339"/>
      </w:tblGrid>
      <w:tr w:rsidR="0041752D" w:rsidRPr="0041752D" w14:paraId="385005C0" w14:textId="77777777" w:rsidTr="009F6834"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</w:tcBorders>
            <w:shd w:val="clear" w:color="auto" w:fill="FFFFFF"/>
            <w:vAlign w:val="center"/>
          </w:tcPr>
          <w:p w14:paraId="6F0BAB73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BD51EA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Clinical Symptoms</w:t>
            </w:r>
          </w:p>
        </w:tc>
        <w:tc>
          <w:tcPr>
            <w:tcW w:w="2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FC50A7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NF1 </w:t>
            </w: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Gene Variation Loci (Variation Frequency%)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AEFDEC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Somatic/Germline Validation</w:t>
            </w:r>
          </w:p>
        </w:tc>
      </w:tr>
      <w:tr w:rsidR="0041752D" w:rsidRPr="0041752D" w14:paraId="7DA4EA7A" w14:textId="77777777" w:rsidTr="009F6834"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F9675F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ALL-1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FF9270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CALM, scoliosis, intracranial involvement</w:t>
            </w:r>
          </w:p>
        </w:tc>
        <w:tc>
          <w:tcPr>
            <w:tcW w:w="26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A18DF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exon3: c.247C&gt;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p.Q83*)(70.2%)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CFBD7B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Germline</w:t>
            </w:r>
          </w:p>
        </w:tc>
      </w:tr>
      <w:tr w:rsidR="0041752D" w:rsidRPr="0041752D" w14:paraId="69F564DA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C43F82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C53B5E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CALM, </w:t>
            </w:r>
            <w:proofErr w:type="spellStart"/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xanthogranuloma</w:t>
            </w:r>
            <w:proofErr w:type="spellEnd"/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, intracranial involvement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83302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exon38(c.5749+5G&gt;A)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DB526A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Germline</w:t>
            </w:r>
          </w:p>
        </w:tc>
      </w:tr>
      <w:tr w:rsidR="0041752D" w:rsidRPr="0041752D" w14:paraId="4341DE38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2AEFD1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3ED8A1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CALM, scoliosis, intracranial involvement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0958B3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Style w:val="font51"/>
                <w:rFonts w:ascii="Times New Roman" w:hAnsi="Times New Roman"/>
                <w:i/>
                <w:iCs/>
                <w:sz w:val="24"/>
                <w:szCs w:val="24"/>
              </w:rPr>
              <w:t>exon</w:t>
            </w:r>
            <w:proofErr w:type="gramStart"/>
            <w:r w:rsidRPr="0041752D">
              <w:rPr>
                <w:rStyle w:val="font51"/>
                <w:rFonts w:ascii="Times New Roman" w:hAnsi="Times New Roman"/>
                <w:i/>
                <w:iCs/>
                <w:sz w:val="24"/>
                <w:szCs w:val="24"/>
              </w:rPr>
              <w:t>44:c.</w:t>
            </w:r>
            <w:proofErr w:type="gramEnd"/>
            <w:r w:rsidRPr="0041752D">
              <w:rPr>
                <w:rStyle w:val="font51"/>
                <w:rFonts w:ascii="Times New Roman" w:hAnsi="Times New Roman"/>
                <w:i/>
                <w:iCs/>
                <w:sz w:val="24"/>
                <w:szCs w:val="24"/>
              </w:rPr>
              <w:t>6733C&gt;T:p.Q2245X</w:t>
            </w:r>
            <w:r w:rsidRPr="0041752D">
              <w:rPr>
                <w:rStyle w:val="font101"/>
                <w:rFonts w:ascii="Times New Roman" w:hAnsi="Times New Roman" w:hint="default"/>
                <w:i/>
                <w:iCs/>
                <w:sz w:val="24"/>
                <w:szCs w:val="24"/>
              </w:rPr>
              <w:t>(</w:t>
            </w:r>
            <w:r w:rsidRPr="0041752D">
              <w:rPr>
                <w:rStyle w:val="font51"/>
                <w:rFonts w:ascii="Times New Roman" w:hAnsi="Times New Roman"/>
                <w:i/>
                <w:iCs/>
                <w:sz w:val="24"/>
                <w:szCs w:val="24"/>
              </w:rPr>
              <w:t>36.8%</w:t>
            </w:r>
            <w:r w:rsidRPr="0041752D">
              <w:rPr>
                <w:rStyle w:val="font101"/>
                <w:rFonts w:ascii="Times New Roman" w:hAnsi="Times New Roman" w:hint="default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9CBE6B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520D7698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F6F1E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ALL-4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AAB91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8B1AC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28:c.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3827 G&gt;A:p.R1276Q(3.6%)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8EBD9F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5310BC83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8B8C8B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9B9CD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DCD6F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128_147delinsAACGG:p.L43_Y49delinsQR(4.8%)</w:t>
            </w:r>
          </w:p>
          <w:p w14:paraId="202FD36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c.205-10_231delinsGACGGCCAGGCCAG (7.6%)</w:t>
            </w:r>
          </w:p>
          <w:p w14:paraId="65CD815C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2033dup:p.I679fs*21 (8.2%)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E8A50E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63280925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1CD0CC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82E87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1D0C93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2206_2208delinsGCCACTCCTGGGG:p.N736fs*35(27.1%)</w:t>
            </w:r>
          </w:p>
          <w:p w14:paraId="4A783A1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41:c.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6206_6207insTGGGACGCATG:p.N2070fs*24(28.0%)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598AA2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45BCE5BF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F3B54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7EF64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CALM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BB018C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2334_2336dup:p.E778dup (82.8%)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372616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434D64AD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C69C5C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697CAB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E080B7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1074dup:p.N359X (8.8%)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B6C91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5D68CBF8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1C1B37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4CC2B4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D6564C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41:c.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6185G&gt;A:p.R2062H (13.1%)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B9727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5366BC11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65BE4A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ALL-10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41E484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E8684F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1391C&gt;T:p.P464L (8.9%)</w:t>
            </w:r>
          </w:p>
          <w:p w14:paraId="62F655B2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34:c.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4537C&gt;T:p.R1513X (71.9%)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4273F2" w14:textId="77777777" w:rsidR="0041752D" w:rsidRPr="0041752D" w:rsidRDefault="0041752D" w:rsidP="009F6834">
            <w:pPr>
              <w:tabs>
                <w:tab w:val="center" w:pos="829"/>
              </w:tabs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0EE18D7D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49B803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ALL-11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250AC7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1B5D44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1996_1997insAGGCTACC:p.S666X (17.3%)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D5E5E7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4EEEF08D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FD9B3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ALL-12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38B6FF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D10DA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48:c.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7153_7154insGGCCTG:p.I2384_V2385insGP(2%)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05C8A3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199EC72C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8F3B2C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AML-1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DDDAA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1B1AE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c.2033C&gt;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35.9%)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E4EE81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Germline</w:t>
            </w:r>
          </w:p>
        </w:tc>
      </w:tr>
      <w:tr w:rsidR="0041752D" w:rsidRPr="0041752D" w14:paraId="377483C2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4BA3A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D1E7C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CALM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59A6E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c.1933A&gt;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G(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47.7%)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F23F56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Germline</w:t>
            </w:r>
          </w:p>
        </w:tc>
      </w:tr>
      <w:tr w:rsidR="0041752D" w:rsidRPr="0041752D" w14:paraId="1630898E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EF8830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4863B0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25575E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c.888+5G&gt;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51.99%)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957184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Germline</w:t>
            </w:r>
          </w:p>
        </w:tc>
      </w:tr>
      <w:tr w:rsidR="0041752D" w:rsidRPr="0041752D" w14:paraId="73104710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19D3B1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DB1599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D888C9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c.6007-1G</w:t>
            </w: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＞</w:t>
            </w: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C(1.9%)</w:t>
            </w:r>
          </w:p>
          <w:p w14:paraId="3D04911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c.6855C</w:t>
            </w: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＞</w:t>
            </w: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 p.Tyr2285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Ter(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1.8%)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3FD661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3E41C507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832C8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4FBFF6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840B72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c.6927_6941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delinsCCCAGA(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B7EE67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2CD970AF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306EB0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134B46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3BA7A7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c.3168_3169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ins(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16.7%)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9B88B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6BE7824C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C4C1FE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52EDA4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73612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c.2033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dup(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21.4%)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63E8D2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0C5CC550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7E9ECA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9E648E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8465C3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c.4676G&gt;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87.7%)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40E34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5EBE456B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0A3459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AML-9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873391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D21779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exon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18:c.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2033dupC:p.I679fs*21 (78.9%)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DB2F9B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3B5BB176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79FA3B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AML-10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81738A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3A4142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c.1885G&gt;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35.12%)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E66FCB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4C69FC2E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B3D94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AML-11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A44C3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CALM, freckles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0CD3BE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c.910C&gt;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39.2%)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23D9D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7B2F543D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FC452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AML-12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F5DE3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5A6675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c.5902C&gt;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37.84%)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1949C2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212891B4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BFB446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AML-13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73D50C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C0EB41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c.654+44A&gt;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50.65%)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0DD171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721053E0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6A6776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AML-14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0FF5D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5724BD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c.730+48A&gt;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G(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54.66%)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2950DF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3F57EF23" w14:textId="77777777" w:rsidTr="009F6834"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6EA28C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AML-15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5EBD88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9A012B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c.6921+40A&gt;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G(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54.08%)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2BA4A3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Somatic</w:t>
            </w:r>
          </w:p>
        </w:tc>
      </w:tr>
      <w:tr w:rsidR="0041752D" w:rsidRPr="0041752D" w14:paraId="432213E4" w14:textId="77777777" w:rsidTr="009F6834"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7DD71A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APL-1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B1BB91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756937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c.6427+10A&gt;</w:t>
            </w:r>
            <w:proofErr w:type="gramStart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G(</w:t>
            </w:r>
            <w:proofErr w:type="gramEnd"/>
            <w:r w:rsidRPr="004175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50.3%)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523E04" w14:textId="77777777" w:rsidR="0041752D" w:rsidRPr="0041752D" w:rsidRDefault="0041752D" w:rsidP="009F6834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2D">
              <w:rPr>
                <w:rFonts w:ascii="Times New Roman" w:hAnsi="Times New Roman"/>
                <w:color w:val="000000"/>
                <w:sz w:val="24"/>
                <w:szCs w:val="24"/>
              </w:rPr>
              <w:t>Germline</w:t>
            </w:r>
          </w:p>
        </w:tc>
      </w:tr>
    </w:tbl>
    <w:p w14:paraId="0D61F603" w14:textId="77777777" w:rsidR="0041752D" w:rsidRPr="0041752D" w:rsidRDefault="0041752D" w:rsidP="0041752D">
      <w:pPr>
        <w:spacing w:line="480" w:lineRule="auto"/>
        <w:rPr>
          <w:rFonts w:ascii="Times New Roman" w:hAnsi="Times New Roman"/>
          <w:sz w:val="24"/>
          <w:szCs w:val="24"/>
        </w:rPr>
      </w:pPr>
    </w:p>
    <w:sectPr w:rsidR="0041752D" w:rsidRPr="0041752D" w:rsidSect="004175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YaHei-Bold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52D"/>
    <w:rsid w:val="0041752D"/>
    <w:rsid w:val="00664968"/>
    <w:rsid w:val="007E65ED"/>
    <w:rsid w:val="00CC4E1B"/>
    <w:rsid w:val="00D94256"/>
    <w:rsid w:val="00F5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95097"/>
  <w15:chartTrackingRefBased/>
  <w15:docId w15:val="{EAFCC769-298F-4C4F-A4D1-9219C7C0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2D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41752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51">
    <w:name w:val="font51"/>
    <w:basedOn w:val="a0"/>
    <w:qFormat/>
    <w:rsid w:val="0041752D"/>
    <w:rPr>
      <w:rFonts w:ascii="MicrosoftYaHei-Bold" w:hAnsi="MicrosoftYaHei-Bold" w:hint="default"/>
      <w:color w:val="000000"/>
      <w:sz w:val="21"/>
      <w:szCs w:val="21"/>
      <w:u w:val="none"/>
    </w:rPr>
  </w:style>
  <w:style w:type="character" w:customStyle="1" w:styleId="font101">
    <w:name w:val="font101"/>
    <w:basedOn w:val="a0"/>
    <w:qFormat/>
    <w:rsid w:val="0041752D"/>
    <w:rPr>
      <w:rFonts w:ascii="宋体" w:eastAsia="宋体" w:hAnsi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889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dhengpp@163.com</dc:creator>
  <cp:keywords/>
  <dc:description/>
  <cp:lastModifiedBy>dhengpp@163.com</cp:lastModifiedBy>
  <cp:revision>3</cp:revision>
  <dcterms:created xsi:type="dcterms:W3CDTF">2024-08-14T16:18:00Z</dcterms:created>
  <dcterms:modified xsi:type="dcterms:W3CDTF">2024-08-14T16:31:00Z</dcterms:modified>
</cp:coreProperties>
</file>