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1E9F66" w14:textId="77777777" w:rsidR="0060413F" w:rsidRPr="0060413F" w:rsidRDefault="0060413F" w:rsidP="006733CF">
      <w:pPr>
        <w:spacing w:line="480" w:lineRule="auto"/>
        <w:rPr>
          <w:b/>
          <w:bCs/>
        </w:rPr>
      </w:pPr>
      <w:r w:rsidRPr="0060413F">
        <w:rPr>
          <w:b/>
          <w:bCs/>
        </w:rPr>
        <w:t>Title</w:t>
      </w:r>
    </w:p>
    <w:p w14:paraId="330DF2F7" w14:textId="0A093D7F" w:rsidR="00FC5462" w:rsidRPr="00922920" w:rsidRDefault="006B6F01" w:rsidP="006733CF">
      <w:pPr>
        <w:spacing w:line="480" w:lineRule="auto"/>
      </w:pPr>
      <w:r>
        <w:t xml:space="preserve">The role of </w:t>
      </w:r>
      <w:r w:rsidR="00AF7FF5">
        <w:t>mutual</w:t>
      </w:r>
      <w:r>
        <w:t xml:space="preserve">ism </w:t>
      </w:r>
      <w:r w:rsidR="00FC5462" w:rsidRPr="00922920">
        <w:t xml:space="preserve">in </w:t>
      </w:r>
      <w:r>
        <w:t xml:space="preserve">marine benthic communities: </w:t>
      </w:r>
      <w:r w:rsidRPr="00922920">
        <w:t xml:space="preserve">Key species are affected by predicted warming but show resistance to ocean </w:t>
      </w:r>
      <w:proofErr w:type="gramStart"/>
      <w:r w:rsidRPr="00922920">
        <w:t>acidification</w:t>
      </w:r>
      <w:proofErr w:type="gramEnd"/>
    </w:p>
    <w:p w14:paraId="31BB9E87" w14:textId="77777777" w:rsidR="0060413F" w:rsidRDefault="0060413F" w:rsidP="006733CF">
      <w:pPr>
        <w:spacing w:line="480" w:lineRule="auto"/>
      </w:pPr>
    </w:p>
    <w:p w14:paraId="05BD5EA3" w14:textId="77777777" w:rsidR="0060413F" w:rsidRPr="0060413F" w:rsidRDefault="0060413F" w:rsidP="006733CF">
      <w:pPr>
        <w:spacing w:line="480" w:lineRule="auto"/>
        <w:rPr>
          <w:b/>
          <w:bCs/>
        </w:rPr>
      </w:pPr>
      <w:r w:rsidRPr="0060413F">
        <w:rPr>
          <w:b/>
          <w:bCs/>
        </w:rPr>
        <w:t>Authors</w:t>
      </w:r>
    </w:p>
    <w:p w14:paraId="4CE45287" w14:textId="0144A529" w:rsidR="0060413F" w:rsidRDefault="0060413F" w:rsidP="006733CF">
      <w:pPr>
        <w:spacing w:line="480" w:lineRule="auto"/>
      </w:pPr>
      <w:r>
        <w:t>Katrin</w:t>
      </w:r>
      <w:r w:rsidR="000E3E7D">
        <w:t xml:space="preserve"> S. H.</w:t>
      </w:r>
      <w:r>
        <w:t xml:space="preserve"> </w:t>
      </w:r>
      <w:proofErr w:type="spellStart"/>
      <w:r>
        <w:t>Schertenleib</w:t>
      </w:r>
      <w:r w:rsidR="000E3E7D" w:rsidRPr="000E3E7D">
        <w:rPr>
          <w:vertAlign w:val="superscript"/>
        </w:rPr>
        <w:t>a</w:t>
      </w:r>
      <w:proofErr w:type="spellEnd"/>
      <w:r>
        <w:t xml:space="preserve">, Tallulah </w:t>
      </w:r>
      <w:proofErr w:type="spellStart"/>
      <w:r>
        <w:t>Davey</w:t>
      </w:r>
      <w:r w:rsidR="000E3E7D" w:rsidRPr="000E3E7D">
        <w:rPr>
          <w:vertAlign w:val="superscript"/>
        </w:rPr>
        <w:t>a</w:t>
      </w:r>
      <w:proofErr w:type="spellEnd"/>
      <w:r>
        <w:t xml:space="preserve">, David </w:t>
      </w:r>
      <w:proofErr w:type="spellStart"/>
      <w:r>
        <w:t>Taylor</w:t>
      </w:r>
      <w:r w:rsidR="000E3E7D" w:rsidRPr="000E3E7D">
        <w:rPr>
          <w:vertAlign w:val="superscript"/>
        </w:rPr>
        <w:t>b</w:t>
      </w:r>
      <w:proofErr w:type="spellEnd"/>
      <w:r>
        <w:t xml:space="preserve">, Nessa E. </w:t>
      </w:r>
      <w:proofErr w:type="spellStart"/>
      <w:r>
        <w:t>O’Connor</w:t>
      </w:r>
      <w:r w:rsidR="000E3E7D" w:rsidRPr="000E3E7D">
        <w:rPr>
          <w:vertAlign w:val="superscript"/>
        </w:rPr>
        <w:t>a</w:t>
      </w:r>
      <w:proofErr w:type="spellEnd"/>
    </w:p>
    <w:p w14:paraId="6E3EF189" w14:textId="77777777" w:rsidR="0060413F" w:rsidRDefault="0060413F" w:rsidP="006733CF">
      <w:pPr>
        <w:spacing w:line="480" w:lineRule="auto"/>
      </w:pPr>
    </w:p>
    <w:p w14:paraId="460A4D83" w14:textId="77777777" w:rsidR="000E3E7D" w:rsidRPr="000E3E7D" w:rsidRDefault="000E3E7D" w:rsidP="006733CF">
      <w:pPr>
        <w:spacing w:line="480" w:lineRule="auto"/>
        <w:rPr>
          <w:b/>
          <w:bCs/>
        </w:rPr>
      </w:pPr>
      <w:r w:rsidRPr="000E3E7D">
        <w:rPr>
          <w:b/>
          <w:bCs/>
        </w:rPr>
        <w:t>Author affiliations</w:t>
      </w:r>
    </w:p>
    <w:p w14:paraId="144C6B71" w14:textId="77777777" w:rsidR="000E3E7D" w:rsidRDefault="000E3E7D" w:rsidP="006733CF">
      <w:pPr>
        <w:spacing w:line="480" w:lineRule="auto"/>
      </w:pPr>
      <w:r>
        <w:t xml:space="preserve">a: Discipline of Zoology, </w:t>
      </w:r>
      <w:r w:rsidRPr="004E5193">
        <w:t>School of</w:t>
      </w:r>
      <w:r>
        <w:t xml:space="preserve"> </w:t>
      </w:r>
      <w:r w:rsidRPr="004E5193">
        <w:t>Natural Sciences, Trinity College Dublin, Dublin 2, Ireland</w:t>
      </w:r>
    </w:p>
    <w:p w14:paraId="6DFD86C8" w14:textId="3108AFD0" w:rsidR="000E3E7D" w:rsidRDefault="000E3E7D" w:rsidP="006733CF">
      <w:pPr>
        <w:spacing w:line="480" w:lineRule="auto"/>
      </w:pPr>
      <w:r>
        <w:t xml:space="preserve">b: </w:t>
      </w:r>
      <w:r w:rsidRPr="000E3E7D">
        <w:t>Department of Mechanical, Manufacturing &amp; Biomedical Engineering</w:t>
      </w:r>
      <w:r>
        <w:t xml:space="preserve">, School of Engineering, </w:t>
      </w:r>
      <w:r w:rsidRPr="004E5193">
        <w:t>Trinity College Dublin, Dublin 2, Ireland</w:t>
      </w:r>
    </w:p>
    <w:p w14:paraId="5CC9D557" w14:textId="77777777" w:rsidR="000E3E7D" w:rsidRDefault="000E3E7D" w:rsidP="006733CF">
      <w:pPr>
        <w:spacing w:line="480" w:lineRule="auto"/>
      </w:pPr>
    </w:p>
    <w:p w14:paraId="7FC51591" w14:textId="77777777" w:rsidR="0060413F" w:rsidRPr="0060413F" w:rsidRDefault="0060413F" w:rsidP="006733CF">
      <w:pPr>
        <w:spacing w:line="480" w:lineRule="auto"/>
        <w:rPr>
          <w:b/>
          <w:bCs/>
        </w:rPr>
      </w:pPr>
      <w:r w:rsidRPr="0060413F">
        <w:rPr>
          <w:b/>
          <w:bCs/>
        </w:rPr>
        <w:t>Author contributions</w:t>
      </w:r>
    </w:p>
    <w:p w14:paraId="46D9652B" w14:textId="77777777" w:rsidR="0060413F" w:rsidRDefault="0060413F" w:rsidP="006733CF">
      <w:pPr>
        <w:spacing w:line="480" w:lineRule="auto"/>
      </w:pPr>
      <w:r>
        <w:t xml:space="preserve">KS – Conceptualisation; Methodology; Investigation; Formal analysis; Visualisation; Writing – original draft, review &amp; editing </w:t>
      </w:r>
    </w:p>
    <w:p w14:paraId="1D0B0873" w14:textId="77777777" w:rsidR="0060413F" w:rsidRDefault="0060413F" w:rsidP="006733CF">
      <w:pPr>
        <w:spacing w:line="480" w:lineRule="auto"/>
      </w:pPr>
      <w:r>
        <w:t>TD – Methodology; Investigation; Writing – review &amp; editing</w:t>
      </w:r>
    </w:p>
    <w:p w14:paraId="4B4FF7D9" w14:textId="06B5AE0E" w:rsidR="0060413F" w:rsidRDefault="0060413F" w:rsidP="006733CF">
      <w:pPr>
        <w:spacing w:line="480" w:lineRule="auto"/>
      </w:pPr>
      <w:r>
        <w:t>DT – Methodology; Investigation; Writing – review &amp; editing</w:t>
      </w:r>
    </w:p>
    <w:p w14:paraId="55E41207" w14:textId="77777777" w:rsidR="0060413F" w:rsidRDefault="0060413F" w:rsidP="006733CF">
      <w:pPr>
        <w:spacing w:line="480" w:lineRule="auto"/>
      </w:pPr>
      <w:r>
        <w:t>NOC – Conceptualisation; Methodology; Writing – review &amp; editing</w:t>
      </w:r>
    </w:p>
    <w:p w14:paraId="748254A1" w14:textId="77777777" w:rsidR="00EE0293" w:rsidRDefault="00EE0293" w:rsidP="006733CF">
      <w:pPr>
        <w:spacing w:line="480" w:lineRule="auto"/>
      </w:pPr>
    </w:p>
    <w:p w14:paraId="24EA468C" w14:textId="77777777" w:rsidR="00EE0293" w:rsidRPr="00EE0293" w:rsidRDefault="00EE0293" w:rsidP="006733CF">
      <w:pPr>
        <w:spacing w:line="480" w:lineRule="auto"/>
        <w:rPr>
          <w:b/>
          <w:bCs/>
        </w:rPr>
      </w:pPr>
      <w:r w:rsidRPr="00EE0293">
        <w:rPr>
          <w:b/>
          <w:bCs/>
        </w:rPr>
        <w:t>Author ORCID numbers and email addresses</w:t>
      </w:r>
    </w:p>
    <w:p w14:paraId="4AA1355C" w14:textId="0D9DC346" w:rsidR="00EE0293" w:rsidRDefault="00EE0293" w:rsidP="006733CF">
      <w:pPr>
        <w:spacing w:line="480" w:lineRule="auto"/>
        <w:rPr>
          <w:lang w:val="de-DE"/>
        </w:rPr>
      </w:pPr>
      <w:r w:rsidRPr="00607C86">
        <w:rPr>
          <w:lang w:val="de-DE"/>
        </w:rPr>
        <w:t xml:space="preserve">Katrin </w:t>
      </w:r>
      <w:r>
        <w:rPr>
          <w:lang w:val="de-DE"/>
        </w:rPr>
        <w:t xml:space="preserve">S. H. </w:t>
      </w:r>
      <w:r w:rsidRPr="00607C86">
        <w:rPr>
          <w:lang w:val="de-DE"/>
        </w:rPr>
        <w:t>Schertenleib –</w:t>
      </w:r>
      <w:r w:rsidRPr="00607C86">
        <w:rPr>
          <w:lang w:val="fr-FR"/>
        </w:rPr>
        <w:t>0000-0003-3274-4322</w:t>
      </w:r>
      <w:r w:rsidRPr="00607C86">
        <w:rPr>
          <w:lang w:val="de-DE"/>
        </w:rPr>
        <w:t xml:space="preserve"> ; </w:t>
      </w:r>
      <w:r w:rsidR="00802926" w:rsidRPr="00C3663B">
        <w:rPr>
          <w:lang w:val="de-DE"/>
        </w:rPr>
        <w:t>schertek@tcd.ie</w:t>
      </w:r>
    </w:p>
    <w:p w14:paraId="60856CA5" w14:textId="7D854321" w:rsidR="00C3663B" w:rsidRDefault="00C3663B" w:rsidP="006733CF">
      <w:pPr>
        <w:spacing w:line="480" w:lineRule="auto"/>
        <w:rPr>
          <w:lang w:val="de-DE"/>
        </w:rPr>
      </w:pPr>
      <w:r>
        <w:rPr>
          <w:lang w:val="de-DE"/>
        </w:rPr>
        <w:t>Tallulah Dave</w:t>
      </w:r>
      <w:r w:rsidR="00BF272A">
        <w:rPr>
          <w:lang w:val="de-DE"/>
        </w:rPr>
        <w:t>y</w:t>
      </w:r>
      <w:r>
        <w:rPr>
          <w:lang w:val="de-DE"/>
        </w:rPr>
        <w:t xml:space="preserve"> – </w:t>
      </w:r>
      <w:r w:rsidRPr="00C3663B">
        <w:rPr>
          <w:lang w:val="de-DE"/>
        </w:rPr>
        <w:t>tdavey@tcd.ie</w:t>
      </w:r>
    </w:p>
    <w:p w14:paraId="7A807DE9" w14:textId="4A8EB844" w:rsidR="00C3663B" w:rsidRDefault="00C3663B" w:rsidP="006733CF">
      <w:pPr>
        <w:spacing w:line="480" w:lineRule="auto"/>
        <w:rPr>
          <w:lang w:val="de-DE"/>
        </w:rPr>
      </w:pPr>
      <w:r>
        <w:rPr>
          <w:lang w:val="de-DE"/>
        </w:rPr>
        <w:t xml:space="preserve">David Taylor – </w:t>
      </w:r>
      <w:r w:rsidRPr="00C3663B">
        <w:rPr>
          <w:lang w:val="de-DE"/>
        </w:rPr>
        <w:t>dtaylor@tcd.ie</w:t>
      </w:r>
      <w:r>
        <w:rPr>
          <w:lang w:val="de-DE"/>
        </w:rPr>
        <w:t xml:space="preserve"> </w:t>
      </w:r>
    </w:p>
    <w:p w14:paraId="578859CF" w14:textId="4178DC28" w:rsidR="00EE0293" w:rsidRPr="000E4CA9" w:rsidRDefault="00802926" w:rsidP="006733CF">
      <w:pPr>
        <w:spacing w:line="480" w:lineRule="auto"/>
        <w:rPr>
          <w:lang w:val="de-DE"/>
        </w:rPr>
      </w:pPr>
      <w:r>
        <w:rPr>
          <w:lang w:val="de-DE"/>
        </w:rPr>
        <w:lastRenderedPageBreak/>
        <w:t xml:space="preserve">Nessa E. O’Connor </w:t>
      </w:r>
      <w:r w:rsidR="00C3663B">
        <w:rPr>
          <w:lang w:val="de-DE"/>
        </w:rPr>
        <w:t>–</w:t>
      </w:r>
      <w:r>
        <w:rPr>
          <w:lang w:val="de-DE"/>
        </w:rPr>
        <w:t xml:space="preserve"> </w:t>
      </w:r>
      <w:r w:rsidRPr="00802926">
        <w:rPr>
          <w:lang w:val="de-DE"/>
        </w:rPr>
        <w:t>0000-0002-3133-0913</w:t>
      </w:r>
      <w:r>
        <w:rPr>
          <w:lang w:val="de-DE"/>
        </w:rPr>
        <w:t xml:space="preserve">; </w:t>
      </w:r>
      <w:r w:rsidR="00C3663B" w:rsidRPr="00C3663B">
        <w:rPr>
          <w:lang w:val="de-DE"/>
        </w:rPr>
        <w:t>n.oconnor@tcd.ie</w:t>
      </w:r>
    </w:p>
    <w:p w14:paraId="0D4BA87C" w14:textId="77777777" w:rsidR="0060413F" w:rsidRDefault="0060413F" w:rsidP="006733CF">
      <w:pPr>
        <w:spacing w:line="480" w:lineRule="auto"/>
      </w:pPr>
    </w:p>
    <w:p w14:paraId="67963BD4" w14:textId="4462B27E" w:rsidR="006027B0" w:rsidRDefault="006027B0" w:rsidP="006733CF">
      <w:pPr>
        <w:spacing w:line="480" w:lineRule="auto"/>
        <w:rPr>
          <w:b/>
          <w:bCs/>
        </w:rPr>
      </w:pPr>
      <w:r>
        <w:rPr>
          <w:b/>
          <w:bCs/>
        </w:rPr>
        <w:t>Running head</w:t>
      </w:r>
    </w:p>
    <w:p w14:paraId="0674FF4F" w14:textId="3789F2E5" w:rsidR="006027B0" w:rsidRDefault="006027B0" w:rsidP="006733CF">
      <w:pPr>
        <w:spacing w:line="480" w:lineRule="auto"/>
      </w:pPr>
      <w:r w:rsidRPr="006027B0">
        <w:t>Mussels</w:t>
      </w:r>
      <w:r w:rsidR="00522ABF">
        <w:t>,</w:t>
      </w:r>
      <w:r w:rsidR="003A3A8A">
        <w:t xml:space="preserve"> </w:t>
      </w:r>
      <w:proofErr w:type="gramStart"/>
      <w:r w:rsidRPr="006027B0">
        <w:t>algae</w:t>
      </w:r>
      <w:proofErr w:type="gramEnd"/>
      <w:r w:rsidR="00522ABF">
        <w:t xml:space="preserve"> and climate change</w:t>
      </w:r>
    </w:p>
    <w:p w14:paraId="157BD3B1" w14:textId="77777777" w:rsidR="00A262DF" w:rsidRPr="006027B0" w:rsidRDefault="00A262DF" w:rsidP="006733CF">
      <w:pPr>
        <w:spacing w:line="480" w:lineRule="auto"/>
      </w:pPr>
    </w:p>
    <w:p w14:paraId="2A8B60C9" w14:textId="1593F121" w:rsidR="0060413F" w:rsidRPr="0060413F" w:rsidRDefault="0060413F" w:rsidP="006733CF">
      <w:pPr>
        <w:spacing w:line="480" w:lineRule="auto"/>
        <w:rPr>
          <w:b/>
          <w:bCs/>
        </w:rPr>
      </w:pPr>
      <w:r w:rsidRPr="0060413F">
        <w:rPr>
          <w:b/>
          <w:bCs/>
        </w:rPr>
        <w:t>Key words</w:t>
      </w:r>
    </w:p>
    <w:p w14:paraId="2CB9A2F7" w14:textId="3C9AC875" w:rsidR="000337CD" w:rsidRDefault="0060413F" w:rsidP="006733CF">
      <w:pPr>
        <w:spacing w:line="480" w:lineRule="auto"/>
      </w:pPr>
      <w:r w:rsidRPr="0060413F">
        <w:rPr>
          <w:i/>
          <w:iCs/>
        </w:rPr>
        <w:t>Mytilus edulis</w:t>
      </w:r>
      <w:r>
        <w:t xml:space="preserve">, </w:t>
      </w:r>
      <w:r w:rsidR="00EE0293">
        <w:t xml:space="preserve">mesocosms, </w:t>
      </w:r>
      <w:r>
        <w:t xml:space="preserve">microphytobenthos, </w:t>
      </w:r>
      <w:r w:rsidR="0022790D">
        <w:t>multiple stressors</w:t>
      </w:r>
      <w:r w:rsidR="006D5026">
        <w:t>, ocean acidification</w:t>
      </w:r>
      <w:r w:rsidR="00E92D80">
        <w:t>, ocean warming</w:t>
      </w:r>
    </w:p>
    <w:p w14:paraId="75FA781F" w14:textId="77777777" w:rsidR="00957C54" w:rsidRDefault="00957C54" w:rsidP="006733CF">
      <w:pPr>
        <w:spacing w:line="480" w:lineRule="auto"/>
      </w:pPr>
    </w:p>
    <w:p w14:paraId="68ADABCE" w14:textId="55729E8F" w:rsidR="000337CD" w:rsidRPr="00BB07B8" w:rsidRDefault="000337CD" w:rsidP="006733CF">
      <w:pPr>
        <w:pStyle w:val="Heading2"/>
        <w:spacing w:line="480" w:lineRule="auto"/>
      </w:pPr>
      <w:bookmarkStart w:id="0" w:name="_Toc157356531"/>
      <w:r w:rsidRPr="00EE6A1B">
        <w:t>Abstract</w:t>
      </w:r>
      <w:bookmarkEnd w:id="0"/>
    </w:p>
    <w:p w14:paraId="69A4E203" w14:textId="4BAA9AD7" w:rsidR="000337CD" w:rsidRDefault="000337CD" w:rsidP="006733CF">
      <w:pPr>
        <w:spacing w:line="480" w:lineRule="auto"/>
      </w:pPr>
      <w:r>
        <w:t>The effects of climate change on coastal biodiversity are a major concern because altered community compositions may change associated rates of ecosystem functioning and service</w:t>
      </w:r>
      <w:r w:rsidR="00C36C8F">
        <w:t>s</w:t>
      </w:r>
      <w:r>
        <w:t xml:space="preserve">. While responses of single species or taxa have been studied extensively, it remains challenging to estimate responses to climate change across different levels of biological organisation. Studies that consider the effects of moderate realistic near-future levels of ocean </w:t>
      </w:r>
      <w:r w:rsidR="009154D1">
        <w:t>warming</w:t>
      </w:r>
      <w:r>
        <w:t xml:space="preserve"> </w:t>
      </w:r>
      <w:r w:rsidR="006D5026">
        <w:t xml:space="preserve">and acidification </w:t>
      </w:r>
      <w:r w:rsidR="001D685F">
        <w:t>are needed to</w:t>
      </w:r>
      <w:r>
        <w:t xml:space="preserve"> identify scope for adaptation and evolution</w:t>
      </w:r>
      <w:r w:rsidR="001D685F">
        <w:t>.</w:t>
      </w:r>
      <w:r>
        <w:t xml:space="preserve"> </w:t>
      </w:r>
      <w:r w:rsidR="00C36C8F">
        <w:t>Also</w:t>
      </w:r>
      <w:r w:rsidR="00DB4BC4">
        <w:t>,</w:t>
      </w:r>
      <w:r>
        <w:t xml:space="preserve"> studies including different levels of biological complexity may reveal opportunities for </w:t>
      </w:r>
      <w:r w:rsidR="001D685F">
        <w:t xml:space="preserve">amelioration </w:t>
      </w:r>
      <w:r>
        <w:t>or facilitation under changing environmental conditions. To test experimentally for independent and combined effects of predicted near-future warming and acidification on key benthic species, we manipulated three levels of temperature (ambient, +</w:t>
      </w:r>
      <w:r w:rsidR="00BB3BE8">
        <w:t>0.8</w:t>
      </w:r>
      <w:r>
        <w:t xml:space="preserve"> °C, +2 °C) and two levels of </w:t>
      </w:r>
      <w:r w:rsidRPr="00D50D49">
        <w:t>pCO</w:t>
      </w:r>
      <w:r w:rsidRPr="00D50D49">
        <w:rPr>
          <w:vertAlign w:val="subscript"/>
        </w:rPr>
        <w:t>2</w:t>
      </w:r>
      <w:r>
        <w:t xml:space="preserve"> (ambient at 450 ppm, </w:t>
      </w:r>
      <w:r w:rsidR="001D3E05">
        <w:t xml:space="preserve">elevated </w:t>
      </w:r>
      <w:r>
        <w:t>at 6</w:t>
      </w:r>
      <w:r w:rsidR="00031801">
        <w:t>45</w:t>
      </w:r>
      <w:r>
        <w:t xml:space="preserve"> ppm) and quantified their effects on mussels and algae </w:t>
      </w:r>
      <w:r w:rsidR="001D685F">
        <w:t>grow</w:t>
      </w:r>
      <w:r w:rsidR="00C36C8F">
        <w:t>ing</w:t>
      </w:r>
      <w:r w:rsidR="001D685F">
        <w:t xml:space="preserve"> </w:t>
      </w:r>
      <w:r>
        <w:t xml:space="preserve">separately </w:t>
      </w:r>
      <w:r w:rsidR="00DB4BC4">
        <w:t xml:space="preserve">or </w:t>
      </w:r>
      <w:r>
        <w:t>together</w:t>
      </w:r>
      <w:r w:rsidR="0022790D">
        <w:t xml:space="preserve"> (to also test for inter-specific interactions)</w:t>
      </w:r>
      <w:r>
        <w:t>.</w:t>
      </w:r>
      <w:r w:rsidDel="00A2607A">
        <w:t xml:space="preserve"> </w:t>
      </w:r>
      <w:r w:rsidR="00C34F98">
        <w:t>W</w:t>
      </w:r>
      <w:r>
        <w:t>arming</w:t>
      </w:r>
      <w:r w:rsidR="001D685F">
        <w:t xml:space="preserve"> </w:t>
      </w:r>
      <w:r>
        <w:t>increased mussel clearance</w:t>
      </w:r>
      <w:r w:rsidR="001D685F">
        <w:t xml:space="preserve"> and mortality</w:t>
      </w:r>
      <w:r>
        <w:t xml:space="preserve"> rates</w:t>
      </w:r>
      <w:r w:rsidR="00C36C8F">
        <w:t xml:space="preserve"> simultaneously</w:t>
      </w:r>
      <w:r w:rsidR="00C34F98">
        <w:t>,</w:t>
      </w:r>
      <w:r w:rsidR="00166F14">
        <w:t xml:space="preserve"> </w:t>
      </w:r>
      <w:r w:rsidR="00C36C8F">
        <w:t>which meant that</w:t>
      </w:r>
      <w:r w:rsidR="00166F14">
        <w:t xml:space="preserve"> total biomass </w:t>
      </w:r>
      <w:r w:rsidR="00C36C8F">
        <w:t xml:space="preserve">peaked </w:t>
      </w:r>
      <w:r w:rsidR="00166F14">
        <w:t>at + 0.8 °C.</w:t>
      </w:r>
      <w:r w:rsidR="0022790D">
        <w:t xml:space="preserve"> </w:t>
      </w:r>
      <w:r w:rsidR="00166F14">
        <w:t>S</w:t>
      </w:r>
      <w:r w:rsidR="0022790D">
        <w:t>urprisingly</w:t>
      </w:r>
      <w:r w:rsidR="003806D3">
        <w:t>,</w:t>
      </w:r>
      <w:r w:rsidR="0022790D">
        <w:t xml:space="preserve"> however,</w:t>
      </w:r>
      <w:r>
        <w:t xml:space="preserve"> </w:t>
      </w:r>
      <w:r w:rsidR="001D685F">
        <w:t xml:space="preserve">no effects of elevated </w:t>
      </w:r>
      <w:r w:rsidR="001D685F" w:rsidRPr="00D50D49">
        <w:t>pCO</w:t>
      </w:r>
      <w:r w:rsidR="001D685F" w:rsidRPr="00D50D49">
        <w:rPr>
          <w:vertAlign w:val="subscript"/>
        </w:rPr>
        <w:t>2</w:t>
      </w:r>
      <w:r w:rsidR="001D685F">
        <w:t xml:space="preserve"> were identified on mussels or algae. </w:t>
      </w:r>
      <w:r>
        <w:t xml:space="preserve">Moreover, </w:t>
      </w:r>
      <w:r w:rsidR="001D685F">
        <w:t>when kept together</w:t>
      </w:r>
      <w:r w:rsidR="00DB4BC4">
        <w:t>,</w:t>
      </w:r>
      <w:r w:rsidR="001D685F">
        <w:t xml:space="preserve"> </w:t>
      </w:r>
      <w:r>
        <w:t xml:space="preserve">mussels and algae had </w:t>
      </w:r>
      <w:r w:rsidR="006C4284">
        <w:t xml:space="preserve">mutually </w:t>
      </w:r>
      <w:r>
        <w:t>positive effects on each other’s performance (i.e. mussel</w:t>
      </w:r>
      <w:r w:rsidR="001D685F">
        <w:t xml:space="preserve"> survival and condition index, mussel</w:t>
      </w:r>
      <w:r>
        <w:t xml:space="preserve"> and algal biomass, </w:t>
      </w:r>
      <w:r w:rsidR="001D685F">
        <w:t xml:space="preserve">and proxies for algal productivity including </w:t>
      </w:r>
      <w:r w:rsidRPr="00981817">
        <w:t xml:space="preserve">relative maximum electron transport rate </w:t>
      </w:r>
      <w:r>
        <w:t>[</w:t>
      </w:r>
      <w:proofErr w:type="spellStart"/>
      <w:r w:rsidRPr="00981817">
        <w:t>rETRmax</w:t>
      </w:r>
      <w:proofErr w:type="spellEnd"/>
      <w:r>
        <w:t>]</w:t>
      </w:r>
      <w:r w:rsidRPr="00981817">
        <w:t xml:space="preserve">, saturating light intensity </w:t>
      </w:r>
      <w:r>
        <w:t>[</w:t>
      </w:r>
      <w:proofErr w:type="spellStart"/>
      <w:r w:rsidRPr="00981817">
        <w:t>I</w:t>
      </w:r>
      <w:r w:rsidRPr="00981817">
        <w:rPr>
          <w:vertAlign w:val="subscript"/>
        </w:rPr>
        <w:t>k</w:t>
      </w:r>
      <w:proofErr w:type="spellEnd"/>
      <w:r>
        <w:t>]</w:t>
      </w:r>
      <w:r w:rsidRPr="00981817">
        <w:t>, and</w:t>
      </w:r>
      <w:r>
        <w:t xml:space="preserve"> </w:t>
      </w:r>
      <w:r w:rsidRPr="00981817">
        <w:t xml:space="preserve">maximum quantum yield </w:t>
      </w:r>
      <w:r>
        <w:t>[</w:t>
      </w:r>
      <w:proofErr w:type="spellStart"/>
      <w:r w:rsidRPr="00981817">
        <w:t>F</w:t>
      </w:r>
      <w:r w:rsidRPr="004614D7">
        <w:rPr>
          <w:vertAlign w:val="subscript"/>
        </w:rPr>
        <w:t>v</w:t>
      </w:r>
      <w:proofErr w:type="spellEnd"/>
      <w:r w:rsidRPr="00981817">
        <w:t>/F</w:t>
      </w:r>
      <w:r w:rsidRPr="004614D7">
        <w:rPr>
          <w:vertAlign w:val="subscript"/>
        </w:rPr>
        <w:t>m</w:t>
      </w:r>
      <w:r>
        <w:t>]</w:t>
      </w:r>
      <w:r w:rsidR="007301F6">
        <w:t>)</w:t>
      </w:r>
      <w:r w:rsidR="00DA27B9">
        <w:t>, independent of warming and acidification</w:t>
      </w:r>
      <w:r w:rsidR="005A2927">
        <w:t>.</w:t>
      </w:r>
      <w:r>
        <w:t xml:space="preserve"> Our results show that even moderate warming affected the functioning of </w:t>
      </w:r>
      <w:r w:rsidR="006C4284">
        <w:t xml:space="preserve">key </w:t>
      </w:r>
      <w:r>
        <w:t>benthic species</w:t>
      </w:r>
      <w:r w:rsidR="00DA27B9">
        <w:t>,</w:t>
      </w:r>
      <w:r>
        <w:t xml:space="preserve"> and</w:t>
      </w:r>
      <w:r w:rsidR="005A2927">
        <w:t xml:space="preserve"> we</w:t>
      </w:r>
      <w:r>
        <w:t xml:space="preserve"> i</w:t>
      </w:r>
      <w:r w:rsidR="001D685F">
        <w:t>dentified</w:t>
      </w:r>
      <w:r>
        <w:t xml:space="preserve"> a level of resistance to</w:t>
      </w:r>
      <w:r w:rsidR="001D685F">
        <w:t xml:space="preserve"> </w:t>
      </w:r>
      <w:r w:rsidR="001D685F">
        <w:lastRenderedPageBreak/>
        <w:t>predicted</w:t>
      </w:r>
      <w:r>
        <w:t xml:space="preserve"> ocean acidification. Importantly, we </w:t>
      </w:r>
      <w:r w:rsidR="005A2927">
        <w:t xml:space="preserve">show </w:t>
      </w:r>
      <w:r w:rsidR="009D53DB" w:rsidRPr="009D53DB">
        <w:t xml:space="preserve">that the presence of a second functional group </w:t>
      </w:r>
      <w:r w:rsidR="005A2927">
        <w:t>enhance</w:t>
      </w:r>
      <w:r w:rsidR="006C4284">
        <w:t>d</w:t>
      </w:r>
      <w:r w:rsidR="009D53DB" w:rsidRPr="009D53DB">
        <w:t xml:space="preserve"> </w:t>
      </w:r>
      <w:r w:rsidR="005A2927">
        <w:t>the functioning</w:t>
      </w:r>
      <w:r w:rsidR="009D53DB" w:rsidRPr="009D53DB">
        <w:t xml:space="preserve"> of </w:t>
      </w:r>
      <w:r w:rsidR="005A2927">
        <w:t xml:space="preserve">both </w:t>
      </w:r>
      <w:r w:rsidR="003934A6">
        <w:t>groups (</w:t>
      </w:r>
      <w:r w:rsidR="009D53DB" w:rsidRPr="009D53DB">
        <w:t>mussels and algae</w:t>
      </w:r>
      <w:r w:rsidR="003934A6">
        <w:t>)</w:t>
      </w:r>
      <w:r w:rsidR="006C4284">
        <w:t>,</w:t>
      </w:r>
      <w:r w:rsidR="005A2927">
        <w:t xml:space="preserve"> </w:t>
      </w:r>
      <w:r w:rsidR="00DA27B9">
        <w:t>independent of</w:t>
      </w:r>
      <w:r w:rsidR="006C4284">
        <w:t xml:space="preserve"> changing environmental conditions</w:t>
      </w:r>
      <w:r w:rsidR="009D53DB">
        <w:t xml:space="preserve">, </w:t>
      </w:r>
      <w:r w:rsidR="006C4284">
        <w:t>which highlights</w:t>
      </w:r>
      <w:r w:rsidR="009D53DB" w:rsidRPr="009D53DB">
        <w:t xml:space="preserve"> </w:t>
      </w:r>
      <w:r w:rsidRPr="00A615B4">
        <w:t>the ecological</w:t>
      </w:r>
      <w:r>
        <w:t xml:space="preserve"> and potential economic benefits of conserving biodiversity in marine ecosystems.</w:t>
      </w:r>
    </w:p>
    <w:p w14:paraId="4D0A614E" w14:textId="77777777" w:rsidR="00957C54" w:rsidRPr="00E062E4" w:rsidRDefault="00957C54" w:rsidP="006733CF">
      <w:pPr>
        <w:spacing w:line="480" w:lineRule="auto"/>
      </w:pPr>
    </w:p>
    <w:p w14:paraId="3884B19E" w14:textId="77777777" w:rsidR="000337CD" w:rsidRDefault="000337CD" w:rsidP="006733CF">
      <w:pPr>
        <w:pStyle w:val="Heading2"/>
        <w:spacing w:line="480" w:lineRule="auto"/>
      </w:pPr>
      <w:bookmarkStart w:id="1" w:name="_Toc157356532"/>
      <w:r>
        <w:t>Introduction</w:t>
      </w:r>
      <w:bookmarkEnd w:id="1"/>
    </w:p>
    <w:p w14:paraId="559ED609" w14:textId="17F9F17D" w:rsidR="000337CD" w:rsidRDefault="000337CD" w:rsidP="006733CF">
      <w:pPr>
        <w:spacing w:line="480" w:lineRule="auto"/>
      </w:pPr>
      <w:r>
        <w:t xml:space="preserve">The fate of coastal biodiversity is a major concern in changing climate conditions </w:t>
      </w:r>
      <w:r>
        <w:fldChar w:fldCharType="begin" w:fldLock="1"/>
      </w:r>
      <w:r w:rsidR="00082159">
        <w:instrText>ADDIN CSL_CITATION {"citationItems":[{"id":"ITEM-1","itemData":{"DOI":"doi:10.1017/9781009325844.001","author":[{"dropping-particle":"","family":"IPCC","given":"","non-dropping-particle":"","parse-names":false,"suffix":""}],"container-title":"Climate Change 2022: Impacts, Adaptation, and Vulnerability. Contribution of Working Group II to the Sixth Assessment Report of the Intergovernmental Panel on Climate Change","editor":[{"dropping-particle":"","family":"Pörtner","given":"Hans Otto","non-dropping-particle":"","parse-names":false,"suffix":""},{"dropping-particle":"","family":"Roberts","given":"D. C.","non-dropping-particle":"","parse-names":false,"suffix":""},{"dropping-particle":"","family":"Poloczanska","given":"Elvira S.","non-dropping-particle":"","parse-names":false,"suffix":""},{"dropping-particle":"","family":"Mintenbeck","given":"K.","non-dropping-particle":"","parse-names":false,"suffix":""},{"dropping-particle":"","family":"Tignor","given":"M.","non-dropping-particle":"","parse-names":false,"suffix":""},{"dropping-particle":"","family":"Alegría","given":"A.","non-dropping-particle":"","parse-names":false,"suffix":""},{"dropping-particle":"","family":"Craig","given":"M.","non-dropping-particle":"","parse-names":false,"suffix":""},{"dropping-particle":"","family":"Langsdorf","given":"S.","non-dropping-particle":"","parse-names":false,"suffix":""},{"dropping-particle":"","family":"Löschke","given":"S.","non-dropping-particle":"","parse-names":false,"suffix":""},{"dropping-particle":"","family":"Möller","given":"V.","non-dropping-particle":"","parse-names":false,"suffix":""},{"dropping-particle":"","family":"Okem","given":"A.","non-dropping-particle":"","parse-names":false,"suffix":""}],"id":"ITEM-1","issued":{"date-parts":[["2022"]]},"page":"3-33","publisher":"Cambridge University Press","publisher-place":"Cambridge, UK and New York, NY, USA","title":"Summary for Policymakers","type":"chapter"},"uris":["http://www.mendeley.com/documents/?uuid=9d0adcfa-51e0-473f-80b9-ac5dbe332006"]},{"id":"ITEM-2","itemData":{"DOI":"10.1017/9781009325844.005.379","ISBN":"9781009325844","author":[{"dropping-particle":"","family":"Cooley","given":"S.","non-dropping-particle":"","parse-names":false,"suffix":""},{"dropping-particle":"","family":"Schoeman","given":"D.","non-dropping-particle":"","parse-names":false,"suffix":""},{"dropping-particle":"","family":"Bopp","given":"L.","non-dropping-particle":"","parse-names":false,"suffix":""},{"dropping-particle":"","family":"Boyd","given":"P.","non-dropping-particle":"","parse-names":false,"suffix":""},{"dropping-particle":"","family":"Donner","given":"S.","non-dropping-particle":"","parse-names":false,"suffix":""},{"dropping-particle":"","family":"Ghebrehiwet","given":"D.Y.","non-dropping-particle":"","parse-names":false,"suffix":""},{"dropping-particle":"","family":"Ito","given":"S.-I.","non-dropping-particle":"","parse-names":false,"suffix":""},{"dropping-particle":"","family":"Kiessling","given":"W.","non-dropping-particle":"","parse-names":false,"suffix":""},{"dropping-particle":"","family":"Martinetto","given":"P.","non-dropping-particle":"","parse-names":false,"suffix":""},{"dropping-particle":"","family":"Ojea","given":"E.","non-dropping-particle":"","parse-names":false,"suffix":""},{"dropping-particle":"","family":"Racault","given":"M.-F.","non-dropping-particle":"","parse-names":false,"suffix":""},{"dropping-particle":"","family":"Rost","given":"B.","non-dropping-particle":"","parse-names":false,"suffix":""},{"dropping-particle":"","family":"Skern-Mauritzen","given":"M.","non-dropping-particle":"","parse-names":false,"suffix":""}],"chapter-number":"3","container-title":"Climate Change 2022: Impacts, Adaptation and Vulnerability. Contribution of Working Group II to the Sixth Assessment Report of the Intergovernmental Panel on Climate Change","editor":[{"dropping-particle":"","family":"Pörtner","given":"H.-O.","non-dropping-particle":"","parse-names":false,"suffix":""},{"dropping-particle":"","family":"Roberts","given":"D.C.","non-dropping-particle":"","parse-names":false,"suffix":""},{"dropping-particle":"","family":"Tignor","given":"M.","non-dropping-particle":"","parse-names":false,"suffix":""},{"dropping-particle":"","family":"Poloczanska","given":"E.S.","non-dropping-particle":"","parse-names":false,"suffix":""},{"dropping-particle":"","family":"Mintenbeck","given":"K.","non-dropping-particle":"","parse-names":false,"suffix":""},{"dropping-particle":"","family":"Alegría","given":"A.","non-dropping-particle":"","parse-names":false,"suffix":""}],"id":"ITEM-2","issued":{"date-parts":[["2022"]]},"note":"torres 2021, sutton 2016 -&amp;gt; acidification variability\npoertner 2014, Dahlke 2020b temperature effects\n\nWell-controlled laboratory studies on multiple- driver effects have revealed insights into the mode of action of individual drivers and their interdependence (Kroeker et al., 2017; Gao et al., 2019; Reddin et al., 2020; Seifert et al., 2020; Green et al., 2021b; Sampaio et al., 2021)\n\nsampaio 2021, comassini 2019, Gao 2020, Garzke 2020 multiple stressors in animals\n\nKram et al., 2016; Falkenberg et al., 2018 -&amp;gt; synergistic oaw effects in non-calcifying macroalgae?\n\nClapham 2019\nBindoff 2019a\nNagelkerken 2020\nBoyd 2018\nNewcomb 2020\nSorte 2017, 2919\nByrne 2020","page":"379–550","publisher":"Cambridge University Press","publisher-place":"Cambridge, UK and New York, NY, USA","title":"Oceans and Coastal Ecosystems and their Services","type":"chapter"},"uris":["http://www.mendeley.com/documents/?uuid=27e0b3a0-2e49-424b-b524-4e0690b7de64"]},{"id":"ITEM-3","itemData":{"DOI":"DOI:10.5281/zenodo.4782538","abstract":"This article analyses the question of a relationship between biodiversity and climate change. The legal framework for the protection of biodiversity from climate change is contained in the climate change system of treaties, i.e. the 1992 United Nations Framework Convention on Climate Change; the 1997 Kyoto Protocol; the 2015 Paris Agreement, on one hand; and the 1992 Convention on Biological Diversity on the other. There are also important global Conventions which contribute to combating of impacts of climate change on biodiversity, such as the Desertification Convention and the Ramsar Convention. The article discusses the principle of common but differentiated responsibilities within the context of climate change and biodiversity. The case study is the Arctic, which illustrates the impact of climate change on biodiversity.","author":[{"dropping-particle":"","family":"Pörtner","given":"H.O.","non-dropping-particle":"","parse-names":false,"suffix":""},{"dropping-particle":"","family":"Scholes","given":"R.J.","non-dropping-particle":"","parse-names":false,"suffix":""},{"dropping-particle":"","family":"Agard","given":"J.","non-dropping-particle":"","parse-names":false,"suffix":""},{"dropping-particle":"","family":"Archer","given":"E.","non-dropping-particle":"","parse-names":false,"suffix":""},{"dropping-particle":"","family":"Arneth","given":"A.","non-dropping-particle":"","parse-names":false,"suffix":""},{"dropping-particle":"","family":"Bai","given":"X.","non-dropping-particle":"","parse-names":false,"suffix":""},{"dropping-particle":"","family":"Barnes","given":"D.","non-dropping-particle":"","parse-names":false,"suffix":""},{"dropping-particle":"","family":"Burrows","given":"M.","non-dropping-particle":"","parse-names":false,"suffix":""},{"dropping-particle":"","family":"Chan","given":"L.","non-dropping-particle":"","parse-names":false,"suffix":""},{"dropping-particle":"","family":"Cheung","given":"W.L.","non-dropping-particle":"","parse-names":false,"suffix":""},{"dropping-particle":"","family":"Diamond","given":"S.","non-dropping-particle":"","parse-names":false,"suffix":""},{"dropping-particle":"","family":"Donatti","given":"C.","non-dropping-particle":"","parse-names":false,"suffix":""},{"dropping-particle":"","family":"Duarte","given":"C.","non-dropping-particle":"","parse-names":false,"suffix":""},{"dropping-particle":"","family":"Eisenhauer","given":"N.","non-dropping-particle":"","parse-names":false,"suffix":""},{"dropping-particle":"","family":"Foden","given":"W.","non-dropping-particle":"","parse-names":false,"suffix":""},{"dropping-particle":"","family":"Gasalla","given":"M. A.","non-dropping-particle":"","parse-names":false,"suffix":""},{"dropping-particle":"","family":"Handa","given":"C.","non-dropping-particle":"","parse-names":false,"suffix":""},{"dropping-particle":"","family":"Hickler","given":"T.","non-dropping-particle":"","parse-names":false,"suffix":""},{"dropping-particle":"","family":"Hoegh-Guldberg","given":"O.","non-dropping-particle":"","parse-names":false,"suffix":""},{"dropping-particle":"","family":"Ichii","given":"K.","non-dropping-particle":"","parse-names":false,"suffix":""},{"dropping-particle":"","family":"Jacob","given":"U.","non-dropping-particle":"","parse-names":false,"suffix":""},{"dropping-particle":"","family":"Insarov","given":"G.","non-dropping-particle":"","parse-names":false,"suffix":""},{"dropping-particle":"","family":"Kiessling","given":"W.","non-dropping-particle":"","parse-names":false,"suffix":""},{"dropping-particle":"","family":"Leadley","given":"P.","non-dropping-particle":"","parse-names":false,"suffix":""},{"dropping-particle":"","family":"Leemans","given":"R.","non-dropping-particle":"","parse-names":false,"suffix":""},{"dropping-particle":"","family":"Levin","given":"L.","non-dropping-particle":"","parse-names":false,"suffix":""},{"dropping-particle":"","family":"Lim","given":"M.","non-dropping-particle":"","parse-names":false,"suffix":""},{"dropping-particle":"","family":"Maharaj","given":"S.","non-dropping-particle":"","parse-names":false,"suffix":""},{"dropping-particle":"","family":"Managi","given":"S.","non-dropping-particle":"","parse-names":false,"suffix":""},{"dropping-particle":"","family":"Marquet","given":"P. A.","non-dropping-particle":"","parse-names":false,"suffix":""},{"dropping-particle":"","family":"McElwee","given":"P.","non-dropping-particle":"","parse-names":false,"suffix":""},{"dropping-particle":"","family":"Midgley","given":"G.","non-dropping-particle":"","parse-names":false,"suffix":""},{"dropping-particle":"","family":"Oberdorff","given":"T.","non-dropping-particle":"","parse-names":false,"suffix":""},{"dropping-particle":"","family":"Obura","given":"D.","non-dropping-particle":"","parse-names":false,"suffix":""},{"dropping-particle":"","family":"Osman","given":"E.","non-dropping-particle":"","parse-names":false,"suffix":""},{"dropping-particle":"","family":"Pandit","given":"R.","non-dropping-particle":"","parse-names":false,"suffix":""},{"dropping-particle":"","family":"Pascual","given":"U.","non-dropping-particle":"","parse-names":false,"suffix":""},{"dropping-particle":"","family":"Pires","given":"A. P. F.","non-dropping-particle":"","parse-names":false,"suffix":""},{"dropping-particle":"","family":"Popp","given":"A.","non-dropping-particle":"","parse-names":false,"suffix":""},{"dropping-particle":"","family":"Reyes- García","given":"V.","non-dropping-particle":"","parse-names":false,"suffix":""},{"dropping-particle":"","family":"Sankaran","given":"M.","non-dropping-particle":"","parse-names":false,"suffix":""},{"dropping-particle":"","family":"Settele","given":"J.","non-dropping-particle":"","parse-names":false,"suffix":""},{"dropping-particle":"","family":"Shin","given":"Y. J.","non-dropping-particle":"","parse-names":false,"suffix":""},{"dropping-particle":"","family":"Sintayehu","given":"D. W.","non-dropping-particle":"","parse-names":false,"suffix":""},{"dropping-particle":"","family":"Smith","given":"P.","non-dropping-particle":"","parse-names":false,"suffix":""},{"dropping-particle":"","family":"Steiner","given":"N.","non-dropping-particle":"","parse-names":false,"suffix":""},{"dropping-particle":"","family":"Strassburg","given":"B.","non-dropping-particle":"","parse-names":false,"suffix":""},{"dropping-particle":"","family":"Sukumar","given":"R.","non-dropping-particle":"","parse-names":false,"suffix":""},{"dropping-particle":"","family":"Trisos","given":"C.","non-dropping-particle":"","parse-names":false,"suffix":""},{"dropping-particle":"","family":"Val","given":"A.L.","non-dropping-particle":"","parse-names":false,"suffix":""},{"dropping-particle":"","family":"Wu","given":"J.","non-dropping-particle":"","parse-names":false,"suffix":""},{"dropping-particle":"","family":"Aldrian","given":"E.","non-dropping-particle":"","parse-names":false,"suffix":""},{"dropping-particle":"","family":"Parmesan","given":"C.","non-dropping-particle":"","parse-names":false,"suffix":""},{"dropping-particle":"","family":"Pichs-Madruga","given":"R.","non-dropping-particle":"","parse-names":false,"suffix":""},{"dropping-particle":"","family":"Roberts","given":"D.C.","non-dropping-particle":"","parse-names":false,"suffix":""},{"dropping-particle":"","family":"Rogers","given":"A.D.","non-dropping-particle":"","parse-names":false,"suffix":""},{"dropping-particle":"","family":"Díaz","given":"S.","non-dropping-particle":"","parse-names":false,"suffix":""},{"dropping-particle":"","family":"Fischer","given":"M.","non-dropping-particle":"","parse-names":false,"suffix":""},{"dropping-particle":"","family":"Hashimoto","given":"S.","non-dropping-particle":"","parse-names":false,"suffix":""},{"dropping-particle":"","family":"Lavorel","given":"S.","non-dropping-particle":"","parse-names":false,"suffix":""},{"dropping-particle":"","family":"Wu","given":"N.","non-dropping-particle":"","parse-names":false,"suffix":""},{"dropping-particle":"","family":"Ngo","given":"H.T.","non-dropping-particle":"","parse-names":false,"suffix":""}],"container-title":"IPBES and IPCC","id":"ITEM-3","issue":"2","issued":{"date-parts":[["2021"]]},"number-of-pages":"230-240","title":"IPBES-IPCC co-sponsored workshop report on biodiversity and climate change","type":"report","volume":"23"},"uris":["http://www.mendeley.com/documents/?uuid=d1d7894a-bb4b-4939-bdc9-774de2c8f681"]}],"mendeley":{"formattedCitation":"(Cooley et al., 2022; IPCC, 2022; Pörtner et al., 2021)","plainTextFormattedCitation":"(Cooley et al., 2022; IPCC, 2022; Pörtner et al., 2021)","previouslyFormattedCitation":"(Cooley et al., 2022; IPCC, 2022; Pörtner et al., 2021)"},"properties":{"noteIndex":0},"schema":"https://github.com/citation-style-language/schema/raw/master/csl-citation.json"}</w:instrText>
      </w:r>
      <w:r>
        <w:fldChar w:fldCharType="separate"/>
      </w:r>
      <w:r w:rsidR="00082159" w:rsidRPr="00082159">
        <w:rPr>
          <w:noProof/>
        </w:rPr>
        <w:t>(Cooley et al., 2022; IPCC, 2022; Pörtner et al., 2021)</w:t>
      </w:r>
      <w:r>
        <w:fldChar w:fldCharType="end"/>
      </w:r>
      <w:r>
        <w:t xml:space="preserve">. Climate change adds to other anthropogenic drivers of biodiversity change, such as habitat modifications, exploitation or pollution, and can intensify their effects on the distribution, functioning and production of marine species </w:t>
      </w:r>
      <w:r>
        <w:fldChar w:fldCharType="begin" w:fldLock="1"/>
      </w:r>
      <w:r w:rsidR="00702A3A">
        <w:instrText>ADDIN CSL_CITATION {"citationItems":[{"id":"ITEM-1","itemData":{"DOI":"10.1016/j.scitotenv.2020.142564","ISSN":"18791026","PMID":"33035971","abstract":"Climate change (CC) is a key, global driver of change of marine ecosystems. At local and regional scales, other local human stressors (LS) can interact with CC and modify its effects on marine ecosystems. Understanding the response of the marine environment to the combined effects of CC and LS is crucial to inform marine ecosystem-based management and planning, yet our knowledge of the potential effects of such interactions is fragmented. At a global scale, we explored how cumulative effect assessments (CEAs) have addressed CC in the marine realm and discuss progress and shortcomings of current approaches. For this we conducted a systematic review on how CEAs investigated at different levels of biological organization ecological responses, functional aspects, and the combined effect of CC and HS. Globally, the effects of 52 LS and of 27 CC-related stressors on the marine environment have been studied in combination, such as industrial fisheries with change in temperature, or sea level rise with artisanal fisheries, marine litter, change in sediment load and introduced alien species. CC generally intensified the effects of LS at species level. At trophic groups and ecosystem levels, the effects of CC either intensified or mitigated the effects of other HS depending on the trophic groups or the environmental conditions involved, thus suggesting that the combined effects of CC and LS are context-dependent and vary among and within ecosystems. Our results highlight that large-scale assessments on the spatial interaction and combined effects of CC and LS remain limited. More importantly, our results strengthen the urgent need of CEAs to capture local-scale effects of stressors that can exacerbate climate-induced changes. Ultimately, this will allow identifying management measures that aid counteracting CC effects at relevant scales.","author":[{"dropping-particle":"","family":"Gissi","given":"Elena","non-dropping-particle":"","parse-names":false,"suffix":""},{"dropping-particle":"","family":"Manea","given":"Elisabetta","non-dropping-particle":"","parse-names":false,"suffix":""},{"dropping-particle":"","family":"Mazaris","given":"Antonios D.","non-dropping-particle":"","parse-names":false,"suffix":""},{"dropping-particle":"","family":"Fraschetti","given":"Simonetta","non-dropping-particle":"","parse-names":false,"suffix":""},{"dropping-particle":"","family":"Almpanidou","given":"Vasiliki","non-dropping-particle":"","parse-names":false,"suffix":""},{"dropping-particle":"","family":"Bevilacqua","given":"Stanislao","non-dropping-particle":"","parse-names":false,"suffix":""},{"dropping-particle":"","family":"Coll","given":"Marta","non-dropping-particle":"","parse-names":false,"suffix":""},{"dropping-particle":"","family":"Guarnieri","given":"Giuseppe","non-dropping-particle":"","parse-names":false,"suffix":""},{"dropping-particle":"","family":"Lloret-Lloret","given":"Elena","non-dropping-particle":"","parse-names":false,"suffix":""},{"dropping-particle":"","family":"Pascual","given":"Marta","non-dropping-particle":"","parse-names":false,"suffix":""},{"dropping-particle":"","family":"Petza","given":"Dimitra","non-dropping-particle":"","parse-names":false,"suffix":""},{"dropping-particle":"","family":"Rilov","given":"Gil","non-dropping-particle":"","parse-names":false,"suffix":""},{"dropping-particle":"","family":"Schonwald","given":"Maura","non-dropping-particle":"","parse-names":false,"suffix":""},{"dropping-particle":"","family":"Stelzenmüller","given":"Vanessa","non-dropping-particle":"","parse-names":false,"suffix":""},{"dropping-particle":"","family":"Katsanevakis","given":"Stelios","non-dropping-particle":"","parse-names":false,"suffix":""}],"container-title":"Science of the Total Environment","id":"ITEM-1","issue":"September 2020","issued":{"date-parts":[["2021"]]},"note":"Petersen and Kemp 2019\nVoss 2019","publisher":"The Authors","title":"A review of the combined effects of climate change and other local human stressors on the marine environment","type":"article-journal","volume":"755"},"uris":["http://www.mendeley.com/documents/?uuid=504e81aa-479f-4df3-afb7-b6cedf150bd8"]},{"id":"ITEM-2","itemData":{"DOI":"10.1002/pan3.10071","ISSN":"25758314","abstract":"Climate change and other anthropogenic drivers of biodiversity change are unequally distributed across the world. Overlap in the distributions of different drivers have important implications for biodiversity change attribution and the potential for interactive effects. However, the spatial relationships among different drivers and whether they differ between the terrestrial and marine realm has yet to be examined. We compiled global gridded datasets on climate change, land-use, resource exploitation, pollution, alien species potential and human population density. We used multivariate statistics to examine the spatial relationships among the drivers and to characterize the typical combinations of drivers experienced by different regions of the world. We found stronger positive correlations among drivers in the terrestrial than in the marine realm, leading to areas with high intensities of multiple drivers on land. Climate change tended to be negatively correlated with other drivers in the terrestrial realm (e.g. in the tundra and boreal forest with high climate change but low human use and pollution), whereas the opposite was true in the marine realm (e.g. in the Indo-Pacific with high climate change and high fishing). We show that different regions of the world can be defined by Anthropogenic Threat Complexes (ATCs), distinguished by different sets of drivers with varying intensities. We identify 11 ATCs that can be used to test hypotheses about patterns of biodiversity and ecosystem change, especially about the joint effects of multiple drivers. Our global analysis highlights the broad conservation priorities needed to mitigate the impacts of anthropogenic change, with different priorities emerging on land and in the ocean, and in different parts of the world.","author":[{"dropping-particle":"","family":"Bowler","given":"Diana E.","non-dropping-particle":"","parse-names":false,"suffix":""},{"dropping-particle":"","family":"Bjorkman","given":"Anne D.","non-dropping-particle":"","parse-names":false,"suffix":""},{"dropping-particle":"","family":"Dornelas","given":"Maria","non-dropping-particle":"","parse-names":false,"suffix":""},{"dropping-particle":"","family":"Myers-Smith","given":"Isla H.","non-dropping-particle":"","parse-names":false,"suffix":""},{"dropping-particle":"","family":"Navarro","given":"Laetitia M.","non-dropping-particle":"","parse-names":false,"suffix":""},{"dropping-particle":"","family":"Niamir","given":"Aidin","non-dropping-particle":"","parse-names":false,"suffix":""},{"dropping-particle":"","family":"Supp","given":"Sarah R.","non-dropping-particle":"","parse-names":false,"suffix":""},{"dropping-particle":"","family":"Waldock","given":"Conor","non-dropping-particle":"","parse-names":false,"suffix":""},{"dropping-particle":"","family":"Winter","given":"Marten","non-dropping-particle":"","parse-names":false,"suffix":""},{"dropping-particle":"","family":"Vellend","given":"Mark","non-dropping-particle":"","parse-names":false,"suffix":""},{"dropping-particle":"","family":"Blowes","given":"Shane A.","non-dropping-particle":"","parse-names":false,"suffix":""},{"dropping-particle":"","family":"Böhning-Gaese","given":"Katrin","non-dropping-particle":"","parse-names":false,"suffix":""},{"dropping-particle":"","family":"Bruelheide","given":"Helge","non-dropping-particle":"","parse-names":false,"suffix":""},{"dropping-particle":"","family":"Elahi","given":"Robin","non-dropping-particle":"","parse-names":false,"suffix":""},{"dropping-particle":"","family":"Antão","given":"Laura H.","non-dropping-particle":"","parse-names":false,"suffix":""},{"dropping-particle":"","family":"Hines","given":"Jes","non-dropping-particle":"","parse-names":false,"suffix":""},{"dropping-particle":"","family":"Isbell","given":"Forest","non-dropping-particle":"","parse-names":false,"suffix":""},{"dropping-particle":"","family":"Jones","given":"Holly P.","non-dropping-particle":"","parse-names":false,"suffix":""},{"dropping-particle":"","family":"Magurran","given":"Anne E.","non-dropping-particle":"","parse-names":false,"suffix":""},{"dropping-particle":"","family":"Cabral","given":"Juliano Sarmento","non-dropping-particle":"","parse-names":false,"suffix":""},{"dropping-particle":"","family":"Bates","given":"Amanda E.","non-dropping-particle":"","parse-names":false,"suffix":""}],"container-title":"People and Nature","id":"ITEM-2","issue":"2","issued":{"date-parts":[["2020"]]},"page":"380-394","title":"Mapping human pressures on biodiversity across the planet uncovers anthropogenic threat complexes","type":"article-journal","volume":"2"},"uris":["http://www.mendeley.com/documents/?uuid=a7401f44-b0ac-464f-977c-16e3f1f8d7d2"]},{"id":"ITEM-3","itemData":{"DOI":"10.1126/science.abe6731","ISSN":"10959203","PMID":"33795456","abstract":"Human activities and climate change threaten marine biodiversity worldwide, though sensitivity to these stressors varies considerably by species and taxonomic group. Mapping the spatial distribution of 14 anthropogenic stressors from 2003 to 2013 onto the ranges of 1271 at-risk marine species sensitive to them, we found that, on average, species faced potential impacts across 57% of their ranges, that this footprint expanded over time, and that the impacts intensified across 37% of their ranges. Although fishing activity dominated the footprint of impacts in national waters, climate stressors drove the expansion and intensification of impacts. Mitigating impacts on at-risk biodiversity is critical to supporting resilient marine ecosystems, and identifying the co-occurrence of impacts across multiple taxonomic groups highlights opportunities to amplify the benefits of conservation management.","author":[{"dropping-particle":"","family":"O'Hara","given":"Casey C.","non-dropping-particle":"","parse-names":false,"suffix":""},{"dropping-particle":"","family":"Frazier","given":"Melanie","non-dropping-particle":"","parse-names":false,"suffix":""},{"dropping-particle":"","family":"Halpern","given":"Benjamin S.","non-dropping-particle":"","parse-names":false,"suffix":""}],"container-title":"Science","id":"ITEM-3","issue":"6537","issued":{"date-parts":[["2021"]]},"note":"check:\n5\n7\n8\n9","page":"84-87","title":"At-risk marine biodiversity faces extensive, expanding, and intensifying human impacts","type":"article-journal","volume":"372"},"uris":["http://www.mendeley.com/documents/?uuid=af05d603-e5bb-4daa-ad27-9cf5da2cf5f8"]}],"mendeley":{"formattedCitation":"(Bowler et al., 2020; Gissi et al., 2021; O’Hara et al., 2021)","plainTextFormattedCitation":"(Bowler et al., 2020; Gissi et al., 2021; O’Hara et al., 2021)","previouslyFormattedCitation":"(Bowler et al., 2020; Gissi et al., 2021; O’Hara et al., 2021)"},"properties":{"noteIndex":0},"schema":"https://github.com/citation-style-language/schema/raw/master/csl-citation.json"}</w:instrText>
      </w:r>
      <w:r>
        <w:fldChar w:fldCharType="separate"/>
      </w:r>
      <w:r w:rsidR="00702A3A" w:rsidRPr="00702A3A">
        <w:rPr>
          <w:noProof/>
        </w:rPr>
        <w:t>(Bowler et al., 2020; Gissi et al., 2021; O’Hara et al., 2021)</w:t>
      </w:r>
      <w:r>
        <w:fldChar w:fldCharType="end"/>
      </w:r>
      <w:r>
        <w:t xml:space="preserve">. </w:t>
      </w:r>
      <w:r w:rsidRPr="004E2D5D">
        <w:t>Additionally, s</w:t>
      </w:r>
      <w:r w:rsidRPr="0009183E">
        <w:t>pecies interactions can be modified by climate change, and climate change effects can be enhanced or mitigated by</w:t>
      </w:r>
      <w:r>
        <w:t xml:space="preserve"> direct or indirect</w:t>
      </w:r>
      <w:r w:rsidRPr="0009183E">
        <w:t xml:space="preserve"> species interactions</w:t>
      </w:r>
      <w:r>
        <w:t>, increasing the uncertainty around future coastal biodiversity</w:t>
      </w:r>
      <w:r w:rsidRPr="0009183E">
        <w:t xml:space="preserve"> </w:t>
      </w:r>
      <w:r w:rsidRPr="0009183E">
        <w:fldChar w:fldCharType="begin" w:fldLock="1"/>
      </w:r>
      <w:r w:rsidR="00702A3A">
        <w:instrText>ADDIN CSL_CITATION {"citationItems":[{"id":"ITEM-1","itemData":{"DOI":"10.1111/oik.04459","ISSN":"16000706","abstract":"A key challenge in predicting the effects of global changes is determining how they may modify the influence of localised stressors, such that steps can be taken to minimise combined effects. Combined effects of global and local stressors can be difficult to predict as they are underpinned by influences on individual species and interactions between them, which in turn may be affected by absolute and relative densities. Here we tested experimentally the influence of increased temperature and/or nutrients on individual species, interactions between them and the consequences for ecosystem functioning. Elevated temperature had a more positive influence on functioning when species were combined in mixtures than when in monoculture. Responses to increased nutrients were positive irrespective of whether a species was in monoculture or in a mixture. Additionally, those effects were modified by changes in the relative density of the species, which in some cases resulted in shifts from negative interspecific interactions (competition) to positive interactions (facilitation) or vice versa. This article is protected by copyright. All rights reserved.","author":[{"dropping-particle":"","family":"Brooks","given":"Paul R.","non-dropping-particle":"","parse-names":false,"suffix":""},{"dropping-particle":"","family":"Crowe","given":"Tasman P.","non-dropping-particle":"","parse-names":false,"suffix":""}],"container-title":"Oikos","id":"ITEM-1","issue":"12","issued":{"date-parts":[["2018"]]},"page":"1746-1758","title":"Density and biotic interactions modify the combined effects of global and local stressors","type":"article-journal","volume":"127"},"uris":["http://www.mendeley.com/documents/?uuid=11708494-4cc1-4a8b-9269-27ba5b6260eb"]}],"mendeley":{"formattedCitation":"(Brooks and Crowe, 2018)","plainTextFormattedCitation":"(Brooks and Crowe, 2018)","previouslyFormattedCitation":"(Brooks and Crowe, 2018)"},"properties":{"noteIndex":0},"schema":"https://github.com/citation-style-language/schema/raw/master/csl-citation.json"}</w:instrText>
      </w:r>
      <w:r w:rsidRPr="0009183E">
        <w:fldChar w:fldCharType="separate"/>
      </w:r>
      <w:r w:rsidR="00702A3A" w:rsidRPr="00702A3A">
        <w:rPr>
          <w:noProof/>
        </w:rPr>
        <w:t>(Brooks and Crowe, 2018)</w:t>
      </w:r>
      <w:r w:rsidRPr="0009183E">
        <w:fldChar w:fldCharType="end"/>
      </w:r>
      <w:r w:rsidRPr="0009183E">
        <w:t xml:space="preserve">. </w:t>
      </w:r>
      <w:r w:rsidRPr="004E2D5D">
        <w:t>Coastal</w:t>
      </w:r>
      <w:r>
        <w:t xml:space="preserve"> regions are particularly exposed to the cumulative effects of multiple </w:t>
      </w:r>
      <w:r w:rsidR="00397A5C">
        <w:t>stressors</w:t>
      </w:r>
      <w:r>
        <w:t xml:space="preserve">, which puts the ecosystem services they provide at risk, e.g. their potential to provide </w:t>
      </w:r>
      <w:r w:rsidRPr="00327CBE">
        <w:t>food, regulate coastal erosion, recycle nutrients, sequester carbon, support recreational activities and sustain cultural identity</w:t>
      </w:r>
      <w:r>
        <w:t xml:space="preserve"> </w:t>
      </w:r>
      <w:r>
        <w:fldChar w:fldCharType="begin" w:fldLock="1"/>
      </w:r>
      <w:r w:rsidR="00702A3A">
        <w:instrText>ADDIN CSL_CITATION {"citationItems":[{"id":"ITEM-1","itemData":{"DOI":"10.1002/pan3.10071","ISSN":"25758314","abstract":"Climate change and other anthropogenic drivers of biodiversity change are unequally distributed across the world. Overlap in the distributions of different drivers have important implications for biodiversity change attribution and the potential for interactive effects. However, the spatial relationships among different drivers and whether they differ between the terrestrial and marine realm has yet to be examined. We compiled global gridded datasets on climate change, land-use, resource exploitation, pollution, alien species potential and human population density. We used multivariate statistics to examine the spatial relationships among the drivers and to characterize the typical combinations of drivers experienced by different regions of the world. We found stronger positive correlations among drivers in the terrestrial than in the marine realm, leading to areas with high intensities of multiple drivers on land. Climate change tended to be negatively correlated with other drivers in the terrestrial realm (e.g. in the tundra and boreal forest with high climate change but low human use and pollution), whereas the opposite was true in the marine realm (e.g. in the Indo-Pacific with high climate change and high fishing). We show that different regions of the world can be defined by Anthropogenic Threat Complexes (ATCs), distinguished by different sets of drivers with varying intensities. We identify 11 ATCs that can be used to test hypotheses about patterns of biodiversity and ecosystem change, especially about the joint effects of multiple drivers. Our global analysis highlights the broad conservation priorities needed to mitigate the impacts of anthropogenic change, with different priorities emerging on land and in the ocean, and in different parts of the world.","author":[{"dropping-particle":"","family":"Bowler","given":"Diana E.","non-dropping-particle":"","parse-names":false,"suffix":""},{"dropping-particle":"","family":"Bjorkman","given":"Anne D.","non-dropping-particle":"","parse-names":false,"suffix":""},{"dropping-particle":"","family":"Dornelas","given":"Maria","non-dropping-particle":"","parse-names":false,"suffix":""},{"dropping-particle":"","family":"Myers-Smith","given":"Isla H.","non-dropping-particle":"","parse-names":false,"suffix":""},{"dropping-particle":"","family":"Navarro","given":"Laetitia M.","non-dropping-particle":"","parse-names":false,"suffix":""},{"dropping-particle":"","family":"Niamir","given":"Aidin","non-dropping-particle":"","parse-names":false,"suffix":""},{"dropping-particle":"","family":"Supp","given":"Sarah R.","non-dropping-particle":"","parse-names":false,"suffix":""},{"dropping-particle":"","family":"Waldock","given":"Conor","non-dropping-particle":"","parse-names":false,"suffix":""},{"dropping-particle":"","family":"Winter","given":"Marten","non-dropping-particle":"","parse-names":false,"suffix":""},{"dropping-particle":"","family":"Vellend","given":"Mark","non-dropping-particle":"","parse-names":false,"suffix":""},{"dropping-particle":"","family":"Blowes","given":"Shane A.","non-dropping-particle":"","parse-names":false,"suffix":""},{"dropping-particle":"","family":"Böhning-Gaese","given":"Katrin","non-dropping-particle":"","parse-names":false,"suffix":""},{"dropping-particle":"","family":"Bruelheide","given":"Helge","non-dropping-particle":"","parse-names":false,"suffix":""},{"dropping-particle":"","family":"Elahi","given":"Robin","non-dropping-particle":"","parse-names":false,"suffix":""},{"dropping-particle":"","family":"Antão","given":"Laura H.","non-dropping-particle":"","parse-names":false,"suffix":""},{"dropping-particle":"","family":"Hines","given":"Jes","non-dropping-particle":"","parse-names":false,"suffix":""},{"dropping-particle":"","family":"Isbell","given":"Forest","non-dropping-particle":"","parse-names":false,"suffix":""},{"dropping-particle":"","family":"Jones","given":"Holly P.","non-dropping-particle":"","parse-names":false,"suffix":""},{"dropping-particle":"","family":"Magurran","given":"Anne E.","non-dropping-particle":"","parse-names":false,"suffix":""},{"dropping-particle":"","family":"Cabral","given":"Juliano Sarmento","non-dropping-particle":"","parse-names":false,"suffix":""},{"dropping-particle":"","family":"Bates","given":"Amanda E.","non-dropping-particle":"","parse-names":false,"suffix":""}],"container-title":"People and Nature","id":"ITEM-1","issue":"2","issued":{"date-parts":[["2020"]]},"page":"380-394","title":"Mapping human pressures on biodiversity across the planet uncovers anthropogenic threat complexes","type":"article-journal","volume":"2"},"uris":["http://www.mendeley.com/documents/?uuid=a7401f44-b0ac-464f-977c-16e3f1f8d7d2"]},{"id":"ITEM-2","itemData":{"DOI":"10.1017/9781009325844.005.379","ISBN":"9781009325844","author":[{"dropping-particle":"","family":"Cooley","given":"S.","non-dropping-particle":"","parse-names":false,"suffix":""},{"dropping-particle":"","family":"Schoeman","given":"D.","non-dropping-particle":"","parse-names":false,"suffix":""},{"dropping-particle":"","family":"Bopp","given":"L.","non-dropping-particle":"","parse-names":false,"suffix":""},{"dropping-particle":"","family":"Boyd","given":"P.","non-dropping-particle":"","parse-names":false,"suffix":""},{"dropping-particle":"","family":"Donner","given":"S.","non-dropping-particle":"","parse-names":false,"suffix":""},{"dropping-particle":"","family":"Ghebrehiwet","given":"D.Y.","non-dropping-particle":"","parse-names":false,"suffix":""},{"dropping-particle":"","family":"Ito","given":"S.-I.","non-dropping-particle":"","parse-names":false,"suffix":""},{"dropping-particle":"","family":"Kiessling","given":"W.","non-dropping-particle":"","parse-names":false,"suffix":""},{"dropping-particle":"","family":"Martinetto","given":"P.","non-dropping-particle":"","parse-names":false,"suffix":""},{"dropping-particle":"","family":"Ojea","given":"E.","non-dropping-particle":"","parse-names":false,"suffix":""},{"dropping-particle":"","family":"Racault","given":"M.-F.","non-dropping-particle":"","parse-names":false,"suffix":""},{"dropping-particle":"","family":"Rost","given":"B.","non-dropping-particle":"","parse-names":false,"suffix":""},{"dropping-particle":"","family":"Skern-Mauritzen","given":"M.","non-dropping-particle":"","parse-names":false,"suffix":""}],"chapter-number":"3","container-title":"Climate Change 2022: Impacts, Adaptation and Vulnerability. Contribution of Working Group II to the Sixth Assessment Report of the Intergovernmental Panel on Climate Change","editor":[{"dropping-particle":"","family":"Pörtner","given":"H.-O.","non-dropping-particle":"","parse-names":false,"suffix":""},{"dropping-particle":"","family":"Roberts","given":"D.C.","non-dropping-particle":"","parse-names":false,"suffix":""},{"dropping-particle":"","family":"Tignor","given":"M.","non-dropping-particle":"","parse-names":false,"suffix":""},{"dropping-particle":"","family":"Poloczanska","given":"E.S.","non-dropping-particle":"","parse-names":false,"suffix":""},{"dropping-particle":"","family":"Mintenbeck","given":"K.","non-dropping-particle":"","parse-names":false,"suffix":""},{"dropping-particle":"","family":"Alegría","given":"A.","non-dropping-particle":"","parse-names":false,"suffix":""}],"id":"ITEM-2","issued":{"date-parts":[["2022"]]},"note":"torres 2021, sutton 2016 -&amp;gt; acidification variability\npoertner 2014, Dahlke 2020b temperature effects\n\nWell-controlled laboratory studies on multiple- driver effects have revealed insights into the mode of action of individual drivers and their interdependence (Kroeker et al., 2017; Gao et al., 2019; Reddin et al., 2020; Seifert et al., 2020; Green et al., 2021b; Sampaio et al., 2021)\n\nsampaio 2021, comassini 2019, Gao 2020, Garzke 2020 multiple stressors in animals\n\nKram et al., 2016; Falkenberg et al., 2018 -&amp;gt; synergistic oaw effects in non-calcifying macroalgae?\n\nClapham 2019\nBindoff 2019a\nNagelkerken 2020\nBoyd 2018\nNewcomb 2020\nSorte 2017, 2919\nByrne 2020","page":"379–550","publisher":"Cambridge University Press","publisher-place":"Cambridge, UK and New York, NY, USA","title":"Oceans and Coastal Ecosystems and their Services","type":"chapter"},"uris":["http://www.mendeley.com/documents/?uuid=27e0b3a0-2e49-424b-b524-4e0690b7de64"]}],"mendeley":{"formattedCitation":"(Bowler et al., 2020; Cooley et al., 2022)","plainTextFormattedCitation":"(Bowler et al., 2020; Cooley et al., 2022)","previouslyFormattedCitation":"(Bowler et al., 2020; Cooley et al., 2022)"},"properties":{"noteIndex":0},"schema":"https://github.com/citation-style-language/schema/raw/master/csl-citation.json"}</w:instrText>
      </w:r>
      <w:r>
        <w:fldChar w:fldCharType="separate"/>
      </w:r>
      <w:r w:rsidRPr="00082159">
        <w:rPr>
          <w:noProof/>
        </w:rPr>
        <w:t>(Bowler et al., 2020; Cooley et al., 2022)</w:t>
      </w:r>
      <w:r>
        <w:fldChar w:fldCharType="end"/>
      </w:r>
      <w:r>
        <w:t xml:space="preserve">. Predicting the cumulative impacts of multiple </w:t>
      </w:r>
      <w:r w:rsidR="00397A5C">
        <w:t xml:space="preserve">stressors </w:t>
      </w:r>
      <w:r>
        <w:t xml:space="preserve">on coastal biodiversity is crucial for managing and protecting vulnerable ecosystem services </w:t>
      </w:r>
      <w:r>
        <w:fldChar w:fldCharType="begin" w:fldLock="1"/>
      </w:r>
      <w:r w:rsidR="001A6D42">
        <w:instrText>ADDIN CSL_CITATION {"citationItems":[{"id":"ITEM-1","itemData":{"DOI":"10.1038/s41467-021-21824-x","author":[{"dropping-particle":"","family":"Keyes","given":"Aislyn A.","non-dropping-particle":"","parse-names":false,"suffix":""},{"dropping-particle":"","family":"Mclaughlin","given":"John P","non-dropping-particle":"","parse-names":false,"suffix":""},{"dropping-particle":"","family":"Barner","given":"Allison K","non-dropping-particle":"","parse-names":false,"suffix":""},{"dropping-particle":"","family":"Dee","given":"Laura E","non-dropping-particle":"","parse-names":false,"suffix":""}],"container-title":"Nature Communications","id":"ITEM-1","issue":"1586","issued":{"date-parts":[["2021"]]},"publisher":"Springer US","title":"An ecological network approach to predict ecosystem service vulnerability to species losses","type":"article-journal","volume":"12"},"uris":["http://www.mendeley.com/documents/?uuid=d883206d-ccf5-4d90-b409-f4cd152239b8"]},{"id":"ITEM-2","itemData":{"DOI":"10.1016/j.scitotenv.2020.142564","ISSN":"18791026","PMID":"33035971","abstract":"Climate change (CC) is a key, global driver of change of marine ecosystems. At local and regional scales, other local human stressors (LS) can interact with CC and modify its effects on marine ecosystems. Understanding the response of the marine environment to the combined effects of CC and LS is crucial to inform marine ecosystem-based management and planning, yet our knowledge of the potential effects of such interactions is fragmented. At a global scale, we explored how cumulative effect assessments (CEAs) have addressed CC in the marine realm and discuss progress and shortcomings of current approaches. For this we conducted a systematic review on how CEAs investigated at different levels of biological organization ecological responses, functional aspects, and the combined effect of CC and HS. Globally, the effects of 52 LS and of 27 CC-related stressors on the marine environment have been studied in combination, such as industrial fisheries with change in temperature, or sea level rise with artisanal fisheries, marine litter, change in sediment load and introduced alien species. CC generally intensified the effects of LS at species level. At trophic groups and ecosystem levels, the effects of CC either intensified or mitigated the effects of other HS depending on the trophic groups or the environmental conditions involved, thus suggesting that the combined effects of CC and LS are context-dependent and vary among and within ecosystems. Our results highlight that large-scale assessments on the spatial interaction and combined effects of CC and LS remain limited. More importantly, our results strengthen the urgent need of CEAs to capture local-scale effects of stressors that can exacerbate climate-induced changes. Ultimately, this will allow identifying management measures that aid counteracting CC effects at relevant scales.","author":[{"dropping-particle":"","family":"Gissi","given":"Elena","non-dropping-particle":"","parse-names":false,"suffix":""},{"dropping-particle":"","family":"Manea","given":"Elisabetta","non-dropping-particle":"","parse-names":false,"suffix":""},{"dropping-particle":"","family":"Mazaris","given":"Antonios D.","non-dropping-particle":"","parse-names":false,"suffix":""},{"dropping-particle":"","family":"Fraschetti","given":"Simonetta","non-dropping-particle":"","parse-names":false,"suffix":""},{"dropping-particle":"","family":"Almpanidou","given":"Vasiliki","non-dropping-particle":"","parse-names":false,"suffix":""},{"dropping-particle":"","family":"Bevilacqua","given":"Stanislao","non-dropping-particle":"","parse-names":false,"suffix":""},{"dropping-particle":"","family":"Coll","given":"Marta","non-dropping-particle":"","parse-names":false,"suffix":""},{"dropping-particle":"","family":"Guarnieri","given":"Giuseppe","non-dropping-particle":"","parse-names":false,"suffix":""},{"dropping-particle":"","family":"Lloret-Lloret","given":"Elena","non-dropping-particle":"","parse-names":false,"suffix":""},{"dropping-particle":"","family":"Pascual","given":"Marta","non-dropping-particle":"","parse-names":false,"suffix":""},{"dropping-particle":"","family":"Petza","given":"Dimitra","non-dropping-particle":"","parse-names":false,"suffix":""},{"dropping-particle":"","family":"Rilov","given":"Gil","non-dropping-particle":"","parse-names":false,"suffix":""},{"dropping-particle":"","family":"Schonwald","given":"Maura","non-dropping-particle":"","parse-names":false,"suffix":""},{"dropping-particle":"","family":"Stelzenmüller","given":"Vanessa","non-dropping-particle":"","parse-names":false,"suffix":""},{"dropping-particle":"","family":"Katsanevakis","given":"Stelios","non-dropping-particle":"","parse-names":false,"suffix":""}],"container-title":"Science of the Total Environment","id":"ITEM-2","issue":"September 2020","issued":{"date-parts":[["2021"]]},"note":"Petersen and Kemp 2019\nVoss 2019","publisher":"The Authors","title":"A review of the combined effects of climate change and other local human stressors on the marine environment","type":"article-journal","volume":"755"},"uris":["http://www.mendeley.com/documents/?uuid=504e81aa-479f-4df3-afb7-b6cedf150bd8"]},{"id":"ITEM-3","itemData":{"DOI":"10.1017/9781009325844.005.379","ISBN":"9781009325844","author":[{"dropping-particle":"","family":"Cooley","given":"S.","non-dropping-particle":"","parse-names":false,"suffix":""},{"dropping-particle":"","family":"Schoeman","given":"D.","non-dropping-particle":"","parse-names":false,"suffix":""},{"dropping-particle":"","family":"Bopp","given":"L.","non-dropping-particle":"","parse-names":false,"suffix":""},{"dropping-particle":"","family":"Boyd","given":"P.","non-dropping-particle":"","parse-names":false,"suffix":""},{"dropping-particle":"","family":"Donner","given":"S.","non-dropping-particle":"","parse-names":false,"suffix":""},{"dropping-particle":"","family":"Ghebrehiwet","given":"D.Y.","non-dropping-particle":"","parse-names":false,"suffix":""},{"dropping-particle":"","family":"Ito","given":"S.-I.","non-dropping-particle":"","parse-names":false,"suffix":""},{"dropping-particle":"","family":"Kiessling","given":"W.","non-dropping-particle":"","parse-names":false,"suffix":""},{"dropping-particle":"","family":"Martinetto","given":"P.","non-dropping-particle":"","parse-names":false,"suffix":""},{"dropping-particle":"","family":"Ojea","given":"E.","non-dropping-particle":"","parse-names":false,"suffix":""},{"dropping-particle":"","family":"Racault","given":"M.-F.","non-dropping-particle":"","parse-names":false,"suffix":""},{"dropping-particle":"","family":"Rost","given":"B.","non-dropping-particle":"","parse-names":false,"suffix":""},{"dropping-particle":"","family":"Skern-Mauritzen","given":"M.","non-dropping-particle":"","parse-names":false,"suffix":""}],"chapter-number":"3","container-title":"Climate Change 2022: Impacts, Adaptation and Vulnerability. Contribution of Working Group II to the Sixth Assessment Report of the Intergovernmental Panel on Climate Change","editor":[{"dropping-particle":"","family":"Pörtner","given":"H.-O.","non-dropping-particle":"","parse-names":false,"suffix":""},{"dropping-particle":"","family":"Roberts","given":"D.C.","non-dropping-particle":"","parse-names":false,"suffix":""},{"dropping-particle":"","family":"Tignor","given":"M.","non-dropping-particle":"","parse-names":false,"suffix":""},{"dropping-particle":"","family":"Poloczanska","given":"E.S.","non-dropping-particle":"","parse-names":false,"suffix":""},{"dropping-particle":"","family":"Mintenbeck","given":"K.","non-dropping-particle":"","parse-names":false,"suffix":""},{"dropping-particle":"","family":"Alegría","given":"A.","non-dropping-particle":"","parse-names":false,"suffix":""}],"id":"ITEM-3","issued":{"date-parts":[["2022"]]},"note":"torres 2021, sutton 2016 -&amp;gt; acidification variability\npoertner 2014, Dahlke 2020b temperature effects\n\nWell-controlled laboratory studies on multiple- driver effects have revealed insights into the mode of action of individual drivers and their interdependence (Kroeker et al., 2017; Gao et al., 2019; Reddin et al., 2020; Seifert et al., 2020; Green et al., 2021b; Sampaio et al., 2021)\n\nsampaio 2021, comassini 2019, Gao 2020, Garzke 2020 multiple stressors in animals\n\nKram et al., 2016; Falkenberg et al., 2018 -&amp;gt; synergistic oaw effects in non-calcifying macroalgae?\n\nClapham 2019\nBindoff 2019a\nNagelkerken 2020\nBoyd 2018\nNewcomb 2020\nSorte 2017, 2919\nByrne 2020","page":"379–550","publisher":"Cambridge University Press","publisher-place":"Cambridge, UK and New York, NY, USA","title":"Oceans and Coastal Ecosystems and their Services","type":"chapter"},"uris":["http://www.mendeley.com/documents/?uuid=27e0b3a0-2e49-424b-b524-4e0690b7de64"]},{"id":"ITEM-4","itemData":{"DOI":"10.1111/ele.14013","ISSN":"14610248","PMID":"35478314","abstract":"Predicting the impacts of multiple stressors is important for informing ecosystem management but is impeded by a lack of a general framework for predicting whether stressors interact synergistically, additively or antagonistically. Here, we use process-based models to study how interactions generalise across three levels of biological organisation (physiological, population and consumer-resource) for a two-stressor experiment on a seagrass model system. We found that the same underlying processes could result in synergistic, additive or antagonistic interactions, with interaction type depending on initial conditions, experiment duration, stressor dynamics and consumer presence. Our results help explain why meta-analyses of multiple stressor experimental results have struggled to identify predictors of consistently non-additive interactions in the natural environment. Experiments run over extended temporal scales, with treatments across gradients of stressor magnitude, are needed to identify the processes that underpin how stressors interact and provide useful predictions to management.","author":[{"dropping-particle":"","family":"Turschwell","given":"Mischa P.","non-dropping-particle":"","parse-names":false,"suffix":""},{"dropping-particle":"","family":"Connolly","given":"Sean R.","non-dropping-particle":"","parse-names":false,"suffix":""},{"dropping-particle":"","family":"Schäfer","given":"Ralf B.","non-dropping-particle":"","parse-names":false,"suffix":""},{"dropping-particle":"","family":"De Laender","given":"Frederik","non-dropping-particle":"","parse-names":false,"suffix":""},{"dropping-particle":"","family":"Campbell","given":"Max D.","non-dropping-particle":"","parse-names":false,"suffix":""},{"dropping-particle":"","family":"Mantyka-Pringle","given":"Chrystal","non-dropping-particle":"","parse-names":false,"suffix":""},{"dropping-particle":"","family":"Jackson","given":"Michelle C","non-dropping-particle":"","parse-names":false,"suffix":""},{"dropping-particle":"","family":"Kattwinkel","given":"Mira","non-dropping-particle":"","parse-names":false,"suffix":""},{"dropping-particle":"","family":"Sievers","given":"Michael","non-dropping-particle":"","parse-names":false,"suffix":""},{"dropping-particle":"","family":"Ashauer","given":"Roman","non-dropping-particle":"","parse-names":false,"suffix":""},{"dropping-particle":"","family":"Côté","given":"Isabelle M.","non-dropping-particle":"","parse-names":false,"suffix":""},{"dropping-particle":"","family":"Connolly","given":"Rod M.","non-dropping-particle":"","parse-names":false,"suffix":""},{"dropping-particle":"","family":"Brink","given":"Paul J.","non-dropping-particle":"van den","parse-names":false,"suffix":""},{"dropping-particle":"","family":"Brown","given":"Christopher J","non-dropping-particle":"","parse-names":false,"suffix":""}],"container-title":"Ecology Letters","id":"ITEM-4","issue":"6","issued":{"date-parts":[["2022"]]},"page":"1483-1496","title":"Interactive effects of multiple stressors vary with consumer interactions, stressor dynamics and magnitude","type":"article-journal","volume":"25"},"uris":["http://www.mendeley.com/documents/?uuid=c83d3e52-5b28-4816-b143-54216ff27de6"]}],"mendeley":{"formattedCitation":"(Cooley et al., 2022; Gissi et al., 2021; Keyes et al., 2021; Turschwell et al., 2022)","plainTextFormattedCitation":"(Cooley et al., 2022; Gissi et al., 2021; Keyes et al., 2021; Turschwell et al., 2022)","previouslyFormattedCitation":"(Cooley et al., 2022; Gissi et al., 2021; Keyes et al., 2021; Turschwell et al., 2022)"},"properties":{"noteIndex":0},"schema":"https://github.com/citation-style-language/schema/raw/master/csl-citation.json"}</w:instrText>
      </w:r>
      <w:r>
        <w:fldChar w:fldCharType="separate"/>
      </w:r>
      <w:r w:rsidR="001A6D42" w:rsidRPr="001A6D42">
        <w:rPr>
          <w:noProof/>
        </w:rPr>
        <w:t>(Cooley et al., 2022; Gissi et al., 2021; Keyes et al., 2021; Turschwell et al., 2022)</w:t>
      </w:r>
      <w:r>
        <w:fldChar w:fldCharType="end"/>
      </w:r>
      <w:r>
        <w:t xml:space="preserve">. </w:t>
      </w:r>
    </w:p>
    <w:p w14:paraId="4985F6BA" w14:textId="15E9C811" w:rsidR="000337CD" w:rsidRDefault="000337CD" w:rsidP="006733CF">
      <w:pPr>
        <w:spacing w:line="480" w:lineRule="auto"/>
      </w:pPr>
      <w:r>
        <w:t xml:space="preserve">Climate change and its effects on marine benthic species have been studied extensively, yet impacts are highly variable across taxonomic groups and up-scaling results to communities or ecosystems remains challenging </w:t>
      </w:r>
      <w:r>
        <w:fldChar w:fldCharType="begin" w:fldLock="1"/>
      </w:r>
      <w:r w:rsidR="001A6D42">
        <w:instrText>ADDIN CSL_CITATION {"citationItems":[{"id":"ITEM-1","itemData":{"DOI":"10.3389/fmars.2022.896157","ISSN":"2296-7745","abstract":"Climate change is impacting organisms in every region of the world ocean by acting though on individuals in response to their local environments. Given projected future risks derived from these changes, it is becoming increasingly important to understand regional signals of how organisms respond to facilitate their governance and protection. Benthic organisms structure ecological compositions and ecosystem dynamics, therefore not only providing insights into their own response to climate change but also how ecosystems might respond to future conditions. European seas are transitional areas including boreal, warm-temperate, and subarctic waters with organisms frequently at limits of their distributions. Here, we use a meta-analytical approach to assess how calcification, growth, metabolism, photosynthesis, reproduction, and survival in European benthic organisms respond to ocean acidification and warming. Using meta-regression, we examine how study design factors influence effect-size outcomes. Longer experimental periods generally amplified the effects of climate change on taxonomic groupings and related physiological traits and against expectation do not result in acclimation. In agreement with global studies, we find that impacts vary considerably on different taxonomic groupings and their physiological traits. We found calcifying organisms are an at-risk taxon in European waters, with climate stressors decreasing growth rates, reproduction, and survival rates. Fleshy algal species demonstrate resilience to climate stressors, suggesting future European benthic ecosystems will undergo restructuring based on current climate emission pathways.","author":[{"dropping-particle":"","family":"Hoppit","given":"George","non-dropping-particle":"","parse-names":false,"suffix":""},{"dropping-particle":"","family":"Schmidt","given":"Daniela N","non-dropping-particle":"","parse-names":false,"suffix":""}],"container-title":"Frontiers in Marine Science","id":"ITEM-1","issue":"June","issued":{"date-parts":[["2022"]]},"note":"(Kroeker et al., 2013; Cattano et al., 2018; Bindoffet al., 2019; Sampaio et al., 2021)","page":"1-13","title":"A Regional View of the Response to Climate Change: A Meta-Analysis of European Benthic Organisms’ Responses","type":"article-journal","volume":"9"},"uris":["http://www.mendeley.com/documents/?uuid=58c98c9a-6508-4b00-adcf-a016319cbeed"]},{"id":"ITEM-2","itemData":{"DOI":"10.1111/ele.14013","ISSN":"14610248","PMID":"35478314","abstract":"Predicting the impacts of multiple stressors is important for informing ecosystem management but is impeded by a lack of a general framework for predicting whether stressors interact synergistically, additively or antagonistically. Here, we use process-based models to study how interactions generalise across three levels of biological organisation (physiological, population and consumer-resource) for a two-stressor experiment on a seagrass model system. We found that the same underlying processes could result in synergistic, additive or antagonistic interactions, with interaction type depending on initial conditions, experiment duration, stressor dynamics and consumer presence. Our results help explain why meta-analyses of multiple stressor experimental results have struggled to identify predictors of consistently non-additive interactions in the natural environment. Experiments run over extended temporal scales, with treatments across gradients of stressor magnitude, are needed to identify the processes that underpin how stressors interact and provide useful predictions to management.","author":[{"dropping-particle":"","family":"Turschwell","given":"Mischa P.","non-dropping-particle":"","parse-names":false,"suffix":""},{"dropping-particle":"","family":"Connolly","given":"Sean R.","non-dropping-particle":"","parse-names":false,"suffix":""},{"dropping-particle":"","family":"Schäfer","given":"Ralf B.","non-dropping-particle":"","parse-names":false,"suffix":""},{"dropping-particle":"","family":"De Laender","given":"Frederik","non-dropping-particle":"","parse-names":false,"suffix":""},{"dropping-particle":"","family":"Campbell","given":"Max D.","non-dropping-particle":"","parse-names":false,"suffix":""},{"dropping-particle":"","family":"Mantyka-Pringle","given":"Chrystal","non-dropping-particle":"","parse-names":false,"suffix":""},{"dropping-particle":"","family":"Jackson","given":"Michelle C","non-dropping-particle":"","parse-names":false,"suffix":""},{"dropping-particle":"","family":"Kattwinkel","given":"Mira","non-dropping-particle":"","parse-names":false,"suffix":""},{"dropping-particle":"","family":"Sievers","given":"Michael","non-dropping-particle":"","parse-names":false,"suffix":""},{"dropping-particle":"","family":"Ashauer","given":"Roman","non-dropping-particle":"","parse-names":false,"suffix":""},{"dropping-particle":"","family":"Côté","given":"Isabelle M.","non-dropping-particle":"","parse-names":false,"suffix":""},{"dropping-particle":"","family":"Connolly","given":"Rod M.","non-dropping-particle":"","parse-names":false,"suffix":""},{"dropping-particle":"","family":"Brink","given":"Paul J.","non-dropping-particle":"van den","parse-names":false,"suffix":""},{"dropping-particle":"","family":"Brown","given":"Christopher J","non-dropping-particle":"","parse-names":false,"suffix":""}],"container-title":"Ecology Letters","id":"ITEM-2","issue":"6","issued":{"date-parts":[["2022"]]},"page":"1483-1496","title":"Interactive effects of multiple stressors vary with consumer interactions, stressor dynamics and magnitude","type":"article-journal","volume":"25"},"uris":["http://www.mendeley.com/documents/?uuid=c83d3e52-5b28-4816-b143-54216ff27de6"]}],"mendeley":{"formattedCitation":"(Hoppit and Schmidt, 2022; Turschwell et al., 2022)","plainTextFormattedCitation":"(Hoppit and Schmidt, 2022; Turschwell et al., 2022)","previouslyFormattedCitation":"(Hoppit and Schmidt, 2022; Turschwell et al., 2022)"},"properties":{"noteIndex":0},"schema":"https://github.com/citation-style-language/schema/raw/master/csl-citation.json"}</w:instrText>
      </w:r>
      <w:r>
        <w:fldChar w:fldCharType="separate"/>
      </w:r>
      <w:r w:rsidR="001A6D42" w:rsidRPr="001A6D42">
        <w:rPr>
          <w:noProof/>
        </w:rPr>
        <w:t>(Hoppit and Schmidt, 2022; Turschwell et al., 2022)</w:t>
      </w:r>
      <w:r>
        <w:fldChar w:fldCharType="end"/>
      </w:r>
      <w:r>
        <w:t xml:space="preserve">. </w:t>
      </w:r>
      <w:r w:rsidR="000B0720">
        <w:t>Warming directly affects metabolic rates and physiological processes along thermal performance curves</w:t>
      </w:r>
      <w:r w:rsidR="00454238">
        <w:t xml:space="preserve"> </w:t>
      </w:r>
      <w:r w:rsidR="00454238">
        <w:fldChar w:fldCharType="begin" w:fldLock="1"/>
      </w:r>
      <w:r w:rsidR="009728E5">
        <w:instrText>ADDIN CSL_CITATION {"citationItems":[{"id":"ITEM-1","itemData":{"DOI":"10.1242/jeb.037523","ISSN":"00220949","PMID":"20190113","abstract":"The concept of oxygen- and capacity-dependent thermal tolerance in aquatic ectotherms has successfully explained climateinduced effects of rising temperatures on species abundance in the field. Oxygen supply to tissues and the resulting aerobic performance characters thus form a primary link between organismal fitness and its role and functioning at the ecosystem level. The thermal window of performance in water breathers matches their window of aerobic scope. Loss of performance reflects the earliest level of thermal stress, caused by hypoxaemia and the progressive mismatch of oxygen supply and demand at the borders of the thermal envelope. Oxygen deficiency elicits the transition to passive tolerance and associated systemic and cellular stress signals like hormonal responses or oxidative stress as well as the use of protection mechanisms like heat shock proteins at thermal extremes. Thermal acclimatization between seasons or adaptation to a climate regime involves shifting thermal windows and adjusting window widths. The need to specialize on a limited temperature range results from temperaturedependent trade-offs at several hierarchical levels, from molecular structure to whole-organism functioning, and may also support maximized energy efficiency. Various environmental factors like CO2 (ocean acidification) and hypoxia interact with these principal relationships. Existing knowledge suggests that these factors elicit metabolic depression supporting passive tolerance to thermal extremes. However, they also exacerbate hypoxaemia, causing a narrowing of thermal performance windows and prematurely leading the organism to the limits of its thermal acclimation capacity. The conceptual analysis suggests that the relationships between energy turnover, the capacities of activity and other functions and the width of thermal windows may lead to an integrative understanding of specialization on climate and, as a thermal matrix, of sensitivity to climate change and the factors involved. Such functional relationships might also relate to climate-induced changes in species interactions and, thus, community responses at the ecosystem level. © 2010, Published by The Company of Biologists Ltd.","author":[{"dropping-particle":"","family":"Pörtner","given":"H. O.","non-dropping-particle":"","parse-names":false,"suffix":""}],"container-title":"Journal of Experimental Biology","id":"ITEM-1","issue":"6","issued":{"date-parts":[["2010"]]},"page":"881-893","title":"Oxygen- And capacity-limitation of thermal tolerance: A matrix for integrating climate-related stressor effects in marine ecosystems","type":"article-journal","volume":"213"},"uris":["http://www.mendeley.com/documents/?uuid=0cab539d-79ba-4ec7-b062-bac6e28998e3"]},{"id":"ITEM-2","itemData":{"DOI":"10.1073/pnas.1015178108","ISSN":"00278424","abstract":"To understand the effects of temperature on biological systems, we compile, organize, and analyze a database of 1,072 thermal responses for microbes, plants, and animals. The unprecedented diversity of traits (n = 112), species (n = 309), body sizes (15 orders of magnitude), and habitats (all major biomes) in our database allows us to quantify novel features of the temperature response of biological traits. In particular, analysis of the rising component of within-species (intraspecific) responses reveals that 87% are fit well by the Boltzmann-Arrhenius model. The mean activation energy for these rises is 0.66 ± 0.05 eV, similar to the reported across-species (interspecific) value of 0.65 eV.However, systematic variation in the distribution of rise activation energies is evident, including previously unrecognized right skewness around a median of 0.55 eV. This skewness exists across levels of organization, taxa, trophic groups, and habitats, and it is partially explained by prey having increased trait performance at lower temperatures relative to predators, suggesting a thermal version of the life-dinner principle - stronger selection on running for your life than running for your dinner. For unimodal responses, habitat (marine, freshwater, and terrestrial) largely explains the mean temperature at which trait values are optimal but not variation around the mean. The distribution of activation energies for trait falls has a mean of 1.15 ± 0.39 eV (significantly higher than rises) and is also right-skewed. Our results highlight generalities and deviations in the thermal response of biological traits and help to provide a basis to predict better how biological systems, from cells to communities, respond to temperature change.","author":[{"dropping-particle":"","family":"Dell","given":"Anthony I.","non-dropping-particle":"","parse-names":false,"suffix":""},{"dropping-particle":"","family":"Pawar","given":"Samraat","non-dropping-particle":"","parse-names":false,"suffix":""},{"dropping-particle":"","family":"Savage","given":"Van M.","non-dropping-particle":"","parse-names":false,"suffix":""}],"container-title":"Proceedings of the National Academy of Sciences of the United States of America","id":"ITEM-2","issue":"26","issued":{"date-parts":[["2011"]]},"page":"10591-10596","title":"Systematic variation in the temperature dependence of physiological and ecological traits","type":"article-journal","volume":"108"},"uris":["http://www.mendeley.com/documents/?uuid=98fd27fa-b98d-4952-8648-6a0a43e856bf"]},{"id":"ITEM-3","itemData":{"DOI":"10.1016/j.jembe.2021.151603","ISSN":"00220981","abstract":"Rising sea surface temperatures affect the feeding behaviour and reproductive success of many coastal benthic invertebrates. This experimental study investigated the effects of ocean warming on macroalgal food consumption rates in the sea urchins Arbacia lixula and Paracentrotus lividus from Madeira Island to assess how the feeding pressure they exert may change under warmer ocean conditions. Additionally, in A. lixula, the relationship between temperature and the gonad index was examined to estimate potential future reproductive output. Over the course of 25 days, 180 individuals of each species were exposed to temperatures between 22 °C and 31 °C. After 20 days, consumption rates were assessed in 48-h feeding trials. Gonad indices of A. lixula were determined on the last day of the experiment. In the thermal range investigated, both traits were found to be unimodal functions of temperature. In addition to temperature, consumption rates in both species and the gonad indices in A. lixula were influenced by body size, while feeding in A. lixula also varied between sexes. Maximum food consumption rates (A. lixula and P. lividus) as well as maximum gonad indices (only A. lixula) were observed between 25 °C and 26 °C. These values are at the upper end of the temperature range that currently prevails around Madeira, and may become average summer temperatures by the year 2100. Consequently, both sea urchin species may thrive during future warm summers and may enhance their top-down control on local macroalgal populations.","author":[{"dropping-particle":"","family":"Roma","given":"Joana","non-dropping-particle":"","parse-names":false,"suffix":""},{"dropping-particle":"","family":"Schertenleib","given":"Katrin","non-dropping-particle":"","parse-names":false,"suffix":""},{"dropping-particle":"","family":"Ramalhosa","given":"Patrício","non-dropping-particle":"","parse-names":false,"suffix":""},{"dropping-particle":"","family":"Gestoso","given":"Ignacio","non-dropping-particle":"","parse-names":false,"suffix":""},{"dropping-particle":"","family":"Canning-Clode","given":"João","non-dropping-particle":"","parse-names":false,"suffix":""},{"dropping-particle":"","family":"Lenz","given":"Mark","non-dropping-particle":"","parse-names":false,"suffix":""}],"container-title":"Journal of Experimental Marine Biology and Ecology","id":"ITEM-3","issue":"November 2020","issued":{"date-parts":[["2021"]]},"title":"Moderately elevated temperatures increase macroalgal food consumption in two sea urchin species from coastal waters of Madeira","type":"article-journal","volume":"542-543"},"uris":["http://www.mendeley.com/documents/?uuid=b9456f6d-8f1c-4f3f-8b5a-12deb2251125"]}],"mendeley":{"formattedCitation":"(Dell et al., 2011; Pörtner, 2010; Roma et al., 2021)","plainTextFormattedCitation":"(Dell et al., 2011; Pörtner, 2010; Roma et al., 2021)","previouslyFormattedCitation":"(Dell et al., 2011; Pörtner, 2010; Roma et al., 2021)"},"properties":{"noteIndex":0},"schema":"https://github.com/citation-style-language/schema/raw/master/csl-citation.json"}</w:instrText>
      </w:r>
      <w:r w:rsidR="00454238">
        <w:fldChar w:fldCharType="separate"/>
      </w:r>
      <w:r w:rsidR="00115D85" w:rsidRPr="00115D85">
        <w:rPr>
          <w:noProof/>
        </w:rPr>
        <w:t>(Dell et al., 2011; Pörtner, 2010; Roma et al., 2021)</w:t>
      </w:r>
      <w:r w:rsidR="00454238">
        <w:fldChar w:fldCharType="end"/>
      </w:r>
      <w:r w:rsidR="00AE15D9">
        <w:t>.</w:t>
      </w:r>
      <w:r w:rsidR="00274AF8">
        <w:t xml:space="preserve"> </w:t>
      </w:r>
      <w:r w:rsidR="00AE15D9">
        <w:t>Typically,</w:t>
      </w:r>
      <w:r w:rsidR="00274AF8">
        <w:t xml:space="preserve"> performance first increases </w:t>
      </w:r>
      <w:r w:rsidR="00C26476">
        <w:t>with warming</w:t>
      </w:r>
      <w:r w:rsidR="00522ABF">
        <w:t>,</w:t>
      </w:r>
      <w:r w:rsidR="00C26476">
        <w:t xml:space="preserve"> as</w:t>
      </w:r>
      <w:r w:rsidR="00274AF8">
        <w:t xml:space="preserve"> metabolic costs are mo</w:t>
      </w:r>
      <w:r w:rsidR="00AE15D9">
        <w:t>re</w:t>
      </w:r>
      <w:r w:rsidR="00274AF8">
        <w:t xml:space="preserve"> efficiently </w:t>
      </w:r>
      <w:r w:rsidR="00C26476">
        <w:t xml:space="preserve">met </w:t>
      </w:r>
      <w:r w:rsidR="00274AF8">
        <w:t>by the rate of supplied energy</w:t>
      </w:r>
      <w:r w:rsidR="00115D85">
        <w:t>, until it culminates</w:t>
      </w:r>
      <w:r w:rsidR="0068727F">
        <w:t xml:space="preserve"> at an optimum temperature</w:t>
      </w:r>
      <w:r w:rsidR="00115D85">
        <w:t xml:space="preserve">, beyond which costs outbalance any achievable supply </w:t>
      </w:r>
      <w:r w:rsidR="00274AF8">
        <w:t xml:space="preserve">and performance declines rapidly </w:t>
      </w:r>
      <w:r w:rsidR="00702A3A">
        <w:fldChar w:fldCharType="begin" w:fldLock="1"/>
      </w:r>
      <w:r w:rsidR="00115D85">
        <w:instrText>ADDIN CSL_CITATION {"citationItems":[{"id":"ITEM-1","itemData":{"DOI":"10.1126/science.1061967","ISSN":"00368075","PMID":"11567137","abstract":"We derive a general model, based on principles of biochemical kinetics and allometry, that characterizes the effects of temperature and body mass on metabolic rate. The model fits metabolic rates of microbes, ectotherms, endotherms (including those in hibernation), and plants in temperatures ranging from 0° to 40°C. Mass- and temperature-compensated resting metabolic rates of all organisms are similar: The lowest (for unicellular organisms and plants) is separated from the highest (for endothermic vertebrates) by a factor of about 20. Temperature and body size are primary determinants of biological time and ecological roles.","author":[{"dropping-particle":"","family":"Gillooly","given":"J. F.","non-dropping-particle":"","parse-names":false,"suffix":""},{"dropping-particle":"","family":"Brown","given":"J. H.","non-dropping-particle":"","parse-names":false,"suffix":""},{"dropping-particle":"","family":"West","given":"G. B.","non-dropping-particle":"","parse-names":false,"suffix":""},{"dropping-particle":"","family":"Savage","given":"V. M.","non-dropping-particle":"","parse-names":false,"suffix":""},{"dropping-particle":"","family":"Charnov","given":"E. L.","non-dropping-particle":"","parse-names":false,"suffix":""}],"container-title":"Science","id":"ITEM-1","issue":"5538","issued":{"date-parts":[["2001"]]},"page":"2248-2251","title":"Effects of size and temperature on metabolic rate","type":"article-journal","volume":"293"},"uris":["http://www.mendeley.com/documents/?uuid=ce0c3a4e-a6dc-4a8a-b343-8cda729a96f9"]},{"id":"ITEM-2","itemData":{"DOI":"10.1098/rspb.2006.3545","ISSN":"14712970","abstract":"In recent years, a number of species-energy hypotheses have been developed to explain global patterns in plant and animal diversity. These hypotheses frequently fail to distinguish between fundamentally different forms of energy which influence diversity in dissimilar ways. Photosynthetically active radiation (PAR) can be utilized only by plants, though their abundance and growth rate is also greatly influenced by water. The Gibbs free energy (chemical energy) retained in the reduced organic compounds of tissue can be utilized by all heterotrophic organisms. Neither PAR nor chemical energy influences diversity directly. Both, however, influence biomass and/or abundance; diversity may then increase as a result of secondary population dynamic or evolutionary processes. Temperature is not a form of energy, though it is often used loosely by ecologists as a proxy for energy; it does, however, influence the rate of utilization of chemical energy by organisms. It may also influence diversity by allowing a greater range of energetic lifestyles at warmer temperatures (the metabolic niche hypothesis). We conclude that there is no single species/energy mechanism; fundamentally different processes link energy to abundance in plants and animals, and diversity is affected secondarily. If we are to make progress in elucidating these mechanisms, it is important to distinguish climatic effects on species' distribution and abundance from processes linking energy supply to plant and animal diversity. © 2006 The Royal Society.","author":[{"dropping-particle":"","family":"Clarke","given":"Andrew","non-dropping-particle":"","parse-names":false,"suffix":""},{"dropping-particle":"","family":"Gaston","given":"Kevin J.","non-dropping-particle":"","parse-names":false,"suffix":""}],"container-title":"Proceedings of the Royal Society B: Biological Sciences","id":"ITEM-2","issue":"1599","issued":{"date-parts":[["2006"]]},"page":"2257-2266","title":"Climate, energy and diversity","type":"article-journal","volume":"273"},"uris":["http://www.mendeley.com/documents/?uuid=7e7c312a-3880-493c-8ff1-0271926bbb98"]},{"id":"ITEM-3","itemData":{"DOI":"10.1242/jeb.037523","ISSN":"00220949","PMID":"20190113","abstract":"The concept of oxygen- and capacity-dependent thermal tolerance in aquatic ectotherms has successfully explained climateinduced effects of rising temperatures on species abundance in the field. Oxygen supply to tissues and the resulting aerobic performance characters thus form a primary link between organismal fitness and its role and functioning at the ecosystem level. The thermal window of performance in water breathers matches their window of aerobic scope. Loss of performance reflects the earliest level of thermal stress, caused by hypoxaemia and the progressive mismatch of oxygen supply and demand at the borders of the thermal envelope. Oxygen deficiency elicits the transition to passive tolerance and associated systemic and cellular stress signals like hormonal responses or oxidative stress as well as the use of protection mechanisms like heat shock proteins at thermal extremes. Thermal acclimatization between seasons or adaptation to a climate regime involves shifting thermal windows and adjusting window widths. The need to specialize on a limited temperature range results from temperaturedependent trade-offs at several hierarchical levels, from molecular structure to whole-organism functioning, and may also support maximized energy efficiency. Various environmental factors like CO2 (ocean acidification) and hypoxia interact with these principal relationships. Existing knowledge suggests that these factors elicit metabolic depression supporting passive tolerance to thermal extremes. However, they also exacerbate hypoxaemia, causing a narrowing of thermal performance windows and prematurely leading the organism to the limits of its thermal acclimation capacity. The conceptual analysis suggests that the relationships between energy turnover, the capacities of activity and other functions and the width of thermal windows may lead to an integrative understanding of specialization on climate and, as a thermal matrix, of sensitivity to climate change and the factors involved. Such functional relationships might also relate to climate-induced changes in species interactions and, thus, community responses at the ecosystem level. © 2010, Published by The Company of Biologists Ltd.","author":[{"dropping-particle":"","family":"Pörtner","given":"H. O.","non-dropping-particle":"","parse-names":false,"suffix":""}],"container-title":"Journal of Experimental Biology","id":"ITEM-3","issue":"6","issued":{"date-parts":[["2010"]]},"page":"881-893","title":"Oxygen- And capacity-limitation of thermal tolerance: A matrix for integrating climate-related stressor effects in marine ecosystems","type":"article-journal","volume":"213"},"uris":["http://www.mendeley.com/documents/?uuid=0cab539d-79ba-4ec7-b062-bac6e28998e3"]},{"id":"ITEM-4","itemData":{"DOI":"10.1890/12-0375.1","ISSN":"00129658","abstract":"As physiological processes of ectotherms are coupled to environmental temperature, climate change will likely alter their fundamental biological rates, including metabolism, consumption, growth, and reproduction. Here we combine the metabolic theory of ecology (MTE) with metabolism and consumption measurements of a model organism, the urchin Lytechinus variegatus, to test how climate change will affect consumer fitness. Unexpectedly, we found that metabolism and consumption exhibit different scaling relationships with temperature and are mismatched at high temperatures. This led to a dramatic reduction in ingestion efficiency and potentially in consumer fitness. Using metaanalysis, we showed that such temperature-driven mismatches between consumption and metabolism are common across taxa and frequently lead to reduced consumer fitness. Our empirical and synthetic analyses identify a mechanism by which climate change reduces the fitness of ectotherm consumers that may be applied to a broad array of taxonomic groups. Moreover, we showed that the assumptions of MTE do not hold at temperatures near the upper range of species' thermal tolerances for a wide array of taxa. Models using MTE to predict the effects of climate change on consumer-resource dynamics may therefore be underestimating the consequences of rising temperatures on population and community dynamics. © 2012 by the Ecological Society of America.","author":[{"dropping-particle":"","family":"Lemoine","given":"Nathan P.","non-dropping-particle":"","parse-names":false,"suffix":""},{"dropping-particle":"","family":"Burkepile","given":"Deron E.","non-dropping-particle":"","parse-names":false,"suffix":""}],"container-title":"Ecology","id":"ITEM-4","issue":"11","issued":{"date-parts":[["2012"]]},"page":"2483-2489","title":"Temperature-induced mismatches between consumption and metabolism reduce consumer fitness","type":"article-journal","volume":"93"},"uris":["http://www.mendeley.com/documents/?uuid=261a2713-aaaa-4062-bc28-d8c9e55bb64e"]}],"mendeley":{"formattedCitation":"(Clarke and Gaston, 2006; Gillooly et al., 2001; Lemoine and Burkepile, 2012; Pörtner, 2010)","plainTextFormattedCitation":"(Clarke and Gaston, 2006; Gillooly et al., 2001; Lemoine and Burkepile, 2012; Pörtner, 2010)","previouslyFormattedCitation":"(Clarke and Gaston, 2006; Gillooly et al., 2001; Lemoine and Burkepile, 2012; Pörtner, 2010)"},"properties":{"noteIndex":0},"schema":"https://github.com/citation-style-language/schema/raw/master/csl-citation.json"}</w:instrText>
      </w:r>
      <w:r w:rsidR="00702A3A">
        <w:fldChar w:fldCharType="separate"/>
      </w:r>
      <w:r w:rsidR="00454238" w:rsidRPr="00454238">
        <w:rPr>
          <w:noProof/>
        </w:rPr>
        <w:t>(Clarke and Gaston, 2006; Gillooly et al., 2001; Lemoine and Burkepile, 2012; Pörtner, 2010)</w:t>
      </w:r>
      <w:r w:rsidR="00702A3A">
        <w:fldChar w:fldCharType="end"/>
      </w:r>
      <w:r w:rsidR="00274AF8">
        <w:t>.</w:t>
      </w:r>
      <w:r w:rsidR="000B0720">
        <w:t xml:space="preserve"> </w:t>
      </w:r>
      <w:r w:rsidR="00C26476">
        <w:t xml:space="preserve">Whether localised </w:t>
      </w:r>
      <w:r w:rsidR="00274AF8">
        <w:t xml:space="preserve">warming </w:t>
      </w:r>
      <w:r w:rsidR="00C26476">
        <w:t>enhances</w:t>
      </w:r>
      <w:r w:rsidR="00274AF8">
        <w:t xml:space="preserve"> or impairs performance </w:t>
      </w:r>
      <w:r w:rsidR="00EC148A">
        <w:t xml:space="preserve">is </w:t>
      </w:r>
      <w:r w:rsidR="00C26476">
        <w:t xml:space="preserve">determined </w:t>
      </w:r>
      <w:r w:rsidR="00EC148A">
        <w:t xml:space="preserve">by </w:t>
      </w:r>
      <w:r w:rsidR="00B22B5D">
        <w:t>the</w:t>
      </w:r>
      <w:r w:rsidR="00EC148A">
        <w:t xml:space="preserve"> temperature range o</w:t>
      </w:r>
      <w:r w:rsidR="001729C2">
        <w:t>n</w:t>
      </w:r>
      <w:r w:rsidR="00EC148A">
        <w:t xml:space="preserve"> the thermal performance curve </w:t>
      </w:r>
      <w:r w:rsidR="00B22B5D">
        <w:t xml:space="preserve">to which </w:t>
      </w:r>
      <w:r w:rsidR="00EC148A">
        <w:t>an organism</w:t>
      </w:r>
      <w:r w:rsidR="00B22B5D">
        <w:t>’s phenology</w:t>
      </w:r>
      <w:r w:rsidR="00EC148A">
        <w:t xml:space="preserve"> </w:t>
      </w:r>
      <w:r w:rsidR="00B22B5D">
        <w:t xml:space="preserve">is acclimatised </w:t>
      </w:r>
      <w:r w:rsidR="00EC148A">
        <w:t>in its habitat</w:t>
      </w:r>
      <w:r w:rsidR="00611032">
        <w:t xml:space="preserve"> </w:t>
      </w:r>
      <w:r w:rsidR="009E7647">
        <w:fldChar w:fldCharType="begin" w:fldLock="1"/>
      </w:r>
      <w:r w:rsidR="00552EDF">
        <w:instrText>ADDIN CSL_CITATION {"citationItems":[{"id":"ITEM-1","itemData":{"DOI":"10.1098/rspb.2013.2612","ISSN":"0962-8452","author":[{"dropping-particle":"","family":"Vasseur","given":"David A.","non-dropping-particle":"","parse-names":false,"suffix":""},{"dropping-particle":"","family":"DeLong","given":"John P.","non-dropping-particle":"","parse-names":false,"suffix":""},{"dropping-particle":"","family":"Gilbert","given":"Benjamin","non-dropping-particle":"","parse-names":false,"suffix":""},{"dropping-particle":"","family":"Greig","given":"Hamish S.","non-dropping-particle":"","parse-names":false,"suffix":""},{"dropping-particle":"","family":"Harley","given":"Christopher D.G.","non-dropping-particle":"","parse-names":false,"suffix":""},{"dropping-particle":"","family":"McCann","given":"Kevin S.","non-dropping-particle":"","parse-names":false,"suffix":""},{"dropping-particle":"","family":"Savage","given":"Van","non-dropping-particle":"","parse-names":false,"suffix":""},{"dropping-particle":"","family":"Tunney","given":"Tyler D.","non-dropping-particle":"","parse-names":false,"suffix":""},{"dropping-particle":"","family":"O'Connor","given":"Mary I.","non-dropping-particle":"","parse-names":false,"suffix":""}],"container-title":"Proceedings of the Royal Society B: Biological Sciences","id":"ITEM-1","issue":"1779","issued":{"date-parts":[["2014"]]},"note":"1","page":"20132612","title":"Increased temperature variation poses a greater risk to species than climate warming","type":"article-journal","volume":"281"},"uris":["http://www.mendeley.com/documents/?uuid=640b9102-54d7-478a-85aa-2bd8d6ecdb6a"]}],"mendeley":{"formattedCitation":"(Vasseur et al., 2014)","plainTextFormattedCitation":"(Vasseur et al., 2014)","previouslyFormattedCitation":"(Vasseur et al., 2014)"},"properties":{"noteIndex":0},"schema":"https://github.com/citation-style-language/schema/raw/master/csl-citation.json"}</w:instrText>
      </w:r>
      <w:r w:rsidR="009E7647">
        <w:fldChar w:fldCharType="separate"/>
      </w:r>
      <w:r w:rsidR="009E7647" w:rsidRPr="009E7647">
        <w:rPr>
          <w:noProof/>
        </w:rPr>
        <w:t>(Vasseur et al., 2014)</w:t>
      </w:r>
      <w:r w:rsidR="009E7647">
        <w:fldChar w:fldCharType="end"/>
      </w:r>
      <w:r w:rsidR="00EC148A">
        <w:t>.</w:t>
      </w:r>
      <w:r w:rsidR="00611032">
        <w:t xml:space="preserve"> </w:t>
      </w:r>
      <w:r w:rsidR="006D4086" w:rsidRPr="006D4086">
        <w:t xml:space="preserve">The biological mechanisms underlying the effects of ocean </w:t>
      </w:r>
      <w:r w:rsidR="006D4086" w:rsidRPr="006D4086">
        <w:lastRenderedPageBreak/>
        <w:t xml:space="preserve">acidification are not yet understood </w:t>
      </w:r>
      <w:r w:rsidR="00C26476" w:rsidRPr="006D4086">
        <w:t>fully</w:t>
      </w:r>
      <w:r w:rsidR="00C26476">
        <w:t xml:space="preserve"> </w:t>
      </w:r>
      <w:r w:rsidR="006D4086">
        <w:fldChar w:fldCharType="begin" w:fldLock="1"/>
      </w:r>
      <w:r w:rsidR="000C54B8">
        <w:instrText>ADDIN CSL_CITATION {"citationItems":[{"id":"ITEM-1","itemData":{"DOI":"10.1146/annurev-environ-012320-083019","ISSN":"15435938","abstract":"Rising atmospheric carbon dioxide (CO2) levels, from fossil fuel combustion and deforestation, along with agriculture and land-use practices are causing wholesale increases in seawater CO2 and inorganic carbon levels; reductions in pH; and alterations in acid-base chemistry of estuarine, coastal, and surface open-ocean waters. On the basis of laboratory experiments and field studies of naturally elevated CO2 marine environments, widespread biological impacts of human-driven ocean acidification have been posited, ranging from changes in organism physiology and population dynamics to altered communities and ecosystems. Acidification, in conjunction with other climate change-related environmental stresses, particularly under future climate change and further elevated atmospheric CO2 levels, potentially puts at risk many of the valuable ecosystem services that the ocean provides to society, such as fisheries, aquaculture, and shoreline protection. This review emphasizes both current scientific understanding and knowledge gaps, highlighting directions for future research and recognizing the information needs of policymakers and stakeholders.","author":[{"dropping-particle":"","family":"Doney","given":"Scott C.","non-dropping-particle":"","parse-names":false,"suffix":""},{"dropping-particle":"","family":"Busch","given":"D. Shallin","non-dropping-particle":"","parse-names":false,"suffix":""},{"dropping-particle":"","family":"Cooley","given":"Sarah R.","non-dropping-particle":"","parse-names":false,"suffix":""},{"dropping-particle":"","family":"Kroeker","given":"Kristy J.","non-dropping-particle":"","parse-names":false,"suffix":""}],"container-title":"Annual Review of Environment and Resources","id":"ITEM-1","issued":{"date-parts":[["2020"]]},"note":"8\n35\n44, 45\n49\n50\n63\n77\n88\n93-95","page":"83-112","title":"The impacts of ocean acidification on marine ecosystems and reliant human communities","type":"article-journal","volume":"45"},"uris":["http://www.mendeley.com/documents/?uuid=1f04cd4f-7bba-4afd-ae25-f01f7728ce24"]}],"mendeley":{"formattedCitation":"(Doney et al., 2020)","manualFormatting":"(Doney et al., 2020","plainTextFormattedCitation":"(Doney et al., 2020)","previouslyFormattedCitation":"(Doney et al., 2020)"},"properties":{"noteIndex":0},"schema":"https://github.com/citation-style-language/schema/raw/master/csl-citation.json"}</w:instrText>
      </w:r>
      <w:r w:rsidR="006D4086">
        <w:fldChar w:fldCharType="separate"/>
      </w:r>
      <w:r w:rsidR="006D4086" w:rsidRPr="006D4086">
        <w:rPr>
          <w:noProof/>
        </w:rPr>
        <w:t>(Doney et al., 2020</w:t>
      </w:r>
      <w:r w:rsidR="006D4086">
        <w:fldChar w:fldCharType="end"/>
      </w:r>
      <w:r w:rsidR="006D4086" w:rsidRPr="006D4086">
        <w:t xml:space="preserve"> and references therein</w:t>
      </w:r>
      <w:r w:rsidR="004054A8">
        <w:t>;</w:t>
      </w:r>
      <w:r w:rsidR="009B51DC">
        <w:t xml:space="preserve"> </w:t>
      </w:r>
      <w:r w:rsidR="009B51DC">
        <w:fldChar w:fldCharType="begin" w:fldLock="1"/>
      </w:r>
      <w:r w:rsidR="009F1DBE">
        <w:instrText>ADDIN CSL_CITATION {"citationItems":[{"id":"ITEM-1","itemData":{"DOI":"10.1093/icesjms/fsaa094","ISSN":"1054-3139","abstract":"A substantial body of research now exists demonstrating sensitivities of marine organisms to ocean acidification (OA) in laboratory settings. However, corresponding in situ observations of marine species or ecosystem changes that can be unequivocally attributed to anthropogenic OA are limited. Challenges remain in detecting and attributing OA effects in nature, in part because multiple environmental changes are co-occurring with OA, all of which have the potential to influence marine ecosystem responses. Furthermore, the change in ocean pH since the industrial revolution is small relative to the natural variability within many systems, making it difficult to detect, and in some cases, has yet to cross physiological thresholds. The small number of studies that clearly document OA impacts in nature cannot be interpreted as a lack of larger-scale attributable impacts at the present time or in the future but highlights the need for innovative research approaches and analyses. We summarize the general findings in four relatively well-studied marine groups (seagrasses, pteropods, oysters, and coral reefs) and integrate overarching themes to highlight the challenges involved in detecting and attributing the effects of OA in natural environments. We then discuss four potential strategies to better evaluate and attribute OA impacts on species and ecosystems. First, we highlight the need for work quantifying the anthropogenic input of CO2 in coastal and open-ocean waters to understand how this increase in CO2 interacts with other physical and chemical factors to drive organismal conditions. Second, understanding OA-induced changes in population-level demography, potentially increased sensitivities in certain life stages, and how these effects scale to ecosystem-level processes (e.g. community metabolism) will improve our ability to attribute impacts to OA among co-varying parameters. Third, there is a great need to understand the potential modulation of OA impacts through the interplay of ecology and evolution (eco–evo dynamics). Lastly, further research efforts designed to detect, quantify, and project the effects of OA on marine organisms and ecosystems utilizing a comparative approach with long-term data sets will also provide critical information for informing the management of marine ecosystems.","author":[{"dropping-particle":"","family":"Doo","given":"Steve S.","non-dropping-particle":"","parse-names":false,"suffix":""},{"dropping-particle":"","family":"Kealoha","given":"Andrea","non-dropping-particle":"","parse-names":false,"suffix":""},{"dropping-particle":"","family":"Andersson","given":"Andreas","non-dropping-particle":"","parse-names":false,"suffix":""},{"dropping-particle":"","family":"Cohen","given":"Anne L","non-dropping-particle":"","parse-names":false,"suffix":""},{"dropping-particle":"","family":"Hicks","given":"Tacey L","non-dropping-particle":"","parse-names":false,"suffix":""},{"dropping-particle":"","family":"Johnson","given":"Zackary I","non-dropping-particle":"","parse-names":false,"suffix":""},{"dropping-particle":"","family":"Long","given":"Matthew H","non-dropping-particle":"","parse-names":false,"suffix":""},{"dropping-particle":"","family":"McElhany","given":"Paul","non-dropping-particle":"","parse-names":false,"suffix":""},{"dropping-particle":"","family":"Mollica","given":"Nathaniel","non-dropping-particle":"","parse-names":false,"suffix":""},{"dropping-particle":"","family":"Shamberger","given":"Kathryn E F","non-dropping-particle":"","parse-names":false,"suffix":""},{"dropping-particle":"","family":"Silbiger","given":"Nyssa J","non-dropping-particle":"","parse-names":false,"suffix":""},{"dropping-particle":"","family":"Takeshita","given":"Yuichiro","non-dropping-particle":"","parse-names":false,"suffix":""},{"dropping-particle":"","family":"Busch","given":"D Shallin","non-dropping-particle":"","parse-names":false,"suffix":""}],"container-title":"ICES Journal of Marine Science","id":"ITEM-1","issued":{"date-parts":[["2020"]]},"title":"The challenges of detecting and attributing ocean acidification impacts on marine ecosystems","type":"article-journal"},"uris":["http://www.mendeley.com/documents/?uuid=d4427029-f443-4fa5-a39c-88b965d7b840"]}],"mendeley":{"formattedCitation":"(Doo et al., 2020a)","manualFormatting":"Doo et al., 2020a","plainTextFormattedCitation":"(Doo et al., 2020a)","previouslyFormattedCitation":"(Doo et al., 2020a)"},"properties":{"noteIndex":0},"schema":"https://github.com/citation-style-language/schema/raw/master/csl-citation.json"}</w:instrText>
      </w:r>
      <w:r w:rsidR="009B51DC">
        <w:fldChar w:fldCharType="separate"/>
      </w:r>
      <w:r w:rsidR="009B51DC" w:rsidRPr="009B51DC">
        <w:rPr>
          <w:noProof/>
        </w:rPr>
        <w:t>Doo et al., 2020a</w:t>
      </w:r>
      <w:r w:rsidR="009B51DC">
        <w:fldChar w:fldCharType="end"/>
      </w:r>
      <w:r w:rsidR="009F1DBE">
        <w:t xml:space="preserve">; </w:t>
      </w:r>
      <w:r w:rsidR="009F1DBE">
        <w:fldChar w:fldCharType="begin" w:fldLock="1"/>
      </w:r>
      <w:r w:rsidR="00420699">
        <w:instrText>ADDIN CSL_CITATION {"citationItems":[{"id":"ITEM-1","itemData":{"DOI":"10.1111/gcb.16101","ISSN":"13652486","PMID":"35092108","abstract":"Studies on the impact of ocean acidification on marine organisms involve exposing organisms to future acidification scenarios, which has limited relevance for coastal calcifiers living in a mosaic of habitats. Identification of tipping points beyond which detrimental effects are observed is a widely generalizable proxy of acidification susceptibility at the population level. This approach is limited to a handful of studies that focus on only a few macro-physiological traits, thus overlooking the whole organism response. Here we develop a framework to analyze the broad macro-physiological and molecular responses over a wide pH range in juvenile oyster. We identify low tipping points for physiological traits at pH 7.3–6.9 that coincide with a major reshuffling in membrane lipids and transcriptome. In contrast, a drop in pH affects shell parameters above tipping points, likely impacting animal fitness. These findings were made possible by the development of an innovative methodology to synthesize and identify the main patterns of variations in large -omic data sets, fitting them to pH and identifying molecular tipping points. We propose the broad application of our framework to the assessment of effects of global change on other organisms.","author":[{"dropping-particle":"","family":"Lutier","given":"Mathieu","non-dropping-particle":"","parse-names":false,"suffix":""},{"dropping-particle":"","family":"Poi","given":"Carole","non-dropping-particle":"Di","parse-names":false,"suffix":""},{"dropping-particle":"","family":"Gazeau","given":"Frédéric","non-dropping-particle":"","parse-names":false,"suffix":""},{"dropping-particle":"","family":"Appolis","given":"Alexis","non-dropping-particle":"","parse-names":false,"suffix":""},{"dropping-particle":"","family":"Luyer","given":"Jérémy","non-dropping-particle":"Le","parse-names":false,"suffix":""},{"dropping-particle":"","family":"Pernet","given":"Fabrice","non-dropping-particle":"","parse-names":false,"suffix":""}],"container-title":"Global Change Biology","id":"ITEM-1","issue":"10","issued":{"date-parts":[["2022"]]},"page":"3333-3348","title":"Revisiting tolerance to ocean acidification: Insights from a new framework combining physiological and molecular tipping points of Pacific oyster","type":"article-journal","volume":"28"},"uris":["http://www.mendeley.com/documents/?uuid=c3bd9756-90d2-4a4f-963d-afff6e318f7e"]}],"mendeley":{"formattedCitation":"(Lutier et al., 2022)","manualFormatting":"Lutier et al., 2022)","plainTextFormattedCitation":"(Lutier et al., 2022)","previouslyFormattedCitation":"(Lutier et al., 2022)"},"properties":{"noteIndex":0},"schema":"https://github.com/citation-style-language/schema/raw/master/csl-citation.json"}</w:instrText>
      </w:r>
      <w:r w:rsidR="009F1DBE">
        <w:fldChar w:fldCharType="separate"/>
      </w:r>
      <w:r w:rsidR="009F1DBE" w:rsidRPr="009F1DBE">
        <w:rPr>
          <w:noProof/>
        </w:rPr>
        <w:t>Lutier et al., 2022)</w:t>
      </w:r>
      <w:r w:rsidR="009F1DBE">
        <w:fldChar w:fldCharType="end"/>
      </w:r>
      <w:r w:rsidR="006D4086">
        <w:t xml:space="preserve">. </w:t>
      </w:r>
      <w:r>
        <w:t xml:space="preserve">Calcifying species, such as shellfish, </w:t>
      </w:r>
      <w:r w:rsidR="00611032">
        <w:t xml:space="preserve">tend </w:t>
      </w:r>
      <w:r w:rsidR="007E059C">
        <w:t xml:space="preserve">to </w:t>
      </w:r>
      <w:r>
        <w:t xml:space="preserve">respond to ocean warming </w:t>
      </w:r>
      <w:r w:rsidR="006D5026">
        <w:t xml:space="preserve">and acidification </w:t>
      </w:r>
      <w:r>
        <w:t xml:space="preserve">with increased metabolic costs, reduced growth, reproduction and calcification </w:t>
      </w:r>
      <w:r>
        <w:fldChar w:fldCharType="begin" w:fldLock="1"/>
      </w:r>
      <w:r w:rsidR="00F3362A">
        <w:instrText xml:space="preserve">ADDIN CSL_CITATION {"citationItems":[{"id":"ITEM-1","itemData":{"DOI":"10.1016/j.marenvres.2018.10.003","ISSN":"18790291","abstract":"Globally, non-native species (NNS) have been introduced and now often entirely replace native species in captive aquaculture; in part, a result of a perceived greater resilience of NSS to climate change and disease. Here, the effects of ocean acidification and warming on metabolic rate, feeding rate, and somatic growth was assessed using two co-occurring species of oysters – the introduced Pacific oyster Magallana gigas (formerly Crassostrea gigas), and native flat oyster Ostrea edulis. Biological responses to increased temperature and pCO2 combinations were tested, the effects differing between species. Metabolic rates and energetic demands of both species were increased by warming but not by elevated pCO2. While acidification and warming did not affect the clearance rate of O. edulis, M. gigas displayed a 40% decrease at 750 ppm pCO2. Similarly, the condition index of O. edulis was unaffected, but that of M. gigas was negatively impacted by warming, likely due to increased energetic demands that were not compensated for by increased feeding. These findings suggest differing stress from anthropogenic CO2 emissions between species and contrary to expectations, this was higher in introduced M. gigas than in the native O. edulis. If these laboratory findings hold true for populations in the wild, then continued CO2 emissions can be expected to adversely affect the functioning and structure of M. gigas populations with significant ecological and economic repercussions, especially for aquaculture. Our findings strengthen arguments in favour of investment in O. edulis restoration in UK waters.","author":[{"dropping-particle":"","family":"Lemasson","given":"Anaëlle J.","non-dropping-particle":"","parse-names":false,"suffix":""},{"dropping-particle":"","family":"Hall-Spencer","given":"Jason M.","non-dropping-particle":"","parse-names":false,"suffix":""},{"dropping-particle":"","family":"Fletcher","given":"Stephen","non-dropping-particle":"","parse-names":false,"suffix":""},{"dropping-particle":"","family":"Provstgaard-Morys","given":"Samuel","non-dropping-particle":"","parse-names":false,"suffix":""},{"dropping-particle":"","family":"Knights","given":"Antony M.","non-dropping-particle":"","parse-names":false,"suffix":""}],"container-title":"Marine Environmental Research","id":"ITEM-1","issued":{"date-parts":[["2018"]]},"page":"178-189","publisher":"Elsevier","title":"Indications of future performance of native and non-native adult oysters under acidification and warming","type":"article-journal","volume":"142"},"uris":["http://www.mendeley.com/documents/?uuid=d66f7167-63ae-4288-8a7b-45962be6ac44"]},{"id":"ITEM-2","itemData":{"DOI":"10.1016/j.marenvres.2018.05.017","ISSN":"18790291","abstract":"For many species, ocean acidification (OA) is having negative physiological consequences on their fitness and resilience to environmental change, but less is known about the ecosystem effects of these changes. Here, we assess how OA conditions predicted for 2100 affects the biological functioning of an important habitat-forming species Mytilus edulis and its susceptibility to predation by a key predator, the gastropod Nucella lapillus. Change in three physiological parameters in Mytilus were assessed: (1) shell thickness and cross-sectional surface area, (2) body volume and (3) feeding rate, as well as susceptibility to predation by N. lapillus. Shell thickness and cross-section area, body volume and feeding rate of Mytilus all reduced under OA conditions indicating compromised fitness. Predation risk increased by </w:instrText>
      </w:r>
      <w:r w:rsidR="00F3362A">
        <w:rPr>
          <w:rFonts w:ascii="Cambria Math" w:hAnsi="Cambria Math" w:cs="Cambria Math"/>
        </w:rPr>
        <w:instrText>∼</w:instrText>
      </w:r>
      <w:r w:rsidR="00F3362A">
        <w:instrText>26% under OA, suggesting increased susceptibility of mussels to predation and/or altered predator foraging behaviour. Notably, predation of large Mytilus – that were largely free from predation under control conditions – increased by more than 8x under OA, suggesting that body size was no longer a refuge. Our results suggest OA will impact upon ecosystem structure and functioning and the continued provision of ecosystem services associated with Mytilus reefs and the communities associated with them.","author":[{"dropping-particle":"","family":"Sadler","given":"Daniel E.","non-dropping-particle":"","parse-names":false,"suffix":""},{"dropping-particle":"","family":"Lemasson","given":"Anaëlle J.","non-dropping-particle":"","parse-names":false,"suffix":""},{"dropping-particle":"","family":"Knights","given":"Antony M.","non-dropping-particle":"","parse-names":false,"suffix":""}],"container-title":"Marine Environmental Research","id":"ITEM-2","issue":"February","issued":{"date-parts":[["2018"]]},"page":"162-168","publisher":"Elsevier","title":"The effects of elevated CO2on shell properties and susceptibility to predation in mussels Mytilus edulis","type":"article-journal","volume":"139"},"uris":["http://www.mendeley.com/documents/?uuid=d55f65bc-4370-439a-b43c-2d59293be85c"]},{"id":"ITEM-3","itemData":{"DOI":"10.3389/fmars.2022.896157","ISSN":"2296-7745","abstract":"Climate change is impacting organisms in every region of the world ocean by acting though on individuals in response to their local environments. Given projected future risks derived from these changes, it is becoming increasingly important to understand regional signals of how organisms respond to facilitate their governance and protection. Benthic organisms structure ecological compositions and ecosystem dynamics, therefore not only providing insights into their own response to climate change but also how ecosystems might respond to future conditions. European seas are transitional areas including boreal, warm-temperate, and subarctic waters with organisms frequently at limits of their distributions. Here, we use a meta-analytical approach to assess how calcification, growth, metabolism, photosynthesis, reproduction, and survival in European benthic organisms respond to ocean acidification and warming. Using meta-regression, we examine how study design factors influence effect-size outcomes. Longer experimental periods generally amplified the effects of climate change on taxonomic groupings and related physiological traits and against expectation do not result in acclimation. In agreement with global studies, we find that impacts vary considerably on different taxonomic groupings and their physiological traits. We found calcifying organisms are an at-risk taxon in European waters, with climate stressors decreasing growth rates, reproduction, and survival rates. Fleshy algal species demonstrate resilience to climate stressors, suggesting future European benthic ecosystems will undergo restructuring based on current climate emission pathways.","author":[{"dropping-particle":"","family":"Hoppit","given":"George","non-dropping-particle":"","parse-names":false,"suffix":""},{"dropping-particle":"","family":"Schmidt","given":"Daniela N","non-dropping-particle":"","parse-names":false,"suffix":""}],"container-title":"Frontiers in Marine Science","id":"ITEM-3","issue":"June","issued":{"date-parts":[["2022"]]},"note":"(Kroeker et al., 2013; Cattano et al., 2018; Bindoffet al., 2019; Sampaio et al., 2021)","page":"1-13","title":"A Regional View of the Response to Climate Change: A Meta-Analysis of European Benthic Organisms’ Responses","type":"article-journal","volume":"9"},"uris":["http://www.mendeley.com/documents/?uuid=58c98c9a-6508-4b00-adcf-a016319cbeed"]},{"id":"ITEM-4","itemData":{"DOI":"10.1093/icesjms/fsaa094","ISSN":"1054-3139","abstract":"A substantial body of research now exists demonstrating sensitivities of marine organisms to ocean acidification (OA) in laboratory settings. However, corresponding in situ observations of marine species or ecosystem changes that can be unequivocally attributed to anthropogenic OA are limited. Challenges remain in detecting and attributing OA effects in nature, in part because multiple environmental changes are co-occurring with OA, all of which have the potential to influence marine ecosystem responses. Furthermore, the change in ocean pH since the industrial revolution is small relative to the natural variability within many systems, making it difficult to detect, and in some cases, has yet to cross physiological thresholds. The small number of studies that clearly document OA impacts in nature cannot be interpreted as a lack of larger-scale attributable impacts at the present time or in the future but highlights the need for innovative research approaches and analyses. We summarize the general findings in four relatively well-studied marine groups (seagrasses, pteropods, oysters, and coral reefs) and integrate overarching themes to highlight the challenges involved in detecting and attributing the effects of OA in natural environments. We then discuss four potential strategies to better evaluate and attribute OA impacts on species and ecosystems. First, we highlight the need for work quantifying the anthropogenic input of CO2 in coastal and open-ocean waters to understand how this increase in CO2 interacts with other physical and chemical factors to drive organismal conditions. Second, understanding OA-induced changes in population-level demography, potentially increased sensitivities in certain life stages, and how these effects scale to ecosystem-level processes (e.g. community metabolism) will improve our ability to attribute impacts to OA among co-varying parameters. Third, there is a great need to understand the potential modulation of OA impacts through the interplay of ecology and evolution (eco–evo dynamics). Lastly, further research efforts designed to detect, quantify, and project the effects of OA on marine organisms and ecosystems utilizing a comparative approach with long-term data sets will also provide critical information for informing the management of marine ecosystems.","author":[{"dropping-particle":"","family":"Doo","given":"Steve S.","non-dropping-particle":"","parse-names":false,"suffix":""},{"dropping-particle":"","family":"Kealoha","given":"Andrea","non-dropping-particle":"","parse-names":false,"suffix":""},{"dropping-particle":"","family":"Andersson","given":"Andreas","non-dropping-particle":"","parse-names":false,"suffix":""},{"dropping-particle":"","family":"Cohen","given":"Anne L","non-dropping-particle":"","parse-names":false,"suffix":""},{"dropping-particle":"","family":"Hicks","given":"Tacey L","non-dropping-particle":"","parse-names":false,"suffix":""},{"dropping-particle":"","family":"Johnson","given":"Zackary I","non-dropping-particle":"","parse-names":false,"suffix":""},{"dropping-particle":"","family":"Long","given":"Matthew H","non-dropping-particle":"","parse-names":false,"suffix":""},{"dropping-particle":"","family":"McElhany","given":"Paul","non-dropping-particle":"","parse-names":false,"suffix":""},{"dropping-particle":"","family":"Mollica","given":"Nathaniel","non-dropping-particle":"","parse-names":false,"suffix":""},{"dropping-particle":"","family":"Shamberger","given":"Kathryn E F","non-dropping-particle":"","parse-names":false,"suffix":""},{"dropping-particle":"","family":"Silbiger","given":"Nyssa J","non-dropping-particle":"","parse-names":false,"suffix":""},{"dropping-particle":"","family":"Takeshita","given":"Yuichiro","non-dropping-particle":"","parse-names":false,"suffix":""},{"dropping-particle":"","family":"Busch","given":"D Shallin","non-dropping-particle":"","parse-names":false,"suffix":""}],"container-title":"ICES Journal of Marine Science","id":"ITEM-4","issued":{"date-parts":[["2020"]]},"title":"The challenges of detecting and attributing ocean acidification impacts on marine ecosystems","type":"article-journal"},"uris":["http://www.mendeley.com/documents/?uuid=d4427029-f443-4fa5-a39c-88b965d7b840"]},{"id":"ITEM-5","itemData":{"DOI":"10.1111/gcb.16101","ISSN":"13652486","PMID":"35092108","abstract":"Studies on the impact of ocean acidification on marine organisms involve exposing organisms to future acidification scenarios, which has limited relevance for coastal calcifiers living in a mosaic of habitats. Identification of tipping points beyond which detrimental effects are observed is a widely generalizable proxy of acidification susceptibility at the population level. This approach is limited to a handful of studies that focus on only a few macro-physiological traits, thus overlooking the whole organism response. Here we develop a framework to analyze the broad macro-physiological and molecular responses over a wide pH range in juvenile oyster. We identify low tipping points for physiological traits at pH 7.3–6.9 that coincide with a major reshuffling in membrane lipids and transcriptome. In contrast, a drop in pH affects shell parameters above tipping points, likely impacting animal fitness. These findings were made possible by the development of an innovative methodology to synthesize and identify the main patterns of variations in large -omic data sets, fitting them to pH and identifying molecular tipping points. We propose the broad application of our framework to the assessment of effects of global change on other organisms.","author":[{"dropping-particle":"","family":"Lutier","given":"Mathieu","non-dropping-particle":"","parse-names":false,"suffix":""},{"dropping-particle":"","family":"Poi","given":"Carole","non-dropping-particle":"Di","parse-names":false,"suffix":""},{"dropping-particle":"","family":"Gazeau","given":"Frédéric","non-dropping-particle":"","parse-names":false,"suffix":""},{"dropping-particle":"","family":"Appolis","given":"Alexis","non-dropping-particle":"","parse-names":false,"suffix":""},{"dropping-particle":"","family":"Luyer","given":"Jérémy","non-dropping-particle":"Le","parse-names":false,"suffix":""},{"dropping-particle":"","family":"Pernet","given":"Fabrice","non-dropping-particle":"","parse-names":false,"suffix":""}],"container-title":"Global Change Biology","id":"ITEM-5","issue":"10","issued":{"date-parts":[["2022"]]},"page":"3333-3348","title":"Revisiting tolerance to ocean acidification: Insights from a new framework combining physiological and molecular tipping points of Pacific oyster","type":"article-journal","volume":"28"},"uris":["http://www.mendeley.com/documents/?uuid=c3bd9756-90d2-4a4f-963d-afff6e318f7e"]}],"mendeley":{"formattedCitation":"(Doo et al., 2020a; Hoppit and Schmidt, 2022; Lemasson et al., 2018; Lutier et al., 2022; Sadler et al., 2018)","plainTextFormattedCitation":"(Doo et al., 2020a; Hoppit and Schmidt, 2022; Lemasson et al., 2018; Lutier et al., 2022; Sadler et al., 2018)","previouslyFormattedCitation":"(Doo et al., 2020a; Hoppit and Schmidt, 2022; Lemasson et al., 2018; Lutier et al., 2022; Sadler et al., 2018)"},"properties":{"noteIndex":0},"schema":"https://github.com/citation-style-language/schema/raw/master/csl-citation.json"}</w:instrText>
      </w:r>
      <w:r>
        <w:fldChar w:fldCharType="separate"/>
      </w:r>
      <w:r w:rsidR="00420699" w:rsidRPr="00420699">
        <w:rPr>
          <w:noProof/>
        </w:rPr>
        <w:t>(Doo et al., 2020a; Hoppit and Schmidt, 2022; Lemasson et al., 2018; Lutier et al., 2022; Sadler et al., 2018)</w:t>
      </w:r>
      <w:r>
        <w:fldChar w:fldCharType="end"/>
      </w:r>
      <w:r>
        <w:t xml:space="preserve">. Fleshy algae, on the other hand, tend to show resistance and may even benefit from warmer and acidified conditions because of increased </w:t>
      </w:r>
      <w:r w:rsidRPr="00BF056C">
        <w:t>CO</w:t>
      </w:r>
      <w:r w:rsidRPr="00BF056C">
        <w:rPr>
          <w:vertAlign w:val="subscript"/>
        </w:rPr>
        <w:t>2</w:t>
      </w:r>
      <w:r>
        <w:t xml:space="preserve"> </w:t>
      </w:r>
      <w:r w:rsidR="00C26476">
        <w:t xml:space="preserve">available </w:t>
      </w:r>
      <w:r>
        <w:t xml:space="preserve">for photosynthesis at accelerated metabolic rates </w:t>
      </w:r>
      <w:r>
        <w:fldChar w:fldCharType="begin" w:fldLock="1"/>
      </w:r>
      <w:r w:rsidR="00552EDF">
        <w:instrText>ADDIN CSL_CITATION {"citationItems":[{"id":"ITEM-1","itemData":{"DOI":"10.1016/B978-0-12-417199-2.00002-1","ISBN":"0065-2504","ISSN":"00652504","abstract":"Predicting the ecological causes and consequences of global climate change requires a variety of approaches, including the use of experiments, models, and surveys. Among experiments, mesocosms have become increasingly popular because they provide an important bridge between smaller, more tightly controlled, microcosm experiments (which can suffer from limited realism) and the greater biological complexity of natural systems (in which mechanistic relationships often cannot be identified). A new evaluation of the contribution of the mesocosm approach, its potential for future research, as well as its limitations, is timely. As part of this review, we constructed a new database of over 250 post-1990 studies that have explored different components of climate change across a range of organisational levels, scales, and habitats. Issues related to realism, reproducibility and control are assessed in marine, freshwater, and terrestrial systems. Some general patterns emerged, particularly at the ecosystem level, such as consistent and predictable effects on whole-system respiration rates. There are, however, also many seemingly idiosyncratic, contingent responses, especially at the community level, both within and among habitat types. These similarities and differences in both the drivers and responses highlight the need for caution before making generalisations. Finally, we assess future directions and prospects for new methodological advances and the need for greater international coordination and interdisciplinarity. © 2013 Elsevier Ltd.","author":[{"dropping-particle":"","family":"Stewart","given":"Rebecca I.A.","non-dropping-particle":"","parse-names":false,"suffix":""},{"dropping-particle":"","family":"Dossena","given":"Matteo","non-dropping-particle":"","parse-names":false,"suffix":""},{"dropping-particle":"","family":"Bohan","given":"David A.","non-dropping-particle":"","parse-names":false,"suffix":""},{"dropping-particle":"","family":"Jeppesen","given":"Erik","non-dropping-particle":"","parse-names":false,"suffix":""},{"dropping-particle":"","family":"Kordas","given":"Rebecca L.","non-dropping-particle":"","parse-names":false,"suffix":""},{"dropping-particle":"","family":"Ledger","given":"Mark E.","non-dropping-particle":"","parse-names":false,"suffix":""},{"dropping-particle":"","family":"Meerhoff","given":"Mariana","non-dropping-particle":"","parse-names":false,"suffix":""},{"dropping-particle":"","family":"Moss","given":"Brian","non-dropping-particle":"","parse-names":false,"suffix":""},{"dropping-particle":"","family":"Mulder","given":"Christian","non-dropping-particle":"","parse-names":false,"suffix":""},{"dropping-particle":"","family":"Shurin","given":"Jonathan B.","non-dropping-particle":"","parse-names":false,"suffix":""},{"dropping-particle":"","family":"Suttle","given":"Blake","non-dropping-particle":"","parse-names":false,"suffix":""},{"dropping-particle":"","family":"Thompson","given":"Ross","non-dropping-particle":"","parse-names":false,"suffix":""},{"dropping-particle":"","family":"Trimmer","given":"Mark","non-dropping-particle":"","parse-names":false,"suffix":""},{"dropping-particle":"","family":"Woodward","given":"Guy","non-dropping-particle":"","parse-names":false,"suffix":""}],"container-title":"Advances in Ecological Research","edition":"1","id":"ITEM-1","issued":{"date-parts":[["2013"]]},"note":"@Lucy: check out end of p. 90f\n\ng. Benton et al., 2007; Cadotte et al., 2005; Fraser and Keddy, 1997; Ledger et al., 2009","number-of-pages":"71-181","publisher":"Elsevier Ltd.","title":"Mesocosm Experiments as a Tool for Ecological Climate-Change Research","type":"book","volume":"48"},"uris":["http://www.mendeley.com/documents/?uuid=d2edb176-d397-44eb-993e-fffc124a0bb7"]},{"id":"ITEM-2","itemData":{"author":[{"dropping-particle":"","family":"Mooney-McAuley","given":"K. M.","non-dropping-particle":"","parse-names":false,"suffix":""},{"dropping-particle":"","family":"Edwards","given":"M. D.","non-dropping-particle":"","parse-names":false,"suffix":""},{"dropping-particle":"","family":"Champenois","given":"J.","non-dropping-particle":"","parse-names":false,"suffix":""},{"dropping-particle":"","family":"Gorman","given":"E.","non-dropping-particle":"","parse-names":false,"suffix":""}],"container-title":"Public Output report of the EnAlgae project","id":"ITEM-2","issued":{"date-parts":[["2016"]]},"note":"find out:\nwhen deployment\ngrazing problems\nhow fast does kelp grow, i.e. how long can I run my experiment, before the individuals get to large for the mesocosm tanks\nhow many individuals per tank? (ca. 36 L)","number-of-pages":"36","publisher-place":"Swansea","title":"Best Practice Guidelines for Seaweed Cultivation and Analysis","type":"report"},"uris":["http://www.mendeley.com/documents/?uuid=76d5e1ec-9c3e-4d67-96fd-a8b9f4305a3e"]},{"id":"ITEM-3","itemData":{"DOI":"10.3389/fmars.2022.896157","ISSN":"2296-7745","abstract":"Climate change is impacting organisms in every region of the world ocean by acting though on individuals in response to their local environments. Given projected future risks derived from these changes, it is becoming increasingly important to understand regional signals of how organisms respond to facilitate their governance and protection. Benthic organisms structure ecological compositions and ecosystem dynamics, therefore not only providing insights into their own response to climate change but also how ecosystems might respond to future conditions. European seas are transitional areas including boreal, warm-temperate, and subarctic waters with organisms frequently at limits of their distributions. Here, we use a meta-analytical approach to assess how calcification, growth, metabolism, photosynthesis, reproduction, and survival in European benthic organisms respond to ocean acidification and warming. Using meta-regression, we examine how study design factors influence effect-size outcomes. Longer experimental periods generally amplified the effects of climate change on taxonomic groupings and related physiological traits and against expectation do not result in acclimation. In agreement with global studies, we find that impacts vary considerably on different taxonomic groupings and their physiological traits. We found calcifying organisms are an at-risk taxon in European waters, with climate stressors decreasing growth rates, reproduction, and survival rates. Fleshy algal species demonstrate resilience to climate stressors, suggesting future European benthic ecosystems will undergo restructuring based on current climate emission pathways.","author":[{"dropping-particle":"","family":"Hoppit","given":"George","non-dropping-particle":"","parse-names":false,"suffix":""},{"dropping-particle":"","family":"Schmidt","given":"Daniela N","non-dropping-particle":"","parse-names":false,"suffix":""}],"container-title":"Frontiers in Marine Science","id":"ITEM-3","issue":"June","issued":{"date-parts":[["2022"]]},"note":"(Kroeker et al., 2013; Cattano et al., 2018; Bindoffet al., 2019; Sampaio et al., 2021)","page":"1-13","title":"A Regional View of the Response to Climate Change: A Meta-Analysis of European Benthic Organisms’ Responses","type":"article-journal","volume":"9"},"uris":["http://www.mendeley.com/documents/?uuid=58c98c9a-6508-4b00-adcf-a016319cbeed"]}],"mendeley":{"formattedCitation":"(Hoppit and Schmidt, 2022; Mooney-McAuley et al., 2016; Stewart et al., 2013)","plainTextFormattedCitation":"(Hoppit and Schmidt, 2022; Mooney-McAuley et al., 2016; Stewart et al., 2013)","previouslyFormattedCitation":"(Hoppit and Schmidt, 2022; Mooney-McAuley et al., 2016; Stewart et al., 2013)"},"properties":{"noteIndex":0},"schema":"https://github.com/citation-style-language/schema/raw/master/csl-citation.json"}</w:instrText>
      </w:r>
      <w:r>
        <w:fldChar w:fldCharType="separate"/>
      </w:r>
      <w:r w:rsidR="00702A3A" w:rsidRPr="00702A3A">
        <w:rPr>
          <w:noProof/>
        </w:rPr>
        <w:t>(Hoppit and Schmidt, 2022; Mooney-McAuley et al., 2016; Stewart et al., 2013)</w:t>
      </w:r>
      <w:r>
        <w:fldChar w:fldCharType="end"/>
      </w:r>
      <w:r>
        <w:t xml:space="preserve">. Other ecosystems dominated by fleshy macroalgae, however, suffer from extreme heat events </w:t>
      </w:r>
      <w:r>
        <w:fldChar w:fldCharType="begin" w:fldLock="1"/>
      </w:r>
      <w:r w:rsidR="00082159">
        <w:instrText>ADDIN CSL_CITATION {"citationItems":[{"id":"ITEM-1","itemData":{"DOI":"10.1038/s41558-019-0412-1","ISSN":"17586798","abstract":"The global ocean has warmed substantially over the past century, with far-reaching implications for marine ecosystems 1 . Concurrent with long-term persistent warming, discrete periods of extreme regional ocean warming (marine heatwaves, MHWs) have increased in frequency 2 . Here we quantify trends and attributes of MHWs across all ocean basins and examine their biological impacts from species to ecosystems. Multiple regions in the Pacific, Atlantic and Indian Oceans are particularly vulnerable to MHW intensification, due to the co-existence of high levels of biodiversity, a prevalence of species found at their warm range edges or concurrent non-climatic human impacts. The physical attributes of prominent MHWs varied considerably, but all had deleterious impacts across a range of biological processes and taxa, including critical foundation species (corals, seagrasses and kelps). MHWs, which will probably intensify with anthropogenic climate change 3 , are rapidly emerging as forceful agents of disturbance with the capacity to restructure entire ecosystems and disrupt the provision of ecological goods and services in coming decades.","author":[{"dropping-particle":"","family":"Smale","given":"Dan A.","non-dropping-particle":"","parse-names":false,"suffix":""},{"dropping-particle":"","family":"Wernberg","given":"Thomas","non-dropping-particle":"","parse-names":false,"suffix":""},{"dropping-particle":"","family":"Oliver","given":"Eric C.J.","non-dropping-particle":"","parse-names":false,"suffix":""},{"dropping-particle":"","family":"Thomsen","given":"Mads","non-dropping-particle":"","parse-names":false,"suffix":""},{"dropping-particle":"","family":"Harvey","given":"Ben P.","non-dropping-particle":"","parse-names":false,"suffix":""},{"dropping-particle":"","family":"Straub","given":"Sandra C.","non-dropping-particle":"","parse-names":false,"suffix":""},{"dropping-particle":"","family":"Burrows","given":"Michael T.","non-dropping-particle":"","parse-names":false,"suffix":""},{"dropping-particle":"V.","family":"Alexander","given":"Lisa","non-dropping-particle":"","parse-names":false,"suffix":""},{"dropping-particle":"","family":"Benthuysen","given":"Jessica A.","non-dropping-particle":"","parse-names":false,"suffix":""},{"dropping-particle":"","family":"Donat","given":"Markus G.","non-dropping-particle":"","parse-names":false,"suffix":""},{"dropping-particle":"","family":"Feng","given":"Ming","non-dropping-particle":"","parse-names":false,"suffix":""},{"dropping-particle":"","family":"Hobday","given":"Alistair J.","non-dropping-particle":"","parse-names":false,"suffix":""},{"dropping-particle":"","family":"Holbrook","given":"Neil J.","non-dropping-particle":"","parse-names":false,"suffix":""},{"dropping-particle":"","family":"Perkins-Kirkpatrick","given":"Sarah E.","non-dropping-particle":"","parse-names":false,"suffix":""},{"dropping-particle":"","family":"Scannell","given":"Hillary A.","non-dropping-particle":"","parse-names":false,"suffix":""},{"dropping-particle":"","family":"Gupta","given":"Alex","non-dropping-particle":"Sen","parse-names":false,"suffix":""},{"dropping-particle":"","family":"Payne","given":"Ben L.","non-dropping-particle":"","parse-names":false,"suffix":""},{"dropping-particle":"","family":"Moore","given":"Pippa J.","non-dropping-particle":"","parse-names":false,"suffix":""}],"container-title":"Nature Climate Change","id":"ITEM-1","issue":"4","issued":{"date-parts":[["2019"]]},"page":"306-312","publisher":"Springer US","title":"Marine heatwaves threaten global biodiversity and the provision of ecosystem services","type":"article-journal","volume":"9"},"uris":["http://www.mendeley.com/documents/?uuid=d98e2583-4bc3-4810-ae10-379af47bad38"]}],"mendeley":{"formattedCitation":"(Smale et al., 2019)","plainTextFormattedCitation":"(Smale et al., 2019)","previouslyFormattedCitation":"(Smale et al., 2019)"},"properties":{"noteIndex":0},"schema":"https://github.com/citation-style-language/schema/raw/master/csl-citation.json"}</w:instrText>
      </w:r>
      <w:r>
        <w:fldChar w:fldCharType="separate"/>
      </w:r>
      <w:r w:rsidRPr="00082159">
        <w:rPr>
          <w:noProof/>
        </w:rPr>
        <w:t>(Smale et al., 2019)</w:t>
      </w:r>
      <w:r>
        <w:fldChar w:fldCharType="end"/>
      </w:r>
      <w:r>
        <w:t xml:space="preserve">, increased grazing, competition or impaired reproduction </w:t>
      </w:r>
      <w:r>
        <w:fldChar w:fldCharType="begin" w:fldLock="1"/>
      </w:r>
      <w:r w:rsidR="00082159">
        <w:instrText>ADDIN CSL_CITATION {"citationItems":[{"id":"ITEM-1","itemData":{"DOI":"10.1201/9781003288602-7","ISBN":"9781003288602","abstract":"Kelp forests are ecologically diverse habitats that provide vast ecosystem goods and services but are threatened by climate and anthropogenic stressors. Laminarian kelps have an alternating biphasic life cycle, and while there is a growing understanding of climate impacts on the macroscopic diploid sporophyte, impacts on the microscopic haploid gametophyte stage are just emerging. There exists a strong history of literature on single species and environmental factors, but only recently studies have increasingly examined multiple climate stressors, species, and populations. We synthesise studies on kelp gametophytes, building upon our understanding of their responses to environmental conditions and subsequent vulnerability in changing oceans. Kelp gametophytes have a broad tolerance to environmental conditions predicted to change with climate change, including temperature and irradiance, but large variation exists among species and populations. Key processes such as gametogenesis and early sporophyte development consistently appear more sensitive to environmental conditions than vegetative growth and may present bottlenecks to ongoing kelp persistence. Indirect effects of climate change negatively affect kelp gametophytes through competition, grazing and sedimentation. Modern genomic techniques are paving the way to transition research into field settings that include both sporophyte and gametophyte stages. Unravelling the response of gametophytes to changing environmental conditions is beginning to provide an understanding of overall kelp forest persistence and enables proactive conservation and management initiatives in changing oceans.","author":[{"dropping-particle":"","family":"Veenhof","given":"Reina J.","non-dropping-particle":"","parse-names":false,"suffix":""},{"dropping-particle":"","family":"Champion","given":"Curtis","non-dropping-particle":"","parse-names":false,"suffix":""},{"dropping-particle":"","family":"Dworjanyn","given":"Symon A.","non-dropping-particle":"","parse-names":false,"suffix":""},{"dropping-particle":"","family":"Wernberg","given":"Thomas","non-dropping-particle":"","parse-names":false,"suffix":""},{"dropping-particle":"","family":"Minne","given":"Antoine J.P.","non-dropping-particle":"","parse-names":false,"suffix":""},{"dropping-particle":"","family":"Layton","given":"Cayne","non-dropping-particle":"","parse-names":false,"suffix":""},{"dropping-particle":"","family":"Bolton","given":"John J.","non-dropping-particle":"","parse-names":false,"suffix":""},{"dropping-particle":"","family":"Reed","given":"Daniel C.","non-dropping-particle":"","parse-names":false,"suffix":""},{"dropping-particle":"","family":"Coleman","given":"Melinda A.","non-dropping-particle":"","parse-names":false,"suffix":""}],"container-title":"Oceanography and Marine Biology","id":"ITEM-1","issued":{"date-parts":[["2022"]]},"page":"1-91","title":"Kelp Gametophytes in Changing Oceans","type":"article-journal","volume":"60"},"uris":["http://www.mendeley.com/documents/?uuid=bd369efe-a0f1-46a5-9843-e8a0aca877d0"]}],"mendeley":{"formattedCitation":"(Veenhof et al., 2022)","plainTextFormattedCitation":"(Veenhof et al., 2022)","previouslyFormattedCitation":"(Veenhof et al., 2022)"},"properties":{"noteIndex":0},"schema":"https://github.com/citation-style-language/schema/raw/master/csl-citation.json"}</w:instrText>
      </w:r>
      <w:r>
        <w:fldChar w:fldCharType="separate"/>
      </w:r>
      <w:r w:rsidRPr="00082159">
        <w:rPr>
          <w:noProof/>
        </w:rPr>
        <w:t>(Veenhof et al., 2022)</w:t>
      </w:r>
      <w:r>
        <w:fldChar w:fldCharType="end"/>
      </w:r>
      <w:r>
        <w:t xml:space="preserve">, which may alter community compositions and even cause shifts from complex macroalgal habitats to degraded algal turf communities </w:t>
      </w:r>
      <w:r>
        <w:fldChar w:fldCharType="begin" w:fldLock="1"/>
      </w:r>
      <w:r w:rsidR="00082159">
        <w:instrText>ADDIN CSL_CITATION {"citationItems":[{"id":"ITEM-1","itemData":{"DOI":"10.1111/gcb.13414","ISSN":"13652486","abstract":"© 2016 John Wiley  &amp;  Sons Ltd The combination of ocean warming and acidification brings an uncertain future to kelp forests that occupy the warmest parts of their range. These forests are not only subject to the direct negative effects of ocean climate change, but also to a combination of unknown indirect effects associated with changing ecological landscapes. Here, we used mesocosm experiments to test the direct effects of ocean warming and acidification on kelp biomass and photosynthetic health, as well as climate-driven disparities in indirect effects involving key consumers (urchins and rock lobsters) and competitors (algal turf). Elevated water temperature directly reduced kelp biomass, while their turf-forming competitors expanded in response to ocean acidification and declining kelp canopy. Elevated temperatures also increased growth of urchins and, concurrently, the rate at which they thinned kelp canopy. Rock lobsters, which are renowned for keeping urchin populations in check, indirectly intensified negative pressures on kelp by reducing their consumption of urchins in response to elevated temperature. Overall, these results suggest that kelp forests situated towards the low-latitude margins of their distribution will need to adapt to ocean warming in order to persist in the future. What is less certain is how such adaptation in kelps can occur in the face of intensifying consumptive (via ocean warming) and competitive (via ocean acidification) pressures that affect key ecological interactions associated with their persistence. If such indirect effects counter adaptation to changing climate, they may erode the stability of kelp forests and increase the probability of regime shifts from complex habitat-forming species to more simple habitats dominated by algal turfs.","author":[{"dropping-particle":"","family":"Provost","given":"Euan J.","non-dropping-particle":"","parse-names":false,"suffix":""},{"dropping-particle":"","family":"Kelaher","given":"Brendan P.","non-dropping-particle":"","parse-names":false,"suffix":""},{"dropping-particle":"","family":"Dworjanyn","given":"Symon A.","non-dropping-particle":"","parse-names":false,"suffix":""},{"dropping-particle":"","family":"Russell","given":"Bayden D.","non-dropping-particle":"","parse-names":false,"suffix":""},{"dropping-particle":"","family":"Connell","given":"Sean D.","non-dropping-particle":"","parse-names":false,"suffix":""},{"dropping-particle":"","family":"Ghedini","given":"Giulia","non-dropping-particle":"","parse-names":false,"suffix":""},{"dropping-particle":"","family":"Gillanders","given":"Bronwyn M.","non-dropping-particle":"","parse-names":false,"suffix":""},{"dropping-particle":"","family":"Figueira","given":"Will IAM","non-dropping-particle":"","parse-names":false,"suffix":""},{"dropping-particle":"","family":"Coleman","given":"Melinda A.","non-dropping-particle":"","parse-names":false,"suffix":""}],"container-title":"Global Change Biology","id":"ITEM-1","issue":"1","issued":{"date-parts":[["2017"]]},"page":"353-361","title":"Climate-driven disparities among ecological interactions threaten kelp forest persistence","type":"article-journal","volume":"23"},"uris":["http://www.mendeley.com/documents/?uuid=0b3502bc-37bf-4785-8712-f708ec1f8f3f"]}],"mendeley":{"formattedCitation":"(Provost et al., 2017)","plainTextFormattedCitation":"(Provost et al., 2017)","previouslyFormattedCitation":"(Provost et al., 2017)"},"properties":{"noteIndex":0},"schema":"https://github.com/citation-style-language/schema/raw/master/csl-citation.json"}</w:instrText>
      </w:r>
      <w:r>
        <w:fldChar w:fldCharType="separate"/>
      </w:r>
      <w:r w:rsidRPr="00082159">
        <w:rPr>
          <w:noProof/>
        </w:rPr>
        <w:t>(Provost et al., 2017)</w:t>
      </w:r>
      <w:r>
        <w:fldChar w:fldCharType="end"/>
      </w:r>
      <w:r>
        <w:t xml:space="preserve">. Shellfish and macroalgae are </w:t>
      </w:r>
      <w:r w:rsidRPr="00313541">
        <w:t>important habitat-forming component</w:t>
      </w:r>
      <w:r>
        <w:t>s</w:t>
      </w:r>
      <w:r w:rsidRPr="00313541">
        <w:t xml:space="preserve"> of </w:t>
      </w:r>
      <w:r>
        <w:t>coastal</w:t>
      </w:r>
      <w:r w:rsidRPr="00313541">
        <w:t xml:space="preserve"> marine ecosystems</w:t>
      </w:r>
      <w:r w:rsidR="009728E5">
        <w:t xml:space="preserve"> </w:t>
      </w:r>
      <w:r w:rsidR="009728E5">
        <w:fldChar w:fldCharType="begin" w:fldLock="1"/>
      </w:r>
      <w:r w:rsidR="005D5C6F">
        <w:instrText>ADDIN CSL_CITATION {"citationItems":[{"id":"ITEM-1","itemData":{"DOI":"10.1002/ece3.10203","ISSN":"20457758","abstract":"As primary producers and ecosystem engineers, kelp (generally Order Laminariales) are ecologically important, and their decline could have far-reaching consequences. Kelp are valuable in forming habitats for fish and invertebrates and are crucial for adaptation to climate change by creating coastal defenses and in providing key functions, such as carbon sequestration and food provision. Kelp are threatened by multiple stressors, such as climate change, over-harvesting of predators, and pollution. In this opinion paper, we discuss how these stressors may interact to affect kelp, and how this varies under different contexts. We argue that more research that bridges kelp conservation and multiple stressor theory is needed and outline key questions that should be addressed as a priority. For instance, it is important to understand how previous exposure (either to earlier generations or life stages) determines responses to emerging stressors, and how responses in kelp scale up to alter food webs and ecosystem functioning. By increasing the temporal and biological complexity of kelp research in this way, we will improve our understanding allowing better predictions. This research is essential for the effective conservation and potential restoration of kelp in our rapidly changing world.","author":[{"dropping-particle":"","family":"Wear","given":"Brigitte","non-dropping-particle":"","parse-names":false,"suffix":""},{"dropping-particle":"","family":"O'Connor","given":"Nessa E.","non-dropping-particle":"","parse-names":false,"suffix":""},{"dropping-particle":"","family":"Schmid","given":"Matthias J.","non-dropping-particle":"","parse-names":false,"suffix":""},{"dropping-particle":"","family":"Jackson","given":"Michelle C.","non-dropping-particle":"","parse-names":false,"suffix":""}],"container-title":"Ecology and Evolution","id":"ITEM-1","issue":"6","issued":{"date-parts":[["2023"]]},"page":"1-9","title":"What does the future look like for kelp when facing multiple stressors?","type":"article-journal","volume":"13"},"uris":["http://www.mendeley.com/documents/?uuid=5baac45e-7516-4ac6-961b-3d4537f26c80"]},{"id":"ITEM-2","itemData":{"DOI":"10.1017/S0025315407050503","ISSN":"00253154","abstract":"The role of habitat structure in controlling the composition of assemblages has often been studied, but is rarely manipulated so that it is distinguishable from other factors. Differences in habitat structure as determined by differences in mussel size structure may affect the diversity of assemblages associated with mussel beds. Previous studies examining the effect of the size of individual mussels in a patch on the diversity of associated macro-faunal assemblages confounded the age of the patch with the size of the mussels. We manipulated the age of mussel patches and the size of the mussels within them to test experimentally whether the size of mussels influenced the structure of associated assemblages. At one of the two locations considered, the structure of macro-faunal assemblages in patches of larger mussels differed significantly from those in patches of the same age composed of smaller mussels. At this location, the size of mussels did not affect species richness but the abundance and proportion of organisms present differed depending on the size of the mussels. Here patches of larger mussels contained greater numbers of Nematodes and Oligochaetes and a lower abundance of taxa such as Jaera forsmani and Lepidonotus clava. We also found that invertebrate assemblages in general differed between the two locations. The effect of the size structure of mussels, however, varied spatially demonstrating that the effect of habitat structure on the diversity of associated assemblages is context dependent.","author":[{"dropping-particle":"","family":"O'Connor","given":"N. E.","non-dropping-particle":"","parse-names":false,"suffix":""},{"dropping-particle":"","family":"Crowe","given":"T. P.","non-dropping-particle":"","parse-names":false,"suffix":""}],"container-title":"Journal of the Marine Biological Association of the United Kingdom","id":"ITEM-2","issue":"2","issued":{"date-parts":[["2007"]]},"page":"551-557","title":"Biodiversity among mussels: Separating the influence of sizes of mussels from the ages of patches","type":"article-journal","volume":"87"},"uris":["http://www.mendeley.com/documents/?uuid=eec97eb2-2083-4449-b40f-c16b1cbc416f"]}],"mendeley":{"formattedCitation":"(O’Connor and Crowe, 2007; Wear et al., 2023)","plainTextFormattedCitation":"(O’Connor and Crowe, 2007; Wear et al., 2023)","previouslyFormattedCitation":"(O’Connor and Crowe, 2007; Wear et al., 2023)"},"properties":{"noteIndex":0},"schema":"https://github.com/citation-style-language/schema/raw/master/csl-citation.json"}</w:instrText>
      </w:r>
      <w:r w:rsidR="009728E5">
        <w:fldChar w:fldCharType="separate"/>
      </w:r>
      <w:r w:rsidR="009728E5" w:rsidRPr="009728E5">
        <w:rPr>
          <w:noProof/>
        </w:rPr>
        <w:t>(O’Connor and Crowe, 2007; Wear et al., 2023)</w:t>
      </w:r>
      <w:r w:rsidR="009728E5">
        <w:fldChar w:fldCharType="end"/>
      </w:r>
      <w:r w:rsidR="009728E5">
        <w:t>,</w:t>
      </w:r>
      <w:r>
        <w:t xml:space="preserve"> where altered community compositions may profoundly change ecosystem functioning and provisioning </w:t>
      </w:r>
      <w:r>
        <w:fldChar w:fldCharType="begin" w:fldLock="1"/>
      </w:r>
      <w:r w:rsidR="00702A3A">
        <w:instrText>ADDIN CSL_CITATION {"citationItems":[{"id":"ITEM-1","itemData":{"DOI":"10.1017/9781009325844.005.379","ISBN":"9781009325844","author":[{"dropping-particle":"","family":"Cooley","given":"S.","non-dropping-particle":"","parse-names":false,"suffix":""},{"dropping-particle":"","family":"Schoeman","given":"D.","non-dropping-particle":"","parse-names":false,"suffix":""},{"dropping-particle":"","family":"Bopp","given":"L.","non-dropping-particle":"","parse-names":false,"suffix":""},{"dropping-particle":"","family":"Boyd","given":"P.","non-dropping-particle":"","parse-names":false,"suffix":""},{"dropping-particle":"","family":"Donner","given":"S.","non-dropping-particle":"","parse-names":false,"suffix":""},{"dropping-particle":"","family":"Ghebrehiwet","given":"D.Y.","non-dropping-particle":"","parse-names":false,"suffix":""},{"dropping-particle":"","family":"Ito","given":"S.-I.","non-dropping-particle":"","parse-names":false,"suffix":""},{"dropping-particle":"","family":"Kiessling","given":"W.","non-dropping-particle":"","parse-names":false,"suffix":""},{"dropping-particle":"","family":"Martinetto","given":"P.","non-dropping-particle":"","parse-names":false,"suffix":""},{"dropping-particle":"","family":"Ojea","given":"E.","non-dropping-particle":"","parse-names":false,"suffix":""},{"dropping-particle":"","family":"Racault","given":"M.-F.","non-dropping-particle":"","parse-names":false,"suffix":""},{"dropping-particle":"","family":"Rost","given":"B.","non-dropping-particle":"","parse-names":false,"suffix":""},{"dropping-particle":"","family":"Skern-Mauritzen","given":"M.","non-dropping-particle":"","parse-names":false,"suffix":""}],"chapter-number":"3","container-title":"Climate Change 2022: Impacts, Adaptation and Vulnerability. Contribution of Working Group II to the Sixth Assessment Report of the Intergovernmental Panel on Climate Change","editor":[{"dropping-particle":"","family":"Pörtner","given":"H.-O.","non-dropping-particle":"","parse-names":false,"suffix":""},{"dropping-particle":"","family":"Roberts","given":"D.C.","non-dropping-particle":"","parse-names":false,"suffix":""},{"dropping-particle":"","family":"Tignor","given":"M.","non-dropping-particle":"","parse-names":false,"suffix":""},{"dropping-particle":"","family":"Poloczanska","given":"E.S.","non-dropping-particle":"","parse-names":false,"suffix":""},{"dropping-particle":"","family":"Mintenbeck","given":"K.","non-dropping-particle":"","parse-names":false,"suffix":""},{"dropping-particle":"","family":"Alegría","given":"A.","non-dropping-particle":"","parse-names":false,"suffix":""}],"id":"ITEM-1","issued":{"date-parts":[["2022"]]},"note":"torres 2021, sutton 2016 -&amp;gt; acidification variability\npoertner 2014, Dahlke 2020b temperature effects\n\nWell-controlled laboratory studies on multiple- driver effects have revealed insights into the mode of action of individual drivers and their interdependence (Kroeker et al., 2017; Gao et al., 2019; Reddin et al., 2020; Seifert et al., 2020; Green et al., 2021b; Sampaio et al., 2021)\n\nsampaio 2021, comassini 2019, Gao 2020, Garzke 2020 multiple stressors in animals\n\nKram et al., 2016; Falkenberg et al., 2018 -&amp;gt; synergistic oaw effects in non-calcifying macroalgae?\n\nClapham 2019\nBindoff 2019a\nNagelkerken 2020\nBoyd 2018\nNewcomb 2020\nSorte 2017, 2919\nByrne 2020","page":"379–550","publisher":"Cambridge University Press","publisher-place":"Cambridge, UK and New York, NY, USA","title":"Oceans and Coastal Ecosystems and their Services","type":"chapter"},"uris":["http://www.mendeley.com/documents/?uuid=27e0b3a0-2e49-424b-b524-4e0690b7de64"]},{"id":"ITEM-2","itemData":{"DOI":"10.3389/fmars.2022.896157","ISSN":"2296-7745","abstract":"Climate change is impacting organisms in every region of the world ocean by acting though on individuals in response to their local environments. Given projected future risks derived from these changes, it is becoming increasingly important to understand regional signals of how organisms respond to facilitate their governance and protection. Benthic organisms structure ecological compositions and ecosystem dynamics, therefore not only providing insights into their own response to climate change but also how ecosystems might respond to future conditions. European seas are transitional areas including boreal, warm-temperate, and subarctic waters with organisms frequently at limits of their distributions. Here, we use a meta-analytical approach to assess how calcification, growth, metabolism, photosynthesis, reproduction, and survival in European benthic organisms respond to ocean acidification and warming. Using meta-regression, we examine how study design factors influence effect-size outcomes. Longer experimental periods generally amplified the effects of climate change on taxonomic groupings and related physiological traits and against expectation do not result in acclimation. In agreement with global studies, we find that impacts vary considerably on different taxonomic groupings and their physiological traits. We found calcifying organisms are an at-risk taxon in European waters, with climate stressors decreasing growth rates, reproduction, and survival rates. Fleshy algal species demonstrate resilience to climate stressors, suggesting future European benthic ecosystems will undergo restructuring based on current climate emission pathways.","author":[{"dropping-particle":"","family":"Hoppit","given":"George","non-dropping-particle":"","parse-names":false,"suffix":""},{"dropping-particle":"","family":"Schmidt","given":"Daniela N","non-dropping-particle":"","parse-names":false,"suffix":""}],"container-title":"Frontiers in Marine Science","id":"ITEM-2","issue":"June","issued":{"date-parts":[["2022"]]},"note":"(Kroeker et al., 2013; Cattano et al., 2018; Bindoffet al., 2019; Sampaio et al., 2021)","page":"1-13","title":"A Regional View of the Response to Climate Change: A Meta-Analysis of European Benthic Organisms’ Responses","type":"article-journal","volume":"9"},"uris":["http://www.mendeley.com/documents/?uuid=58c98c9a-6508-4b00-adcf-a016319cbeed"]},{"id":"ITEM-3","itemData":{"DOI":"10.1016/j.jembe.2017.01.019","ISBN":"00220981","ISSN":"00220981","abstract":"Continued anthropogenic carbon dioxide emissions are acidifying our oceans, and hydrogen ion concentrations in surface oceans are predicted to increase 150% by 2100. Ocean acidification (OA) is changing ocean carbonate chemistry, including causing rapid reductions in calcium carbonate availability with implications for many marine organisms, including biogenic reefs formed by oysters. The impacts of OA are marked. Adult oysters display both decreased growth and calcification rates, while larval oysters show stunted growth, developmental abnormalities, and increased mortality. These physiological impacts are affecting ecosystem functioning and the provision of ecosystem services by oyster reefs. Oysters are ecologically and economically important, providing a wide range of ecosystem services, such as improved water quality, coastlines protection, and food provision. OA has the potential to alter the delivery and the quality of the ecosystem services associated with oyster reefs, with significant ecological and economic losses. This review provides a summary of current knowledge of OA on oyster biology, but then links these impacts to potential changes to the provision of ecosystem services associated with healthy oyster reefs.","author":[{"dropping-particle":"","family":"Lemasson","given":"Anaëlle J.","non-dropping-particle":"","parse-names":false,"suffix":""},{"dropping-particle":"","family":"Fletcher","given":"Stephen","non-dropping-particle":"","parse-names":false,"suffix":""},{"dropping-particle":"","family":"Hall-Spencer","given":"Jason M.","non-dropping-particle":"","parse-names":false,"suffix":""},{"dropping-particle":"","family":"Knights","given":"Antony M.","non-dropping-particle":"","parse-names":false,"suffix":""}],"container-title":"Journal of Experimental Marine Biology and Ecology","id":"ITEM-3","issued":{"date-parts":[["2017"]]},"page":"49-62","title":"Linking the biological impacts of ocean acidification on oysters to changes in ecosystem services: A review","type":"article-journal","volume":"492"},"uris":["http://www.mendeley.com/documents/?uuid=6f3706ce-3979-4fe6-99e3-2ae675e6a9a4"]}],"mendeley":{"formattedCitation":"(Cooley et al., 2022; Hoppit and Schmidt, 2022; Lemasson et al., 2017)","plainTextFormattedCitation":"(Cooley et al., 2022; Hoppit and Schmidt, 2022; Lemasson et al., 2017)","previouslyFormattedCitation":"(Cooley et al., 2022; Hoppit and Schmidt, 2022; Lemasson et al., 2017)"},"properties":{"noteIndex":0},"schema":"https://github.com/citation-style-language/schema/raw/master/csl-citation.json"}</w:instrText>
      </w:r>
      <w:r>
        <w:fldChar w:fldCharType="separate"/>
      </w:r>
      <w:r w:rsidR="00702A3A" w:rsidRPr="00702A3A">
        <w:rPr>
          <w:noProof/>
        </w:rPr>
        <w:t>(Cooley et al., 2022; Hoppit and Schmidt, 2022; Lemasson et al., 2017)</w:t>
      </w:r>
      <w:r>
        <w:fldChar w:fldCharType="end"/>
      </w:r>
      <w:r w:rsidR="00C26476">
        <w:t>. U</w:t>
      </w:r>
      <w:r>
        <w:t xml:space="preserve">nderstanding the </w:t>
      </w:r>
      <w:r w:rsidR="002B0E30">
        <w:t>effects of</w:t>
      </w:r>
      <w:r>
        <w:t xml:space="preserve"> warming</w:t>
      </w:r>
      <w:r w:rsidR="009728E5">
        <w:t xml:space="preserve"> </w:t>
      </w:r>
      <w:r w:rsidR="006D5026">
        <w:t xml:space="preserve">and acidification </w:t>
      </w:r>
      <w:r w:rsidR="009728E5">
        <w:t>on these key species</w:t>
      </w:r>
      <w:r w:rsidR="002B0E30">
        <w:t xml:space="preserve">, </w:t>
      </w:r>
      <w:r>
        <w:t>including interactions with other species closely associated to these biogenic habitats</w:t>
      </w:r>
      <w:r w:rsidR="002B0E30">
        <w:t>,</w:t>
      </w:r>
      <w:r>
        <w:t xml:space="preserve"> is </w:t>
      </w:r>
      <w:r w:rsidR="002B0E30">
        <w:t>therefore a research priority</w:t>
      </w:r>
      <w:r w:rsidR="001A6D42">
        <w:t xml:space="preserve"> </w:t>
      </w:r>
      <w:r w:rsidR="001A6D42">
        <w:fldChar w:fldCharType="begin" w:fldLock="1"/>
      </w:r>
      <w:r w:rsidR="009F1DBE">
        <w:instrText>ADDIN CSL_CITATION {"citationItems":[{"id":"ITEM-1","itemData":{"DOI":"10.1111/ele.14013","ISSN":"14610248","PMID":"35478314","abstract":"Predicting the impacts of multiple stressors is important for informing ecosystem management but is impeded by a lack of a general framework for predicting whether stressors interact synergistically, additively or antagonistically. Here, we use process-based models to study how interactions generalise across three levels of biological organisation (physiological, population and consumer-resource) for a two-stressor experiment on a seagrass model system. We found that the same underlying processes could result in synergistic, additive or antagonistic interactions, with interaction type depending on initial conditions, experiment duration, stressor dynamics and consumer presence. Our results help explain why meta-analyses of multiple stressor experimental results have struggled to identify predictors of consistently non-additive interactions in the natural environment. Experiments run over extended temporal scales, with treatments across gradients of stressor magnitude, are needed to identify the processes that underpin how stressors interact and provide useful predictions to management.","author":[{"dropping-particle":"","family":"Turschwell","given":"Mischa P.","non-dropping-particle":"","parse-names":false,"suffix":""},{"dropping-particle":"","family":"Connolly","given":"Sean R.","non-dropping-particle":"","parse-names":false,"suffix":""},{"dropping-particle":"","family":"Schäfer","given":"Ralf B.","non-dropping-particle":"","parse-names":false,"suffix":""},{"dropping-particle":"","family":"De Laender","given":"Frederik","non-dropping-particle":"","parse-names":false,"suffix":""},{"dropping-particle":"","family":"Campbell","given":"Max D.","non-dropping-particle":"","parse-names":false,"suffix":""},{"dropping-particle":"","family":"Mantyka-Pringle","given":"Chrystal","non-dropping-particle":"","parse-names":false,"suffix":""},{"dropping-particle":"","family":"Jackson","given":"Michelle C","non-dropping-particle":"","parse-names":false,"suffix":""},{"dropping-particle":"","family":"Kattwinkel","given":"Mira","non-dropping-particle":"","parse-names":false,"suffix":""},{"dropping-particle":"","family":"Sievers","given":"Michael","non-dropping-particle":"","parse-names":false,"suffix":""},{"dropping-particle":"","family":"Ashauer","given":"Roman","non-dropping-particle":"","parse-names":false,"suffix":""},{"dropping-particle":"","family":"Côté","given":"Isabelle M.","non-dropping-particle":"","parse-names":false,"suffix":""},{"dropping-particle":"","family":"Connolly","given":"Rod M.","non-dropping-particle":"","parse-names":false,"suffix":""},{"dropping-particle":"","family":"Brink","given":"Paul J.","non-dropping-particle":"van den","parse-names":false,"suffix":""},{"dropping-particle":"","family":"Brown","given":"Christopher J","non-dropping-particle":"","parse-names":false,"suffix":""}],"container-title":"Ecology Letters","id":"ITEM-1","issue":"6","issued":{"date-parts":[["2022"]]},"page":"1483-1496","title":"Interactive effects of multiple stressors vary with consumer interactions, stressor dynamics and magnitude","type":"article-journal","volume":"25"},"uris":["http://www.mendeley.com/documents/?uuid=c83d3e52-5b28-4816-b143-54216ff27de6"]}],"mendeley":{"formattedCitation":"(Turschwell et al., 2022)","plainTextFormattedCitation":"(Turschwell et al., 2022)","previouslyFormattedCitation":"(Turschwell et al., 2022)"},"properties":{"noteIndex":0},"schema":"https://github.com/citation-style-language/schema/raw/master/csl-citation.json"}</w:instrText>
      </w:r>
      <w:r w:rsidR="001A6D42">
        <w:fldChar w:fldCharType="separate"/>
      </w:r>
      <w:r w:rsidR="001A6D42" w:rsidRPr="001A6D42">
        <w:rPr>
          <w:noProof/>
        </w:rPr>
        <w:t>(Turschwell et al., 2022)</w:t>
      </w:r>
      <w:r w:rsidR="001A6D42">
        <w:fldChar w:fldCharType="end"/>
      </w:r>
      <w:r w:rsidRPr="00313541">
        <w:t>.</w:t>
      </w:r>
      <w:r>
        <w:t xml:space="preserve"> Furthermore, greater</w:t>
      </w:r>
      <w:r w:rsidRPr="00EA3FA3">
        <w:t xml:space="preserve"> understand</w:t>
      </w:r>
      <w:r>
        <w:t>ing is required to predict</w:t>
      </w:r>
      <w:r w:rsidRPr="00EA3FA3">
        <w:t xml:space="preserve"> how species’ </w:t>
      </w:r>
      <w:r>
        <w:t>interactions</w:t>
      </w:r>
      <w:r w:rsidRPr="00EA3FA3">
        <w:t xml:space="preserve"> and ecosystem structures </w:t>
      </w:r>
      <w:r>
        <w:t>may</w:t>
      </w:r>
      <w:r w:rsidRPr="00EA3FA3">
        <w:t xml:space="preserve"> change in </w:t>
      </w:r>
      <w:r>
        <w:t>future</w:t>
      </w:r>
      <w:r w:rsidRPr="00EA3FA3">
        <w:t xml:space="preserve"> oceans </w:t>
      </w:r>
      <w:r>
        <w:fldChar w:fldCharType="begin" w:fldLock="1"/>
      </w:r>
      <w:r w:rsidR="00702A3A">
        <w:instrText>ADDIN CSL_CITATION {"citationItems":[{"id":"ITEM-1","itemData":{"DOI":"10.1016/j.pocean.2015.12.014","ISSN":"00796611","abstract":"Marine heatwaves (MHWs) have been observed around the world and are expected to increase in intensity and frequency under anthropogenic climate change. A variety of impacts have been associated with these anomalous events, including shifts in species ranges, local extinctions and economic impacts on seafood industries through declines in important fishery species and impacts on aquaculture. Extreme temperatures are increasingly seen as important influences on biological systems, yet a consistent definition of MHWs does not exist. A clear definition will facilitate retrospective comparisons between MHWs, enabling the synthesis and a mechanistic understanding of the role of MHWs in marine ecosystems. Building on research into atmospheric heatwaves, we propose both a general and specific definition for MHWs, based on a hierarchy of metrics that allow for different data sets to be used in identifying MHWs. We generally define a MHW as a prolonged discrete anomalously warm water event that can be described by its duration, intensity, rate of evolution, and spatial extent. Specifically, we consider an anomalously warm event to be a MHW if it lasts for five or more days, with temperatures warmer than the 90th percentile based on a 30-year historical baseline period. This structure provides flexibility with regard to the description of MHWs and transparency in communicating MHWs to a general audience. The use of these metrics is illustrated for three 21st century MHWs; the northern Mediterranean event in 2003, the Western Australia 'Ningaloo Niño' in 2011, and the northwest Atlantic event in 2012. We recommend a specific quantitative definition for MHWs to facilitate global comparisons and to advance our understanding of these phenomena.","author":[{"dropping-particle":"","family":"Hobday","given":"Alistair J.","non-dropping-particle":"","parse-names":false,"suffix":""},{"dropping-particle":"V.","family":"Alexander","given":"Lisa","non-dropping-particle":"","parse-names":false,"suffix":""},{"dropping-particle":"","family":"Perkins","given":"Sarah E.","non-dropping-particle":"","parse-names":false,"suffix":""},{"dropping-particle":"","family":"Smale","given":"Dan A.","non-dropping-particle":"","parse-names":false,"suffix":""},{"dropping-particle":"","family":"Straub","given":"Sandra C.","non-dropping-particle":"","parse-names":false,"suffix":""},{"dropping-particle":"","family":"Oliver","given":"Eric C.J.","non-dropping-particle":"","parse-names":false,"suffix":""},{"dropping-particle":"","family":"Benthuysen","given":"Jessica A.","non-dropping-particle":"","parse-names":false,"suffix":""},{"dropping-particle":"","family":"Burrows","given":"Michael T.","non-dropping-particle":"","parse-names":false,"suffix":""},{"dropping-particle":"","family":"Donat","given":"Markus G.","non-dropping-particle":"","parse-names":false,"suffix":""},{"dropping-particle":"","family":"Feng","given":"Ming","non-dropping-particle":"","parse-names":false,"suffix":""},{"dropping-particle":"","family":"Holbrook","given":"Neil J.","non-dropping-particle":"","parse-names":false,"suffix":""},{"dropping-particle":"","family":"Moore","given":"Pippa J.","non-dropping-particle":"","parse-names":false,"suffix":""},{"dropping-particle":"","family":"Scannell","given":"Hillary A.","non-dropping-particle":"","parse-names":false,"suffix":""},{"dropping-particle":"","family":"Gupta","given":"Alex","non-dropping-particle":"Sen","parse-names":false,"suffix":""},{"dropping-particle":"","family":"Wernberg","given":"Thomas","non-dropping-particle":"","parse-names":false,"suffix":""}],"container-title":"Progress in Oceanography","id":"ITEM-1","issued":{"date-parts":[["2016"]]},"page":"227-238","publisher":"Elsevier Ltd","title":"A hierarchical approach to defining marine heatwaves","type":"article-journal","volume":"141"},"uris":["http://www.mendeley.com/documents/?uuid=894dd6a2-c2dc-4339-a03d-93ff82cf7daa"]},{"id":"ITEM-2","itemData":{"DOI":"10.1007/s00227-017-3276-9","ISBN":"0022701732769","ISSN":"00253162","abstract":"© 2017, Springer-Verlag GmbH Germany, part of Springer Nature. Temperature is one of the more important factors affecting metabolism and fitness of aquatic ectothermic animals. The present study aimed, therefore, at quantifying and comparing the oxygen consumption rates of several subtropical macrobenthos organisms living in two South African estuarine systems. Oxygen fluxes were measured in the laboratory at an individual level for temperatures ranging between 16 and 30 °C. The metabolic response differed significantly among taxa, developmental stage, and microhabitat, with higher activation energy for the animals from the permanently open estuary compared to the one from the temporarily open/closed system. The invasive snails showed an exceptional higher metabolic performance at higher temperatures compared to the other organisms collected within the temporarily open/closed system. The results suggest that estuaries experiencing prolonged closure with stable environmental conditions and lower biodiversity host the least performing native species. Setting this pattern in a future global change scenario, this study highlights that longer closures of the estuarine mouth caused by changing rainfall regimes and increased freshwater abstractions from catchments are likely to create the ideal conditions for the proliferation of more adaptable invasive species in temporally open/closed subtropical estuaries.","author":[{"dropping-particle":"","family":"Tagliarolo","given":"M.","non-dropping-particle":"","parse-names":false,"suffix":""},{"dropping-particle":"","family":"Porri","given":"F.","non-dropping-particle":"","parse-names":false,"suffix":""},{"dropping-particle":"","family":"Scharler","given":"U. M.","non-dropping-particle":"","parse-names":false,"suffix":""}],"container-title":"Marine Biology","id":"ITEM-2","issue":"23","issued":{"date-parts":[["2018"]]},"page":"1-13","publisher":"Springer Berlin Heidelberg","title":"Temperature-induced variability in metabolic activity of ecologically important estuarine macrobenthos","type":"article-journal","volume":"165"},"uris":["http://www.mendeley.com/documents/?uuid=3c655be4-51a7-4d6c-a33f-7b5180e00812"]},{"id":"ITEM-3","itemData":{"DOI":"10.1111/j.1365-2486.2012.02656.x","ISBN":"1354-1013","ISSN":"13541013","abstract":"The first decade of the new millennium saw a flurry of experiments\\nto establish a mechanistic understanding of how climate change might\\ntransform the global biota, including marine organisms. However,\\nthe biophysical properties of the marine environment impose challenges\\nto experiments which can weaken their inference space. To facilitate\\nstrengthening the experimental evidence for possible ecological consequences\\nof climate change, we reviewed the physical, biological and procedural\\nscope of 110 marine climate change experiments published between\\n2000 and 2009. We found that 65\\percent of these experiments only tested\\na single climate change factor (warming or acidification), 54\\percent targeted\\ntemperate organisms, 58\\percent were restricted to a single species and\\n73\\percent to benthic invertebrates. In addition, 49\\percent of the reviewed\\nexperiments had issues with the experimental design, principally\\nrelated to inappropriate replication of the main test-factors (temperature\\nor pH), and only 11\\percent included field assessments of processes or\\nassociated patterns. Guiding future research by this inventory of\\ncurrent strengths and weaknesses will expand the overall inference\\nspace of marine climate change experiments. Specifically, increased\\neffort is required in five areas: (i) the combined effects of concurrent\\nclimate and non-climate stressors, (ii) responses of a broader range\\nof species, particularly from tropical and polar regions as well\\nas primary producers, pelagic invertebrates, and fish, (iii) species\\ninteractions and responses of species assemblages, (iv) reducing\\npseudo-replication in controlled experiments, and (v) increasing\\nrealism in experiments through broad-scale observations and field\\nexperiments. Attention in these areas will improve the generality\\nand accuracy of our understanding of climate change as a driver of\\nbiological change in marine ecosystems.","author":[{"dropping-particle":"","family":"Wernberg","given":"Thomas","non-dropping-particle":"","parse-names":false,"suffix":""},{"dropping-particle":"","family":"Smale","given":"Dan A.","non-dropping-particle":"","parse-names":false,"suffix":""},{"dropping-particle":"","family":"Thomsen","given":"Mads S.","non-dropping-particle":"","parse-names":false,"suffix":""}],"container-title":"Global Change Biology","id":"ITEM-3","issue":"5","issued":{"date-parts":[["2012"]]},"note":"Clarke Gaston 2006\nTittensor 2010","page":"1491-1498","title":"A decade of climate change experiments on marine organisms: Procedures, patterns and problems","type":"article-journal","volume":"18"},"uris":["http://www.mendeley.com/documents/?uuid=8155461e-2c06-4be2-abea-268cd1174113"]}],"mendeley":{"formattedCitation":"(Hobday et al., 2016; Tagliarolo et al., 2018; Wernberg et al., 2012)","plainTextFormattedCitation":"(Hobday et al., 2016; Tagliarolo et al., 2018; Wernberg et al., 2012)","previouslyFormattedCitation":"(Hobday et al., 2016; Tagliarolo et al., 2018; Wernberg et al., 2012)"},"properties":{"noteIndex":0},"schema":"https://github.com/citation-style-language/schema/raw/master/csl-citation.json"}</w:instrText>
      </w:r>
      <w:r>
        <w:fldChar w:fldCharType="separate"/>
      </w:r>
      <w:r w:rsidR="00702A3A" w:rsidRPr="00702A3A">
        <w:rPr>
          <w:noProof/>
        </w:rPr>
        <w:t>(Hobday et al., 2016; Tagliarolo et al., 2018; Wernberg et al., 2012)</w:t>
      </w:r>
      <w:r>
        <w:fldChar w:fldCharType="end"/>
      </w:r>
      <w:r w:rsidRPr="00EA3FA3">
        <w:t>.</w:t>
      </w:r>
    </w:p>
    <w:p w14:paraId="33572725" w14:textId="2DD9E446" w:rsidR="000337CD" w:rsidDel="005B6B86" w:rsidRDefault="006D4086" w:rsidP="006733CF">
      <w:pPr>
        <w:spacing w:line="480" w:lineRule="auto"/>
      </w:pPr>
      <w:r>
        <w:t>M</w:t>
      </w:r>
      <w:r w:rsidR="000337CD">
        <w:t xml:space="preserve">arine macrophytes, such as seaweeds and seagrass, </w:t>
      </w:r>
      <w:r>
        <w:t xml:space="preserve">have the potential </w:t>
      </w:r>
      <w:r w:rsidR="000337CD">
        <w:t xml:space="preserve">to mitigate negative acidification effects on </w:t>
      </w:r>
      <w:proofErr w:type="spellStart"/>
      <w:r w:rsidR="00080775">
        <w:t>calcifiers</w:t>
      </w:r>
      <w:proofErr w:type="spellEnd"/>
      <w:r w:rsidR="00080775">
        <w:t xml:space="preserve">, such as shellfish, </w:t>
      </w:r>
      <w:r w:rsidR="000337CD">
        <w:t xml:space="preserve">by removing </w:t>
      </w:r>
      <w:r w:rsidR="000337CD" w:rsidRPr="00BF056C">
        <w:t>CO</w:t>
      </w:r>
      <w:r w:rsidR="000337CD" w:rsidRPr="00BF056C">
        <w:rPr>
          <w:vertAlign w:val="subscript"/>
        </w:rPr>
        <w:t>2</w:t>
      </w:r>
      <w:r w:rsidR="000337CD">
        <w:t xml:space="preserve"> from the water and increasing pH, thus, acting as a local buffer to acidification </w:t>
      </w:r>
      <w:r w:rsidR="000337CD">
        <w:fldChar w:fldCharType="begin" w:fldLock="1"/>
      </w:r>
      <w:r w:rsidR="009B51DC">
        <w:instrText>ADDIN CSL_CITATION {"citationItems":[{"id":"ITEM-1","itemData":{"DOI":"10.1016/j.seares.2020.101983","ISSN":"13851101","abstract":"The ocean is the largest carbon reservoir on Earth. The shellfish-seaweed mode of Integrated Multi-trophic Aquaculture (IMTA) can be optimized to enhance carbon removal from the sea. In this study, the effects of different mussel-kelp ratios (i.e. 6:3, 6:2, 6:1, 4:3, 4:2, 4:1, 2:3, 2:2, and 2:1) on water quality and the carbon dioxide (CO2) system were 6:3, 6:2, 6:1, 4:3, 4:2, 4:1, 2:3, 2:2, and 2:1, were investigated using experimental enclosures in Sanggou Bay, China. The results showed that the DO decreased significantly when ratios were 4:1, 6:2 and 6:1. With the exception of ratio 4:3, there was no significant change in pH in any treatment. The highest of DO, pH, and CO32− values occurred when the mussel-kelp ratio was 2:3, the highest proportion of kelp, while the lowest occurred in ratio 6:1, with the highest proportion of mussels. The highest levels of pCO2, CO2 and HCO3− were observed in ratio 6:1, and the lowest when the ratio was 2:3. Both DIC and HCO3− significantly decreased by the end of the experiment for ratios 2:1 and 6:3, while the concentration of CO2 significantly decreased for ratios 2:3 and 6:3. Considering the measured parameters, the mussel-kelp ratios of 2:1, 2:2, 4:2 and 4:3 were identified as the best net carbon sinks with the smallest negative environmental impacts. This study revealed how the IMTA shellfish-seaweed modes can be optimized to mitigate ocean acidification using specific proportions of species.","author":[{"dropping-particle":"","family":"Jiang","given":"Wenwen","non-dropping-particle":"","parse-names":false,"suffix":""},{"dropping-particle":"","family":"Fang","given":"Jinghui","non-dropping-particle":"","parse-names":false,"suffix":""}],"container-title":"Journal of Sea Research","id":"ITEM-1","issue":"101983","issued":{"date-parts":[["2021"]]},"page":"1-6","publisher":"Elsevier B.V.","title":"Effects of mussel-kelp ratios in integrated mariculture on the carbon dioxide system in Sanggou Bay","type":"article-journal","volume":"167"},"uris":["http://www.mendeley.com/documents/?uuid=bc1433c3-a2ae-40a3-b247-67a8476a03e3"]},{"id":"ITEM-2","itemData":{"DOI":"10.3389/fmars.2022.881254","ISSN":"22967745","abstract":"Coastal zones can be focal points of acidification where the influx of atmospheric CO2 can be compounded by additional sources of acidity that may collectively impair calcifying organisms. While the photosynthetic action of macrophytes may buffer against coastal ocean acidification, such activity has not been well-studied, particularly among aquacultured seaweeds. Here, we report on field and laboratory experiments performed with North Atlantic populations of juvenile hard clams (Mercenaria mercenaria), eastern oysters (Crassostrea virginica), and blue mussels (Mytilus edulis) grown with and without increased CO2 and with and without North Atlantic kelp (Saccharina latissima) over a range of aquaculture densities (0.3 – 2 g L-1). In all laboratory experiments, exposure to elevated pCO2 (&gt;1,800 µatm) resulted in significantly reduced shell- and/or tissue-based growth rates of bivalves relative to control conditions. This impairment was fully mitigated when bivalves were exposed to the same acidification source but also co-cultured with kelp. Saturation states of aragonite were transformed from undersaturated to saturated in the acidification treatments with kelp present, while the acidification treatments remained undersaturated. In a field experiment, oysters grown near aquacultured kelp were exposed to higher pH waters and experienced significantly faster shell and tissue based growth rates compared to individuals grown at sites away from kelp. Collectively, these results suggest that photosynthesis by S. latissima grown at densities associated with aquaculture increased pH and decreased pCO2, fostering a carbonate chemistry regime that maximized the growth of juvenile bivalves. As S. latissima has been shown to benefit from increased CO2, growing bivalves and kelp together under current or future acidification scenarios may be a synergistically beneficial integrated, multi-trophic aquaculture approach.","author":[{"dropping-particle":"","family":"Young","given":"Craig S.","non-dropping-particle":"","parse-names":false,"suffix":""},{"dropping-particle":"","family":"Sylvers","given":"Laine H.","non-dropping-particle":"","parse-names":false,"suffix":""},{"dropping-particle":"","family":"Tomasetti","given":"Stephen J.","non-dropping-particle":"","parse-names":false,"suffix":""},{"dropping-particle":"","family":"Lundstrom","given":"Andrew","non-dropping-particle":"","parse-names":false,"suffix":""},{"dropping-particle":"","family":"Schenone","given":"Craig","non-dropping-particle":"","parse-names":false,"suffix":""},{"dropping-particle":"","family":"Doall","given":"Michael H.","non-dropping-particle":"","parse-names":false,"suffix":""},{"dropping-particle":"","family":"Gobler","given":"Christopher J.","non-dropping-particle":"","parse-names":false,"suffix":""}],"container-title":"Frontiers in Marine Science","id":"ITEM-2","issue":"April","issued":{"date-parts":[["2022"]]},"page":"1-19","title":"Kelp (Saccharina latissima) Mitigates Coastal Ocean Acidification and Increases the Growth of North Atlantic Bivalves in Lab Experiments and on an Oyster Farm","type":"article-journal","volume":"9"},"uris":["http://www.mendeley.com/documents/?uuid=76f54438-9ae8-4ba5-88cb-8bf6a6827aed"]},{"id":"ITEM-3","itemData":{"DOI":"10.3389/fmars.2022.862172","ISSN":"22967745","abstract":"Ocean acidification (OA) caused by elevated atmospheric CO2 concentration is predicted to have negative impacts on marine bivalves in aquaculture. However, to date, most of our knowledge is derived from short-term laboratory-based experiments, which are difficult to scale to real-world production. Therefore, field experiments, such as this study, are critical for improving ecological relevance. Due to the ability of seaweed to absorb dissolved carbon dioxide from the surrounding seawater through photosynthesis, seaweed has gained theoretical attention as a potential partner of bivalves in integrated aquaculture to help mitigate the adverse effects of OA. Consequently, this study investigates the impact of elevated pCO2 on the physiological responses of the Pacific oyster Crassostrea gigas in the presence and absence of kelp (Saccharina japonica) using in situ mesocosms. For 30 days, mesocosms were exposed to six treatments, consisting of two pCO2 treatments (500 and 900 μatm) combined with three biotic treatments (oyster alone, kelp alone, and integrated kelp and oyster aquaculture). Results showed that the clearance rate (CR) and scope for growth (SfG) of C. gigas were significantly reduced by elevated pCO2, whereas respiration rates (MO2) and ammonium excretion rates (ER) were significantly increased. However, food absorption efficiency (AE) was not significantly affected by elevated pCO2. The presence of S. japonica changed the daytime pHNBS of experimental units by ~0.16 units in the elevated pCO2 treatment. As a consequence, CR and SfG significantly increased and MO2 and ER decreased compared to C. gigas exposed to elevated pCO2 without S. japonica. These findings indicate that the presence of S. japonica in integrated aquaculture may help shield C. gigas from the negative effects of elevated seawater pCO2.","author":[{"dropping-particle":"","family":"Jiang","given":"Zengjie","non-dropping-particle":"","parse-names":false,"suffix":""},{"dropping-particle":"","family":"Jiang","given":"Weiwei","non-dropping-particle":"","parse-names":false,"suffix":""},{"dropping-particle":"","family":"Rastrick","given":"Samuel P.S.","non-dropping-particle":"","parse-names":false,"suffix":""},{"dropping-particle":"","family":"Wang","given":"Xiaoqin","non-dropping-particle":"","parse-names":false,"suffix":""},{"dropping-particle":"","family":"Fang","given":"Jinghui","non-dropping-particle":"","parse-names":false,"suffix":""},{"dropping-particle":"","family":"Du","given":"Meirong","non-dropping-particle":"","parse-names":false,"suffix":""},{"dropping-particle":"","family":"Gao","given":"Yaping","non-dropping-particle":"","parse-names":false,"suffix":""},{"dropping-particle":"","family":"Mao","given":"Yuze","non-dropping-particle":"","parse-names":false,"suffix":""},{"dropping-particle":"","family":"Strand","given":"Øivind","non-dropping-particle":"","parse-names":false,"suffix":""},{"dropping-particle":"","family":"Fang","given":"Jianguang","non-dropping-particle":"","parse-names":false,"suffix":""}],"container-title":"Frontiers in Marine Science","id":"ITEM-3","issue":"May","issued":{"date-parts":[["2022"]]},"page":"1-10","title":"The Potential of Kelp Saccharina japonica in Shielding Pacific Oyster Crassostrea gigas From Elevated Seawater pCO2 Stress","type":"article-journal","volume":"9"},"uris":["http://www.mendeley.com/documents/?uuid=fc0ad370-d419-480a-88b8-3f4a6fdef98e"]},{"id":"ITEM-4","itemData":{"DOI":"10.1002/ece3.6552","ISSN":"20457758","abstract":"Concurrent anthropogenic global climate change and ocean acidification are expected to have a negative impact on calcifying marine organisms. While knowledge of biological responses of organisms to oceanic stress has emerged from single-species experiments, these do not capture ecologically relevant scenarios where the potential for multi-organism physiological interactions is assessed. Marine algae provide an interesting case study, as their photosynthetic activity elevates pH in the surrounding microenvironment, potentially buffering more acidic conditions for associated epiphytes. We present findings that indicate increased tolerance of an important epiphytic foraminifera, Marginopora vertebralis, to the effects of increased temperature (±3°C) and pCO2 (~1,000 µatm) when associated with its common algal host, Laurencia intricata. Specimens of M. vertebralis were incubated for 15 days in flow-through aquaria simulating current and end-of-century temperature and pH conditions. Physiological measures of growth (change in wet weight), calcification (measured change in total alkalinity in closed bottles), photochemical efficiency (Fv/Fm), total chlorophyll, photosynthesis (oxygen flux), and respiration were determined. When incubated in isolation, M. vertebralis exhibited reduced growth in end-of-century projections of ocean acidification conditions, while calcification rates were lowest in the high-temperature, low-pH treatment. Interestingly, association with L. intricata ameliorated these stress effects with the growth and calcification rates of M. vertebralis being similar to those observed in ambient conditions. Total chlorophyll levels in M. vertebralis decreased when in association with L. intricata, while maximum photochemical efficiency increased in ambient conditions. Net production estimates remained similar between M. vertebralis in isolation and in association with L. intricata, although both production and respiration rates of M. vertebralis were significantly higher when associated with L. intricata. These results indicate that the association with L. intricata increases the resilience of M. vertebralis to climate change stress, providing one of the first examples of physiological buffering by a marine alga that can ameliorate the negative effects of changing ocean conditions.","author":[{"dropping-particle":"","family":"Doo","given":"Steve S.","non-dropping-particle":"","parse-names":false,"suffix":""},{"dropping-particle":"","family":"Leplastrier","given":"Aero","non-dropping-particle":"","parse-names":false,"suffix":""},{"dropping-particle":"","family":"Graba-Landry","given":"Alexia","non-dropping-particle":"","parse-names":false,"suffix":""},{"dropping-particle":"","family":"Harianto","given":"Januar","non-dropping-particle":"","parse-names":false,"suffix":""},{"dropping-particle":"","family":"Coleman","given":"Ross A.","non-dropping-particle":"","parse-names":false,"suffix":""},{"dropping-particle":"","family":"Byrne","given":"Maria","non-dropping-particle":"","parse-names":false,"suffix":""}],"container-title":"Ecology and Evolution","id":"ITEM-4","issue":"15","issued":{"date-parts":[["2020"]]},"page":"8465-8475","title":"Amelioration of ocean acidification and warming effects through physiological buffering of a macroalgae","type":"article-journal","volume":"10"},"uris":["http://www.mendeley.com/documents/?uuid=dba9076d-e534-4dd5-b2bf-d80eacaba60a"]}],"mendeley":{"formattedCitation":"(Doo et al., 2020b; Jiang and Fang, 2021; Jiang et al., 2022; Young et al., 2022)","plainTextFormattedCitation":"(Doo et al., 2020b; Jiang and Fang, 2021; Jiang et al., 2022; Young et al., 2022)","previouslyFormattedCitation":"(Doo et al., 2020b; Jiang and Fang, 2021; Jiang et al., 2022; Young et al., 2022)"},"properties":{"noteIndex":0},"schema":"https://github.com/citation-style-language/schema/raw/master/csl-citation.json"}</w:instrText>
      </w:r>
      <w:r w:rsidR="000337CD">
        <w:fldChar w:fldCharType="separate"/>
      </w:r>
      <w:r w:rsidR="009B51DC" w:rsidRPr="009B51DC">
        <w:rPr>
          <w:noProof/>
        </w:rPr>
        <w:t>(Doo et al., 2020b; Jiang and Fang, 2021; Jiang et al., 2022; Young et al., 2022)</w:t>
      </w:r>
      <w:r w:rsidR="000337CD">
        <w:fldChar w:fldCharType="end"/>
      </w:r>
      <w:r w:rsidR="000337CD">
        <w:t>. In addition to increasing mean pH with increasing macrophyte biomass, diurnal pH fluctuations become more pronounced, which offers shellfish (e.g. mussels, oysters) temporal refug</w:t>
      </w:r>
      <w:r w:rsidR="002B0E30">
        <w:t>e</w:t>
      </w:r>
      <w:r w:rsidR="000337CD">
        <w:t xml:space="preserve"> from acidification stress that can be used for increased calcification activity </w:t>
      </w:r>
      <w:r w:rsidR="000337CD">
        <w:fldChar w:fldCharType="begin" w:fldLock="1"/>
      </w:r>
      <w:r w:rsidR="004054A8">
        <w:instrText>ADDIN CSL_CITATION {"citationItems":[{"id":"ITEM-1","itemData":{"DOI":"10.1002/lno.10608","ISSN":"19395590","abstract":"Ocean acidification (OA) is generally assumed to negatively impact calcification rates of marine organisms. At a local scale however, biological activity of macrophytes may generate pH fluctuations with rates of change that are orders of magnitude larger than the long-term trend predicted for the open ocean. These fluctuations may in turn impact benthic calcifiers in the vicinity. Combining laboratory, mesocosm and field studies, such interactions between OA, the brown alga Fucus vesiculosus, the sea grass Zostera marina and the blue mussel Mytilus edulis were investigated at spatial scales from decimetres to 100s of meters in the western Baltic. Macrophytes increased the overall mean pH of the habitat by up to 0.3 units relative to macrophyte-free, but otherwise similar, habitats and imposed diurnal pH fluctuations with amplitudes ranging from 0.3 to more than 1 pH unit. These amplitudes and their impact on mussel calcification tended to increase with increasing macrophyte biomass to bulk water ratio. At the laboratory and mesocosm scales, biogenic pH fluctuations allowed mussels to maintain calcification even under acidified conditions by shifting most of their calcification activity into the daytime when biogenic fluctuations caused by macrophyte activity offered temporal refuge from OA stress. In natural habitats with a low biomass to water body ratio, the impact of biogenic pH fluctuations on mean calcification rates of M. edulis was less pronounced. Thus, in dense algae or seagrass habitats, macrophytes may mitigate OA impact on mussel calcification by raising mean pH and providing temporal refuge from acidification stress.","author":[{"dropping-particle":"","family":"Wahl","given":"M.","non-dropping-particle":"","parse-names":false,"suffix":""},{"dropping-particle":"","family":"Schneider Covachã","given":"S.","non-dropping-particle":"","parse-names":false,"suffix":""},{"dropping-particle":"","family":"Saderne","given":"V.","non-dropping-particle":"","parse-names":false,"suffix":""},{"dropping-particle":"","family":"Hiebenthal","given":"C.","non-dropping-particle":"","parse-names":false,"suffix":""},{"dropping-particle":"","family":"Müller","given":"J. D.","non-dropping-particle":"","parse-names":false,"suffix":""},{"dropping-particle":"","family":"Pansch","given":"C.","non-dropping-particle":"","parse-names":false,"suffix":""},{"dropping-particle":"","family":"Sawall","given":"Y.","non-dropping-particle":"","parse-names":false,"suffix":""}],"container-title":"Limnology and Oceanography","id":"ITEM-1","issue":"1","issued":{"date-parts":[["2018"]]},"page":"3-21","title":"Macroalgae may mitigate ocean acidification effects on mussel calcification by increasing pH and its fluctuations","type":"article-journal","volume":"63"},"uris":["http://www.mendeley.com/documents/?uuid=bfaf4b52-4157-4f61-8d44-b7d1123b530a"]},{"id":"ITEM-2","itemData":{"DOI":"https://doi.org/10.1007/s00442-021-04949-0","ISBN":"0123456789","author":[{"dropping-particle":"","family":"Ricart","given":"Aurora M","non-dropping-particle":"","parse-names":false,"suffix":""},{"dropping-particle":"","family":"Gaylord","given":"Brian","non-dropping-particle":"","parse-names":false,"suffix":""},{"dropping-particle":"","family":"Hill","given":"Tessa M","non-dropping-particle":"","parse-names":false,"suffix":""},{"dropping-particle":"","family":"Sigwart","given":"Julia D","non-dropping-particle":"","parse-names":false,"suffix":""},{"dropping-particle":"","family":"Shukla","given":"Priya","non-dropping-particle":"","parse-names":false,"suffix":""},{"dropping-particle":"","family":"Ward","given":"Melissa","non-dropping-particle":"","parse-names":false,"suffix":""},{"dropping-particle":"","family":"Ninokawa","given":"Aaron","non-dropping-particle":"","parse-names":false,"suffix":""},{"dropping-particle":"","family":"Sanford","given":"Eric","non-dropping-particle":"","parse-names":false,"suffix":""}],"container-title":"Oecologia","id":"ITEM-2","issued":{"date-parts":[["2021"]]},"publisher":"Springer Berlin Heidelberg","title":"Seagrass‑driven changes in carbonate chemistry enhance oyster shell growth","type":"article-journal"},"uris":["http://www.mendeley.com/documents/?uuid=2284374a-9737-4d0d-9cee-94074bc2d29f"]},{"id":"ITEM-3","itemData":{"DOI":"10.1017/cft.2023.9","abstract":" Ocean acidification (OA) refers to a global decline in the average pH of seawater driven by the absorption of atmospheric carbon dioxide (CO 2 ). Marine macroalgae, while affected by this pH change, are also able to modify seawater pH through their own interaction with inorganic carbon in the carbonate system. Through this action, macroalgae-dominated habitats are potential refugia from OA for associated marine species. This review summarises the most prominent literature on the role of macroalgae in OA mitigation and the potential of macroalgal habitats to serve as OA refugia. It includes a brief overview of macroalgal distribution in an effort to illustrate where such refugia might be most prevalent. Macroalgae influence seawater carbonate chemistry through the absorption of CO 2 and HCO 3 − during photosynthesis, raising surrounding seawater pH in the process. This transient effect on seawater chemistry could provide some respite from the negative effects of OA for many marine species. This refuge role varies over a range of scales along with macroalgal architecture, which varies in size from low-growing turfs to large canopy-forming stands. The associated pH changes can range over various temporal (daily and seasonal) and spatial (from centimetre to kilometre) scales. Areas of high macroalgal biomass are likely to play an important role as significant OA refugia. Such communities are distributed widely throughout the globe. Large brown macroalgae (Laminariales) dominated communities are common in temperate regions, while members of the Fucales are responsible for substantial macroalgal stands in warmer tropical regions. These marine fields and forests have great potential to serve as localised refuges from OA. While more work needs to be done to clarify the effect of macroalgal communities on seawater pH on a large scale, such refuge areas could become important considerations for the management of marine resources and in protected area selection. ","author":[{"dropping-particle":"","family":"Edworthy","given":"Carla","non-dropping-particle":"","parse-names":false,"suffix":""},{"dropping-particle":"","family":"Steyn","given":"Paul-Pierre","non-dropping-particle":"","parse-names":false,"suffix":""},{"dropping-particle":"","family":"James","given":"Nicola C.","non-dropping-particle":"","parse-names":false,"suffix":""}],"container-title":"Cambridge Prisms: Coastal Futures","id":"ITEM-3","issued":{"date-parts":[["2023"]]},"title":"The role of macroalgal habitats as ocean acidification refugia within coastal seascapes","type":"article-journal","volume":"1"},"uris":["http://www.mendeley.com/documents/?uuid=88a6c2e8-7483-42ed-9f1f-5b8b2fdca6ab"]}],"mendeley":{"formattedCitation":"(Edworthy et al., 2023; Ricart et al., 2021; Wahl et al., 2018)","plainTextFormattedCitation":"(Edworthy et al., 2023; Ricart et al., 2021; Wahl et al., 2018)","previouslyFormattedCitation":"(Edworthy et al., 2023; Ricart et al., 2021; Wahl et al., 2018)"},"properties":{"noteIndex":0},"schema":"https://github.com/citation-style-language/schema/raw/master/csl-citation.json"}</w:instrText>
      </w:r>
      <w:r w:rsidR="000337CD">
        <w:fldChar w:fldCharType="separate"/>
      </w:r>
      <w:r w:rsidR="00771B7F" w:rsidRPr="00771B7F">
        <w:rPr>
          <w:noProof/>
        </w:rPr>
        <w:t>(Edworthy et al., 2023; Ricart et al., 2021; Wahl et al., 2018)</w:t>
      </w:r>
      <w:r w:rsidR="000337CD">
        <w:fldChar w:fldCharType="end"/>
      </w:r>
      <w:r w:rsidR="000337CD">
        <w:t xml:space="preserve">. </w:t>
      </w:r>
      <w:r w:rsidR="000337CD" w:rsidRPr="0009183E">
        <w:t xml:space="preserve">Integrated </w:t>
      </w:r>
      <w:r w:rsidR="000337CD">
        <w:t>m</w:t>
      </w:r>
      <w:r w:rsidR="000337CD" w:rsidRPr="0009183E">
        <w:t>ulti-</w:t>
      </w:r>
      <w:r w:rsidR="000337CD">
        <w:t>t</w:t>
      </w:r>
      <w:r w:rsidR="000337CD" w:rsidRPr="0009183E">
        <w:t xml:space="preserve">rophic </w:t>
      </w:r>
      <w:r w:rsidR="000337CD">
        <w:t>a</w:t>
      </w:r>
      <w:r w:rsidR="000337CD" w:rsidRPr="0009183E">
        <w:t xml:space="preserve">quaculture was first established to utilise surplus nutrients produced by cultivated finfish </w:t>
      </w:r>
      <w:r w:rsidR="009D2591">
        <w:t>through</w:t>
      </w:r>
      <w:r w:rsidR="000337CD" w:rsidRPr="0009183E">
        <w:t xml:space="preserve"> co-cultivati</w:t>
      </w:r>
      <w:r w:rsidR="009D2591">
        <w:t>on</w:t>
      </w:r>
      <w:r w:rsidR="000337CD" w:rsidRPr="0009183E">
        <w:t xml:space="preserve"> with detritivores, filter</w:t>
      </w:r>
      <w:r w:rsidR="00522ABF">
        <w:t>-</w:t>
      </w:r>
      <w:r w:rsidR="000337CD" w:rsidRPr="0009183E">
        <w:t>feeding shellfish and macroalgae</w:t>
      </w:r>
      <w:r w:rsidR="002638D8">
        <w:t xml:space="preserve"> </w:t>
      </w:r>
      <w:r w:rsidR="002638D8">
        <w:fldChar w:fldCharType="begin" w:fldLock="1"/>
      </w:r>
      <w:r w:rsidR="001A1B9C">
        <w:instrText>ADDIN CSL_CITATION {"citationItems":[{"id":"ITEM-1","itemData":{"author":[{"dropping-particle":"","family":"Mooney-McAuley","given":"K. M.","non-dropping-particle":"","parse-names":false,"suffix":""},{"dropping-particle":"","family":"Edwards","given":"M. D.","non-dropping-particle":"","parse-names":false,"suffix":""},{"dropping-particle":"","family":"Champenois","given":"J.","non-dropping-particle":"","parse-names":false,"suffix":""},{"dropping-particle":"","family":"Gorman","given":"E.","non-dropping-particle":"","parse-names":false,"suffix":""}],"container-title":"Public Output report of the EnAlgae project","id":"ITEM-1","issued":{"date-parts":[["2016"]]},"note":"find out:\nwhen deployment\ngrazing problems\nhow fast does kelp grow, i.e. how long can I run my experiment, before the individuals get to large for the mesocosm tanks\nhow many individuals per tank? (ca. 36 L)","number-of-pages":"36","publisher-place":"Swansea","title":"Best Practice Guidelines for Seaweed Cultivation and Analysis","type":"report"},"uris":["http://www.mendeley.com/documents/?uuid=76d5e1ec-9c3e-4d67-96fd-a8b9f4305a3e"]}],"mendeley":{"formattedCitation":"(Mooney-McAuley et al., 2016)","plainTextFormattedCitation":"(Mooney-McAuley et al., 2016)","previouslyFormattedCitation":"(Mooney-McAuley et al., 2016)"},"properties":{"noteIndex":0},"schema":"https://github.com/citation-style-language/schema/raw/master/csl-citation.json"}</w:instrText>
      </w:r>
      <w:r w:rsidR="002638D8">
        <w:fldChar w:fldCharType="separate"/>
      </w:r>
      <w:r w:rsidR="002638D8" w:rsidRPr="002638D8">
        <w:rPr>
          <w:noProof/>
        </w:rPr>
        <w:t>(Mooney-McAuley et al., 2016)</w:t>
      </w:r>
      <w:r w:rsidR="002638D8">
        <w:fldChar w:fldCharType="end"/>
      </w:r>
      <w:r w:rsidR="00B7259D">
        <w:t>.</w:t>
      </w:r>
      <w:r w:rsidR="000337CD">
        <w:t xml:space="preserve"> </w:t>
      </w:r>
      <w:r w:rsidR="00B7259D">
        <w:t xml:space="preserve">More recently, </w:t>
      </w:r>
      <w:r w:rsidR="000337CD">
        <w:t xml:space="preserve">the commercial potential of co-culturing shellfish and seaweeds to </w:t>
      </w:r>
      <w:r w:rsidR="00522ABF">
        <w:t xml:space="preserve">enhance </w:t>
      </w:r>
      <w:r w:rsidR="000337CD">
        <w:t>shellfish production</w:t>
      </w:r>
      <w:r w:rsidR="00B7259D">
        <w:t xml:space="preserve"> has been recognised</w:t>
      </w:r>
      <w:r w:rsidR="000337CD">
        <w:t xml:space="preserve"> </w:t>
      </w:r>
      <w:r w:rsidR="000337CD">
        <w:fldChar w:fldCharType="begin" w:fldLock="1"/>
      </w:r>
      <w:r w:rsidR="00082159">
        <w:instrText>ADDIN CSL_CITATION {"citationItems":[{"id":"ITEM-1","itemData":{"DOI":"10.1016/j.aquaculture.2022.738571","ISSN":"0044-8486","author":[{"dropping-particle":"","family":"Hamilton","given":"Scott L","non-dropping-particle":"","parse-names":false,"suffix":""},{"dropping-particle":"","family":"Elliott","given":"Matthew S","non-dropping-particle":"","parse-names":false,"suffix":""},{"dropping-particle":"","family":"Maya","given":"S","non-dropping-particle":"","parse-names":false,"suffix":""},{"dropping-particle":"","family":"Adelaars","given":"Jason","non-dropping-particle":"","parse-names":false,"suffix":""},{"dropping-particle":"","family":"Rintoul","given":"Maxwell D","non-dropping-particle":"","parse-names":false,"suffix":""},{"dropping-particle":"","family":"Graham","given":"Michael H","non-dropping-particle":"","parse-names":false,"suffix":""}],"container-title":"Aquaculture","id":"ITEM-1","issued":{"date-parts":[["2022"]]},"page":"738571","publisher":"Elsevier B.V.","title":"Integrated multi-trophic aquaculture mitigates the effects of ocean acidification: Seaweeds raise system pH and improve growth of juvenile abalone","type":"article-journal","volume":"560"},"uris":["http://www.mendeley.com/documents/?uuid=51715d5a-70d0-4ffe-b74e-98824bab2bb9"]}],"mendeley":{"formattedCitation":"(Hamilton et al., 2022)","plainTextFormattedCitation":"(Hamilton et al., 2022)","previouslyFormattedCitation":"(Hamilton et al., 2022)"},"properties":{"noteIndex":0},"schema":"https://github.com/citation-style-language/schema/raw/master/csl-citation.json"}</w:instrText>
      </w:r>
      <w:r w:rsidR="000337CD">
        <w:fldChar w:fldCharType="separate"/>
      </w:r>
      <w:r w:rsidR="000337CD" w:rsidRPr="00082159">
        <w:rPr>
          <w:noProof/>
        </w:rPr>
        <w:t>(Hamilton et al., 2022)</w:t>
      </w:r>
      <w:r w:rsidR="000337CD">
        <w:fldChar w:fldCharType="end"/>
      </w:r>
      <w:r w:rsidR="000337CD">
        <w:t xml:space="preserve">. </w:t>
      </w:r>
      <w:r w:rsidR="000337CD" w:rsidRPr="0009183E">
        <w:t xml:space="preserve">Seaweed aquaculture is </w:t>
      </w:r>
      <w:r w:rsidR="00B7259D">
        <w:t>a rapidly growing</w:t>
      </w:r>
      <w:r w:rsidR="000337CD" w:rsidRPr="0009183E">
        <w:t xml:space="preserve"> industry </w:t>
      </w:r>
      <w:r w:rsidR="000337CD">
        <w:t>with</w:t>
      </w:r>
      <w:r w:rsidR="000337CD" w:rsidRPr="0009183E">
        <w:t xml:space="preserve"> demands for bioenergy</w:t>
      </w:r>
      <w:r w:rsidR="00B7259D">
        <w:t>,</w:t>
      </w:r>
      <w:r w:rsidR="000337CD" w:rsidRPr="0009183E">
        <w:t xml:space="preserve"> food, pharmaceutical and fertiliser industries</w:t>
      </w:r>
      <w:r w:rsidR="000337CD">
        <w:t xml:space="preserve">, producing ca. 35 million tonnes of </w:t>
      </w:r>
      <w:r w:rsidR="000337CD">
        <w:lastRenderedPageBreak/>
        <w:t xml:space="preserve">algal biomass annually </w:t>
      </w:r>
      <w:r w:rsidR="000337CD">
        <w:fldChar w:fldCharType="begin" w:fldLock="1"/>
      </w:r>
      <w:r w:rsidR="00082159">
        <w:instrText>ADDIN CSL_CITATION {"citationItems":[{"id":"ITEM-1","itemData":{"author":[{"dropping-particle":"","family":"Mooney-McAuley","given":"K. M.","non-dropping-particle":"","parse-names":false,"suffix":""},{"dropping-particle":"","family":"Edwards","given":"M. D.","non-dropping-particle":"","parse-names":false,"suffix":""},{"dropping-particle":"","family":"Champenois","given":"J.","non-dropping-particle":"","parse-names":false,"suffix":""},{"dropping-particle":"","family":"Gorman","given":"E.","non-dropping-particle":"","parse-names":false,"suffix":""}],"container-title":"Public Output report of the EnAlgae project","id":"ITEM-1","issued":{"date-parts":[["2016"]]},"note":"find out:\nwhen deployment\ngrazing problems\nhow fast does kelp grow, i.e. how long can I run my experiment, before the individuals get to large for the mesocosm tanks\nhow many individuals per tank? (ca. 36 L)","number-of-pages":"36","publisher-place":"Swansea","title":"Best Practice Guidelines for Seaweed Cultivation and Analysis","type":"report"},"uris":["http://www.mendeley.com/documents/?uuid=76d5e1ec-9c3e-4d67-96fd-a8b9f4305a3e"]},{"id":"ITEM-2","itemData":{"DOI":"https://doi.org/10.4060/cc0461en","ISBN":"9789251072257","abstract":"A milestone may be near. After growing steadily, particularly in the last four decades, aquaculture is for the first time set to contribute half of the fish consumed by the human population worldwide. This reflects not only the vitality of the aquaculture sector but also global economic growth and continuing developments in fish processing and trade. Until a year or so ago, the production trends in aquaculture and capture fisheries were continuing without any drastic modification to those already in place at the start of this decade. The capture fisheries sector was regularly producing between 90 and 95 million tonnes per year, and aquaculture production was growing rapidly, albeit at a gradually declining rate. However, the substantial increases in energy and food prices, which started in 2007 and have continued into 2008, as well as the threat of climate change, mean that the conditions for capture fisheries and aquaculture are changing. That said, the combined effects of rising prices and climate change are complex, and they affect a very large number of fisheries and aquaculture operations in a mosaic of natural, social and economic contexts. Hence, it is too early to have a clear understanding of the cumulative impact worldwide on fisheries and aquaculture. Nonetheless, it is clear that there will be both winners and losers among fishers, aquaculturists and those employed in ancillary industries. On the one hand, rising prices for staple foods will also cause an increase in the price of many fish and fish products, and this will stimulate all in the sector to produce more. However, those who capture or culture fish, or other aquatic animals, using energy-intensive forms of production may find recent cost increases prohibitive. They may well face difficulties in continuing in their occupation, at least in the immediate future. On the other hand, low-intensity aquaculture and most small-scale and artisanal fisheries will attempt to expand production. This will increase the importance of improved governance in both aquaculture and low-energy-consuming fisheries (some near-shore fisheries, passive fishing gear, etc.). This issue of The State of World Fisheries and Aquaculture features some of the aspects of fisheries and aquaculture that may receive increasing attention. Among these aspects are climate change, the use of marine genetic resources in areas beyond national jurisdiction, and the proliferation of private standards and certification schemes …","author":[{"dropping-particle":"","family":"FAO","given":"","non-dropping-particle":"","parse-names":false,"suffix":""}],"id":"ITEM-2","issued":{"date-parts":[["2022"]]},"number-of-pages":"266","publisher-place":"Rome","title":"The State of World Fisheries and Aquaculture 2022. Towards Blue Transformation","type":"report"},"uris":["http://www.mendeley.com/documents/?uuid=0f3dd8c1-baa8-4fa3-9436-f46262bc8d8d"]}],"mendeley":{"formattedCitation":"(FAO, 2022; Mooney-McAuley et al., 2016)","plainTextFormattedCitation":"(FAO, 2022; Mooney-McAuley et al., 2016)","previouslyFormattedCitation":"(FAO, 2022; Mooney-McAuley et al., 2016)"},"properties":{"noteIndex":0},"schema":"https://github.com/citation-style-language/schema/raw/master/csl-citation.json"}</w:instrText>
      </w:r>
      <w:r w:rsidR="000337CD">
        <w:fldChar w:fldCharType="separate"/>
      </w:r>
      <w:r w:rsidR="00082159" w:rsidRPr="00082159">
        <w:rPr>
          <w:noProof/>
        </w:rPr>
        <w:t>(FAO, 2022; Mooney-McAuley et al., 2016)</w:t>
      </w:r>
      <w:r w:rsidR="000337CD">
        <w:fldChar w:fldCharType="end"/>
      </w:r>
      <w:r w:rsidR="000337CD" w:rsidRPr="0009183E">
        <w:t xml:space="preserve">. </w:t>
      </w:r>
      <w:r w:rsidR="000337CD">
        <w:t xml:space="preserve">Approximately 18 million tonnes of marine molluscs, mainly bivalves, are produced per year, which represents half of coastal and marine animal aquaculture </w:t>
      </w:r>
      <w:r w:rsidR="000337CD" w:rsidRPr="004E2D5D">
        <w:fldChar w:fldCharType="begin" w:fldLock="1"/>
      </w:r>
      <w:r w:rsidR="000337CD">
        <w:instrText>ADDIN CSL_CITATION {"citationItems":[{"id":"ITEM-1","itemData":{"DOI":"https://doi.org/10.4060/cc0461en","ISBN":"9789251072257","abstract":"A milestone may be near. After growing steadily, particularly in the last four decades, aquaculture is for the first time set to contribute half of the fish consumed by the human population worldwide. This reflects not only the vitality of the aquaculture sector but also global economic growth and continuing developments in fish processing and trade. Until a year or so ago, the production trends in aquaculture and capture fisheries were continuing without any drastic modification to those already in place at the start of this decade. The capture fisheries sector was regularly producing between 90 and 95 million tonnes per year, and aquaculture production was growing rapidly, albeit at a gradually declining rate. However, the substantial increases in energy and food prices, which started in 2007 and have continued into 2008, as well as the threat of climate change, mean that the conditions for capture fisheries and aquaculture are changing. That said, the combined effects of rising prices and climate change are complex, and they affect a very large number of fisheries and aquaculture operations in a mosaic of natural, social and economic contexts. Hence, it is too early to have a clear understanding of the cumulative impact worldwide on fisheries and aquaculture. Nonetheless, it is clear that there will be both winners and losers among fishers, aquaculturists and those employed in ancillary industries. On the one hand, rising prices for staple foods will also cause an increase in the price of many fish and fish products, and this will stimulate all in the sector to produce more. However, those who capture or culture fish, or other aquatic animals, using energy-intensive forms of production may find recent cost increases prohibitive. They may well face difficulties in continuing in their occupation, at least in the immediate future. On the other hand, low-intensity aquaculture and most small-scale and artisanal fisheries will attempt to expand production. This will increase the importance of improved governance in both aquaculture and low-energy-consuming fisheries (some near-shore fisheries, passive fishing gear, etc.). This issue of The State of World Fisheries and Aquaculture features some of the aspects of fisheries and aquaculture that may receive increasing attention. Among these aspects are climate change, the use of marine genetic resources in areas beyond national jurisdiction, and the proliferation of private standards and certification schemes …","author":[{"dropping-particle":"","family":"FAO","given":"","non-dropping-particle":"","parse-names":false,"suffix":""}],"id":"ITEM-1","issued":{"date-parts":[["2022"]]},"number-of-pages":"266","publisher-place":"Rome","title":"The State of World Fisheries and Aquaculture 2022. Towards Blue Transformation","type":"report"},"uris":["http://www.mendeley.com/documents/?uuid=0f3dd8c1-baa8-4fa3-9436-f46262bc8d8d"]}],"mendeley":{"formattedCitation":"(FAO, 2022)","plainTextFormattedCitation":"(FAO, 2022)","previouslyFormattedCitation":"(FAO, 2022)"},"properties":{"noteIndex":0},"schema":"https://github.com/citation-style-language/schema/raw/master/csl-citation.json"}</w:instrText>
      </w:r>
      <w:r w:rsidR="000337CD" w:rsidRPr="004E2D5D">
        <w:fldChar w:fldCharType="separate"/>
      </w:r>
      <w:r w:rsidR="000337CD" w:rsidRPr="00571787">
        <w:rPr>
          <w:noProof/>
        </w:rPr>
        <w:t>(FAO, 2022)</w:t>
      </w:r>
      <w:r w:rsidR="000337CD" w:rsidRPr="004E2D5D">
        <w:fldChar w:fldCharType="end"/>
      </w:r>
      <w:r w:rsidR="000337CD" w:rsidRPr="004E2D5D">
        <w:t xml:space="preserve">. </w:t>
      </w:r>
      <w:r w:rsidR="000337CD" w:rsidRPr="0009183E">
        <w:t xml:space="preserve">The impact of climate change on aquaculture production is largely unknown and predictions of </w:t>
      </w:r>
      <w:r w:rsidR="00B7259D">
        <w:t xml:space="preserve">ecological and economic impacts </w:t>
      </w:r>
      <w:r w:rsidR="000337CD" w:rsidRPr="0009183E">
        <w:t>vary tremendously</w:t>
      </w:r>
      <w:r w:rsidR="001A1B9C">
        <w:t xml:space="preserve"> </w:t>
      </w:r>
      <w:r w:rsidR="001A1B9C">
        <w:fldChar w:fldCharType="begin" w:fldLock="1"/>
      </w:r>
      <w:r w:rsidR="006E0198">
        <w:instrText>ADDIN CSL_CITATION {"citationItems":[{"id":"ITEM-1","itemData":{"DOI":"10.1007/s10811-022-02822-y","ISBN":"0123456789","ISSN":"1573-5176","author":[{"dropping-particle":"","family":"Forbes","given":"Hunter","non-dropping-particle":"","parse-names":false,"suffix":""},{"dropping-particle":"","family":"Shelamoff","given":"Victor","non-dropping-particle":"","parse-names":false,"suffix":""},{"dropping-particle":"","family":"Visch","given":"Wouter","non-dropping-particle":"","parse-names":false,"suffix":""},{"dropping-particle":"","family":"Layton","given":"Cayne","non-dropping-particle":"","parse-names":false,"suffix":""}],"container-title":"Journal of Applied Phycology","id":"ITEM-1","issued":{"date-parts":[["2022"]]},"publisher":"Springer Netherlands","title":"Farms and forests: evaluating the biodiversity benefits of kelp aquaculture","type":"article-journal"},"uris":["http://www.mendeley.com/documents/?uuid=cbb185b4-7656-4913-b90a-beb34f7e7985"]},{"id":"ITEM-2","itemData":{"DOI":"10.14465/2013.arc33.318-327","abstract":"The global average\\ntemperature has increased by about 0.7</w:instrText>
      </w:r>
      <w:r w:rsidR="006E0198">
        <w:rPr>
          <w:rFonts w:ascii="Tahoma" w:hAnsi="Tahoma" w:cs="Tahoma"/>
        </w:rPr>
        <w:instrText>�</w:instrText>
      </w:r>
      <w:r w:rsidR="006E0198">
        <w:instrText>C in the last\\nhundred years and global average sea level has risen\\nby 10-20 cm. There is a growing conviction among\\nclimate scientists that human activities, particularly\\nthe burning of fossil fuels, have influenced these\\nchanges and that warming and sea level rise are set\\nto continue through the 21st Century and beyond.\\nBiodiversity is already threatened by the huge increase","author":[{"dropping-particle":"","family":"Gubbins","given":"Matt","non-dropping-particle":"","parse-names":false,"suffix":""},{"dropping-particle":"","family":"Bricknell","given":"Ian","non-dropping-particle":"","parse-names":false,"suffix":""},{"dropping-particle":"","family":"Service","given":"Matt","non-dropping-particle":"","parse-names":false,"suffix":""}],"container-title":"Marine Climate Change Impacts Partnership: Science Review","id":"ITEM-2","issued":{"date-parts":[["2013"]]},"page":"318-327","title":"Impacts of climate change on Aquaculture","type":"article-journal"},"uris":["http://www.mendeley.com/documents/?uuid=a6efcae0-b08f-4a48-9a27-aeb313b7890f"]},{"id":"ITEM-3","itemData":{"DOI":"https://doi.org/ 10.3390/jmse11010078","abstract":"This systematic review aimed to synthesise the existing studies regarding the effects of ocean acidification (OA) on seaweed aquaculture. Ocean acidification scenarios may increase the productivity of aquacultured seaweeds, but this depends on species-specific tolerance ranges. Conversely, seaweed productivity may be reduced, with ensuing economic losses. We specifically addressed questions on: how aquacultured seaweeds acclimatise with an increase in oceanic CO2; the effects of OA on photosynthetic rates and nutrient uptake; and the knowledge gaps in mitigation measures for seaweed farming in OA environments. Articles were searched by using Google Scholar, followed by Scopus and Web of Science databases, limiting the publications from 2001 to 2022. Our review revealed that, among all the OA-related studies on macroalgae, only a relatively small proportion (n &lt; 85) have examined the physiological responses of aquacultured seaweeds. However, it is generally agreed that these seaweeds cannot acclimatise when critical biological systems are compromised. The existing knowledge gaps regarding mitigation approaches are unbalanced and have overly focused on monitoring and cultivation methods. Future work should emphasise effective and implementable actions against OA while linking the physiological changes of aquacultured seaweeds with production costs and profits.","author":[{"dropping-particle":"","family":"Hengjie","given":"Tan","non-dropping-particle":"","parse-names":false,"suffix":""},{"dropping-particle":"","family":"Das","given":"Simon Kumar","non-dropping-particle":"","parse-names":false,"suffix":""},{"dropping-particle":"","family":"Zainee","given":"Nur Farah Ain","non-dropping-particle":"","parse-names":false,"suffix":""},{"dropping-particle":"","family":"Yana","given":"Raja","non-dropping-particle":"","parse-names":false,"suffix":""},{"dropping-particle":"","family":"Rozaimi","given":"Mohammad","non-dropping-particle":"","parse-names":false,"suffix":""}],"container-title":"Journal of Marine Science and Engineering","id":"ITEM-3","issue":"78","issued":{"date-parts":[["2023"]]},"title":"Ocean Acidification and Aquacultured Seaweeds: Progress and Knowledge Gaps","type":"article-journal","volume":"11"},"uris":["http://www.mendeley.com/documents/?uuid=ee8331db-6aa3-453b-9cc4-c5606848f57d"]},{"id":"ITEM-4","itemData":{"DOI":"10.1111/raq.12584","ISSN":"17535131","abstract":"Aquaculture can have negative environmental impacts, adding to the suite of anthropogenic stressors that challenge coastal ecosystems. However, a growing body of scientific evidence indicates that the commercial cultivation of bivalve shellfish and seaweed can deliver valuable ecosystem goods and services, including provision of new habitats for fish and mobile invertebrate species. We completed a systematic literature review of studies focused on understanding habitat-related interactions associated with bivalve and seaweed aquaculture, and a brief meta-analysis of 65 studies to evaluate fish and mobile macroinvertebrate populations at farms and reference sites. Bivalve and seaweed aquaculture were associated with higher abundance (n = 59, range: 0.05× to 473×, median lnRR = 0.67) and species richness (n = 29, range: 0.68× to 4.3×, median lnRR = 0.13) of wild, mobile macrofauna. Suspended or elevated mussel and oyster culture yielded the largest increases in wild macrofaunal abundance and species richness. We describe the major mechanisms and pathways by which bivalve and seaweed aquaculture may positively influence the structure and function of faunal communities—including provision of structured habitat, provision of food resources and enhanced reproduction and recruitment—and identify the role of the species cultivated and cultivation gear in affecting habitat value. Given the continued deterioration of coastal habitats and increasing investments into their restoration, understanding how industry activities such as aquaculture can be designed to deliver food within ecological limits and have positive influences on ecosystem goods and services is essential in ensuring ecological, social and economic objectives can be achieved.","author":[{"dropping-particle":"","family":"Theuerkauf","given":"Seth J.","non-dropping-particle":"","parse-names":false,"suffix":""},{"dropping-particle":"","family":"Barrett","given":"Luke T.","non-dropping-particle":"","parse-names":false,"suffix":""},{"dropping-particle":"","family":"Alleway","given":"Heidi K.","non-dropping-particle":"","parse-names":false,"suffix":""},{"dropping-particle":"","family":"Costa-Pierce","given":"Barry A.","non-dropping-particle":"","parse-names":false,"suffix":""},{"dropping-particle":"","family":"Gelais","given":"Adam","non-dropping-particle":"St.","parse-names":false,"suffix":""},{"dropping-particle":"","family":"Jones","given":"Robert C.","non-dropping-particle":"","parse-names":false,"suffix":""}],"container-title":"Reviews in Aquaculture","id":"ITEM-4","issue":"1","issued":{"date-parts":[["2022"]]},"page":"54-72","title":"Habitat value of bivalve shellfish and seaweed aquaculture for fish and invertebrates: Pathways, synthesis and next steps","type":"article-journal","volume":"14"},"uris":["http://www.mendeley.com/documents/?uuid=beb7b846-0f43-4164-8621-91d55892422d"]},{"id":"ITEM-5","itemData":{"DOI":"10.1080/23308249.2022.2048792","ISSN":"23308257","abstract":"Finding ways to keep global warming under 1.5 degrees Celsius is urgent and will need a portfolio of solutions. Seaweeds are marine photosynthetic organisms that humans harvest either from the wild or farm, to be used in many applications and providing various ecosystem services. Large scale farming of seaweeds for absorbing carbon has lately been promoted as a climate “fix”. The major shortcomings of this argument relate to the idea that a carbon sink function should exist through carbon accumulation in seaweed biomass simultaneously as seaweeds are consumed as food by humans, fed to animals, or used in many alternative applications. This carbon instead enters the fast carbon cycle and does not provide any “carbon sink” function. Radical suggestions of intentionally transfer of farmed seaweeds to the deep-sea to accomplish a longer removal are highly questionable from feasibility, economic, ecosystem effects and ethical resource use perspectives. Development of “ocean forests” for carbon capturing through farming should not be compared to forests on land as these provide carbon removal from the atmosphere at sufficiently long time scales to be qualified as carbon sequestration - thus making a difference related to reducing atmospheric greenhouse gas concentrations. Seaweeds can, however, play a role in reducing greenhouse gas emissions from the overall food system through carbon offset - i.e. if replacing food, feed, and/or materials that have larger carbon footprints. The fate/cycling of carbon as particulate and dissolved matter from both farmed and wild seaweeds, are however not fully understood, especially with respect to pathways and time scales relevant for carbon removal/storage. Another potential pathway for their role in decarbonization may be through reducing enteric methane emissions from ruminants and also through bioenergy production. More research is, however, needed for understanding the contributions from such interventions. Presenting seaweed farming as a quick fix for the climate risks facilitating misdirected investments (for carbon abatement solutions) and reducing demand for specific research and technological development that will be needed for increasing our understanding about seaweeds’ contribution to food/feed systems and additional sustainability services and benefits.","author":[{"dropping-particle":"","family":"Troell","given":"M.","non-dropping-particle":"","parse-names":false,"suffix":""},{"dropping-particle":"","family":"Henriksson","given":"P. J.G.","non-dropping-particle":"","parse-names":false,"suffix":""},{"dropping-particle":"","family":"Buschmann","given":"A. H.","non-dropping-particle":"","parse-names":false,"suffix":""},{"dropping-particle":"","family":"Chopin","given":"T.","non-dropping-particle":"","parse-names":false,"suffix":""},{"dropping-particle":"","family":"Quahe","given":"S.","non-dropping-particle":"","parse-names":false,"suffix":""}],"container-title":"Reviews in Fisheries Science and Aquaculture","id":"ITEM-5","issued":{"date-parts":[["2022"]]},"publisher":"Taylor &amp; Francis","title":"Farming the Ocean–Seaweeds as a Quick Fix for the Climate?","type":"article-journal"},"uris":["http://www.mendeley.com/documents/?uuid=59c956a9-fe41-4093-9864-c078139198f8"]}],"mendeley":{"formattedCitation":"(Forbes et al., 2022; Gubbins et al., 2013; Hengjie et al., 2023; Theuerkauf et al., 2022; Troell et al., 2022)","plainTextFormattedCitation":"(Forbes et al., 2022; Gubbins et al., 2013; Hengjie et al., 2023; Theuerkauf et al., 2022; Troell et al., 2022)","previouslyFormattedCitation":"(Forbes et al., 2022; Gubbins et al., 2013; Hengjie et al., 2023; Theuerkauf et al., 2022; Troell et al., 2022)"},"properties":{"noteIndex":0},"schema":"https://github.com/citation-style-language/schema/raw/master/csl-citation.json"}</w:instrText>
      </w:r>
      <w:r w:rsidR="001A1B9C">
        <w:fldChar w:fldCharType="separate"/>
      </w:r>
      <w:r w:rsidR="001A1B9C" w:rsidRPr="001A1B9C">
        <w:rPr>
          <w:noProof/>
        </w:rPr>
        <w:t>(Forbes et al., 2022; Gubbins et al., 2013; Hengjie et al., 2023; Theuerkauf et al., 2022; Troell et al., 2022)</w:t>
      </w:r>
      <w:r w:rsidR="001A1B9C">
        <w:fldChar w:fldCharType="end"/>
      </w:r>
      <w:r w:rsidR="001A1B9C">
        <w:t xml:space="preserve">. </w:t>
      </w:r>
      <w:r w:rsidR="000337CD" w:rsidRPr="0009183E">
        <w:t xml:space="preserve">Therefore, </w:t>
      </w:r>
      <w:r w:rsidR="00B7259D">
        <w:t>understanding</w:t>
      </w:r>
      <w:r w:rsidR="000337CD" w:rsidRPr="0009183E">
        <w:t xml:space="preserve"> the mechanisms </w:t>
      </w:r>
      <w:r w:rsidR="00B7259D">
        <w:t xml:space="preserve">driving </w:t>
      </w:r>
      <w:r w:rsidR="000337CD" w:rsidRPr="0009183E">
        <w:t xml:space="preserve">the combined effects of warming </w:t>
      </w:r>
      <w:r w:rsidR="006D5026">
        <w:t xml:space="preserve">and </w:t>
      </w:r>
      <w:r w:rsidR="006D5026" w:rsidRPr="0009183E">
        <w:t xml:space="preserve">acidification </w:t>
      </w:r>
      <w:r w:rsidR="000337CD" w:rsidRPr="0009183E">
        <w:t xml:space="preserve">on co-cultures of shellfish and seaweed, including adaptation and mitigation </w:t>
      </w:r>
      <w:r w:rsidR="00B7259D">
        <w:t xml:space="preserve">of </w:t>
      </w:r>
      <w:r w:rsidR="0062084D">
        <w:t xml:space="preserve">a </w:t>
      </w:r>
      <w:r w:rsidR="00B7259D">
        <w:t xml:space="preserve">changing </w:t>
      </w:r>
      <w:r w:rsidR="000337CD" w:rsidRPr="0009183E">
        <w:t>climate, is of ecological</w:t>
      </w:r>
      <w:r w:rsidR="00136C9C">
        <w:t xml:space="preserve"> and</w:t>
      </w:r>
      <w:r w:rsidR="000337CD" w:rsidRPr="0009183E">
        <w:t xml:space="preserve"> commercial interest </w:t>
      </w:r>
      <w:r w:rsidR="006E0198">
        <w:fldChar w:fldCharType="begin" w:fldLock="1"/>
      </w:r>
      <w:r w:rsidR="00DE37D3">
        <w:instrText>ADDIN CSL_CITATION {"citationItems":[{"id":"ITEM-1","itemData":{"DOI":"10.3389/fmars.2017.00100","ISBN":"2296-7745","ISSN":"2296-7745","abstract":"Two methods of introducing guanidyl groups into polymer matrix were investigated in this work: the reaction of cyanamide (alkyl substituted cyanamides) and carbodiimides with amino groups in modified polystyrene. The new anion exchangers (AEG) with alkyl substituted guanidyl groups contain 1.5–2.3 mmol/g of ligands and exhibit high selectivity 2 towards Au(CN) anions. From the solution containing 2 ppm of gold the sorption is as high as 30 mg/g. Furthermore, 2 AEG reveal high affinity towards tetrachloroaurate anions. The log K in diluted solution is about 5. The values of gold sorption as dicyanoaurate or tetrachloroaurate anions on AEG with alkyl substituted hydrogen atoms in guanidyl groups is two–four times higher than sorption on anion exchangers synthesized previously by exchange of chlorine with guanidine or aminoguanidine. The EPR studies of Cu(II)-loaded AEG were undertaken to correlate the structural properties of the formed complexes with the nature of the ligands, the ligand concentration, water regain of the resins and pH.  2001 Elsevier Science B.V. All rights reserved.","author":[{"dropping-particle":"","family":"Duarte","given":"Carlos M.","non-dropping-particle":"","parse-names":false,"suffix":""},{"dropping-particle":"","family":"Wu","given":"Jiaping","non-dropping-particle":"","parse-names":false,"suffix":""},{"dropping-particle":"","family":"Xiao","given":"Xi","non-dropping-particle":"","parse-names":false,"suffix":""},{"dropping-particle":"","family":"Bruhn","given":"Annette","non-dropping-particle":"","parse-names":false,"suffix":""},{"dropping-particle":"","family":"Krause-Jensen","given":"Dorte","non-dropping-particle":"","parse-names":false,"suffix":""}],"container-title":"Frontiers in Marine Science","id":"ITEM-1","issued":{"date-parts":[["2017"]]},"title":"Can Seaweed Farming Play a Role in Climate Change Mitigation and Adaptation?","type":"article-journal","volume":"4"},"uris":["http://www.mendeley.com/documents/?uuid=2d065537-4bb9-42a3-9254-1989fa6e84c1"]},{"id":"ITEM-2","itemData":{"DOI":"10.1016/j.seares.2020.101983","ISSN":"13851101","abstract":"The ocean is the largest carbon reservoir on Earth. The shellfish-seaweed mode of Integrated Multi-trophic Aquaculture (IMTA) can be optimized to enhance carbon removal from the sea. In this study, the effects of different mussel-kelp ratios (i.e. 6:3, 6:2, 6:1, 4:3, 4:2, 4:1, 2:3, 2:2, and 2:1) on water quality and the carbon dioxide (CO2) system were 6:3, 6:2, 6:1, 4:3, 4:2, 4:1, 2:3, 2:2, and 2:1, were investigated using experimental enclosures in Sanggou Bay, China. The results showed that the DO decreased significantly when ratios were 4:1, 6:2 and 6:1. With the exception of ratio 4:3, there was no significant change in pH in any treatment. The highest of DO, pH, and CO32− values occurred when the mussel-kelp ratio was 2:3, the highest proportion of kelp, while the lowest occurred in ratio 6:1, with the highest proportion of mussels. The highest levels of pCO2, CO2 and HCO3− were observed in ratio 6:1, and the lowest when the ratio was 2:3. Both DIC and HCO3− significantly decreased by the end of the experiment for ratios 2:1 and 6:3, while the concentration of CO2 significantly decreased for ratios 2:3 and 6:3. Considering the measured parameters, the mussel-kelp ratios of 2:1, 2:2, 4:2 and 4:3 were identified as the best net carbon sinks with the smallest negative environmental impacts. This study revealed how the IMTA shellfish-seaweed modes can be optimized to mitigate ocean acidification using specific proportions of species.","author":[{"dropping-particle":"","family":"Jiang","given":"Wenwen","non-dropping-particle":"","parse-names":false,"suffix":""},{"dropping-particle":"","family":"Fang","given":"Jinghui","non-dropping-particle":"","parse-names":false,"suffix":""}],"container-title":"Journal of Sea Research","id":"ITEM-2","issue":"101983","issued":{"date-parts":[["2021"]]},"page":"1-6","publisher":"Elsevier B.V.","title":"Effects of mussel-kelp ratios in integrated mariculture on the carbon dioxide system in Sanggou Bay","type":"article-journal","volume":"167"},"uris":["http://www.mendeley.com/documents/?uuid=bc1433c3-a2ae-40a3-b247-67a8476a03e3"]},{"id":"ITEM-3","itemData":{"DOI":"10.3389/fmars.2022.881254","ISSN":"22967745","abstract":"Coastal zones can be focal points of acidification where the influx of atmospheric CO2 can be compounded by additional sources of acidity that may collectively impair calcifying organisms. While the photosynthetic action of macrophytes may buffer against coastal ocean acidification, such activity has not been well-studied, particularly among aquacultured seaweeds. Here, we report on field and laboratory experiments performed with North Atlantic populations of juvenile hard clams (Mercenaria mercenaria), eastern oysters (Crassostrea virginica), and blue mussels (Mytilus edulis) grown with and without increased CO2 and with and without North Atlantic kelp (Saccharina latissima) over a range of aquaculture densities (0.3 – 2 g L-1). In all laboratory experiments, exposure to elevated pCO2 (&gt;1,800 µatm) resulted in significantly reduced shell- and/or tissue-based growth rates of bivalves relative to control conditions. This impairment was fully mitigated when bivalves were exposed to the same acidification source but also co-cultured with kelp. Saturation states of aragonite were transformed from undersaturated to saturated in the acidification treatments with kelp present, while the acidification treatments remained undersaturated. In a field experiment, oysters grown near aquacultured kelp were exposed to higher pH waters and experienced significantly faster shell and tissue based growth rates compared to individuals grown at sites away from kelp. Collectively, these results suggest that photosynthesis by S. latissima grown at densities associated with aquaculture increased pH and decreased pCO2, fostering a carbonate chemistry regime that maximized the growth of juvenile bivalves. As S. latissima has been shown to benefit from increased CO2, growing bivalves and kelp together under current or future acidification scenarios may be a synergistically beneficial integrated, multi-trophic aquaculture approach.","author":[{"dropping-particle":"","family":"Young","given":"Craig S.","non-dropping-particle":"","parse-names":false,"suffix":""},{"dropping-particle":"","family":"Sylvers","given":"Laine H.","non-dropping-particle":"","parse-names":false,"suffix":""},{"dropping-particle":"","family":"Tomasetti","given":"Stephen J.","non-dropping-particle":"","parse-names":false,"suffix":""},{"dropping-particle":"","family":"Lundstrom","given":"Andrew","non-dropping-particle":"","parse-names":false,"suffix":""},{"dropping-particle":"","family":"Schenone","given":"Craig","non-dropping-particle":"","parse-names":false,"suffix":""},{"dropping-particle":"","family":"Doall","given":"Michael H.","non-dropping-particle":"","parse-names":false,"suffix":""},{"dropping-particle":"","family":"Gobler","given":"Christopher J.","non-dropping-particle":"","parse-names":false,"suffix":""}],"container-title":"Frontiers in Marine Science","id":"ITEM-3","issue":"April","issued":{"date-parts":[["2022"]]},"page":"1-19","title":"Kelp (Saccharina latissima) Mitigates Coastal Ocean Acidification and Increases the Growth of North Atlantic Bivalves in Lab Experiments and on an Oyster Farm","type":"article-journal","volume":"9"},"uris":["http://www.mendeley.com/documents/?uuid=76f54438-9ae8-4ba5-88cb-8bf6a6827aed"]}],"mendeley":{"formattedCitation":"(Duarte et al., 2017; Jiang and Fang, 2021; Young et al., 2022)","plainTextFormattedCitation":"(Duarte et al., 2017; Jiang and Fang, 2021; Young et al., 2022)","previouslyFormattedCitation":"(Duarte et al., 2017; Jiang and Fang, 2021; Young et al., 2022)"},"properties":{"noteIndex":0},"schema":"https://github.com/citation-style-language/schema/raw/master/csl-citation.json"}</w:instrText>
      </w:r>
      <w:r w:rsidR="006E0198">
        <w:fldChar w:fldCharType="separate"/>
      </w:r>
      <w:r w:rsidR="006E0198" w:rsidRPr="006E0198">
        <w:rPr>
          <w:noProof/>
        </w:rPr>
        <w:t>(Duarte et al., 2017; Jiang and Fang, 2021; Young et al., 2022)</w:t>
      </w:r>
      <w:r w:rsidR="006E0198">
        <w:fldChar w:fldCharType="end"/>
      </w:r>
      <w:r w:rsidR="000337CD" w:rsidRPr="0009183E">
        <w:t>.</w:t>
      </w:r>
      <w:r w:rsidR="000337CD">
        <w:rPr>
          <w:i/>
          <w:iCs/>
        </w:rPr>
        <w:t xml:space="preserve"> </w:t>
      </w:r>
    </w:p>
    <w:p w14:paraId="31858DA9" w14:textId="7B4DA6DF" w:rsidR="000337CD" w:rsidRDefault="000337CD" w:rsidP="006733CF">
      <w:pPr>
        <w:spacing w:line="480" w:lineRule="auto"/>
      </w:pPr>
      <w:r>
        <w:t xml:space="preserve">Much research has been conducted on single species </w:t>
      </w:r>
      <w:r w:rsidR="00B7259D">
        <w:t>where</w:t>
      </w:r>
      <w:r>
        <w:t xml:space="preserve"> the effects of ocean warming </w:t>
      </w:r>
      <w:r w:rsidR="006D5026">
        <w:t xml:space="preserve">and acidification </w:t>
      </w:r>
      <w:r w:rsidR="0062084D">
        <w:t xml:space="preserve">were </w:t>
      </w:r>
      <w:r>
        <w:t xml:space="preserve">based on or exceeding the worst case scenarios of IPCC climate change predictions </w:t>
      </w:r>
      <w:r>
        <w:fldChar w:fldCharType="begin" w:fldLock="1"/>
      </w:r>
      <w:r w:rsidR="00702A3A">
        <w:instrText>ADDIN CSL_CITATION {"citationItems":[{"id":"ITEM-1","itemData":{"DOI":"10.1098/rsos.191118","ISSN":"20545703","abstract":"Understanding the consequences of rising CO2 and warming on marine ecosystems is a pressing issue in ecology. Manipulative experiments that assess responses of biota to future ocean warming and acidification conditions form a necessary basis for expectations on how marine taxa may respond. Although designing experiments in the context of local variability is most appropriate, local temperature and CO2 characteristics are often unknown as such measures necessitate significant resources, and even less is known about local future scenarios. To help address these issues, we summarize current uncertainties in CO2 emission trajectories and climate sensitivity, examine region-specific changes in the ocean, and present a straightforward global framework to guide experimental designs. We advocate for the inclusion of multiple plausible future scenarios of predicted levels of ocean warming and acidification in forthcoming experimental research. Growing a robust experimental base is crucial to understanding the prospect form and function of marine ecosystems in the Anthropocene.","author":[{"dropping-particle":"","family":"Geraldi","given":"Nathan R.","non-dropping-particle":"","parse-names":false,"suffix":""},{"dropping-particle":"","family":"Klein","given":"Shannon G.","non-dropping-particle":"","parse-names":false,"suffix":""},{"dropping-particle":"","family":"Anton","given":"Andrea","non-dropping-particle":"","parse-names":false,"suffix":""},{"dropping-particle":"","family":"Duarte","given":"Carlos M.","non-dropping-particle":"","parse-names":false,"suffix":""}],"container-title":"Royal Society Open Science","id":"ITEM-1","issue":"1","issued":{"date-parts":[["2020"]]},"page":"1-7","title":"A framework for experimental scenarios of global change in marine systems using coral reefs as a case study","type":"article-journal","volume":"7"},"uris":["http://www.mendeley.com/documents/?uuid=d71ed475-a17c-428f-b0c0-7cd4c8861f07"]},{"id":"ITEM-2","itemData":{"DOI":"doi:10.1093/icesjms/fsv249","author":[{"dropping-particle":"","family":"Navarro","given":"Jorge M","non-dropping-particle":"","parse-names":false,"suffix":""},{"dropping-particle":"","family":"Duarte","given":"Cristian","non-dropping-particle":"","parse-names":false,"suffix":""},{"dropping-particle":"","family":"Manrıquez","given":"Patricio H.","non-dropping-particle":"","parse-names":false,"suffix":""},{"dropping-particle":"","family":"Lardies","given":"Marco A.","non-dropping-particle":"","parse-names":false,"suffix":""},{"dropping-particle":"","family":"Torres","given":"Rodrigo","non-dropping-particle":"","parse-names":false,"suffix":""},{"dropping-particle":"","family":"Acuna","given":"Karin","non-dropping-particle":"","parse-names":false,"suffix":""},{"dropping-particle":"","family":"Vargas","given":"Cristian A.","non-dropping-particle":"","parse-names":false,"suffix":""},{"dropping-particle":"","family":"Lagos","given":"Nelson A.","non-dropping-particle":"","parse-names":false,"suffix":""}],"container-title":"ICES Journal of Marine Science","id":"ITEM-2","issue":"3","issued":{"date-parts":[["2016"]]},"note":"(Navarro etal., 2002; Peck et al., 2009) . Wang et al. (2015)\nNavarro et al. (2013)","page":"764-771","title":"Ocean warming and elevated carbon dioxide: multiple stressor impacts on juvenile mussels from southern Chile","type":"article-journal","volume":"73"},"uris":["http://www.mendeley.com/documents/?uuid=fb379cf4-1297-444a-bf74-c3f54aee3345"]},{"id":"ITEM-3","itemData":{"DOI":"https://doi.org/10.1038/s41598-022-14503-4","ISBN":"4159802214","author":[{"dropping-particle":"","family":"Armstrong","given":"Eric J","non-dropping-particle":"","parse-names":false,"suffix":""},{"dropping-particle":"","family":"Watson","given":"Sue-Ann","non-dropping-particle":"","parse-names":false,"suffix":""},{"dropping-particle":"","family":"Stillman","given":"Jonathon H","non-dropping-particle":"","parse-names":false,"suffix":""},{"dropping-particle":"","family":"Calosi","given":"Piero","non-dropping-particle":"","parse-names":false,"suffix":""}],"container-title":"Scientific Reports","id":"ITEM-3","issued":{"date-parts":[["2022"]]},"page":"1-17","publisher":"Nature Publishing Group UK","title":"Elevated temperature and carbon dioxide levels alter growth rates and shell composition in the fluted giant clam, Tridacna squamosa","type":"article-journal","volume":"12"},"uris":["http://www.mendeley.com/documents/?uuid=a8f7fa4a-a1a3-4701-b552-ad6b86fc3323"]},{"id":"ITEM-4","itemData":{"DOI":"10.3389/fmars.2020.567228","ISSN":"22967745","abstract":"Negative impacts of global climate change are predicted for a range of taxa. Projections predict marked increases in sea surface temperatures and ocean acidification (OA), arguably placing calcifying organisms at most risk. While detrimental impacts of environmental change on the growth and ultrastructure of bivalve mollusk shells have been shown, rapid and diel fluctuations in pH typical of coastal systems are often not considered. Mytilus edulis, an economically important marine calcifier vulnerable to climate change, were exposed to current and future OA (380 and 1000 ppm pCO2), warming (17 and 20°C), and ocean acidification and warming (OAW) scenarios in a seawater system incorporating natural fluctuations in pH. Both macroscopic morphometrics (length, width, height, volume) and microscopic changes in the crystalline structure of shells (ultrastructure) using electron backscatter diffraction (EBSD) were measured over time. Increases in seawater temperature and OAW scenarios led to increased and decreased shell growth respectively and on marginal changes in cavity volumes. Shell crystal matrices became disordered shifting toward preferred alignment under elevated temperatures indicating restricted growth, whereas Mytilus grown under OAW scenarios maintained single crystal fabrics suggesting OA may ameliorate some of the negative consequences of temperature increases. However, both elevated temperature and OAW led to significant increases in crystal size (grain area and diameter) and misorientation frequencies, suggesting a propensity toward increased shell brittleness. Results suggest adult Mytilus may become more susceptible to biological determinants of survival in the future, altering ecosystem structure and functioning.","author":[{"dropping-particle":"","family":"Knights","given":"Antony M.","non-dropping-particle":"","parse-names":false,"suffix":""},{"dropping-particle":"","family":"Norton","given":"Matthew J.","non-dropping-particle":"","parse-names":false,"suffix":""},{"dropping-particle":"","family":"Lemasson","given":"Anaëlle J.","non-dropping-particle":"","parse-names":false,"suffix":""},{"dropping-particle":"","family":"Stephen","given":"Natasha","non-dropping-particle":"","parse-names":false,"suffix":""}],"container-title":"Frontiers in Marine Science","id":"ITEM-4","issue":"October","issued":{"date-parts":[["2020"]]},"page":"1-13","title":"Ocean Acidification Mitigates the Negative Effects of Increased Sea Temperatures on the Biomineralization and Crystalline Ultrastructure of Mytilus","type":"article-journal","volume":"7"},"uris":["http://www.mendeley.com/documents/?uuid=4e51ec6b-c2e4-4d3f-b799-671d57b75fd8"]},{"id":"ITEM-5","itemData":{"DOI":"10.1016/j.scitotenv.2022.153780","ISSN":"18791026","PMID":"35176363","abstract":"To accurately predict the fitness of marine ectotherms under the climate change scenarios, interactive effects from multiple environmental stressors should be considered, such as ocean acidification (OA), ocean warming (OW) and diurnal temperature cycling (DTC). In this work, we evaluated and compared the antioxidant capacity and metabolism homeostasis of two sea urchins, viz. the temperate species Strongylocentrotus intermedius and the tropical species Tripneustes gratilla, in response to oceanic conditions under a climate change scenario. The two species were treated separately/jointly by acidic (pH 7.6), thermal (ambient temperature + 3 °C), and temperature fluctuating (5 °C fluctuations daily) seawater for 28 days. The activities of antioxidant enzymes (catalase and superoxide dismutase) and the cellular energy allocation in the urchins' gonads were assessed subsequently. Results showed that exposure to OA, OW, and DTC all induced antioxidant responses associated with metabolism imbalance in both S. intermedius and T. gratilla. The physiological adjustments and energy strategies towards exposure of OA, OW, and DTC are species specific, perhaps owing to the different thermal acclimation of species from two latitudes. Moreover, decrease of cellular energy allocation were detected in both species under combined OA, OW, and DTC conditions, indicating unsustainable bioenergetic states. The decrease of cellular energy allocation is weaker in T. gratilla than in S. intermedius, implying higher acclimation capacity to maintain the energy homeostasis in tropical urchins. These results suggest that climate change might affect the population replenishment of the two sea urchins species, especially for the temperate species.","author":[{"dropping-particle":"","family":"Zhang","given":"Tianyu","non-dropping-particle":"","parse-names":false,"suffix":""},{"dropping-particle":"","family":"Li","given":"Xiao","non-dropping-particle":"","parse-names":false,"suffix":""},{"dropping-particle":"","family":"Cao","given":"Ruiwen","non-dropping-particle":"","parse-names":false,"suffix":""},{"dropping-particle":"","family":"Zhang","given":"Qianqian","non-dropping-particle":"","parse-names":false,"suffix":""},{"dropping-particle":"","family":"Qu","given":"Yi","non-dropping-particle":"","parse-names":false,"suffix":""},{"dropping-particle":"","family":"Wang","given":"Qing","non-dropping-particle":"","parse-names":false,"suffix":""},{"dropping-particle":"","family":"Dong","given":"Zhijun","non-dropping-particle":"","parse-names":false,"suffix":""},{"dropping-particle":"","family":"Zhao","given":"Jianmin","non-dropping-particle":"","parse-names":false,"suffix":""}],"container-title":"Science of the Total Environment","id":"ITEM-5","issued":{"date-parts":[["2022"]]},"title":"Interactive effects of ocean acidification, ocean warming, and diurnal temperature cycling on antioxidant responses and energy budgets in two sea urchins Strongylocentrotus intermedius and Tripneustes gratilla from different latitudes","type":"article-journal","volume":"824"},"uris":["http://www.mendeley.com/documents/?uuid=7331f420-41cf-4837-92fb-b4d24d2f1afa"]}],"mendeley":{"formattedCitation":"(Armstrong et al., 2022; Geraldi et al., 2020; Knights et al., 2020; Navarro et al., 2016; Zhang et al., 2022)","plainTextFormattedCitation":"(Armstrong et al., 2022; Geraldi et al., 2020; Knights et al., 2020; Navarro et al., 2016; Zhang et al., 2022)","previouslyFormattedCitation":"(Armstrong et al., 2022; Geraldi et al., 2020; Knights et al., 2020; Navarro et al., 2016; Zhang et al., 2022)"},"properties":{"noteIndex":0},"schema":"https://github.com/citation-style-language/schema/raw/master/csl-citation.json"}</w:instrText>
      </w:r>
      <w:r>
        <w:fldChar w:fldCharType="separate"/>
      </w:r>
      <w:r w:rsidR="00702A3A" w:rsidRPr="00702A3A">
        <w:rPr>
          <w:noProof/>
        </w:rPr>
        <w:t>(Armstrong et al., 2022; Geraldi et al., 2020; Knights et al., 2020; Navarro et al., 2016; Zhang et al., 2022)</w:t>
      </w:r>
      <w:r>
        <w:fldChar w:fldCharType="end"/>
      </w:r>
      <w:r>
        <w:t xml:space="preserve">. These studies </w:t>
      </w:r>
      <w:r w:rsidR="00D5791A">
        <w:t>help understand</w:t>
      </w:r>
      <w:r>
        <w:t xml:space="preserve"> </w:t>
      </w:r>
      <w:r w:rsidRPr="00721D54">
        <w:t xml:space="preserve">population dynamics and </w:t>
      </w:r>
      <w:r w:rsidR="00D5791A">
        <w:t>community</w:t>
      </w:r>
      <w:r w:rsidRPr="00721D54">
        <w:t xml:space="preserve"> structure</w:t>
      </w:r>
      <w:r w:rsidR="00D5791A">
        <w:t>s</w:t>
      </w:r>
      <w:r w:rsidRPr="00721D54">
        <w:t xml:space="preserve"> </w:t>
      </w:r>
      <w:r>
        <w:t>under extreme predicted future conditions</w:t>
      </w:r>
      <w:r w:rsidR="00DE37D3">
        <w:t xml:space="preserve"> </w:t>
      </w:r>
      <w:r w:rsidR="00DE37D3">
        <w:fldChar w:fldCharType="begin" w:fldLock="1"/>
      </w:r>
      <w:r w:rsidR="008C5CB8">
        <w:instrText>ADDIN CSL_CITATION {"citationItems":[{"id":"ITEM-1","itemData":{"DOI":"10.1111/j.1365-2486.2009.02124.x","ISSN":"13541013","abstract":"Warming could strongly stabilize or destabilize populations and food webs by changing the interaction strengths between predators and their prey. Predicting the consequences of warming requires understanding how temperature affects ingestion (energy gain) and metabolism (energy loss). Here, we studied the temperature dependence of metabolism and ingestion in laboratory experiments with terrestrial arthropods (beetles and spiders). From this data, we calculated ingestion efficiencies (ingestion/metabolism) and per capita interaction strengths in the short and long term. Additionally, we investigated if and how body mass changes these temperature dependencies. For both predator groups, warming increased metabolic rates substantially, whereas temperature effects on ingestion rates were weak. Accordingly, the ingestion efficiency (the ratio of ingestion to metabolism) decreased in all treatments. This result has two possible consequences: on the one hand, it suggests that warming of natural ecosystems could increase intrinsic population stability, meaning less fluctuations in population density; on the other hand, decreasing ingestion efficiencies may also lead to higher extinction risks because of starvation. Additionally, predicted long-term per capita interaction strengths decreased with warming, which suggests an increase in perturbation stability of populations, i.e., a higher probability of returning to the same equilibrium density after a small perturbation. Together, these results suggest that warming has complex and potentially profound effects on predator-prey interactions and food-web stability. © 2010 Blackwell Publishing Ltd.","author":[{"dropping-particle":"","family":"Rall","given":"Bj Örn C.","non-dropping-particle":"","parse-names":false,"suffix":""},{"dropping-particle":"","family":"Vucic-Pestic","given":"Olivera","non-dropping-particle":"","parse-names":false,"suffix":""},{"dropping-particle":"","family":"Ehnes","given":"Roswitha B.","non-dropping-particle":"","parse-names":false,"suffix":""},{"dropping-particle":"","family":"EmmersoN","given":"Mark","non-dropping-particle":"","parse-names":false,"suffix":""},{"dropping-particle":"","family":"Brose","given":"Ulrich","non-dropping-particle":"","parse-names":false,"suffix":""}],"container-title":"Global Change Biology","id":"ITEM-1","issue":"8","issued":{"date-parts":[["2010"]]},"page":"2145-2157","title":"Temperature, predator-prey interaction strength and population stability","type":"article-journal","volume":"16"},"uris":["http://www.mendeley.com/documents/?uuid=b97d6a53-1289-4534-b2bd-4ac0dc0a3cf7"]},{"id":"ITEM-2","itemData":{"DOI":"10.1890/12-0375.1","ISSN":"00129658","abstract":"As physiological processes of ectotherms are coupled to environmental temperature, climate change will likely alter their fundamental biological rates, including metabolism, consumption, growth, and reproduction. Here we combine the metabolic theory of ecology (MTE) with metabolism and consumption measurements of a model organism, the urchin Lytechinus variegatus, to test how climate change will affect consumer fitness. Unexpectedly, we found that metabolism and consumption exhibit different scaling relationships with temperature and are mismatched at high temperatures. This led to a dramatic reduction in ingestion efficiency and potentially in consumer fitness. Using metaanalysis, we showed that such temperature-driven mismatches between consumption and metabolism are common across taxa and frequently lead to reduced consumer fitness. Our empirical and synthetic analyses identify a mechanism by which climate change reduces the fitness of ectotherm consumers that may be applied to a broad array of taxonomic groups. Moreover, we showed that the assumptions of MTE do not hold at temperatures near the upper range of species' thermal tolerances for a wide array of taxa. Models using MTE to predict the effects of climate change on consumer-resource dynamics may therefore be underestimating the consequences of rising temperatures on population and community dynamics. © 2012 by the Ecological Society of America.","author":[{"dropping-particle":"","family":"Lemoine","given":"Nathan P.","non-dropping-particle":"","parse-names":false,"suffix":""},{"dropping-particle":"","family":"Burkepile","given":"Deron E.","non-dropping-particle":"","parse-names":false,"suffix":""}],"container-title":"Ecology","id":"ITEM-2","issue":"11","issued":{"date-parts":[["2012"]]},"page":"2483-2489","title":"Temperature-induced mismatches between consumption and metabolism reduce consumer fitness","type":"article-journal","volume":"93"},"uris":["http://www.mendeley.com/documents/?uuid=261a2713-aaaa-4062-bc28-d8c9e55bb64e"]}],"mendeley":{"formattedCitation":"(Lemoine and Burkepile, 2012; Rall et al., 2010)","plainTextFormattedCitation":"(Lemoine and Burkepile, 2012; Rall et al., 2010)","previouslyFormattedCitation":"(Lemoine and Burkepile, 2012; Rall et al., 2010)"},"properties":{"noteIndex":0},"schema":"https://github.com/citation-style-language/schema/raw/master/csl-citation.json"}</w:instrText>
      </w:r>
      <w:r w:rsidR="00DE37D3">
        <w:fldChar w:fldCharType="separate"/>
      </w:r>
      <w:r w:rsidR="00DE37D3" w:rsidRPr="00DE37D3">
        <w:rPr>
          <w:noProof/>
        </w:rPr>
        <w:t>(Lemoine and Burkepile, 2012; Rall et al., 2010)</w:t>
      </w:r>
      <w:r w:rsidR="00DE37D3">
        <w:fldChar w:fldCharType="end"/>
      </w:r>
      <w:r>
        <w:t>. Incorporating more moderate near-future experimental treatments, however, is required to identify how species and ecosystems may respond within the next few decades or in moderate climate change scenarios by 2100, and to identify their potential for adaptation</w:t>
      </w:r>
      <w:r w:rsidR="008C5CB8">
        <w:t xml:space="preserve"> </w:t>
      </w:r>
      <w:r w:rsidR="008C5CB8">
        <w:fldChar w:fldCharType="begin" w:fldLock="1"/>
      </w:r>
      <w:r w:rsidR="00B958F5">
        <w:instrText>ADDIN CSL_CITATION {"citationItems":[{"id":"ITEM-1","itemData":{"DOI":"10.1098/rsos.191118","ISSN":"20545703","abstract":"Understanding the consequences of rising CO2 and warming on marine ecosystems is a pressing issue in ecology. Manipulative experiments that assess responses of biota to future ocean warming and acidification conditions form a necessary basis for expectations on how marine taxa may respond. Although designing experiments in the context of local variability is most appropriate, local temperature and CO2 characteristics are often unknown as such measures necessitate significant resources, and even less is known about local future scenarios. To help address these issues, we summarize current uncertainties in CO2 emission trajectories and climate sensitivity, examine region-specific changes in the ocean, and present a straightforward global framework to guide experimental designs. We advocate for the inclusion of multiple plausible future scenarios of predicted levels of ocean warming and acidification in forthcoming experimental research. Growing a robust experimental base is crucial to understanding the prospect form and function of marine ecosystems in the Anthropocene.","author":[{"dropping-particle":"","family":"Geraldi","given":"Nathan R.","non-dropping-particle":"","parse-names":false,"suffix":""},{"dropping-particle":"","family":"Klein","given":"Shannon G.","non-dropping-particle":"","parse-names":false,"suffix":""},{"dropping-particle":"","family":"Anton","given":"Andrea","non-dropping-particle":"","parse-names":false,"suffix":""},{"dropping-particle":"","family":"Duarte","given":"Carlos M.","non-dropping-particle":"","parse-names":false,"suffix":""}],"container-title":"Royal Society Open Science","id":"ITEM-1","issue":"1","issued":{"date-parts":[["2020"]]},"page":"1-7","title":"A framework for experimental scenarios of global change in marine systems using coral reefs as a case study","type":"article-journal","volume":"7"},"uris":["http://www.mendeley.com/documents/?uuid=d71ed475-a17c-428f-b0c0-7cd4c8861f07"]}],"mendeley":{"formattedCitation":"(Geraldi et al., 2020)","plainTextFormattedCitation":"(Geraldi et al., 2020)","previouslyFormattedCitation":"(Geraldi et al., 2020)"},"properties":{"noteIndex":0},"schema":"https://github.com/citation-style-language/schema/raw/master/csl-citation.json"}</w:instrText>
      </w:r>
      <w:r w:rsidR="008C5CB8">
        <w:fldChar w:fldCharType="separate"/>
      </w:r>
      <w:r w:rsidR="008C5CB8" w:rsidRPr="008C5CB8">
        <w:rPr>
          <w:noProof/>
        </w:rPr>
        <w:t>(Geraldi et al., 2020)</w:t>
      </w:r>
      <w:r w:rsidR="008C5CB8">
        <w:fldChar w:fldCharType="end"/>
      </w:r>
      <w:r>
        <w:t xml:space="preserve">. </w:t>
      </w:r>
    </w:p>
    <w:p w14:paraId="4D4F833B" w14:textId="629C6F20" w:rsidR="000337CD" w:rsidRDefault="000337CD" w:rsidP="006733CF">
      <w:pPr>
        <w:spacing w:line="480" w:lineRule="auto"/>
      </w:pPr>
      <w:bookmarkStart w:id="2" w:name="_Hlk121131764"/>
      <w:r>
        <w:t xml:space="preserve">In the current study, we tested empirically for effects of </w:t>
      </w:r>
      <w:r w:rsidRPr="00981817">
        <w:t>increased temperature and</w:t>
      </w:r>
      <w:r>
        <w:t xml:space="preserve">/or </w:t>
      </w:r>
      <w:r w:rsidRPr="00981817">
        <w:t>ocean acidification on blue mussels (</w:t>
      </w:r>
      <w:r w:rsidRPr="00981817">
        <w:rPr>
          <w:i/>
          <w:iCs/>
        </w:rPr>
        <w:t>Mytilus edulis</w:t>
      </w:r>
      <w:r w:rsidRPr="00981817">
        <w:t xml:space="preserve">) and </w:t>
      </w:r>
      <w:r>
        <w:t>sugar kelp</w:t>
      </w:r>
      <w:r w:rsidRPr="00981817">
        <w:t xml:space="preserve"> sporophytes (</w:t>
      </w:r>
      <w:r w:rsidRPr="00981817">
        <w:rPr>
          <w:i/>
          <w:iCs/>
        </w:rPr>
        <w:t xml:space="preserve">Saccharina </w:t>
      </w:r>
      <w:proofErr w:type="spellStart"/>
      <w:r w:rsidRPr="00981817">
        <w:rPr>
          <w:i/>
          <w:iCs/>
        </w:rPr>
        <w:t>latissima</w:t>
      </w:r>
      <w:proofErr w:type="spellEnd"/>
      <w:r w:rsidRPr="00981817">
        <w:t xml:space="preserve">) </w:t>
      </w:r>
      <w:r>
        <w:t xml:space="preserve">grown together and separately with </w:t>
      </w:r>
      <w:r w:rsidRPr="00981817">
        <w:t xml:space="preserve">a </w:t>
      </w:r>
      <w:r>
        <w:t>fully factorial</w:t>
      </w:r>
      <w:r w:rsidRPr="00981817">
        <w:t xml:space="preserve"> experimental design. Temperature (ambient</w:t>
      </w:r>
      <w:r w:rsidR="00516E45">
        <w:t>;</w:t>
      </w:r>
      <w:r w:rsidRPr="00981817">
        <w:t xml:space="preserve"> +</w:t>
      </w:r>
      <w:r w:rsidR="00BB3BE8">
        <w:t>0.8</w:t>
      </w:r>
      <w:r w:rsidR="004614D7">
        <w:t xml:space="preserve"> </w:t>
      </w:r>
      <w:r w:rsidRPr="00981817">
        <w:t>°C</w:t>
      </w:r>
      <w:r w:rsidR="00516E45">
        <w:t>;</w:t>
      </w:r>
      <w:r w:rsidRPr="00981817">
        <w:t xml:space="preserve"> +2 °C) and </w:t>
      </w:r>
      <w:r w:rsidRPr="00D50D49">
        <w:t>pCO</w:t>
      </w:r>
      <w:r w:rsidRPr="00D50D49">
        <w:rPr>
          <w:vertAlign w:val="subscript"/>
        </w:rPr>
        <w:t>2</w:t>
      </w:r>
      <w:r>
        <w:t xml:space="preserve"> </w:t>
      </w:r>
      <w:r w:rsidRPr="00981817">
        <w:t>(ambient, 450 ppm; elevated, 6</w:t>
      </w:r>
      <w:r w:rsidR="00031801">
        <w:t>45</w:t>
      </w:r>
      <w:r w:rsidRPr="00981817">
        <w:t xml:space="preserve"> ppm) </w:t>
      </w:r>
      <w:r>
        <w:t>were manipulated</w:t>
      </w:r>
      <w:r w:rsidRPr="00981817">
        <w:t xml:space="preserve"> </w:t>
      </w:r>
      <w:r>
        <w:t xml:space="preserve">based on predicted </w:t>
      </w:r>
      <w:r w:rsidRPr="00981817">
        <w:t xml:space="preserve">sea surface temperature and atmospheric </w:t>
      </w:r>
      <w:r w:rsidRPr="00D50D49">
        <w:t>pCO</w:t>
      </w:r>
      <w:r w:rsidRPr="00D50D49">
        <w:rPr>
          <w:vertAlign w:val="subscript"/>
        </w:rPr>
        <w:t>2</w:t>
      </w:r>
      <w:r w:rsidRPr="00981817">
        <w:t xml:space="preserve"> </w:t>
      </w:r>
      <w:r>
        <w:t>of the Irish Sea</w:t>
      </w:r>
      <w:r w:rsidRPr="00981817">
        <w:t xml:space="preserve"> </w:t>
      </w:r>
      <w:r>
        <w:t xml:space="preserve">under </w:t>
      </w:r>
      <w:r w:rsidRPr="00981817">
        <w:t xml:space="preserve">a moderate climate change scenario by the year 2100, or sooner in the case of a more extreme scenario </w:t>
      </w:r>
      <w:r>
        <w:fldChar w:fldCharType="begin" w:fldLock="1"/>
      </w:r>
      <w:r w:rsidR="00702A3A">
        <w:instrText>ADDIN CSL_CITATION {"citationItems":[{"id":"ITEM-1","itemData":{"ISBN":"9781107661820","author":[{"dropping-particle":"","family":"IPCC","given":"","non-dropping-particle":"","parse-names":false,"suffix":""}],"editor":[{"dropping-particle":"","family":"Stocker","given":"T.F.","non-dropping-particle":"","parse-names":false,"suffix":""},{"dropping-particle":"","family":"Quin","given":"D.","non-dropping-particle":"","parse-names":false,"suffix":""},{"dropping-particle":"","family":"Plattner","given":"G.-K.","non-dropping-particle":"","parse-names":false,"suffix":""},{"dropping-particle":"","family":"Tignor","given":"M.","non-dropping-particle":"","parse-names":false,"suffix":""},{"dropping-particle":"","family":"Allen","given":"S.K.","non-dropping-particle":"","parse-names":false,"suffix":""},{"dropping-particle":"","family":"Boschung","given":"J.","non-dropping-particle":"","parse-names":false,"suffix":""},{"dropping-particle":"","family":"Nauels","given":"A.","non-dropping-particle":"","parse-names":false,"suffix":""},{"dropping-particle":"","family":"Xia","given":"Y.","non-dropping-particle":"","parse-names":false,"suffix":""},{"dropping-particle":"","family":"Bex","given":"V.","non-dropping-particle":"","parse-names":false,"suffix":""},{"dropping-particle":"","family":"Midgley","given":"P.M.","non-dropping-particle":"","parse-names":false,"suffix":""}],"id":"ITEM-1","issued":{"date-parts":[["2013"]]},"number-of-pages":"104","publisher":"Cambridge University Press","publisher-place":"Cambridge, Untited Kingom and New York, NY, USA","title":"Climate Change 2013: The Physical Science Basis. Contribution of Working Group I to the Fifth Assessment Report of the Intergovernmental Panel on Climate Change","type":"report"},"uris":["http://www.mendeley.com/documents/?uuid=31f93480-4130-420d-ae51-2529b0880c17"]},{"id":"ITEM-2","itemData":{"DOI":"10.1256/004316502320517344","ISBN":"9291691224","ISSN":"14764687","PMID":"17429376","abstract":"This Synthesis Report is based on the assessment carried out by the three Working Groups (WGs) of the Intergovernmental Panel on Climate Change (IPCC). It provides an integrated view of climate change as the final part of the IPCCs Fourth Assessment Re- port (AR4). Topic 1 summarises observed changes in climate and their ef- fects on natural and human systems, regardless of their causes, while Topic 2 assesses the causes of the observed changes. Topic 3 pre- sents projections of future climate change and related impacts un- der different scenarios. Topic 4 discusses adaptation and mitigation options over the next few decades and their interactions with sustainable develop- ment. Topic 5 assesses the relationship between adaptation and mitigation on a more conceptual basis and takes a longer-term per- spective. Topic 6 summarises the major robust findings and remain- ing key uncertainties in this assessment. A schematic framework representing anthropogenic drivers, impacts of and responses to climate change, and their linkages, is shown in Figure I.1. At the time of the Third Assessment Report (TAR) in 2001, information was mainly available to describe the linkages clockwise, i.e. to derive climatic changes and impacts from socio-economic information and emissions. With increased under- standing of these linkages, it is now possible to assess the linkages also counterclockwise, i.e. to evaluate possible development path- ways and global emissions constraints that would reduce the risk of future impacts that society may wish to avoid.","author":[{"dropping-particle":"","family":"IPCC","given":"","non-dropping-particle":"","parse-names":false,"suffix":""}],"editor":[{"dropping-particle":"","family":"Core Writing Team","given":"","non-dropping-particle":"","parse-names":false,"suffix":""},{"dropping-particle":"","family":"Pachauri","given":"R. K.","non-dropping-particle":"","parse-names":false,"suffix":""},{"dropping-particle":"","family":"Meyer","given":"L. A.","non-dropping-particle":"","parse-names":false,"suffix":""}],"id":"ITEM-2","issued":{"date-parts":[["2014"]]},"number-of-pages":"151","publisher-place":"Geneva, Switzerland","title":"Climate Change 2014: Synthesis Report. Contribution of Working Groups I, II and III to the Fifth Assessment Report of the Intergovernmental Panel on Climate Change","type":"report"},"uris":["http://www.mendeley.com/documents/?uuid=7c9a6869-040d-4828-bc87-e2d4556008e1"]},{"id":"ITEM-3","itemData":{"DOI":"10.1007/s10113-013-0499-2","ISSN":"1436378X","abstract":"A new high-resolution regional climate change ensemble has been established for Europe within the World Climate Research Program Coordinated Regional Downscaling Experiment (EURO-CORDEX) initiative. The first set of simulations with a horizontal resolution of 12.5 km was completed for the new emission scenarios RCP4.5 and RCP8.5 with more simulations expected to follow. The aim of this paper is to present this data set to the different communities active in regional climate modelling, impact assessment and adaptation. The EURO-CORDEX ensemble results have been compared to the SRES A1B simulation results achieved within the ENSEMBLES project. The large-scale patterns of changes in mean temperature and precipitation are similar in all three scenarios, but they differ in regional details, which can partly be related to the higher resolution in EURO-CORDEX. The results strengthen those obtained in ENSEMBLES, but need further investigations. The analysis of impact indices shows that for RCP8.5, there is a substantially larger change projected for temperature-based indices than for RCP4.5. The difference is less pronounced for precipitation-based indices. Two effects of the increased resolution can be regarded as an added value of regional climate simulations. Regional climate model simulations provide higher daily precipitation intensities, which are completely missing in the global climate model simulations, and they provide a significantly different climate change of daily precipitation intensities resulting in a smoother shift from weak to moderate and high intensities. © 2013 The Author(s).","author":[{"dropping-particle":"","family":"Jacob","given":"Daniela","non-dropping-particle":"","parse-names":false,"suffix":""},{"dropping-particle":"","family":"Petersen","given":"Juliane","non-dropping-particle":"","parse-names":false,"suffix":""},{"dropping-particle":"","family":"Eggert","given":"Bastian","non-dropping-particle":"","parse-names":false,"suffix":""},{"dropping-particle":"","family":"Alias","given":"Antoinette","non-dropping-particle":"","parse-names":false,"suffix":""},{"dropping-particle":"","family":"Christensen","given":"Ole Bøssing","non-dropping-particle":"","parse-names":false,"suffix":""},{"dropping-particle":"","family":"Bouwer","given":"Laurens M.","non-dropping-particle":"","parse-names":false,"suffix":""},{"dropping-particle":"","family":"Braun","given":"Alain","non-dropping-particle":"","parse-names":false,"suffix":""},{"dropping-particle":"","family":"Colette","given":"Augustin","non-dropping-particle":"","parse-names":false,"suffix":""},{"dropping-particle":"","family":"Déqué","given":"Michel","non-dropping-particle":"","parse-names":false,"suffix":""},{"dropping-particle":"","family":"Georgievski","given":"Goran","non-dropping-particle":"","parse-names":false,"suffix":""},{"dropping-particle":"","family":"Georgopoulou","given":"Elena","non-dropping-particle":"","parse-names":false,"suffix":""},{"dropping-particle":"","family":"Gobiet","given":"Andreas","non-dropping-particle":"","parse-names":false,"suffix":""},{"dropping-particle":"","family":"Menut","given":"Laurent","non-dropping-particle":"","parse-names":false,"suffix":""},{"dropping-particle":"","family":"Nikulin","given":"Grigory","non-dropping-particle":"","parse-names":false,"suffix":""},{"dropping-particle":"","family":"Haensler","given":"Andreas","non-dropping-particle":"","parse-names":false,"suffix":""},{"dropping-particle":"","family":"Hempelmann","given":"Nils","non-dropping-particle":"","parse-names":false,"suffix":""},{"dropping-particle":"","family":"Jones","given":"Colin","non-dropping-particle":"","parse-names":false,"suffix":""},{"dropping-particle":"","family":"Keuler","given":"Klaus","non-dropping-particle":"","parse-names":false,"suffix":""},{"dropping-particle":"","family":"Kovats","given":"Sari","non-dropping-particle":"","parse-names":false,"suffix":""},{"dropping-particle":"","family":"Kröner","given":"Nico","non-dropping-particle":"","parse-names":false,"suffix":""},{"dropping-particle":"","family":"Kotlarski","given":"Sven","non-dropping-particle":"","parse-names":false,"suffix":""},{"dropping-particle":"","family":"Kriegsmann","given":"Arne","non-dropping-particle":"","parse-names":false,"suffix":""},{"dropping-particle":"","family":"Martin","given":"Eric","non-dropping-particle":"","parse-names":false,"suffix":""},{"dropping-particle":"","family":"Meijgaard","given":"Erik","non-dropping-particle":"van","parse-names":false,"suffix":""},{"dropping-particle":"","family":"Moseley","given":"Christopher","non-dropping-particle":"","parse-names":false,"suffix":""},{"dropping-particle":"","family":"Pfeifer","given":"Susanne","non-dropping-particle":"","parse-names":false,"suffix":""},{"dropping-particle":"","family":"Preuschmann","given":"Swantje","non-dropping-particle":"","parse-names":false,"suffix":""},{"dropping-particle":"","family":"Radermacher","given":"Christine","non-dropping-particle":"","parse-names":false,"suffix":""},{"dropping-particle":"","family":"Radtke","given":"Kai","non-dropping-particle":"","parse-names":false,"suffix":""},{"dropping-particle":"","family":"Rechid","given":"Diana","non-dropping-particle":"","parse-names":false,"suffix":""},{"dropping-particle":"","family":"Rounsevell","given":"Mark","non-dropping-particle":"","parse-names":false,"suffix":""},{"dropping-particle":"","family":"Samuelsson","given":"Patrick","non-dropping-particle":"","parse-names":false,"suffix":""},{"dropping-particle":"","family":"Somot","given":"Samuel","non-dropping-particle":"","parse-names":false,"suffix":""},{"dropping-particle":"","family":"Soussana","given":"Jean Francois","non-dropping-particle":"","parse-names":false,"suffix":""},{"dropping-particle":"","family":"Teichmann","given":"Claas","non-dropping-particle":"","parse-names":false,"suffix":""},{"dropping-particle":"","family":"Valentini","given":"Riccardo","non-dropping-particle":"","parse-names":false,"suffix":""},{"dropping-particle":"","family":"Vautard","given":"Robert","non-dropping-particle":"","parse-names":false,"suffix":""},{"dropping-particle":"","family":"Weber","given":"Björn","non-dropping-particle":"","parse-names":false,"suffix":""},{"dropping-particle":"","family":"Yiou","given":"Pascal","non-dropping-particle":"","parse-names":false,"suffix":""}],"container-title":"Regional Environmental Change","id":"ITEM-3","issue":"2","issued":{"date-parts":[["2014"]]},"page":"563-578","title":"EURO-CORDEX: New high-resolution climate change projections for European impact research","type":"article-journal","volume":"14"},"uris":["http://www.mendeley.com/documents/?uuid=363284b2-41f3-4231-9eda-3fe09fc451d8"]}],"mendeley":{"formattedCitation":"(IPCC, 2014, 2013; Jacob et al., 2014)","plainTextFormattedCitation":"(IPCC, 2014, 2013; Jacob et al., 2014)","previouslyFormattedCitation":"(IPCC, 2014, 2013; Jacob et al., 2014)"},"properties":{"noteIndex":0},"schema":"https://github.com/citation-style-language/schema/raw/master/csl-citation.json"}</w:instrText>
      </w:r>
      <w:r>
        <w:fldChar w:fldCharType="separate"/>
      </w:r>
      <w:r w:rsidR="00702A3A" w:rsidRPr="00702A3A">
        <w:rPr>
          <w:noProof/>
        </w:rPr>
        <w:t>(IPCC, 2014, 2013; Jacob et al., 2014)</w:t>
      </w:r>
      <w:r>
        <w:fldChar w:fldCharType="end"/>
      </w:r>
      <w:r w:rsidRPr="00981817">
        <w:t xml:space="preserve">. We </w:t>
      </w:r>
      <w:r>
        <w:t xml:space="preserve">quantified effects of these abiotic experimental treatments (temperature, </w:t>
      </w:r>
      <w:r w:rsidRPr="00D50D49">
        <w:t>pCO</w:t>
      </w:r>
      <w:r w:rsidRPr="00D50D49">
        <w:rPr>
          <w:vertAlign w:val="subscript"/>
        </w:rPr>
        <w:t>2</w:t>
      </w:r>
      <w:r>
        <w:rPr>
          <w:rStyle w:val="css-901oao"/>
        </w:rPr>
        <w:t xml:space="preserve">) </w:t>
      </w:r>
      <w:r>
        <w:t>on several proxies for the functioning of mussels and algae including: mussel mortality</w:t>
      </w:r>
      <w:r w:rsidRPr="00981817">
        <w:t xml:space="preserve">, </w:t>
      </w:r>
      <w:r>
        <w:t>mussel biomass</w:t>
      </w:r>
      <w:r w:rsidRPr="00981817">
        <w:t xml:space="preserve">, </w:t>
      </w:r>
      <w:r>
        <w:t xml:space="preserve">mussel </w:t>
      </w:r>
      <w:r w:rsidRPr="00981817">
        <w:t>condition index,</w:t>
      </w:r>
      <w:r>
        <w:t xml:space="preserve"> </w:t>
      </w:r>
      <w:r w:rsidRPr="00981817">
        <w:t xml:space="preserve">clearance rates, </w:t>
      </w:r>
      <w:r w:rsidR="00516E45">
        <w:t xml:space="preserve">mussel </w:t>
      </w:r>
      <w:r w:rsidRPr="00981817">
        <w:t xml:space="preserve">shell and byssus strength, </w:t>
      </w:r>
      <w:r>
        <w:t>algal biomass</w:t>
      </w:r>
      <w:r w:rsidRPr="00981817">
        <w:t xml:space="preserve"> and photo</w:t>
      </w:r>
      <w:r>
        <w:t xml:space="preserve">synthetic performance (i.e. </w:t>
      </w:r>
      <w:r w:rsidRPr="00981817">
        <w:t xml:space="preserve">relative maximum electron transport rate </w:t>
      </w:r>
      <w:r>
        <w:t>[</w:t>
      </w:r>
      <w:proofErr w:type="spellStart"/>
      <w:r w:rsidRPr="00981817">
        <w:t>rETRmax</w:t>
      </w:r>
      <w:proofErr w:type="spellEnd"/>
      <w:r>
        <w:t>]</w:t>
      </w:r>
      <w:r w:rsidRPr="00981817">
        <w:t xml:space="preserve">, saturating light intensity </w:t>
      </w:r>
      <w:r>
        <w:t>[</w:t>
      </w:r>
      <w:proofErr w:type="spellStart"/>
      <w:r w:rsidRPr="00981817">
        <w:t>I</w:t>
      </w:r>
      <w:r w:rsidRPr="00981817">
        <w:rPr>
          <w:vertAlign w:val="subscript"/>
        </w:rPr>
        <w:t>k</w:t>
      </w:r>
      <w:proofErr w:type="spellEnd"/>
      <w:r>
        <w:t>]</w:t>
      </w:r>
      <w:r w:rsidRPr="00981817">
        <w:t xml:space="preserve">, light harvesting efficiency </w:t>
      </w:r>
      <w:r>
        <w:t>[</w:t>
      </w:r>
      <w:r w:rsidRPr="00981817">
        <w:t>α</w:t>
      </w:r>
      <w:r>
        <w:t>]</w:t>
      </w:r>
      <w:r w:rsidRPr="00981817">
        <w:t>, and</w:t>
      </w:r>
      <w:r>
        <w:t xml:space="preserve"> </w:t>
      </w:r>
      <w:r w:rsidRPr="00981817">
        <w:t xml:space="preserve">maximum quantum yield </w:t>
      </w:r>
      <w:r>
        <w:t>[</w:t>
      </w:r>
      <w:proofErr w:type="spellStart"/>
      <w:r w:rsidRPr="00981817">
        <w:t>F</w:t>
      </w:r>
      <w:r w:rsidRPr="004614D7">
        <w:rPr>
          <w:vertAlign w:val="subscript"/>
        </w:rPr>
        <w:t>v</w:t>
      </w:r>
      <w:proofErr w:type="spellEnd"/>
      <w:r w:rsidRPr="00981817">
        <w:t>/F</w:t>
      </w:r>
      <w:r w:rsidRPr="004614D7">
        <w:rPr>
          <w:vertAlign w:val="subscript"/>
        </w:rPr>
        <w:t>m</w:t>
      </w:r>
      <w:r>
        <w:t>])</w:t>
      </w:r>
      <w:r w:rsidRPr="00981817">
        <w:t>.</w:t>
      </w:r>
      <w:r>
        <w:t xml:space="preserve"> Additionally, we tested whether the functioning of mussels and algae differed in the presence or absence of each other. </w:t>
      </w:r>
      <w:r w:rsidR="00FC6CAE">
        <w:t>W</w:t>
      </w:r>
      <w:r w:rsidR="00FC6CAE" w:rsidRPr="00981817">
        <w:t>e hypothesise</w:t>
      </w:r>
      <w:r w:rsidR="00FC6CAE">
        <w:t>d</w:t>
      </w:r>
      <w:r w:rsidR="00FC6CAE" w:rsidRPr="00981817">
        <w:t xml:space="preserve"> that </w:t>
      </w:r>
      <w:r w:rsidR="0057106B">
        <w:t>both species</w:t>
      </w:r>
      <w:r w:rsidR="0057106B" w:rsidRPr="00981817">
        <w:t xml:space="preserve"> </w:t>
      </w:r>
      <w:r w:rsidR="00FC6CAE" w:rsidRPr="00981817">
        <w:t>w</w:t>
      </w:r>
      <w:r w:rsidR="00FC6CAE">
        <w:t>ould</w:t>
      </w:r>
      <w:r w:rsidR="00FC6CAE" w:rsidRPr="00981817">
        <w:t xml:space="preserve"> respond to warming with increases in </w:t>
      </w:r>
      <w:r w:rsidR="00FC6CAE">
        <w:t xml:space="preserve">all processes quantified, except </w:t>
      </w:r>
      <w:r w:rsidR="0057106B">
        <w:lastRenderedPageBreak/>
        <w:t xml:space="preserve">mussel </w:t>
      </w:r>
      <w:r w:rsidR="00FC6CAE">
        <w:t>mortality, which we expected to decrease</w:t>
      </w:r>
      <w:r w:rsidR="0057106B">
        <w:t>,</w:t>
      </w:r>
      <w:r w:rsidR="00FC6CAE" w:rsidDel="00FC6CAE">
        <w:t xml:space="preserve"> </w:t>
      </w:r>
      <w:r w:rsidR="00FC6CAE">
        <w:t>because the</w:t>
      </w:r>
      <w:r w:rsidR="00452B00">
        <w:t xml:space="preserve"> experiment took place in winter, i.e. at the lower end of the temperature range </w:t>
      </w:r>
      <w:r w:rsidR="003803B4">
        <w:t xml:space="preserve">seasonally </w:t>
      </w:r>
      <w:r w:rsidR="00452B00">
        <w:t>encountered by our study organisms</w:t>
      </w:r>
      <w:r w:rsidR="00707DFF">
        <w:t>. Simultaneously,</w:t>
      </w:r>
      <w:r>
        <w:t xml:space="preserve"> </w:t>
      </w:r>
      <w:r w:rsidR="00452B00">
        <w:t xml:space="preserve">we expected </w:t>
      </w:r>
      <w:r w:rsidRPr="00981817">
        <w:t xml:space="preserve">acidification </w:t>
      </w:r>
      <w:r w:rsidR="00452B00">
        <w:t>to</w:t>
      </w:r>
      <w:r w:rsidRPr="00981817">
        <w:t xml:space="preserve"> have </w:t>
      </w:r>
      <w:r>
        <w:t>a negative</w:t>
      </w:r>
      <w:r w:rsidRPr="00981817">
        <w:t xml:space="preserve"> effect</w:t>
      </w:r>
      <w:r w:rsidR="00FC6CAE">
        <w:t xml:space="preserve"> on</w:t>
      </w:r>
      <w:r w:rsidR="0057106B">
        <w:t xml:space="preserve"> mussels and a positive effect on algal production</w:t>
      </w:r>
      <w:r>
        <w:t>. Additionally, we hypothesised</w:t>
      </w:r>
      <w:r w:rsidRPr="00981817">
        <w:t xml:space="preserve"> that the presence </w:t>
      </w:r>
      <w:r>
        <w:t>of the algae</w:t>
      </w:r>
      <w:r w:rsidRPr="00981817">
        <w:t xml:space="preserve"> w</w:t>
      </w:r>
      <w:r>
        <w:t>ould</w:t>
      </w:r>
      <w:r w:rsidRPr="00981817">
        <w:t xml:space="preserve"> strengthen positive effect</w:t>
      </w:r>
      <w:r w:rsidR="00707DFF">
        <w:t>s</w:t>
      </w:r>
      <w:r w:rsidRPr="00981817">
        <w:t xml:space="preserve"> of warming, and act as a local buffer to mitigate negative effects of acidification</w:t>
      </w:r>
      <w:r w:rsidR="00FC6CAE">
        <w:t xml:space="preserve"> on mussels</w:t>
      </w:r>
      <w:r w:rsidR="0057106B">
        <w:t>, while</w:t>
      </w:r>
      <w:r w:rsidRPr="00981817">
        <w:t xml:space="preserve"> </w:t>
      </w:r>
      <w:r>
        <w:t>t</w:t>
      </w:r>
      <w:r w:rsidRPr="00981817">
        <w:t>he presence of mussels w</w:t>
      </w:r>
      <w:r w:rsidR="0057106B">
        <w:t>ould</w:t>
      </w:r>
      <w:r w:rsidRPr="00981817">
        <w:t xml:space="preserve"> </w:t>
      </w:r>
      <w:r w:rsidR="0057106B">
        <w:t>enhance</w:t>
      </w:r>
      <w:r w:rsidRPr="00981817">
        <w:t xml:space="preserve"> the </w:t>
      </w:r>
      <w:r>
        <w:t>productivity</w:t>
      </w:r>
      <w:r w:rsidRPr="00981817">
        <w:t xml:space="preserve"> and photo</w:t>
      </w:r>
      <w:r>
        <w:t>synthetic performance</w:t>
      </w:r>
      <w:r w:rsidRPr="00981817">
        <w:t xml:space="preserve"> of</w:t>
      </w:r>
      <w:r>
        <w:t xml:space="preserve"> the algae. As a consequence, we expected</w:t>
      </w:r>
      <w:r w:rsidR="00FC6CAE">
        <w:t xml:space="preserve"> the</w:t>
      </w:r>
      <w:r>
        <w:t xml:space="preserve"> total </w:t>
      </w:r>
      <w:r w:rsidR="00707DFF">
        <w:t xml:space="preserve">accumulated </w:t>
      </w:r>
      <w:r>
        <w:t xml:space="preserve">biomass of mussels and algae to be greater in the treatments where they were </w:t>
      </w:r>
      <w:r w:rsidR="003803B4">
        <w:t xml:space="preserve">kept </w:t>
      </w:r>
      <w:r>
        <w:t>together compared to the sums of biomass of treatments containing just mussels or just algae.</w:t>
      </w:r>
      <w:bookmarkEnd w:id="2"/>
    </w:p>
    <w:p w14:paraId="1DF32BD0" w14:textId="77777777" w:rsidR="00957C54" w:rsidRPr="00614599" w:rsidRDefault="00957C54" w:rsidP="006733CF">
      <w:pPr>
        <w:spacing w:line="480" w:lineRule="auto"/>
      </w:pPr>
    </w:p>
    <w:p w14:paraId="7E6A560E" w14:textId="77777777" w:rsidR="000337CD" w:rsidRDefault="000337CD" w:rsidP="006733CF">
      <w:pPr>
        <w:pStyle w:val="Heading2"/>
        <w:spacing w:line="480" w:lineRule="auto"/>
      </w:pPr>
      <w:bookmarkStart w:id="3" w:name="_Toc157356533"/>
      <w:r>
        <w:t>Methods</w:t>
      </w:r>
      <w:bookmarkEnd w:id="3"/>
    </w:p>
    <w:p w14:paraId="50745F4E" w14:textId="77777777" w:rsidR="000337CD" w:rsidRDefault="000337CD" w:rsidP="006733CF">
      <w:pPr>
        <w:pStyle w:val="Heading3"/>
        <w:spacing w:line="480" w:lineRule="auto"/>
      </w:pPr>
      <w:bookmarkStart w:id="4" w:name="_Toc157356534"/>
      <w:r>
        <w:t>Experimental design</w:t>
      </w:r>
      <w:bookmarkEnd w:id="4"/>
    </w:p>
    <w:p w14:paraId="0BD2DDB2" w14:textId="3DB4C91E" w:rsidR="00A01528" w:rsidRDefault="005D3382" w:rsidP="006733CF">
      <w:pPr>
        <w:spacing w:line="480" w:lineRule="auto"/>
      </w:pPr>
      <w:r>
        <w:t xml:space="preserve">The experiment comprised of two analogous sets of treatments to simultaneously </w:t>
      </w:r>
      <w:r w:rsidR="001729C2">
        <w:t xml:space="preserve">test </w:t>
      </w:r>
      <w:r>
        <w:t>the</w:t>
      </w:r>
      <w:r w:rsidR="001729C2">
        <w:t xml:space="preserve"> single and combined</w:t>
      </w:r>
      <w:r>
        <w:t xml:space="preserve"> effects of the abiotic factors warming and acidification on mussels or algae separately, in addition to testing for effects of mussels and algae on each other</w:t>
      </w:r>
      <w:r w:rsidR="00943697">
        <w:t xml:space="preserve"> (</w:t>
      </w:r>
      <w:r w:rsidR="007F1C47">
        <w:fldChar w:fldCharType="begin"/>
      </w:r>
      <w:r w:rsidR="007F1C47">
        <w:instrText xml:space="preserve"> REF  _Ref155894839 \h </w:instrText>
      </w:r>
      <w:r w:rsidR="006733CF">
        <w:instrText xml:space="preserve"> \* MERGEFORMAT </w:instrText>
      </w:r>
      <w:r w:rsidR="007F1C47">
        <w:fldChar w:fldCharType="separate"/>
      </w:r>
      <w:r w:rsidR="00F433FC">
        <w:t xml:space="preserve">Figure </w:t>
      </w:r>
      <w:r w:rsidR="00F433FC">
        <w:rPr>
          <w:noProof/>
        </w:rPr>
        <w:t>1</w:t>
      </w:r>
      <w:r w:rsidR="007F1C47">
        <w:fldChar w:fldCharType="end"/>
      </w:r>
      <w:r w:rsidR="00943697">
        <w:t>)</w:t>
      </w:r>
      <w:r>
        <w:t>. Specifically, we tested whether the presence of a second functional group (mussels or algae) would alter the effects of the abiotic factors on either group. W</w:t>
      </w:r>
      <w:r w:rsidR="000337CD" w:rsidRPr="00416C90">
        <w:t xml:space="preserve">ater temperature </w:t>
      </w:r>
      <w:r>
        <w:t xml:space="preserve">was manipulated at </w:t>
      </w:r>
      <w:r w:rsidR="000337CD" w:rsidRPr="00416C90">
        <w:t>three levels: ambient, +</w:t>
      </w:r>
      <w:r w:rsidR="00A25ABE">
        <w:t>0.8</w:t>
      </w:r>
      <w:r w:rsidR="000337CD">
        <w:t xml:space="preserve"> </w:t>
      </w:r>
      <w:r w:rsidR="000337CD" w:rsidRPr="00416C90">
        <w:t xml:space="preserve">°C, </w:t>
      </w:r>
      <w:r w:rsidR="00E24AFB">
        <w:t xml:space="preserve">and </w:t>
      </w:r>
      <w:r w:rsidR="000337CD" w:rsidRPr="00416C90">
        <w:t>+2</w:t>
      </w:r>
      <w:r w:rsidR="000337CD">
        <w:t xml:space="preserve"> </w:t>
      </w:r>
      <w:r w:rsidR="000337CD" w:rsidRPr="00416C90">
        <w:t>°C</w:t>
      </w:r>
      <w:r w:rsidR="001831BD">
        <w:t xml:space="preserve">. </w:t>
      </w:r>
      <w:r w:rsidR="000337CD" w:rsidRPr="00D50D49">
        <w:t>pCO</w:t>
      </w:r>
      <w:r w:rsidR="000337CD" w:rsidRPr="00D50D49">
        <w:rPr>
          <w:vertAlign w:val="subscript"/>
        </w:rPr>
        <w:t>2</w:t>
      </w:r>
      <w:r w:rsidR="000337CD" w:rsidRPr="00416C90">
        <w:t xml:space="preserve"> </w:t>
      </w:r>
      <w:r>
        <w:t xml:space="preserve">was manipulated at </w:t>
      </w:r>
      <w:r w:rsidR="000337CD">
        <w:t>two</w:t>
      </w:r>
      <w:r w:rsidR="000337CD" w:rsidRPr="00416C90">
        <w:t xml:space="preserve"> levels</w:t>
      </w:r>
      <w:r>
        <w:t xml:space="preserve"> to simulate acidification with the corresponding pH</w:t>
      </w:r>
      <w:r w:rsidR="000337CD" w:rsidRPr="00416C90">
        <w:t>: ambient (4</w:t>
      </w:r>
      <w:r w:rsidR="000337CD">
        <w:t xml:space="preserve">50 </w:t>
      </w:r>
      <w:r w:rsidR="000337CD" w:rsidRPr="00416C90">
        <w:t>ppm)</w:t>
      </w:r>
      <w:r>
        <w:t xml:space="preserve"> and</w:t>
      </w:r>
      <w:r w:rsidR="000337CD" w:rsidRPr="00416C90">
        <w:t xml:space="preserve"> </w:t>
      </w:r>
      <w:r w:rsidR="001D3E05">
        <w:t>elevated</w:t>
      </w:r>
      <w:r w:rsidR="001D3E05" w:rsidRPr="00416C90">
        <w:t xml:space="preserve"> </w:t>
      </w:r>
      <w:r w:rsidR="000337CD" w:rsidRPr="00416C90">
        <w:t>(6</w:t>
      </w:r>
      <w:r w:rsidR="00031801">
        <w:t>45</w:t>
      </w:r>
      <w:r w:rsidR="000337CD">
        <w:t xml:space="preserve"> </w:t>
      </w:r>
      <w:r w:rsidR="000337CD" w:rsidRPr="00416C90">
        <w:t>ppm)</w:t>
      </w:r>
      <w:r>
        <w:t>.</w:t>
      </w:r>
      <w:r w:rsidR="000337CD">
        <w:t xml:space="preserve"> </w:t>
      </w:r>
      <w:r>
        <w:t xml:space="preserve">Each experimental set consisted of </w:t>
      </w:r>
      <w:r w:rsidR="006B21E0">
        <w:t>twelve</w:t>
      </w:r>
      <w:r>
        <w:t xml:space="preserve"> treatments, of which </w:t>
      </w:r>
      <w:r w:rsidR="006B21E0">
        <w:t>six</w:t>
      </w:r>
      <w:r>
        <w:t xml:space="preserve"> overlapped. </w:t>
      </w:r>
      <w:r w:rsidR="000337CD">
        <w:t>In total, 18 treatments</w:t>
      </w:r>
      <w:r w:rsidR="006B21E0">
        <w:t xml:space="preserve"> </w:t>
      </w:r>
      <w:r w:rsidR="000337CD">
        <w:t>(</w:t>
      </w:r>
      <w:r w:rsidR="000337CD">
        <w:rPr>
          <w:i/>
          <w:iCs/>
        </w:rPr>
        <w:t xml:space="preserve">n </w:t>
      </w:r>
      <w:r w:rsidR="000337CD">
        <w:t xml:space="preserve">= 5) </w:t>
      </w:r>
      <w:r w:rsidR="000337CD" w:rsidRPr="00416C90">
        <w:t>were distributed randomly across 90 mesocosms</w:t>
      </w:r>
      <w:r w:rsidR="000337CD">
        <w:t xml:space="preserve"> and the factorial design enabled the testing of the independent and combined effects of all factors and their respective levels. The </w:t>
      </w:r>
      <w:r w:rsidR="006C4DC3">
        <w:t>abiotic</w:t>
      </w:r>
      <w:r w:rsidR="000337CD">
        <w:t xml:space="preserve"> treatments simulated predicted conditions in Ireland in a moderate climate change scenario in the year 2100, or conditions that might prevail </w:t>
      </w:r>
      <w:r w:rsidR="006C4DC3">
        <w:t>sooner</w:t>
      </w:r>
      <w:r w:rsidR="000337CD">
        <w:t xml:space="preserve"> </w:t>
      </w:r>
      <w:r w:rsidR="006C4DC3">
        <w:t>approaching</w:t>
      </w:r>
      <w:r w:rsidR="000337CD">
        <w:t xml:space="preserve"> an extreme business-as-usual scenario </w:t>
      </w:r>
      <w:r w:rsidR="000337CD">
        <w:fldChar w:fldCharType="begin" w:fldLock="1"/>
      </w:r>
      <w:r w:rsidR="00082159">
        <w:instrText>ADDIN CSL_CITATION {"citationItems":[{"id":"ITEM-1","itemData":{"DOI":"10.1256/004316502320517344","ISBN":"9291691224","ISSN":"14764687","PMID":"17429376","abstract":"This Synthesis Report is based on the assessment carried out by the three Working Groups (WGs) of the Intergovernmental Panel on Climate Change (IPCC). It provides an integrated view of climate change as the final part of the IPCCs Fourth Assessment Re- port (AR4). Topic 1 summarises observed changes in climate and their ef- fects on natural and human systems, regardless of their causes, while Topic 2 assesses the causes of the observed changes. Topic 3 pre- sents projections of future climate change and related impacts un- der different scenarios. Topic 4 discusses adaptation and mitigation options over the next few decades and their interactions with sustainable develop- ment. Topic 5 assesses the relationship between adaptation and mitigation on a more conceptual basis and takes a longer-term per- spective. Topic 6 summarises the major robust findings and remain- ing key uncertainties in this assessment. A schematic framework representing anthropogenic drivers, impacts of and responses to climate change, and their linkages, is shown in Figure I.1. At the time of the Third Assessment Report (TAR) in 2001, information was mainly available to describe the linkages clockwise, i.e. to derive climatic changes and impacts from socio-economic information and emissions. With increased under- standing of these linkages, it is now possible to assess the linkages also counterclockwise, i.e. to evaluate possible development path- ways and global emissions constraints that would reduce the risk of future impacts that society may wish to avoid.","author":[{"dropping-particle":"","family":"IPCC","given":"","non-dropping-particle":"","parse-names":false,"suffix":""}],"editor":[{"dropping-particle":"","family":"Core Writing Team","given":"","non-dropping-particle":"","parse-names":false,"suffix":""},{"dropping-particle":"","family":"Pachauri","given":"R. K.","non-dropping-particle":"","parse-names":false,"suffix":""},{"dropping-particle":"","family":"Meyer","given":"L. A.","non-dropping-particle":"","parse-names":false,"suffix":""}],"id":"ITEM-1","issued":{"date-parts":[["2014"]]},"number-of-pages":"151","publisher-place":"Geneva, Switzerland","title":"Climate Change 2014: Synthesis Report. Contribution of Working Groups I, II and III to the Fifth Assessment Report of the Intergovernmental Panel on Climate Change","type":"report"},"uris":["http://www.mendeley.com/documents/?uuid=7c9a6869-040d-4828-bc87-e2d4556008e1"]},{"id":"ITEM-2","itemData":{"DOI":"10.1007/s10113-013-0499-2","ISSN":"1436378X","abstract":"A new high-resolution regional climate change ensemble has been established for Europe within the World Climate Research Program Coordinated Regional Downscaling Experiment (EURO-CORDEX) initiative. The first set of simulations with a horizontal resolution of 12.5 km was completed for the new emission scenarios RCP4.5 and RCP8.5 with more simulations expected to follow. The aim of this paper is to present this data set to the different communities active in regional climate modelling, impact assessment and adaptation. The EURO-CORDEX ensemble results have been compared to the SRES A1B simulation results achieved within the ENSEMBLES project. The large-scale patterns of changes in mean temperature and precipitation are similar in all three scenarios, but they differ in regional details, which can partly be related to the higher resolution in EURO-CORDEX. The results strengthen those obtained in ENSEMBLES, but need further investigations. The analysis of impact indices shows that for RCP8.5, there is a substantially larger change projected for temperature-based indices than for RCP4.5. The difference is less pronounced for precipitation-based indices. Two effects of the increased resolution can be regarded as an added value of regional climate simulations. Regional climate model simulations provide higher daily precipitation intensities, which are completely missing in the global climate model simulations, and they provide a significantly different climate change of daily precipitation intensities resulting in a smoother shift from weak to moderate and high intensities. © 2013 The Author(s).","author":[{"dropping-particle":"","family":"Jacob","given":"Daniela","non-dropping-particle":"","parse-names":false,"suffix":""},{"dropping-particle":"","family":"Petersen","given":"Juliane","non-dropping-particle":"","parse-names":false,"suffix":""},{"dropping-particle":"","family":"Eggert","given":"Bastian","non-dropping-particle":"","parse-names":false,"suffix":""},{"dropping-particle":"","family":"Alias","given":"Antoinette","non-dropping-particle":"","parse-names":false,"suffix":""},{"dropping-particle":"","family":"Christensen","given":"Ole Bøssing","non-dropping-particle":"","parse-names":false,"suffix":""},{"dropping-particle":"","family":"Bouwer","given":"Laurens M.","non-dropping-particle":"","parse-names":false,"suffix":""},{"dropping-particle":"","family":"Braun","given":"Alain","non-dropping-particle":"","parse-names":false,"suffix":""},{"dropping-particle":"","family":"Colette","given":"Augustin","non-dropping-particle":"","parse-names":false,"suffix":""},{"dropping-particle":"","family":"Déqué","given":"Michel","non-dropping-particle":"","parse-names":false,"suffix":""},{"dropping-particle":"","family":"Georgievski","given":"Goran","non-dropping-particle":"","parse-names":false,"suffix":""},{"dropping-particle":"","family":"Georgopoulou","given":"Elena","non-dropping-particle":"","parse-names":false,"suffix":""},{"dropping-particle":"","family":"Gobiet","given":"Andreas","non-dropping-particle":"","parse-names":false,"suffix":""},{"dropping-particle":"","family":"Menut","given":"Laurent","non-dropping-particle":"","parse-names":false,"suffix":""},{"dropping-particle":"","family":"Nikulin","given":"Grigory","non-dropping-particle":"","parse-names":false,"suffix":""},{"dropping-particle":"","family":"Haensler","given":"Andreas","non-dropping-particle":"","parse-names":false,"suffix":""},{"dropping-particle":"","family":"Hempelmann","given":"Nils","non-dropping-particle":"","parse-names":false,"suffix":""},{"dropping-particle":"","family":"Jones","given":"Colin","non-dropping-particle":"","parse-names":false,"suffix":""},{"dropping-particle":"","family":"Keuler","given":"Klaus","non-dropping-particle":"","parse-names":false,"suffix":""},{"dropping-particle":"","family":"Kovats","given":"Sari","non-dropping-particle":"","parse-names":false,"suffix":""},{"dropping-particle":"","family":"Kröner","given":"Nico","non-dropping-particle":"","parse-names":false,"suffix":""},{"dropping-particle":"","family":"Kotlarski","given":"Sven","non-dropping-particle":"","parse-names":false,"suffix":""},{"dropping-particle":"","family":"Kriegsmann","given":"Arne","non-dropping-particle":"","parse-names":false,"suffix":""},{"dropping-particle":"","family":"Martin","given":"Eric","non-dropping-particle":"","parse-names":false,"suffix":""},{"dropping-particle":"","family":"Meijgaard","given":"Erik","non-dropping-particle":"van","parse-names":false,"suffix":""},{"dropping-particle":"","family":"Moseley","given":"Christopher","non-dropping-particle":"","parse-names":false,"suffix":""},{"dropping-particle":"","family":"Pfeifer","given":"Susanne","non-dropping-particle":"","parse-names":false,"suffix":""},{"dropping-particle":"","family":"Preuschmann","given":"Swantje","non-dropping-particle":"","parse-names":false,"suffix":""},{"dropping-particle":"","family":"Radermacher","given":"Christine","non-dropping-particle":"","parse-names":false,"suffix":""},{"dropping-particle":"","family":"Radtke","given":"Kai","non-dropping-particle":"","parse-names":false,"suffix":""},{"dropping-particle":"","family":"Rechid","given":"Diana","non-dropping-particle":"","parse-names":false,"suffix":""},{"dropping-particle":"","family":"Rounsevell","given":"Mark","non-dropping-particle":"","parse-names":false,"suffix":""},{"dropping-particle":"","family":"Samuelsson","given":"Patrick","non-dropping-particle":"","parse-names":false,"suffix":""},{"dropping-particle":"","family":"Somot","given":"Samuel","non-dropping-particle":"","parse-names":false,"suffix":""},{"dropping-particle":"","family":"Soussana","given":"Jean Francois","non-dropping-particle":"","parse-names":false,"suffix":""},{"dropping-particle":"","family":"Teichmann","given":"Claas","non-dropping-particle":"","parse-names":false,"suffix":""},{"dropping-particle":"","family":"Valentini","given":"Riccardo","non-dropping-particle":"","parse-names":false,"suffix":""},{"dropping-particle":"","family":"Vautard","given":"Robert","non-dropping-particle":"","parse-names":false,"suffix":""},{"dropping-particle":"","family":"Weber","given":"Björn","non-dropping-particle":"","parse-names":false,"suffix":""},{"dropping-particle":"","family":"Yiou","given":"Pascal","non-dropping-particle":"","parse-names":false,"suffix":""}],"container-title":"Regional Environmental Change","id":"ITEM-2","issue":"2","issued":{"date-parts":[["2014"]]},"page":"563-578","title":"EURO-CORDEX: New high-resolution climate change projections for European impact research","type":"article-journal","volume":"14"},"uris":["http://www.mendeley.com/documents/?uuid=363284b2-41f3-4231-9eda-3fe09fc451d8"]}],"mendeley":{"formattedCitation":"(IPCC, 2014; Jacob et al., 2014)","plainTextFormattedCitation":"(IPCC, 2014; Jacob et al., 2014)","previouslyFormattedCitation":"(IPCC, 2014; Jacob et al., 2014)"},"properties":{"noteIndex":0},"schema":"https://github.com/citation-style-language/schema/raw/master/csl-citation.json"}</w:instrText>
      </w:r>
      <w:r w:rsidR="000337CD">
        <w:fldChar w:fldCharType="separate"/>
      </w:r>
      <w:r w:rsidR="000337CD" w:rsidRPr="00082159">
        <w:rPr>
          <w:noProof/>
        </w:rPr>
        <w:t>(IPCC, 2014; Jacob et al., 2014)</w:t>
      </w:r>
      <w:r w:rsidR="000337CD">
        <w:fldChar w:fldCharType="end"/>
      </w:r>
      <w:r w:rsidR="000337CD">
        <w:t xml:space="preserve">. </w:t>
      </w:r>
      <w:r w:rsidR="00A01528" w:rsidRPr="00416C90">
        <w:t>Six additional mesocosms</w:t>
      </w:r>
      <w:r w:rsidR="00A01528">
        <w:t xml:space="preserve"> that contained only seawater but no </w:t>
      </w:r>
      <w:r w:rsidR="00AE02E2">
        <w:t>biota</w:t>
      </w:r>
      <w:r w:rsidR="00AE02E2" w:rsidRPr="00416C90">
        <w:t xml:space="preserve"> </w:t>
      </w:r>
      <w:r w:rsidR="00D0527D">
        <w:t xml:space="preserve">(that can influence pH </w:t>
      </w:r>
      <w:r w:rsidR="00D0527D">
        <w:fldChar w:fldCharType="begin" w:fldLock="1"/>
      </w:r>
      <w:r w:rsidR="00454238">
        <w:instrText>ADDIN CSL_CITATION {"citationItems":[{"id":"ITEM-1","itemData":{"DOI":"10.1038/s41598-018-37764-4","ISSN":"20452322","abstract":"Ocean acidification poses serious threats to coastal ecosystem services, yet few empirical studies have investigated how local ecological processes may modulate global changes of pH from rising atmospheric CO2. We quantified patterns of pH variability as a function of atmospheric CO2 and local physical and biological processes at 83 sites over 25 years in the Salish Sea and two NE Pacific estuaries. Mean seawater pH decreased significantly at −0.009 ± 0.0005 pH yr−1 (0.22 pH over 25 years), with spatially variable rates ranging up to 10 times greater than atmospheric CO2-driven ocean acidification. Dissolved oxygen saturation (%DO) decreased by −0.24 ± 0.036% yr−1, with site-specific trends similar to pH. Mean pH shifted from &lt;7.6 in winter to &gt;8.0 in summer concomitant to the seasonal shift from heterotrophy (%DO &lt; 100) to autotrophy (%DO &gt; 100) and dramatic shifts in aragonite saturation state critical to shell-forming organisms (probability of undersaturation was &gt;80% in winter, but &lt;20% in summer). %DO overwhelmed the influence of atmospheric CO2, temperature and salinity on pH across scales. Collectively, these observations provide evidence that local ecosystem processes modulate ocean acidification, and support the adoption of an ecosystem perspective to ocean acidification and multiple stressors in productive aquatic habitats.","author":[{"dropping-particle":"","family":"Lowe","given":"Alexander T.","non-dropping-particle":"","parse-names":false,"suffix":""},{"dropping-particle":"","family":"Bos","given":"Julia","non-dropping-particle":"","parse-names":false,"suffix":""},{"dropping-particle":"","family":"Ruesink","given":"Jennifer","non-dropping-particle":"","parse-names":false,"suffix":""}],"container-title":"Scientific Reports","id":"ITEM-1","issue":"1","issued":{"date-parts":[["2019"]]},"page":"1-11","publisher":"Springer US","title":"Ecosystem metabolism drives pH variability and modulates long-term ocean acidification in the Northeast Pacific coastal ocean","type":"article-journal","volume":"9"},"uris":["http://www.mendeley.com/documents/?uuid=72b60313-f9df-48da-82df-1f905ee48df4"]}],"mendeley":{"formattedCitation":"(Lowe et al., 2019)","manualFormatting":"[Lowe et al., 2019])","plainTextFormattedCitation":"(Lowe et al., 2019)","previouslyFormattedCitation":"(Lowe et al., 2019)"},"properties":{"noteIndex":0},"schema":"https://github.com/citation-style-language/schema/raw/master/csl-citation.json"}</w:instrText>
      </w:r>
      <w:r w:rsidR="00D0527D">
        <w:fldChar w:fldCharType="separate"/>
      </w:r>
      <w:r w:rsidR="00D0527D">
        <w:rPr>
          <w:noProof/>
        </w:rPr>
        <w:t>[</w:t>
      </w:r>
      <w:r w:rsidR="00D0527D" w:rsidRPr="000C54B8">
        <w:rPr>
          <w:noProof/>
        </w:rPr>
        <w:t>Lowe et al., 2019</w:t>
      </w:r>
      <w:r w:rsidR="00D0527D">
        <w:rPr>
          <w:noProof/>
        </w:rPr>
        <w:t>]</w:t>
      </w:r>
      <w:r w:rsidR="00D0527D" w:rsidRPr="000C54B8">
        <w:rPr>
          <w:noProof/>
        </w:rPr>
        <w:t>)</w:t>
      </w:r>
      <w:r w:rsidR="00D0527D">
        <w:fldChar w:fldCharType="end"/>
      </w:r>
      <w:r w:rsidR="00D0527D">
        <w:t xml:space="preserve"> </w:t>
      </w:r>
      <w:r w:rsidR="00A01528">
        <w:t xml:space="preserve">were established to monitor variation in the abiotic conditions at each combination of temperature and </w:t>
      </w:r>
      <w:r w:rsidR="00A01528" w:rsidRPr="00D50D49">
        <w:t>pCO</w:t>
      </w:r>
      <w:r w:rsidR="00A01528" w:rsidRPr="00D50D49">
        <w:rPr>
          <w:vertAlign w:val="subscript"/>
        </w:rPr>
        <w:t>2</w:t>
      </w:r>
      <w:r w:rsidR="00A01528">
        <w:t xml:space="preserve"> levels. </w:t>
      </w:r>
      <w:r w:rsidR="00AE02E2">
        <w:t>Mussels and algae</w:t>
      </w:r>
      <w:r w:rsidR="00A01528" w:rsidRPr="00416C90">
        <w:t xml:space="preserve"> </w:t>
      </w:r>
      <w:r w:rsidR="00A01528">
        <w:t xml:space="preserve">were collected </w:t>
      </w:r>
      <w:r w:rsidR="00DD21F4">
        <w:t>locally</w:t>
      </w:r>
      <w:r w:rsidR="00A01528">
        <w:t xml:space="preserve"> and </w:t>
      </w:r>
      <w:r w:rsidR="00A01528" w:rsidRPr="00416C90">
        <w:t>acclimatise</w:t>
      </w:r>
      <w:r w:rsidR="00A01528">
        <w:t>d</w:t>
      </w:r>
      <w:r w:rsidR="00A01528" w:rsidRPr="00416C90">
        <w:t xml:space="preserve"> to laboratory conditions at ambient temperature and </w:t>
      </w:r>
      <w:r w:rsidR="00A01528" w:rsidRPr="00D50D49">
        <w:t>pCO</w:t>
      </w:r>
      <w:r w:rsidR="00A01528" w:rsidRPr="00D50D49">
        <w:rPr>
          <w:vertAlign w:val="subscript"/>
        </w:rPr>
        <w:t>2</w:t>
      </w:r>
      <w:r w:rsidR="00A01528" w:rsidRPr="00416C90">
        <w:t xml:space="preserve"> for one week before temperature and </w:t>
      </w:r>
      <w:r w:rsidR="00A01528" w:rsidRPr="00D50D49">
        <w:t>pCO</w:t>
      </w:r>
      <w:r w:rsidR="00A01528" w:rsidRPr="00D50D49">
        <w:rPr>
          <w:vertAlign w:val="subscript"/>
        </w:rPr>
        <w:t>2</w:t>
      </w:r>
      <w:r w:rsidR="00A01528" w:rsidRPr="00416C90">
        <w:t xml:space="preserve"> manipulations started</w:t>
      </w:r>
      <w:r w:rsidR="00A01528">
        <w:t xml:space="preserve"> </w:t>
      </w:r>
      <w:r w:rsidR="00A01528">
        <w:fldChar w:fldCharType="begin" w:fldLock="1"/>
      </w:r>
      <w:r w:rsidR="00082159">
        <w:instrText>ADDIN CSL_CITATION {"citationItems":[{"id":"ITEM-1","itemData":{"DOI":"10.1016/j.marpolbul.2019.05.040","ISSN":"18793363","abstract":"The effects of short-term (7 days) experimental ocean acidification (−0.4 pH units) and warming (+5 °C) on anti-predator defenses of two sympatric Mytilus species from China, M. coruscus and M. edulis, in the presence and absence of predator cues were investigated. Results suggested species-specific independent negative effects of acidification and warming on the number and weight of byssal threads, the force of thread attachment, and total thread plaque area. Similar negative effects were observed for clustering behaviour, with acidification and warming independently increasing the number of solitary individuals and decreasing the percentage of mussels in clusters. Acidification effects on byssus were strongly exacerbated when predators were present. Ultimately, this study suggests that short-term exposure to experimental warming and acidification can negatively impact anti-predator defense strategies in mussels with potential ramifications for predator-prey interactions and ecological functioning in systems where mussel beds play a key ecological role.","author":[{"dropping-particle":"","family":"Kong","given":"Hui","non-dropping-particle":"","parse-names":false,"suffix":""},{"dropping-particle":"","family":"Clements","given":"Jeff C.","non-dropping-particle":"","parse-names":false,"suffix":""},{"dropping-particle":"","family":"Dupont","given":"Sam","non-dropping-particle":"","parse-names":false,"suffix":""},{"dropping-particle":"","family":"Wang","given":"Ting","non-dropping-particle":"","parse-names":false,"suffix":""},{"dropping-particle":"","family":"Huang","given":"Xizhi","non-dropping-particle":"","parse-names":false,"suffix":""},{"dropping-particle":"","family":"Shang","given":"Yueyong","non-dropping-particle":"","parse-names":false,"suffix":""},{"dropping-particle":"","family":"Huang","given":"Wei","non-dropping-particle":"","parse-names":false,"suffix":""},{"dropping-particle":"","family":"Chen","given":"Jianfang","non-dropping-particle":"","parse-names":false,"suffix":""},{"dropping-particle":"","family":"Hu","given":"Menghong","non-dropping-particle":"","parse-names":false,"suffix":""},{"dropping-particle":"","family":"Wang","given":"Youji","non-dropping-particle":"","parse-names":false,"suffix":""}],"container-title":"Marine Pollution Bulletin","id":"ITEM-1","issued":{"date-parts":[["2019"]]},"page":"118-125","title":"Seawater acidification and temperature modulate anti-predator defenses in two co-existing Mytilus species","type":"article-journal","volume":"145"},"uris":["http://www.mendeley.com/documents/?uuid=f6d40c6b-42ec-47cd-a51c-1ebc07136dbe"]}],"mendeley":{"formattedCitation":"(Kong et al., 2019)","plainTextFormattedCitation":"(Kong et al., 2019)","previouslyFormattedCitation":"(Kong et al., 2019)"},"properties":{"noteIndex":0},"schema":"https://github.com/citation-style-language/schema/raw/master/csl-citation.json"}</w:instrText>
      </w:r>
      <w:r w:rsidR="00A01528">
        <w:fldChar w:fldCharType="separate"/>
      </w:r>
      <w:r w:rsidR="00A01528" w:rsidRPr="00082159">
        <w:rPr>
          <w:noProof/>
        </w:rPr>
        <w:t>(Kong et al., 2019)</w:t>
      </w:r>
      <w:r w:rsidR="00A01528">
        <w:fldChar w:fldCharType="end"/>
      </w:r>
      <w:r w:rsidR="00A01528" w:rsidRPr="00416C90">
        <w:t>. Response variables were taken after 6-7 weeks at manipulated abiotic conditions.</w:t>
      </w:r>
    </w:p>
    <w:p w14:paraId="601E5AF4" w14:textId="77777777" w:rsidR="005C77FB" w:rsidRDefault="005C77FB" w:rsidP="006733CF">
      <w:pPr>
        <w:keepNext/>
        <w:spacing w:line="480" w:lineRule="auto"/>
      </w:pPr>
      <w:r>
        <w:rPr>
          <w:noProof/>
        </w:rPr>
        <w:lastRenderedPageBreak/>
        <w:drawing>
          <wp:inline distT="0" distB="0" distL="0" distR="0" wp14:anchorId="7EF98BDA" wp14:editId="4BEE2E90">
            <wp:extent cx="5578453" cy="3056022"/>
            <wp:effectExtent l="0" t="0" r="381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Picture 272"/>
                    <pic:cNvPicPr/>
                  </pic:nvPicPr>
                  <pic:blipFill rotWithShape="1">
                    <a:blip r:embed="rId8" cstate="print">
                      <a:extLst>
                        <a:ext uri="{28A0092B-C50C-407E-A947-70E740481C1C}">
                          <a14:useLocalDpi xmlns:a14="http://schemas.microsoft.com/office/drawing/2010/main" val="0"/>
                        </a:ext>
                      </a:extLst>
                    </a:blip>
                    <a:srcRect l="852" t="1159" r="1049" b="3551"/>
                    <a:stretch/>
                  </pic:blipFill>
                  <pic:spPr bwMode="auto">
                    <a:xfrm>
                      <a:off x="0" y="0"/>
                      <a:ext cx="5586526" cy="3060445"/>
                    </a:xfrm>
                    <a:prstGeom prst="rect">
                      <a:avLst/>
                    </a:prstGeom>
                    <a:ln>
                      <a:noFill/>
                    </a:ln>
                    <a:extLst>
                      <a:ext uri="{53640926-AAD7-44D8-BBD7-CCE9431645EC}">
                        <a14:shadowObscured xmlns:a14="http://schemas.microsoft.com/office/drawing/2010/main"/>
                      </a:ext>
                    </a:extLst>
                  </pic:spPr>
                </pic:pic>
              </a:graphicData>
            </a:graphic>
          </wp:inline>
        </w:drawing>
      </w:r>
    </w:p>
    <w:p w14:paraId="61176F6C" w14:textId="073B7723" w:rsidR="00F774F3" w:rsidRDefault="005C77FB">
      <w:pPr>
        <w:pStyle w:val="Caption"/>
      </w:pPr>
      <w:bookmarkStart w:id="5" w:name="_Ref155894839"/>
      <w:bookmarkStart w:id="6" w:name="_Ref155894835"/>
      <w:bookmarkStart w:id="7" w:name="_Toc157356671"/>
      <w:r>
        <w:t xml:space="preserve">Figure </w:t>
      </w:r>
      <w:fldSimple w:instr=" SEQ Figure \* ARABIC \s 1 ">
        <w:r w:rsidR="00A91EA4">
          <w:rPr>
            <w:noProof/>
          </w:rPr>
          <w:t>1</w:t>
        </w:r>
      </w:fldSimple>
      <w:bookmarkEnd w:id="5"/>
      <w:r w:rsidR="007811D2">
        <w:t xml:space="preserve"> Experimental design for testing the effects of warming and acidification on mussels </w:t>
      </w:r>
      <w:r w:rsidR="00DD21F4">
        <w:t>and on</w:t>
      </w:r>
      <w:r w:rsidR="007811D2">
        <w:t xml:space="preserve"> algae separately, in addition to testing for effects of mussels and algae on each other.</w:t>
      </w:r>
      <w:bookmarkEnd w:id="6"/>
      <w:bookmarkEnd w:id="7"/>
    </w:p>
    <w:p w14:paraId="6880FCFF" w14:textId="77777777" w:rsidR="000337CD" w:rsidRDefault="000337CD" w:rsidP="006733CF">
      <w:pPr>
        <w:pStyle w:val="Heading3"/>
        <w:spacing w:line="480" w:lineRule="auto"/>
      </w:pPr>
      <w:bookmarkStart w:id="8" w:name="_Toc157356535"/>
      <w:r>
        <w:t>Experimental set-up</w:t>
      </w:r>
      <w:bookmarkEnd w:id="8"/>
    </w:p>
    <w:p w14:paraId="3776C23E" w14:textId="6D8D2AD0" w:rsidR="000337CD" w:rsidRDefault="000337CD" w:rsidP="006733CF">
      <w:pPr>
        <w:spacing w:line="480" w:lineRule="auto"/>
      </w:pPr>
      <w:r>
        <w:t xml:space="preserve">The experiment was carried out </w:t>
      </w:r>
      <w:r w:rsidR="00692348">
        <w:t>using</w:t>
      </w:r>
      <w:r>
        <w:t xml:space="preserve"> the experimental mesocosm platform QIMS (Quantifying the Impacts of Multiple </w:t>
      </w:r>
      <w:r w:rsidRPr="00F30463">
        <w:t>Stressors;</w:t>
      </w:r>
      <w:r w:rsidR="002009B9">
        <w:t xml:space="preserve"> </w:t>
      </w:r>
      <w:r w:rsidR="002009B9">
        <w:fldChar w:fldCharType="begin" w:fldLock="1"/>
      </w:r>
      <w:r w:rsidR="00A661A4">
        <w:instrText>ADDIN CSL_CITATION {"citationItems":[{"id":"ITEM-1","itemData":{"author":[{"dropping-particle":"","family":"Schertenleib","given":"Katrin Simone Hilke","non-dropping-particle":"","parse-names":false,"suffix":""}],"container-title":"PhD thesis","id":"ITEM-1","issued":{"date-parts":[["2024"]]},"number-of-pages":"150","publisher":"Trinity College Dublin, the University of Dublin","title":"Quantifying the impacts of multiple stressors on the production of marine benthic resources","type":"thesis"},"uris":["http://www.mendeley.com/documents/?uuid=5462332e-d880-47a7-8e20-31ae130d93c6"]}],"mendeley":{"formattedCitation":"(Schertenleib, 2024)","manualFormatting":"Schertenleib, 2023)","plainTextFormattedCitation":"(Schertenleib, 2024)","previouslyFormattedCitation":"(Schertenleib, 2023)"},"properties":{"noteIndex":0},"schema":"https://github.com/citation-style-language/schema/raw/master/csl-citation.json"}</w:instrText>
      </w:r>
      <w:r w:rsidR="002009B9">
        <w:fldChar w:fldCharType="separate"/>
      </w:r>
      <w:r w:rsidR="002009B9" w:rsidRPr="002009B9">
        <w:rPr>
          <w:noProof/>
        </w:rPr>
        <w:t>Schertenleib, 2023)</w:t>
      </w:r>
      <w:r w:rsidR="002009B9">
        <w:fldChar w:fldCharType="end"/>
      </w:r>
      <w:r w:rsidRPr="00F30463">
        <w:t xml:space="preserve"> at</w:t>
      </w:r>
      <w:r>
        <w:t xml:space="preserve"> Trinity College Dublin, Ireland, from 28/10/2020 to 18/12/2020. </w:t>
      </w:r>
      <w:r w:rsidR="00FF2393" w:rsidRPr="00FF2393">
        <w:t>The set-up comprised of 96 independent mesocosms that were opaque polypropylene boxes (40 x 60 x 28 cm) filled with 32 L of seawater. The seawater was collected from 20 m depth at the Irish continental shelf (supplied by Seahorse Aquariums) and had a salinity of 34.3. In each mesocosm, the water was continuously recirculated at 130 L/h using small aquarium pumps (</w:t>
      </w:r>
      <w:proofErr w:type="spellStart"/>
      <w:r w:rsidR="00FF2393" w:rsidRPr="00FF2393">
        <w:t>OptiMax</w:t>
      </w:r>
      <w:proofErr w:type="spellEnd"/>
      <w:r w:rsidR="00FF2393" w:rsidRPr="00FF2393">
        <w:t xml:space="preserve"> 500, </w:t>
      </w:r>
      <w:proofErr w:type="spellStart"/>
      <w:r w:rsidR="00FF2393" w:rsidRPr="00FF2393">
        <w:t>Oase</w:t>
      </w:r>
      <w:proofErr w:type="spellEnd"/>
      <w:r w:rsidR="00FF2393" w:rsidRPr="00FF2393">
        <w:t xml:space="preserve"> Living Water), which ensured homogenous mixing. The seawater flow returned into each mesocosm at an angle opposite the pumps to maximise mixing and increase surface gas exchange. Mesocosms were aerated at 15.5 mL/min via aquarium sponge filters (PK200 for &lt; 200 L, </w:t>
      </w:r>
      <w:proofErr w:type="spellStart"/>
      <w:r w:rsidR="00FF2393" w:rsidRPr="00FF2393">
        <w:t>Xinyou</w:t>
      </w:r>
      <w:proofErr w:type="spellEnd"/>
      <w:r w:rsidR="00FF2393" w:rsidRPr="00FF2393">
        <w:t xml:space="preserve"> Aquarium) that ensured nutrient cycling by providing a settlement surface for microorganisms</w:t>
      </w:r>
      <w:r w:rsidR="00DD21F4">
        <w:t>,</w:t>
      </w:r>
      <w:r w:rsidR="00FF2393" w:rsidRPr="00FF2393">
        <w:t xml:space="preserve"> such as denitrifying bacteria. Lids of transparent polypropylene (</w:t>
      </w:r>
      <w:proofErr w:type="spellStart"/>
      <w:r w:rsidR="00FF2393" w:rsidRPr="00FF2393">
        <w:t>Foliarex</w:t>
      </w:r>
      <w:proofErr w:type="spellEnd"/>
      <w:r w:rsidR="00FF2393" w:rsidRPr="00FF2393">
        <w:t xml:space="preserve"> UV4 Greenhouse Film) were attached to the mesocosms and captured the individual, ambient or </w:t>
      </w:r>
      <w:r w:rsidR="00CB4987" w:rsidRPr="00D50D49">
        <w:t>pCO</w:t>
      </w:r>
      <w:r w:rsidR="00CB4987" w:rsidRPr="00D50D49">
        <w:rPr>
          <w:vertAlign w:val="subscript"/>
        </w:rPr>
        <w:t>2</w:t>
      </w:r>
      <w:r w:rsidR="00FF2393" w:rsidRPr="00FF2393">
        <w:t xml:space="preserve">-enriched atmospheres in 16 L headspaces above the seawater. Illumination of 50±4 µmol/m²s (mean ± standard deviation; penetrating through the lids) was provided by LED lights with standard artificial daylight colour (Radium </w:t>
      </w:r>
      <w:proofErr w:type="spellStart"/>
      <w:r w:rsidR="00FF2393" w:rsidRPr="00FF2393">
        <w:t>RaLED</w:t>
      </w:r>
      <w:proofErr w:type="spellEnd"/>
      <w:r w:rsidR="00FF2393" w:rsidRPr="00FF2393">
        <w:t xml:space="preserve"> DAMPPROOF; 6500 Kelvin), set to </w:t>
      </w:r>
      <w:r w:rsidR="001A138C" w:rsidRPr="001A138C">
        <w:t>a</w:t>
      </w:r>
      <w:r w:rsidR="00D41A07">
        <w:t xml:space="preserve"> </w:t>
      </w:r>
      <w:r>
        <w:t xml:space="preserve">10:14 hour </w:t>
      </w:r>
      <w:proofErr w:type="spellStart"/>
      <w:r>
        <w:t>light:dark</w:t>
      </w:r>
      <w:proofErr w:type="spellEnd"/>
      <w:r>
        <w:t xml:space="preserve"> cycle, reflecting average Irish autumn daylight conditions.</w:t>
      </w:r>
      <w:r w:rsidR="006C77D5">
        <w:t xml:space="preserve"> Oxygen levels were measured weekly and remained saturated &gt; 8.2 mg/L.</w:t>
      </w:r>
      <w:r>
        <w:t xml:space="preserve"> Halfway through the </w:t>
      </w:r>
      <w:r>
        <w:lastRenderedPageBreak/>
        <w:t xml:space="preserve">experiment, </w:t>
      </w:r>
      <w:r w:rsidR="001276C4">
        <w:t xml:space="preserve">the </w:t>
      </w:r>
      <w:r>
        <w:t>water was drained and replaced with fresh seawater</w:t>
      </w:r>
      <w:r w:rsidR="00822817">
        <w:t xml:space="preserve"> to maintain high water quality. During this process</w:t>
      </w:r>
      <w:r>
        <w:t xml:space="preserve">, </w:t>
      </w:r>
      <w:r w:rsidR="0081162B">
        <w:t xml:space="preserve">mussel faeces and </w:t>
      </w:r>
      <w:r>
        <w:t>biofilm w</w:t>
      </w:r>
      <w:r w:rsidR="00822817">
        <w:t>ere</w:t>
      </w:r>
      <w:r>
        <w:t xml:space="preserve"> </w:t>
      </w:r>
      <w:r w:rsidR="006235AD">
        <w:t>removed from</w:t>
      </w:r>
      <w:r>
        <w:t xml:space="preserve"> the mesocosm bottoms</w:t>
      </w:r>
      <w:r w:rsidR="00AE72D6">
        <w:t>.</w:t>
      </w:r>
      <w:r w:rsidR="006C77D5">
        <w:t xml:space="preserve"> </w:t>
      </w:r>
      <w:r w:rsidR="00CB0B1A">
        <w:t xml:space="preserve">Mussels and algae, which </w:t>
      </w:r>
      <w:r w:rsidR="00757567">
        <w:t xml:space="preserve">can </w:t>
      </w:r>
      <w:r w:rsidR="00CB0B1A">
        <w:t xml:space="preserve">both occur </w:t>
      </w:r>
      <w:r w:rsidR="00757567">
        <w:t>in the in</w:t>
      </w:r>
      <w:r w:rsidR="00CB0B1A">
        <w:t>tertidal in the wild,</w:t>
      </w:r>
      <w:r w:rsidR="006235AD">
        <w:t xml:space="preserve"> were </w:t>
      </w:r>
      <w:r w:rsidR="00CB0B1A">
        <w:t>disturbed as little as possible</w:t>
      </w:r>
      <w:r w:rsidR="00B0649C">
        <w:t xml:space="preserve"> and</w:t>
      </w:r>
      <w:r w:rsidR="00CB0B1A">
        <w:t xml:space="preserve"> exposure to</w:t>
      </w:r>
      <w:r w:rsidR="006235AD">
        <w:t xml:space="preserve"> air </w:t>
      </w:r>
      <w:r w:rsidR="00B0649C">
        <w:t xml:space="preserve">minimised to </w:t>
      </w:r>
      <w:r w:rsidR="006235AD">
        <w:t xml:space="preserve">60 minutes. </w:t>
      </w:r>
    </w:p>
    <w:p w14:paraId="2F21F38F" w14:textId="77777777" w:rsidR="000337CD" w:rsidRDefault="000337CD" w:rsidP="006733CF">
      <w:pPr>
        <w:pStyle w:val="Heading3"/>
        <w:spacing w:line="480" w:lineRule="auto"/>
      </w:pPr>
      <w:bookmarkStart w:id="9" w:name="_Toc157356536"/>
      <w:r>
        <w:t>Temperature manipulation</w:t>
      </w:r>
      <w:bookmarkEnd w:id="9"/>
    </w:p>
    <w:p w14:paraId="4256788E" w14:textId="6FFF25AB" w:rsidR="00FF2393" w:rsidRDefault="0063681C" w:rsidP="006733CF">
      <w:pPr>
        <w:spacing w:line="480" w:lineRule="auto"/>
      </w:pPr>
      <w:r>
        <w:t xml:space="preserve">Mesocosm </w:t>
      </w:r>
      <w:r w:rsidR="00C41A43">
        <w:t xml:space="preserve">water </w:t>
      </w:r>
      <w:r w:rsidR="00FF2393">
        <w:t>temperature was manipulated using a</w:t>
      </w:r>
      <w:r>
        <w:t xml:space="preserve"> separate,</w:t>
      </w:r>
      <w:r w:rsidR="00FF2393">
        <w:t xml:space="preserve"> facility-wide cooling water circuit with individual heat exchangers at each mesocosm. When recirculating the mesocosm water, the recirculation tubes </w:t>
      </w:r>
      <w:r>
        <w:t>passed</w:t>
      </w:r>
      <w:r w:rsidR="00FF2393">
        <w:t xml:space="preserve"> in opposite current direction through cooling water tubes. </w:t>
      </w:r>
      <w:r w:rsidR="0002054E">
        <w:t>T</w:t>
      </w:r>
      <w:r w:rsidR="00FF2393">
        <w:t xml:space="preserve">hree different temperature levels </w:t>
      </w:r>
      <w:r w:rsidR="0002054E">
        <w:t xml:space="preserve">were set with valves </w:t>
      </w:r>
      <w:r w:rsidR="00FF2393">
        <w:t xml:space="preserve">leading the recirculation tubes through different lengths of heat exchangers. </w:t>
      </w:r>
      <w:r w:rsidR="00FF2393" w:rsidRPr="003B3E24">
        <w:t>Three parallel-connected beer chillers (MF Refrigeration Ltd, Midi 6 Coil R290 Hydrocarbon Cooler, 2 kilowatts</w:t>
      </w:r>
      <w:r>
        <w:t xml:space="preserve"> capacity each</w:t>
      </w:r>
      <w:r w:rsidR="00FF2393" w:rsidRPr="003B3E24">
        <w:t>) continuous</w:t>
      </w:r>
      <w:r w:rsidR="00FF2393">
        <w:t>ly</w:t>
      </w:r>
      <w:r w:rsidR="00FF2393" w:rsidRPr="003B3E24">
        <w:t xml:space="preserve"> cool</w:t>
      </w:r>
      <w:r w:rsidR="00FF2393">
        <w:t>ed</w:t>
      </w:r>
      <w:r w:rsidR="00FF2393" w:rsidRPr="003B3E24">
        <w:t xml:space="preserve"> approximately 2000 L of fresh water</w:t>
      </w:r>
      <w:r w:rsidR="00FF2393">
        <w:t xml:space="preserve">, </w:t>
      </w:r>
      <w:r w:rsidR="00FF2393" w:rsidRPr="003B3E24">
        <w:t>circulate</w:t>
      </w:r>
      <w:r w:rsidR="00FF2393">
        <w:t>d</w:t>
      </w:r>
      <w:r w:rsidR="00FF2393" w:rsidRPr="003B3E24">
        <w:t xml:space="preserve"> through the </w:t>
      </w:r>
      <w:r w:rsidR="00FF2393">
        <w:t xml:space="preserve">facility </w:t>
      </w:r>
      <w:r w:rsidR="00FF2393" w:rsidRPr="003B3E24">
        <w:t>at a rate of 8200 L/h.</w:t>
      </w:r>
      <w:r w:rsidR="00FF2393">
        <w:t xml:space="preserve"> </w:t>
      </w:r>
    </w:p>
    <w:p w14:paraId="6A072645" w14:textId="1B0948CD" w:rsidR="000337CD" w:rsidRDefault="00D27595" w:rsidP="006733CF">
      <w:pPr>
        <w:spacing w:line="480" w:lineRule="auto"/>
      </w:pPr>
      <w:r>
        <w:t>After</w:t>
      </w:r>
      <w:r w:rsidR="00FF2393">
        <w:t xml:space="preserve"> temperature manipulation started, </w:t>
      </w:r>
      <w:r w:rsidR="0057106B">
        <w:t>target temperatures were reached in</w:t>
      </w:r>
      <w:r w:rsidR="00FF2393">
        <w:t xml:space="preserve"> 4-6 hours</w:t>
      </w:r>
      <w:r w:rsidR="0057106B">
        <w:t>.</w:t>
      </w:r>
      <w:r w:rsidR="00FF2393">
        <w:t xml:space="preserve"> Room temperature decreased owing to outside temperatures over the course of the experiment and the coldest (‘ambient’) temperature level ranged between 8.</w:t>
      </w:r>
      <w:r w:rsidR="00FF2393" w:rsidRPr="00CF6B90">
        <w:t xml:space="preserve">5 </w:t>
      </w:r>
      <w:r w:rsidR="00FF2393">
        <w:t xml:space="preserve">°C </w:t>
      </w:r>
      <w:r w:rsidR="00FF2393" w:rsidRPr="00CF6B90">
        <w:t>± 0.07</w:t>
      </w:r>
      <w:r w:rsidR="00FF2393">
        <w:t xml:space="preserve"> and 12.4 °C </w:t>
      </w:r>
      <w:r w:rsidR="00FF2393" w:rsidRPr="00CF6B90">
        <w:t>±</w:t>
      </w:r>
      <w:r w:rsidR="00FF2393">
        <w:t xml:space="preserve"> </w:t>
      </w:r>
      <w:r w:rsidR="00FF2393" w:rsidRPr="00F573E8">
        <w:t>0.07</w:t>
      </w:r>
      <w:r w:rsidR="00FF2393">
        <w:t xml:space="preserve"> (means </w:t>
      </w:r>
      <w:r w:rsidR="00FF2393" w:rsidRPr="00CF6B90">
        <w:t>± se</w:t>
      </w:r>
      <w:r w:rsidR="00FF2393">
        <w:t xml:space="preserve">). The medium temperature level was warmer </w:t>
      </w:r>
      <w:r w:rsidR="00FF2393" w:rsidRPr="00F573E8">
        <w:t>by 0.8 °C ± 0.0</w:t>
      </w:r>
      <w:r w:rsidR="00FF2393">
        <w:t xml:space="preserve"> and the warmest level by </w:t>
      </w:r>
      <w:r w:rsidR="00FF2393" w:rsidRPr="00F573E8">
        <w:t>2.0 °C ± 0.1</w:t>
      </w:r>
      <w:r w:rsidR="00FF2393">
        <w:t xml:space="preserve"> (means </w:t>
      </w:r>
      <w:r w:rsidR="00FF2393" w:rsidRPr="00CF6B90">
        <w:t>± se</w:t>
      </w:r>
      <w:r w:rsidR="00FF2393">
        <w:t>). Temperature was logged every 10 minutes in 42 mesocosms using HOBO pendants (type MX2201</w:t>
      </w:r>
      <w:r>
        <w:t>,</w:t>
      </w:r>
      <w:r w:rsidR="00FF2393">
        <w:t xml:space="preserve"> </w:t>
      </w:r>
      <w:r w:rsidR="00FF2393" w:rsidRPr="00A67DC1">
        <w:t>Temperature/Light 64K</w:t>
      </w:r>
      <w:r w:rsidR="00FF2393">
        <w:t xml:space="preserve">; two randomly deployed per treatment, one per mesocosm without </w:t>
      </w:r>
      <w:r>
        <w:t xml:space="preserve">biota </w:t>
      </w:r>
      <w:r w:rsidR="00FF2393">
        <w:t xml:space="preserve">for manipulation monitoring) and measured </w:t>
      </w:r>
      <w:r>
        <w:t>weekly</w:t>
      </w:r>
      <w:r w:rsidR="00FF2393">
        <w:t xml:space="preserve"> in all mesocosms using a handheld digital thermometer </w:t>
      </w:r>
      <w:r w:rsidR="00FF2393" w:rsidRPr="00976647">
        <w:t>(</w:t>
      </w:r>
      <w:proofErr w:type="spellStart"/>
      <w:r w:rsidR="00FF2393" w:rsidRPr="00976647">
        <w:t>Fisherbrand</w:t>
      </w:r>
      <w:proofErr w:type="spellEnd"/>
      <w:r w:rsidR="00FF2393" w:rsidRPr="00976647">
        <w:t xml:space="preserve"> Traceable Kangaroo Thermometer)</w:t>
      </w:r>
      <w:r w:rsidR="00FF2393">
        <w:t>.</w:t>
      </w:r>
      <w:r w:rsidR="000337CD">
        <w:t xml:space="preserve"> </w:t>
      </w:r>
    </w:p>
    <w:p w14:paraId="49C7BE01" w14:textId="77777777" w:rsidR="000337CD" w:rsidRDefault="000337CD" w:rsidP="006733CF">
      <w:pPr>
        <w:pStyle w:val="Heading3"/>
        <w:spacing w:line="480" w:lineRule="auto"/>
      </w:pPr>
      <w:bookmarkStart w:id="10" w:name="_Toc157356537"/>
      <w:r w:rsidRPr="00D50D49">
        <w:t>pCO</w:t>
      </w:r>
      <w:r w:rsidRPr="00D50D49">
        <w:rPr>
          <w:vertAlign w:val="subscript"/>
        </w:rPr>
        <w:t>2</w:t>
      </w:r>
      <w:r>
        <w:t xml:space="preserve"> manipulation and pH</w:t>
      </w:r>
      <w:bookmarkEnd w:id="10"/>
    </w:p>
    <w:p w14:paraId="05D45A88" w14:textId="7F6AC803" w:rsidR="00FF2393" w:rsidRDefault="00FF2393" w:rsidP="006733CF">
      <w:pPr>
        <w:spacing w:line="480" w:lineRule="auto"/>
      </w:pPr>
      <w:r w:rsidRPr="00E15F04">
        <w:t>pCO</w:t>
      </w:r>
      <w:r w:rsidRPr="00FF2393">
        <w:rPr>
          <w:vertAlign w:val="subscript"/>
        </w:rPr>
        <w:t>2</w:t>
      </w:r>
      <w:r w:rsidRPr="00E15F04">
        <w:t xml:space="preserve"> was </w:t>
      </w:r>
      <w:r>
        <w:t xml:space="preserve">manipulated through </w:t>
      </w:r>
      <w:r w:rsidRPr="00E15F04">
        <w:t>the air</w:t>
      </w:r>
      <w:r>
        <w:t xml:space="preserve"> lines</w:t>
      </w:r>
      <w:r w:rsidRPr="00E15F04">
        <w:t xml:space="preserve"> </w:t>
      </w:r>
      <w:r>
        <w:t>aerating</w:t>
      </w:r>
      <w:r w:rsidRPr="00E15F04">
        <w:t xml:space="preserve"> each mesocosm. </w:t>
      </w:r>
      <w:r>
        <w:t>Ambient air (45</w:t>
      </w:r>
      <w:r w:rsidR="000C54B8">
        <w:t>0</w:t>
      </w:r>
      <w:r>
        <w:t xml:space="preserve"> ppm, from Dublin City) was distributed to mesocosms using large blower pumps, while an alternative </w:t>
      </w:r>
      <w:proofErr w:type="spellStart"/>
      <w:r>
        <w:t>air line</w:t>
      </w:r>
      <w:proofErr w:type="spellEnd"/>
      <w:r>
        <w:t xml:space="preserve"> provided a </w:t>
      </w:r>
      <w:r w:rsidRPr="00BF056C">
        <w:t>CO</w:t>
      </w:r>
      <w:r w:rsidRPr="00FF2393">
        <w:rPr>
          <w:vertAlign w:val="subscript"/>
        </w:rPr>
        <w:t>2</w:t>
      </w:r>
      <w:r>
        <w:t xml:space="preserve">-enriched air mixture. Valves on each mesocosm controlled which of the two air lines were supplied. </w:t>
      </w:r>
      <w:r w:rsidR="0005090E">
        <w:t>To</w:t>
      </w:r>
      <w:r>
        <w:t xml:space="preserve"> elevate p</w:t>
      </w:r>
      <w:r w:rsidRPr="00BF056C">
        <w:t>CO</w:t>
      </w:r>
      <w:r w:rsidRPr="00FF2393">
        <w:rPr>
          <w:vertAlign w:val="subscript"/>
        </w:rPr>
        <w:t>2</w:t>
      </w:r>
      <w:r>
        <w:t xml:space="preserve">, pure </w:t>
      </w:r>
      <w:r w:rsidRPr="00BF056C">
        <w:t>CO</w:t>
      </w:r>
      <w:r w:rsidRPr="00FF2393">
        <w:rPr>
          <w:vertAlign w:val="subscript"/>
        </w:rPr>
        <w:t>2</w:t>
      </w:r>
      <w:r>
        <w:t xml:space="preserve"> was injected into a mixing vessel prior to distribution in the facility</w:t>
      </w:r>
      <w:r w:rsidR="0005090E">
        <w:t>. The concentration was</w:t>
      </w:r>
      <w:r w:rsidR="000C54B8">
        <w:t xml:space="preserve"> </w:t>
      </w:r>
      <w:r>
        <w:t xml:space="preserve">controlled using a gas analyser </w:t>
      </w:r>
      <w:r w:rsidRPr="00FF37FF">
        <w:t>(LI-COR, LI-830)</w:t>
      </w:r>
      <w:r>
        <w:t xml:space="preserve"> in combination with </w:t>
      </w:r>
      <w:r w:rsidRPr="00FF37FF">
        <w:t xml:space="preserve">a professional aquarium computer </w:t>
      </w:r>
      <w:r w:rsidRPr="00FF37FF">
        <w:lastRenderedPageBreak/>
        <w:t xml:space="preserve">(GHL, </w:t>
      </w:r>
      <w:proofErr w:type="spellStart"/>
      <w:r w:rsidRPr="00FF37FF">
        <w:t>ProfiLux</w:t>
      </w:r>
      <w:proofErr w:type="spellEnd"/>
      <w:r w:rsidRPr="00FF37FF">
        <w:t xml:space="preserve"> 3)</w:t>
      </w:r>
      <w:r w:rsidR="000C54B8">
        <w:t xml:space="preserve"> and</w:t>
      </w:r>
      <w:r>
        <w:t xml:space="preserve"> logged every second.</w:t>
      </w:r>
      <w:r w:rsidR="000C54B8">
        <w:t xml:space="preserve"> </w:t>
      </w:r>
      <w:r w:rsidR="00CF74EF">
        <w:t>Ambient</w:t>
      </w:r>
      <w:r w:rsidR="000C54B8" w:rsidRPr="000C54B8">
        <w:t xml:space="preserve"> </w:t>
      </w:r>
      <w:r w:rsidR="00CF74EF">
        <w:t>p</w:t>
      </w:r>
      <w:r w:rsidR="000C54B8" w:rsidRPr="00BF056C">
        <w:t>CO</w:t>
      </w:r>
      <w:r w:rsidR="000C54B8" w:rsidRPr="00BF056C">
        <w:rPr>
          <w:vertAlign w:val="subscript"/>
        </w:rPr>
        <w:t>2</w:t>
      </w:r>
      <w:r w:rsidR="000C54B8" w:rsidRPr="000C54B8">
        <w:t xml:space="preserve"> </w:t>
      </w:r>
      <w:r w:rsidR="00511A5B">
        <w:t>was</w:t>
      </w:r>
      <w:r w:rsidR="000C54B8" w:rsidRPr="000C54B8">
        <w:t xml:space="preserve"> monitored every minute using a </w:t>
      </w:r>
      <w:r w:rsidR="00511A5B" w:rsidRPr="00BF056C">
        <w:t>CO</w:t>
      </w:r>
      <w:r w:rsidR="00511A5B" w:rsidRPr="00BF056C">
        <w:rPr>
          <w:vertAlign w:val="subscript"/>
        </w:rPr>
        <w:t>2</w:t>
      </w:r>
      <w:r w:rsidR="000C54B8" w:rsidRPr="000C54B8">
        <w:t xml:space="preserve"> data logger (</w:t>
      </w:r>
      <w:proofErr w:type="spellStart"/>
      <w:r w:rsidR="000C54B8" w:rsidRPr="000C54B8">
        <w:t>Driesen</w:t>
      </w:r>
      <w:proofErr w:type="spellEnd"/>
      <w:r w:rsidR="000C54B8" w:rsidRPr="000C54B8">
        <w:t>-Kern, DK660)</w:t>
      </w:r>
      <w:r w:rsidR="000C54B8">
        <w:t>.</w:t>
      </w:r>
    </w:p>
    <w:p w14:paraId="06F88743" w14:textId="493D4898" w:rsidR="000337CD" w:rsidRDefault="00FF2393" w:rsidP="006733CF">
      <w:pPr>
        <w:spacing w:line="480" w:lineRule="auto"/>
      </w:pPr>
      <w:r>
        <w:t xml:space="preserve">Ambient </w:t>
      </w:r>
      <w:r w:rsidRPr="00D50D49">
        <w:t>pCO</w:t>
      </w:r>
      <w:r w:rsidRPr="00FF2393">
        <w:rPr>
          <w:vertAlign w:val="subscript"/>
        </w:rPr>
        <w:t>2</w:t>
      </w:r>
      <w:r>
        <w:t xml:space="preserve"> was </w:t>
      </w:r>
      <w:r w:rsidRPr="003F260E">
        <w:t>452 ± 0.12</w:t>
      </w:r>
      <w:r>
        <w:t xml:space="preserve"> ppm, while elevated </w:t>
      </w:r>
      <w:r w:rsidRPr="00D50D49">
        <w:t>pCO</w:t>
      </w:r>
      <w:r w:rsidRPr="00FF2393">
        <w:rPr>
          <w:vertAlign w:val="subscript"/>
        </w:rPr>
        <w:t>2</w:t>
      </w:r>
      <w:r>
        <w:t xml:space="preserve"> was </w:t>
      </w:r>
      <w:r w:rsidRPr="003F260E">
        <w:t>645 ± 0.04</w:t>
      </w:r>
      <w:r>
        <w:t xml:space="preserve"> ppm (mean </w:t>
      </w:r>
      <w:r w:rsidRPr="00CF6B90">
        <w:t>± se</w:t>
      </w:r>
      <w:r>
        <w:t>)</w:t>
      </w:r>
      <w:r w:rsidRPr="00AD7C7E">
        <w:t xml:space="preserve">. The corresponding pH in the mesocosms </w:t>
      </w:r>
      <w:r w:rsidR="000C54B8">
        <w:t xml:space="preserve">without biota </w:t>
      </w:r>
      <w:r w:rsidRPr="00AD7C7E">
        <w:t>was (mean ± se) 8.09 ± 0.004 at ambient p</w:t>
      </w:r>
      <w:r w:rsidRPr="00D50D49">
        <w:t>CO</w:t>
      </w:r>
      <w:r w:rsidRPr="00FF2393">
        <w:rPr>
          <w:vertAlign w:val="subscript"/>
        </w:rPr>
        <w:t>2</w:t>
      </w:r>
      <w:r>
        <w:t xml:space="preserve"> and 7.97</w:t>
      </w:r>
      <w:r w:rsidRPr="003F260E">
        <w:t xml:space="preserve"> ± 0.0</w:t>
      </w:r>
      <w:r>
        <w:t xml:space="preserve">03 at elevated </w:t>
      </w:r>
      <w:r w:rsidRPr="00D50D49">
        <w:t>pCO</w:t>
      </w:r>
      <w:r w:rsidRPr="00FF2393">
        <w:rPr>
          <w:vertAlign w:val="subscript"/>
        </w:rPr>
        <w:t>2</w:t>
      </w:r>
      <w:r>
        <w:t xml:space="preserve">, which was confirmed twice </w:t>
      </w:r>
      <w:r w:rsidR="00511A5B">
        <w:t>weekly</w:t>
      </w:r>
      <w:r>
        <w:t xml:space="preserve">. </w:t>
      </w:r>
      <w:r w:rsidRPr="00E15F04">
        <w:t xml:space="preserve">The </w:t>
      </w:r>
      <w:r>
        <w:t xml:space="preserve">elevated </w:t>
      </w:r>
      <w:r w:rsidRPr="00D50D49">
        <w:t>pCO</w:t>
      </w:r>
      <w:r w:rsidRPr="00FF2393">
        <w:rPr>
          <w:vertAlign w:val="subscript"/>
        </w:rPr>
        <w:t>2</w:t>
      </w:r>
      <w:r>
        <w:t xml:space="preserve"> level was reached in the air mixture within minutes of starting the treatment manipulation, while the pH in the seawater adjusted in less than </w:t>
      </w:r>
      <w:r w:rsidRPr="003274E2">
        <w:t xml:space="preserve">18 </w:t>
      </w:r>
      <w:r>
        <w:t>hours</w:t>
      </w:r>
      <w:r w:rsidR="00684B4F">
        <w:t>.</w:t>
      </w:r>
    </w:p>
    <w:p w14:paraId="7E5881F8" w14:textId="77777777" w:rsidR="000337CD" w:rsidRDefault="000337CD" w:rsidP="006733CF">
      <w:pPr>
        <w:pStyle w:val="Heading3"/>
        <w:spacing w:line="480" w:lineRule="auto"/>
      </w:pPr>
      <w:bookmarkStart w:id="11" w:name="_Toc157356538"/>
      <w:r>
        <w:t>Study organisms</w:t>
      </w:r>
      <w:bookmarkEnd w:id="11"/>
    </w:p>
    <w:p w14:paraId="247EF6E4" w14:textId="6F5DBAAE" w:rsidR="000337CD" w:rsidRDefault="000337CD" w:rsidP="006733CF">
      <w:pPr>
        <w:spacing w:line="480" w:lineRule="auto"/>
      </w:pPr>
      <w:r>
        <w:t>One-year-old mussel spat (</w:t>
      </w:r>
      <w:r w:rsidRPr="004951FD">
        <w:rPr>
          <w:i/>
          <w:iCs/>
        </w:rPr>
        <w:t>Mytilus edulis</w:t>
      </w:r>
      <w:r>
        <w:t xml:space="preserve">) was obtained from seeded rope at 1 m depth in Killary Fjord (Killary Fjord Shellfish; </w:t>
      </w:r>
      <w:r w:rsidRPr="000B33D9">
        <w:t>http://killaryfjordshellfish.com/who.html</w:t>
      </w:r>
      <w:r w:rsidRPr="004951FD">
        <w:t>)</w:t>
      </w:r>
      <w:r>
        <w:t xml:space="preserve"> in October 2020 (</w:t>
      </w:r>
      <w:r w:rsidRPr="0097196B">
        <w:rPr>
          <w:i/>
          <w:iCs/>
        </w:rPr>
        <w:t>in situ</w:t>
      </w:r>
      <w:r>
        <w:t xml:space="preserve"> water temperature 11.2 °C, pH 8.24) and kept moist and cool for transport until p</w:t>
      </w:r>
      <w:r w:rsidR="00ED5C5B">
        <w:t>laced</w:t>
      </w:r>
      <w:r>
        <w:t xml:space="preserve"> in 13 °C aerated seawater in Trinity College Dublin. After </w:t>
      </w:r>
      <w:r w:rsidR="00B21B3D">
        <w:t>five</w:t>
      </w:r>
      <w:r>
        <w:t xml:space="preserve"> days, 3.01 g ± 0 (mean ± se) of live mussel spat wet biomass, made up of 30-40 mussels with an average individual wet biomass of 0.096 mg ± 0.001 (mean ± se) and shell lengths between 7 and 16.5 mm, were assigned randomly to mesocosms. In the mesocosms, the mussels were placed on garden mesh tiles (15 x 15 cm polypropylene with 7 mm single mesh diameter), 2 cm above the bottom</w:t>
      </w:r>
      <w:r w:rsidR="00E029B8">
        <w:t xml:space="preserve"> and</w:t>
      </w:r>
      <w:r>
        <w:t xml:space="preserve"> close to the recirculation return to ensure similar hydrodynamic conditions. After two weeks, all had attached either to the mesh or to other mussels. Empty mesh was similarly deployed in all other mesocosms.</w:t>
      </w:r>
    </w:p>
    <w:p w14:paraId="35D23C9B" w14:textId="2F759817" w:rsidR="000337CD" w:rsidRDefault="000337CD" w:rsidP="006733CF">
      <w:pPr>
        <w:spacing w:line="480" w:lineRule="auto"/>
      </w:pPr>
      <w:r>
        <w:t>Mussels were fed daily with a concentrated marine microalgal mix (Reed Mariculture Shellfish Diet 1800</w:t>
      </w:r>
      <w:r w:rsidR="005A6FCB">
        <w:t>;</w:t>
      </w:r>
      <w:r>
        <w:t xml:space="preserve"> 0.7 ml Shellfish Diet per gram live spat) to ensure starvation was not the underlying cause for any </w:t>
      </w:r>
      <w:r w:rsidR="005A6FCB">
        <w:t xml:space="preserve">putative </w:t>
      </w:r>
      <w:r>
        <w:t xml:space="preserve">effects in response variables </w:t>
      </w:r>
      <w:r>
        <w:fldChar w:fldCharType="begin" w:fldLock="1"/>
      </w:r>
      <w:r w:rsidR="00702A3A">
        <w:instrText>ADDIN CSL_CITATION {"citationItems":[{"id":"ITEM-1","itemData":{"DOI":"10.1111/gcb.12109","ISBN":"1365-2486","ISSN":"13541013","PMID":"23504880","abstract":"Ocean acidification is expected to decrease calcification rates of bivalves. Nevertheless, in many coastal areas high pCO2 variability is encountered already today. Kiel Fjord (Western Baltic Sea) is a brackish (12-20 g kg(-1) ) and CO2 enriched habitat, but the blue mussel Mytilus edulis dominates the benthic community. In a coupled field and laboratory study we examined the annual pCO2 variability in this habitat and the combined effects of elevated pCO2 and food availability on juvenile M. edulis growth and calcification. In the laboratory experiment, mussel growth and calcification were found to chiefly depend on food supply, with only minor impacts of pCO2 up to 3350 μatm. Kiel Fjord was characterized by strong seasonal pCO2 variability. During summer, maximal pCO2 values of 2500 μatm were observed at the surface and &gt;3000 μatm at the bottom. However, the field growth experiment revealed seven times higher growth and calcification rates of M. edulis at a high pCO2 inner fjord field station (mean pCO2 ca. 1000 μatm) in comparison to a low pCO2 outer fjord station (ca. 600 μatm). In addition, mussels were able to out-compete the barnacle Amphibalanus improvisus at the high pCO2 site. High mussel productivity at the inner fjord site was enabled by higher particulate organic carbon concentrations. Kiel Fjord is highly impacted by eutrophication, which causes bottom water hypoxia and consequently high seawater pCO2 . At the same time, elevated nutrient concentrations increase the energy availability for filter feeding organisms such as mussels. Thus, M. edulis can dominate over a seemingly more acidification resistant species such as A. improvisus. We conclude that benthic stages of M. edulis tolerate high ambient pCO2 when food supply is abundant and that important habitat characteristics such as species interactions and energy availability need to be considered to predict species vulnerability to ocean acidification.","author":[{"dropping-particle":"","family":"Thomsen","given":"Jörn","non-dropping-particle":"","parse-names":false,"suffix":""},{"dropping-particle":"","family":"Casties","given":"Isabel","non-dropping-particle":"","parse-names":false,"suffix":""},{"dropping-particle":"","family":"Pansch","given":"Christian","non-dropping-particle":"","parse-names":false,"suffix":""},{"dropping-particle":"","family":"Körtzinger","given":"Arne","non-dropping-particle":"","parse-names":false,"suffix":""},{"dropping-particle":"","family":"Melzner","given":"Frank","non-dropping-particle":"","parse-names":false,"suffix":""}],"container-title":"Global Change Biology","id":"ITEM-1","issue":"4","issued":{"date-parts":[["2013"]]},"note":"(Feely et al., 2010; Cai et al., 2011; Melzner et al., 2012; Hofmann et al., 2011).\n\nPopulation specific differences in vulnera- bility to ocean acidification were already observed in oysters and emphasize the need to compare the responses of Kiel Fjord mussels with other populations from less CO2 enriched areas (Parker et al., 2012).\n\ncontinuous feeding?","page":"1017-1027","title":"Food availability outweighs ocean acidification effects in juvenile Mytilus edulis: Laboratory and field experiments","type":"article-journal","volume":"19"},"uris":["http://www.mendeley.com/documents/?uuid=81e829e4-597d-467f-bd48-ba46848c79fd"]}],"mendeley":{"formattedCitation":"(Thomsen et al., 2013)","plainTextFormattedCitation":"(Thomsen et al., 2013)","previouslyFormattedCitation":"(Thomsen et al., 2013)"},"properties":{"noteIndex":0},"schema":"https://github.com/citation-style-language/schema/raw/master/csl-citation.json"}</w:instrText>
      </w:r>
      <w:r>
        <w:fldChar w:fldCharType="separate"/>
      </w:r>
      <w:r w:rsidR="00702A3A" w:rsidRPr="00702A3A">
        <w:rPr>
          <w:noProof/>
        </w:rPr>
        <w:t>(Thomsen et al., 2013)</w:t>
      </w:r>
      <w:r>
        <w:fldChar w:fldCharType="end"/>
      </w:r>
      <w:r>
        <w:t xml:space="preserve">. The total amount of Shellfish Diet per mesocosm during the first week of the experiment was 2 ml, which was increased to 2.5 ml in week two and three, and to 2.75 ml in week four, anticipating growth of the mussels. After week </w:t>
      </w:r>
      <w:r w:rsidR="00C620BC">
        <w:t>3.5</w:t>
      </w:r>
      <w:r>
        <w:t xml:space="preserve"> the mussels no longer cleared the water, possibly because of mortality, thus, the food dosage was reduced to 1.7 ml daily per mesocosm containing mussels until the end of the experiment. </w:t>
      </w:r>
    </w:p>
    <w:p w14:paraId="5D6BCD7D" w14:textId="77777777" w:rsidR="000337CD" w:rsidRDefault="000337CD" w:rsidP="006733CF">
      <w:pPr>
        <w:spacing w:line="480" w:lineRule="auto"/>
      </w:pPr>
      <w:r>
        <w:t xml:space="preserve">Algal sporophytes were obtained on seeded aquaculture string from the </w:t>
      </w:r>
      <w:r w:rsidRPr="006533C9">
        <w:t>Queen's University Marine Laboratory (QML)</w:t>
      </w:r>
      <w:r>
        <w:t xml:space="preserve"> in Portaferry. The string had been sprayed with a </w:t>
      </w:r>
      <w:r w:rsidRPr="006533C9">
        <w:rPr>
          <w:i/>
          <w:iCs/>
        </w:rPr>
        <w:t xml:space="preserve">Saccharina </w:t>
      </w:r>
      <w:proofErr w:type="spellStart"/>
      <w:r>
        <w:rPr>
          <w:i/>
          <w:iCs/>
        </w:rPr>
        <w:t>latissima</w:t>
      </w:r>
      <w:proofErr w:type="spellEnd"/>
      <w:r>
        <w:rPr>
          <w:i/>
          <w:iCs/>
        </w:rPr>
        <w:t xml:space="preserve"> </w:t>
      </w:r>
      <w:r>
        <w:t xml:space="preserve">(kelp, brown macroalgae) gametophyte culture and was grown following standard operation procedure hatchery conditions </w:t>
      </w:r>
      <w:r>
        <w:fldChar w:fldCharType="begin" w:fldLock="1"/>
      </w:r>
      <w:r>
        <w:instrText>ADDIN CSL_CITATION {"citationItems":[{"id":"ITEM-1","itemData":{"author":[{"dropping-particle":"","family":"Gorman","given":"Emma","non-dropping-particle":"","parse-names":false,"suffix":""}],"id":"ITEM-1","issued":{"date-parts":[["2014"]]},"publisher-place":"Portaferry, Northern Ireland","title":"QUB SOP 2 - Spore release procedure for macroalgal kelp species and subsequent use for direct seeding or gametophyte culture standard operating procedure","type":"report"},"uris":["http://www.mendeley.com/documents/?uuid=0878463a-6524-4324-bdaf-ef0fa6fc2c52"]}],"mendeley":{"formattedCitation":"(Gorman, 2014)","plainTextFormattedCitation":"(Gorman, 2014)","previouslyFormattedCitation":"(Gorman, 2014)"},"properties":{"noteIndex":0},"schema":"https://github.com/citation-style-language/schema/raw/master/csl-citation.json"}</w:instrText>
      </w:r>
      <w:r>
        <w:fldChar w:fldCharType="separate"/>
      </w:r>
      <w:r w:rsidRPr="00571787">
        <w:rPr>
          <w:noProof/>
        </w:rPr>
        <w:t>(Gorman, 2014)</w:t>
      </w:r>
      <w:r>
        <w:fldChar w:fldCharType="end"/>
      </w:r>
      <w:r>
        <w:t xml:space="preserve"> for eleven weeks prior to addition to the mesocosms. Both in the mesocosms and in the hatchery, the </w:t>
      </w:r>
      <w:r>
        <w:lastRenderedPageBreak/>
        <w:t>kelp sporophytes grew slowly and at low density compared to previous trials, possibly compromised following reduced</w:t>
      </w:r>
      <w:r w:rsidRPr="006533C9">
        <w:t xml:space="preserve"> care </w:t>
      </w:r>
      <w:r>
        <w:t>in the hatchery</w:t>
      </w:r>
      <w:r w:rsidRPr="006533C9">
        <w:t xml:space="preserve"> during</w:t>
      </w:r>
      <w:r>
        <w:t xml:space="preserve"> the</w:t>
      </w:r>
      <w:r w:rsidRPr="006533C9">
        <w:t xml:space="preserve"> 2020 Covid-19 pandemic lockdowns</w:t>
      </w:r>
      <w:r>
        <w:t xml:space="preserve"> (e.g. hatchery room lights had been kept switched off, instead of adding to the culture light, reducing light availability for the juvenile kelp)</w:t>
      </w:r>
      <w:r w:rsidRPr="006533C9">
        <w:t xml:space="preserve">. </w:t>
      </w:r>
      <w:r>
        <w:t xml:space="preserve">As a result, kelp individuals were microscopic when seeded string was deployed into the mesocosms but were expected to grow rapidly. </w:t>
      </w:r>
    </w:p>
    <w:p w14:paraId="0BB723AF" w14:textId="51251622" w:rsidR="000337CD" w:rsidRDefault="000337CD" w:rsidP="006733CF">
      <w:pPr>
        <w:spacing w:line="480" w:lineRule="auto"/>
      </w:pPr>
      <w:r>
        <w:t xml:space="preserve">In the treatments that included algae, 65 cm of seeded string were weighed and randomly assigned to one of the 60 respective mesocosms. To establish this experimental treatment, the seeded string was wrapped around 60 cm long polypropylene header ropes (10 mm diameter), which were fastened 1 cm below the water surface diagonally to the bottom area after soaking in seawater for two days. </w:t>
      </w:r>
      <w:r w:rsidR="00E029B8">
        <w:t>A</w:t>
      </w:r>
      <w:r>
        <w:t xml:space="preserve"> freshly prepared solution of premixed f2 powder (</w:t>
      </w:r>
      <w:proofErr w:type="spellStart"/>
      <w:r>
        <w:t>Varicon</w:t>
      </w:r>
      <w:proofErr w:type="spellEnd"/>
      <w:r>
        <w:t xml:space="preserve"> Aqua, 0.5 ml f2 solution L</w:t>
      </w:r>
      <w:r>
        <w:rPr>
          <w:vertAlign w:val="superscript"/>
        </w:rPr>
        <w:t>-1</w:t>
      </w:r>
      <w:r>
        <w:t xml:space="preserve"> seawater) </w:t>
      </w:r>
      <w:r w:rsidR="00A90BFC">
        <w:t xml:space="preserve">was added to the mesocosms with seeded string </w:t>
      </w:r>
      <w:r w:rsidR="00E029B8">
        <w:t xml:space="preserve">weekly </w:t>
      </w:r>
      <w:r>
        <w:t xml:space="preserve">because we expected the kelp to grow and deplete the nutrients over a week. </w:t>
      </w:r>
    </w:p>
    <w:p w14:paraId="427E49DB" w14:textId="77777777" w:rsidR="000337CD" w:rsidRDefault="000337CD" w:rsidP="006733CF">
      <w:pPr>
        <w:pStyle w:val="Heading3"/>
        <w:spacing w:line="480" w:lineRule="auto"/>
      </w:pPr>
      <w:bookmarkStart w:id="12" w:name="_Toc157356539"/>
      <w:r>
        <w:t>Data collection</w:t>
      </w:r>
      <w:bookmarkEnd w:id="12"/>
    </w:p>
    <w:p w14:paraId="01E41CD8" w14:textId="77777777" w:rsidR="000337CD" w:rsidRDefault="000337CD" w:rsidP="006733CF">
      <w:pPr>
        <w:pStyle w:val="Heading4"/>
        <w:spacing w:line="480" w:lineRule="auto"/>
      </w:pPr>
      <w:r>
        <w:t>Mussel mortality</w:t>
      </w:r>
    </w:p>
    <w:p w14:paraId="27334C7B" w14:textId="2A61A6B4" w:rsidR="000337CD" w:rsidRDefault="000337CD" w:rsidP="006733CF">
      <w:pPr>
        <w:spacing w:line="480" w:lineRule="auto"/>
      </w:pPr>
      <w:r>
        <w:t>Every two to four days, the mesocosms were checked for dead mussels, which were identified by their shells gaping open and no closing response to physical stimulation</w:t>
      </w:r>
      <w:r w:rsidR="00B0082D">
        <w:t xml:space="preserve"> or </w:t>
      </w:r>
      <w:r>
        <w:t xml:space="preserve">by lack of attachment. Mussels that died during the acclimatisation period were replaced prior to the temperature and </w:t>
      </w:r>
      <w:r w:rsidRPr="00D50D49">
        <w:t>pCO</w:t>
      </w:r>
      <w:r w:rsidRPr="000D7373">
        <w:rPr>
          <w:vertAlign w:val="subscript"/>
        </w:rPr>
        <w:t>2</w:t>
      </w:r>
      <w:r>
        <w:t xml:space="preserve"> manipulation, using similar-sized live individuals that had been kept at similar lab conditions. After abiotic manipulations had started, dead mussels were removed and recorded to quantify mortality. The total amount of dead mussels per mesocosm was used for data analyses. Mortality was independent of mussel size (</w:t>
      </w:r>
      <w:r w:rsidR="00A60D4A">
        <w:t>Supplementary Material A.1</w:t>
      </w:r>
      <w:r w:rsidRPr="0097196B">
        <w:t xml:space="preserve">), </w:t>
      </w:r>
      <w:r>
        <w:t>which enabled averaging and standardising mussel response variables that were measured per mesocosm (e.g. clearance rate</w:t>
      </w:r>
      <w:r w:rsidR="00E029B8">
        <w:t>, accumulated</w:t>
      </w:r>
      <w:r>
        <w:t xml:space="preserve"> biomass) according to individuals.</w:t>
      </w:r>
    </w:p>
    <w:p w14:paraId="74B62FAC" w14:textId="77777777" w:rsidR="000337CD" w:rsidRDefault="000337CD" w:rsidP="006733CF">
      <w:pPr>
        <w:pStyle w:val="Heading4"/>
        <w:spacing w:line="480" w:lineRule="auto"/>
      </w:pPr>
      <w:r>
        <w:t>Mussel biomass and condition index</w:t>
      </w:r>
    </w:p>
    <w:p w14:paraId="0C4FC11D" w14:textId="29A643F6" w:rsidR="000337CD" w:rsidRPr="00CC31B7" w:rsidRDefault="000337CD" w:rsidP="006733CF">
      <w:pPr>
        <w:spacing w:line="480" w:lineRule="auto"/>
      </w:pPr>
      <w:r>
        <w:t xml:space="preserve">The mussels were retrieved on their mesh tiles from the mesocosms after 51 days to </w:t>
      </w:r>
      <w:r w:rsidR="00E029B8">
        <w:t xml:space="preserve">measure total accumulated </w:t>
      </w:r>
      <w:r>
        <w:t xml:space="preserve">wet </w:t>
      </w:r>
      <w:r w:rsidR="00E029B8">
        <w:t xml:space="preserve">mussel </w:t>
      </w:r>
      <w:r>
        <w:t xml:space="preserve">biomass, which was then standardised by the number of alive mussels. Accumulated biomass </w:t>
      </w:r>
      <w:r w:rsidR="00000684">
        <w:t xml:space="preserve">per mussel </w:t>
      </w:r>
      <w:r>
        <w:t xml:space="preserve">was calculated as the difference between initial and final mean individual wet biomass (mg). To calculate the condition index, a subsample of five mussels of similar shell length was selected per mesocosm and dissected into shells and flesh, which were then weighed and dried at 80 °C until dry weight remained </w:t>
      </w:r>
      <w:r>
        <w:lastRenderedPageBreak/>
        <w:t xml:space="preserve">constant. </w:t>
      </w:r>
      <w:r w:rsidRPr="00CC31B7">
        <w:t>Following</w:t>
      </w:r>
      <w:r w:rsidR="00151719">
        <w:t xml:space="preserve"> </w:t>
      </w:r>
      <w:r w:rsidR="00151719">
        <w:fldChar w:fldCharType="begin" w:fldLock="1"/>
      </w:r>
      <w:r w:rsidR="00151719">
        <w:instrText>ADDIN CSL_CITATION {"citationItems":[{"id":"ITEM-1","itemData":{"DOI":"10.1016/0044-8486(85)90243-1","ISSN":"00448486","abstract":"The physiological condition indices most commonly used in bivalve aquaculture are reviewed and evaluated. Two general categories of indices may be distinguished: static and dynamic. Of the static indices reviewed, only one is recommended for use in the culture of early developmental stages - the dry ash weight: total dry weight ratio. In the case of juveniles and adults, the easily-measured dry tissue weight: dry shell weight is recommended for most routine work. The dynamic indices reviewed are based on production estimates, and hence reflect physiological changes over specified time intervals. Of these indices, only net growth efficiency is recommended for use in bivalve aquaculture, and it is applicable to all life stages. While this index gives the most information about the physiological state of the animals comprising a population, it is very difficult to evaluate and is thus most appropriate as a research tool. © 1985.","author":[{"dropping-particle":"","family":"Lucas","given":"Albert","non-dropping-particle":"","parse-names":false,"suffix":""},{"dropping-particle":"","family":"Beninger","given":"Peter G.","non-dropping-particle":"","parse-names":false,"suffix":""}],"container-title":"Aquaculture","id":"ITEM-1","issue":"3","issued":{"date-parts":[["1985"]]},"page":"187-200","title":"The use of physiological condition indices in marine bivalve aquaculture","type":"article-journal","volume":"44"},"uris":["http://www.mendeley.com/documents/?uuid=e4d6e82d-9d79-48b7-be1d-460447c6e551"]}],"mendeley":{"formattedCitation":"(Lucas and Beninger, 1985)","manualFormatting":"Lucas and Beninger (1985)","plainTextFormattedCitation":"(Lucas and Beninger, 1985)","previouslyFormattedCitation":"(Lucas and Beninger, 1985)"},"properties":{"noteIndex":0},"schema":"https://github.com/citation-style-language/schema/raw/master/csl-citation.json"}</w:instrText>
      </w:r>
      <w:r w:rsidR="00151719">
        <w:fldChar w:fldCharType="separate"/>
      </w:r>
      <w:r w:rsidR="00151719" w:rsidRPr="00151719">
        <w:rPr>
          <w:noProof/>
        </w:rPr>
        <w:t xml:space="preserve">Lucas and Beninger </w:t>
      </w:r>
      <w:r w:rsidR="00151719">
        <w:rPr>
          <w:noProof/>
        </w:rPr>
        <w:t>(</w:t>
      </w:r>
      <w:r w:rsidR="00151719" w:rsidRPr="00151719">
        <w:rPr>
          <w:noProof/>
        </w:rPr>
        <w:t>1985)</w:t>
      </w:r>
      <w:r w:rsidR="00151719">
        <w:fldChar w:fldCharType="end"/>
      </w:r>
      <w:r w:rsidRPr="00CC31B7">
        <w:t>, the condition index was calculated</w:t>
      </w:r>
      <w:r>
        <w:t xml:space="preserve"> </w:t>
      </w:r>
      <w:r w:rsidRPr="00CC31B7">
        <w:t>to assess</w:t>
      </w:r>
      <w:r>
        <w:t xml:space="preserve"> the</w:t>
      </w:r>
      <w:r w:rsidRPr="00CC31B7">
        <w:t xml:space="preserve"> bivalves’ physiological state, as the shell is a product of cumulative growth while the flesh represents recent metabolic activity that may be reduced under stress</w:t>
      </w:r>
      <w:r>
        <w:t>:</w:t>
      </w:r>
    </w:p>
    <w:p w14:paraId="6AB0311A" w14:textId="752AFFBB" w:rsidR="000337CD" w:rsidRPr="0021088B" w:rsidRDefault="000337CD" w:rsidP="006733CF">
      <w:pPr>
        <w:spacing w:line="480" w:lineRule="auto"/>
        <w:jc w:val="center"/>
        <w:rPr>
          <w:rFonts w:eastAsiaTheme="minorEastAsia"/>
        </w:rPr>
      </w:pPr>
      <m:oMathPara>
        <m:oMath>
          <m:r>
            <w:rPr>
              <w:rFonts w:ascii="Cambria Math" w:hAnsi="Cambria Math"/>
            </w:rPr>
            <m:t xml:space="preserve">Condition Index= </m:t>
          </m:r>
          <m:f>
            <m:fPr>
              <m:ctrlPr>
                <w:rPr>
                  <w:rFonts w:ascii="Cambria Math" w:hAnsi="Cambria Math"/>
                  <w:i/>
                </w:rPr>
              </m:ctrlPr>
            </m:fPr>
            <m:num>
              <m:sSub>
                <m:sSubPr>
                  <m:ctrlPr>
                    <w:rPr>
                      <w:rFonts w:ascii="Cambria Math" w:hAnsi="Cambria Math"/>
                      <w:i/>
                    </w:rPr>
                  </m:ctrlPr>
                </m:sSubPr>
                <m:e>
                  <m:r>
                    <w:rPr>
                      <w:rFonts w:ascii="Cambria Math" w:hAnsi="Cambria Math"/>
                    </w:rPr>
                    <m:t>Dry weight</m:t>
                  </m:r>
                </m:e>
                <m:sub>
                  <m:r>
                    <w:rPr>
                      <w:rFonts w:ascii="Cambria Math" w:hAnsi="Cambria Math"/>
                    </w:rPr>
                    <m:t>Flesh</m:t>
                  </m:r>
                </m:sub>
              </m:sSub>
            </m:num>
            <m:den>
              <m:sSub>
                <m:sSubPr>
                  <m:ctrlPr>
                    <w:rPr>
                      <w:rFonts w:ascii="Cambria Math" w:hAnsi="Cambria Math"/>
                      <w:i/>
                    </w:rPr>
                  </m:ctrlPr>
                </m:sSubPr>
                <m:e>
                  <m:r>
                    <w:rPr>
                      <w:rFonts w:ascii="Cambria Math" w:hAnsi="Cambria Math"/>
                    </w:rPr>
                    <m:t>Dry weight</m:t>
                  </m:r>
                </m:e>
                <m:sub>
                  <m:r>
                    <w:rPr>
                      <w:rFonts w:ascii="Cambria Math" w:hAnsi="Cambria Math"/>
                    </w:rPr>
                    <m:t>Shell</m:t>
                  </m:r>
                </m:sub>
              </m:sSub>
            </m:den>
          </m:f>
          <m:r>
            <w:rPr>
              <w:rFonts w:ascii="Cambria Math" w:hAnsi="Cambria Math"/>
            </w:rPr>
            <m:t>*100=[%]</m:t>
          </m:r>
        </m:oMath>
      </m:oMathPara>
    </w:p>
    <w:p w14:paraId="565DA36B" w14:textId="77777777" w:rsidR="000337CD" w:rsidRDefault="000337CD" w:rsidP="006733CF">
      <w:pPr>
        <w:pStyle w:val="Heading4"/>
        <w:spacing w:line="480" w:lineRule="auto"/>
      </w:pPr>
      <w:r>
        <w:t>Mussel clearance rates</w:t>
      </w:r>
    </w:p>
    <w:p w14:paraId="3E1201A3" w14:textId="52F2CA48" w:rsidR="005E3C80" w:rsidRDefault="000337CD" w:rsidP="006733CF">
      <w:pPr>
        <w:spacing w:line="480" w:lineRule="auto"/>
        <w:rPr>
          <w:rFonts w:cstheme="minorHAnsi"/>
        </w:rPr>
      </w:pPr>
      <w:r>
        <w:t xml:space="preserve">Clearance rate samples were taken on the </w:t>
      </w:r>
      <w:r w:rsidRPr="00506049">
        <w:t>35</w:t>
      </w:r>
      <w:r w:rsidRPr="00506049">
        <w:rPr>
          <w:vertAlign w:val="superscript"/>
        </w:rPr>
        <w:t>th</w:t>
      </w:r>
      <w:r w:rsidRPr="00506049">
        <w:t xml:space="preserve"> and 36</w:t>
      </w:r>
      <w:r w:rsidRPr="00506049">
        <w:rPr>
          <w:vertAlign w:val="superscript"/>
        </w:rPr>
        <w:t>th</w:t>
      </w:r>
      <w:r w:rsidRPr="00506049">
        <w:t xml:space="preserve"> day </w:t>
      </w:r>
      <w:r w:rsidRPr="00022F03">
        <w:t xml:space="preserve">of manipulated </w:t>
      </w:r>
      <w:r>
        <w:t xml:space="preserve">temperature and </w:t>
      </w:r>
      <w:r w:rsidRPr="00D50D49">
        <w:t>pCO</w:t>
      </w:r>
      <w:r w:rsidRPr="00D50D49">
        <w:rPr>
          <w:vertAlign w:val="subscript"/>
        </w:rPr>
        <w:t>2</w:t>
      </w:r>
      <w:r>
        <w:t xml:space="preserve"> </w:t>
      </w:r>
      <w:r w:rsidRPr="00022F03">
        <w:t xml:space="preserve">conditions. </w:t>
      </w:r>
      <w:r>
        <w:t>On t</w:t>
      </w:r>
      <w:r w:rsidRPr="00022F03">
        <w:t>he previous day, the mussels had received a reduced feeding dosage of 1 ml shellfish diet per mesocosm. To measure clearance rates, mussels were given 1.</w:t>
      </w:r>
      <w:r>
        <w:t>7</w:t>
      </w:r>
      <w:r w:rsidRPr="00022F03">
        <w:t xml:space="preserve"> ml </w:t>
      </w:r>
      <w:r>
        <w:t>S</w:t>
      </w:r>
      <w:r w:rsidRPr="00022F03">
        <w:t xml:space="preserve">hellfish </w:t>
      </w:r>
      <w:r>
        <w:t>D</w:t>
      </w:r>
      <w:r w:rsidRPr="00022F03">
        <w:t>iet per mesocosm. A</w:t>
      </w:r>
      <w:r>
        <w:t>fter a</w:t>
      </w:r>
      <w:r w:rsidRPr="00022F03">
        <w:t xml:space="preserve">llowing 10 minutes for homogenous dispersal, the first of three 50 ml samples was drawn from each mesocosm to determine the initial cell </w:t>
      </w:r>
      <w:r w:rsidRPr="00CB36EA">
        <w:t xml:space="preserve">concentration (T0). Two (T1) and 17 hours (T2) </w:t>
      </w:r>
      <w:r w:rsidRPr="00506049">
        <w:t>after feeding</w:t>
      </w:r>
      <w:r w:rsidRPr="00022F03">
        <w:t xml:space="preserve">, additional water samples were taken. </w:t>
      </w:r>
      <w:r w:rsidRPr="00022F03">
        <w:rPr>
          <w:rFonts w:cstheme="minorHAnsi"/>
        </w:rPr>
        <w:t>The samples were stored at 4</w:t>
      </w:r>
      <w:r>
        <w:rPr>
          <w:rFonts w:cstheme="minorHAnsi"/>
        </w:rPr>
        <w:t xml:space="preserve"> </w:t>
      </w:r>
      <w:r w:rsidRPr="00022F03">
        <w:rPr>
          <w:rFonts w:cstheme="minorHAnsi"/>
        </w:rPr>
        <w:t xml:space="preserve">°C and </w:t>
      </w:r>
      <w:r>
        <w:rPr>
          <w:rFonts w:cstheme="minorHAnsi"/>
        </w:rPr>
        <w:t>stirred</w:t>
      </w:r>
      <w:r w:rsidRPr="00022F03">
        <w:rPr>
          <w:rFonts w:cstheme="minorHAnsi"/>
        </w:rPr>
        <w:t xml:space="preserve"> before four coulter counter cell counts were conducted from a 20 ml subsample (Beckman Coulter Counter Z Series, aperture 100 </w:t>
      </w:r>
      <w:proofErr w:type="spellStart"/>
      <w:r w:rsidRPr="00022F03">
        <w:rPr>
          <w:rFonts w:cstheme="minorHAnsi"/>
        </w:rPr>
        <w:t>μm</w:t>
      </w:r>
      <w:proofErr w:type="spellEnd"/>
      <w:r w:rsidRPr="00022F03">
        <w:rPr>
          <w:rFonts w:cstheme="minorHAnsi"/>
        </w:rPr>
        <w:t xml:space="preserve">, </w:t>
      </w:r>
      <w:proofErr w:type="spellStart"/>
      <w:r w:rsidRPr="00022F03">
        <w:rPr>
          <w:rFonts w:cstheme="minorHAnsi"/>
        </w:rPr>
        <w:t>Kd</w:t>
      </w:r>
      <w:proofErr w:type="spellEnd"/>
      <w:r>
        <w:rPr>
          <w:rFonts w:cstheme="minorHAnsi"/>
        </w:rPr>
        <w:t>:</w:t>
      </w:r>
      <w:r w:rsidRPr="00022F03">
        <w:rPr>
          <w:rFonts w:cstheme="minorHAnsi"/>
        </w:rPr>
        <w:t xml:space="preserve"> 59.29, sampling volume</w:t>
      </w:r>
      <w:r>
        <w:rPr>
          <w:rFonts w:cstheme="minorHAnsi"/>
        </w:rPr>
        <w:t>:</w:t>
      </w:r>
      <w:r w:rsidRPr="00022F03">
        <w:rPr>
          <w:rFonts w:cstheme="minorHAnsi"/>
        </w:rPr>
        <w:t xml:space="preserve"> 0.5 ml, count </w:t>
      </w:r>
      <w:r>
        <w:rPr>
          <w:rFonts w:cstheme="minorHAnsi"/>
        </w:rPr>
        <w:t xml:space="preserve">of particles </w:t>
      </w:r>
      <w:r w:rsidRPr="00022F03">
        <w:rPr>
          <w:rFonts w:cstheme="minorHAnsi"/>
        </w:rPr>
        <w:t xml:space="preserve">between 6 </w:t>
      </w:r>
      <w:r>
        <w:rPr>
          <w:rFonts w:cstheme="minorHAnsi"/>
        </w:rPr>
        <w:t>and</w:t>
      </w:r>
      <w:r w:rsidRPr="00022F03">
        <w:rPr>
          <w:rFonts w:cstheme="minorHAnsi"/>
        </w:rPr>
        <w:t xml:space="preserve"> 19 </w:t>
      </w:r>
      <w:proofErr w:type="spellStart"/>
      <w:r w:rsidRPr="00022F03">
        <w:rPr>
          <w:rFonts w:cstheme="minorHAnsi"/>
        </w:rPr>
        <w:t>μm</w:t>
      </w:r>
      <w:proofErr w:type="spellEnd"/>
      <w:r w:rsidRPr="00022F03">
        <w:rPr>
          <w:rFonts w:cstheme="minorHAnsi"/>
        </w:rPr>
        <w:t xml:space="preserve">). Each first count was discarded </w:t>
      </w:r>
      <w:r w:rsidR="002940A4">
        <w:rPr>
          <w:rFonts w:cstheme="minorHAnsi"/>
        </w:rPr>
        <w:t xml:space="preserve">(to ensure the coulter counter tubes were flushed and only contained the current sample) </w:t>
      </w:r>
      <w:r w:rsidRPr="00022F03">
        <w:rPr>
          <w:rFonts w:cstheme="minorHAnsi"/>
        </w:rPr>
        <w:t xml:space="preserve">and the mean taken from the subsequent three counts. </w:t>
      </w:r>
    </w:p>
    <w:p w14:paraId="5060DAFF" w14:textId="1EFFA696" w:rsidR="000337CD" w:rsidRPr="00022F03" w:rsidRDefault="000337CD" w:rsidP="006733CF">
      <w:pPr>
        <w:spacing w:line="480" w:lineRule="auto"/>
        <w:rPr>
          <w:rFonts w:cstheme="minorHAnsi"/>
        </w:rPr>
      </w:pPr>
      <w:r w:rsidRPr="00022F03">
        <w:rPr>
          <w:rFonts w:cstheme="minorHAnsi"/>
        </w:rPr>
        <w:t xml:space="preserve">Clearance rates were </w:t>
      </w:r>
      <w:r>
        <w:rPr>
          <w:rFonts w:cstheme="minorHAnsi"/>
        </w:rPr>
        <w:t>calculated</w:t>
      </w:r>
      <w:r w:rsidRPr="00022F03">
        <w:rPr>
          <w:rFonts w:cstheme="minorHAnsi"/>
        </w:rPr>
        <w:t xml:space="preserve"> following</w:t>
      </w:r>
      <w:r w:rsidR="00151719">
        <w:rPr>
          <w:rFonts w:cstheme="minorHAnsi"/>
        </w:rPr>
        <w:t xml:space="preserve"> </w:t>
      </w:r>
      <w:r w:rsidR="00151719">
        <w:rPr>
          <w:rFonts w:cstheme="minorHAnsi"/>
        </w:rPr>
        <w:fldChar w:fldCharType="begin" w:fldLock="1"/>
      </w:r>
      <w:r w:rsidR="00B77559">
        <w:rPr>
          <w:rFonts w:cstheme="minorHAnsi"/>
        </w:rPr>
        <w:instrText>ADDIN CSL_CITATION {"citationItems":[{"id":"ITEM-1","itemData":{"DOI":"10.1007/BF00355716","ISSN":"00253162","abstract":"The indirect method of determining the filtering rate requires that a suspension feeder be allowed to feed for a given time in a volume of suspension. Six equations have been published by which the filtering rate can be calculated from the observed depletion of the suspension. By applying a standard notation throughout, it is shown that these 6 equations are identical. A graphical method is described by which the filtering rate can be obtained directly from the ratio between the initial and final concentration of suspension, obviating the need for individual calculations. © 1969 Springer-Verlag.","author":[{"dropping-particle":"","family":"Coughlan","given":"J.","non-dropping-particle":"","parse-names":false,"suffix":""}],"container-title":"Marine Biology","id":"ITEM-1","issue":"4","issued":{"date-parts":[["1969"]]},"page":"356-358","title":"The estimation of filtering rate from the clearance of suspensions","type":"article-journal","volume":"2"},"uris":["http://www.mendeley.com/documents/?uuid=7987b464-0f98-4036-9ea2-1656b1fa8c72"]}],"mendeley":{"formattedCitation":"(Coughlan, 1969)","manualFormatting":"Coughlan (1969)","plainTextFormattedCitation":"(Coughlan, 1969)","previouslyFormattedCitation":"(Coughlan, 1969)"},"properties":{"noteIndex":0},"schema":"https://github.com/citation-style-language/schema/raw/master/csl-citation.json"}</w:instrText>
      </w:r>
      <w:r w:rsidR="00151719">
        <w:rPr>
          <w:rFonts w:cstheme="minorHAnsi"/>
        </w:rPr>
        <w:fldChar w:fldCharType="separate"/>
      </w:r>
      <w:r w:rsidR="00151719" w:rsidRPr="00151719">
        <w:rPr>
          <w:rFonts w:cstheme="minorHAnsi"/>
          <w:noProof/>
        </w:rPr>
        <w:t xml:space="preserve">Coughlan </w:t>
      </w:r>
      <w:r w:rsidR="00151719">
        <w:rPr>
          <w:rFonts w:cstheme="minorHAnsi"/>
          <w:noProof/>
        </w:rPr>
        <w:t>(</w:t>
      </w:r>
      <w:r w:rsidR="00151719" w:rsidRPr="00151719">
        <w:rPr>
          <w:rFonts w:cstheme="minorHAnsi"/>
          <w:noProof/>
        </w:rPr>
        <w:t>1969)</w:t>
      </w:r>
      <w:r w:rsidR="00151719">
        <w:rPr>
          <w:rFonts w:cstheme="minorHAnsi"/>
        </w:rPr>
        <w:fldChar w:fldCharType="end"/>
      </w:r>
      <w:r w:rsidRPr="00022F03">
        <w:rPr>
          <w:rFonts w:cstheme="minorHAnsi"/>
        </w:rPr>
        <w:t>:</w:t>
      </w:r>
    </w:p>
    <w:p w14:paraId="2EBE5AAE" w14:textId="0067B8FA" w:rsidR="000337CD" w:rsidRPr="00022F03" w:rsidRDefault="00532FA6" w:rsidP="006733CF">
      <w:pPr>
        <w:spacing w:line="480" w:lineRule="auto"/>
        <w:rPr>
          <w:rFonts w:eastAsiaTheme="minorEastAsia"/>
        </w:rPr>
      </w:pPr>
      <m:oMathPara>
        <m:oMath>
          <m:r>
            <w:rPr>
              <w:rFonts w:ascii="Cambria Math" w:hAnsi="Cambria Math" w:cs="Calibri"/>
              <w:color w:val="000000"/>
            </w:rPr>
            <m:t>Clearance rate</m:t>
          </m:r>
          <m:r>
            <w:rPr>
              <w:rFonts w:ascii="Cambria Math" w:hAnsi="Cambria Math"/>
            </w:rPr>
            <m:t>=</m:t>
          </m:r>
          <m:f>
            <m:fPr>
              <m:ctrlPr>
                <w:rPr>
                  <w:rFonts w:ascii="Cambria Math" w:hAnsi="Cambria Math"/>
                  <w:i/>
                </w:rPr>
              </m:ctrlPr>
            </m:fPr>
            <m:num>
              <m:r>
                <w:rPr>
                  <w:rFonts w:ascii="Cambria Math" w:hAnsi="Cambria Math"/>
                </w:rPr>
                <m:t>M</m:t>
              </m:r>
            </m:num>
            <m:den>
              <m:r>
                <w:rPr>
                  <w:rFonts w:ascii="Cambria Math" w:hAnsi="Cambria Math"/>
                </w:rPr>
                <m:t>n*t</m:t>
              </m:r>
            </m:den>
          </m:f>
          <m:r>
            <w:rPr>
              <w:rFonts w:ascii="Cambria Math" w:hAnsi="Cambria Math"/>
            </w:rPr>
            <m:t>*</m:t>
          </m:r>
          <m:func>
            <m:funcPr>
              <m:ctrlPr>
                <w:rPr>
                  <w:rFonts w:ascii="Cambria Math" w:hAnsi="Cambria Math"/>
                  <w:i/>
                </w:rPr>
              </m:ctrlPr>
            </m:funcPr>
            <m:fName>
              <m:r>
                <m:rPr>
                  <m:sty m:val="p"/>
                </m:rPr>
                <w:rPr>
                  <w:rFonts w:ascii="Cambria Math" w:hAnsi="Cambria Math"/>
                </w:rPr>
                <m:t>ln</m:t>
              </m:r>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conc</m:t>
                          </m:r>
                        </m:e>
                        <m:sub>
                          <m:r>
                            <w:rPr>
                              <w:rFonts w:ascii="Cambria Math" w:hAnsi="Cambria Math"/>
                            </w:rPr>
                            <m:t>T0</m:t>
                          </m:r>
                        </m:sub>
                      </m:sSub>
                    </m:num>
                    <m:den>
                      <m:sSub>
                        <m:sSubPr>
                          <m:ctrlPr>
                            <w:rPr>
                              <w:rFonts w:ascii="Cambria Math" w:hAnsi="Cambria Math"/>
                              <w:i/>
                            </w:rPr>
                          </m:ctrlPr>
                        </m:sSubPr>
                        <m:e>
                          <m:r>
                            <w:rPr>
                              <w:rFonts w:ascii="Cambria Math" w:hAnsi="Cambria Math"/>
                            </w:rPr>
                            <m:t>conc</m:t>
                          </m:r>
                        </m:e>
                        <m:sub>
                          <m:r>
                            <w:rPr>
                              <w:rFonts w:ascii="Cambria Math" w:hAnsi="Cambria Math"/>
                            </w:rPr>
                            <m:t>T1</m:t>
                          </m:r>
                        </m:sub>
                      </m:sSub>
                    </m:den>
                  </m:f>
                </m:e>
              </m:d>
            </m:e>
          </m:func>
          <m:r>
            <w:rPr>
              <w:rFonts w:ascii="Cambria Math" w:hAnsi="Cambria Math"/>
            </w:rPr>
            <m:t>=[</m:t>
          </m:r>
          <m:f>
            <m:fPr>
              <m:ctrlPr>
                <w:rPr>
                  <w:rFonts w:ascii="Cambria Math" w:hAnsi="Cambria Math"/>
                  <w:i/>
                </w:rPr>
              </m:ctrlPr>
            </m:fPr>
            <m:num>
              <m:r>
                <w:rPr>
                  <w:rFonts w:ascii="Cambria Math" w:hAnsi="Cambria Math"/>
                </w:rPr>
                <m:t>L</m:t>
              </m:r>
            </m:num>
            <m:den>
              <m:r>
                <w:rPr>
                  <w:rFonts w:ascii="Cambria Math" w:hAnsi="Cambria Math"/>
                </w:rPr>
                <m:t>mussel*h</m:t>
              </m:r>
            </m:den>
          </m:f>
          <m:r>
            <w:rPr>
              <w:rFonts w:ascii="Cambria Math" w:hAnsi="Cambria Math"/>
            </w:rPr>
            <m:t>]</m:t>
          </m:r>
        </m:oMath>
      </m:oMathPara>
    </w:p>
    <w:p w14:paraId="57A98A38" w14:textId="62D849D7" w:rsidR="000337CD" w:rsidRPr="00022F03" w:rsidRDefault="00B0082D" w:rsidP="006733CF">
      <w:pPr>
        <w:spacing w:line="480" w:lineRule="auto"/>
        <w:rPr>
          <w:rFonts w:cstheme="minorHAnsi"/>
        </w:rPr>
      </w:pPr>
      <w:r w:rsidRPr="00022F03">
        <w:rPr>
          <w:rFonts w:eastAsiaTheme="minorEastAsia"/>
        </w:rPr>
        <w:t>W</w:t>
      </w:r>
      <w:r w:rsidR="000337CD" w:rsidRPr="00022F03">
        <w:rPr>
          <w:rFonts w:eastAsiaTheme="minorEastAsia"/>
        </w:rPr>
        <w:t>here M is the volume of the suspension, n is the number of animals per mesocosm, conc</w:t>
      </w:r>
      <w:r w:rsidR="000337CD" w:rsidRPr="00022F03">
        <w:rPr>
          <w:rFonts w:eastAsiaTheme="minorEastAsia"/>
          <w:vertAlign w:val="subscript"/>
        </w:rPr>
        <w:t>T</w:t>
      </w:r>
      <w:r w:rsidR="00DF423C">
        <w:rPr>
          <w:rFonts w:eastAsiaTheme="minorEastAsia"/>
          <w:vertAlign w:val="subscript"/>
        </w:rPr>
        <w:t>0</w:t>
      </w:r>
      <w:r w:rsidR="000337CD" w:rsidRPr="00022F03">
        <w:rPr>
          <w:rFonts w:eastAsiaTheme="minorEastAsia"/>
        </w:rPr>
        <w:t xml:space="preserve"> and conc</w:t>
      </w:r>
      <w:r w:rsidR="000337CD" w:rsidRPr="00022F03">
        <w:rPr>
          <w:rFonts w:eastAsiaTheme="minorEastAsia"/>
          <w:vertAlign w:val="subscript"/>
        </w:rPr>
        <w:t>T1</w:t>
      </w:r>
      <w:r w:rsidR="000337CD" w:rsidRPr="00022F03">
        <w:rPr>
          <w:rFonts w:eastAsiaTheme="minorEastAsia"/>
        </w:rPr>
        <w:t xml:space="preserve"> are the concentrations of the suspension at the start </w:t>
      </w:r>
      <w:r w:rsidR="000337CD">
        <w:rPr>
          <w:rFonts w:eastAsiaTheme="minorEastAsia"/>
        </w:rPr>
        <w:t xml:space="preserve">(T0) </w:t>
      </w:r>
      <w:r w:rsidR="000337CD" w:rsidRPr="00022F03">
        <w:rPr>
          <w:rFonts w:eastAsiaTheme="minorEastAsia"/>
        </w:rPr>
        <w:t xml:space="preserve">and after time t. </w:t>
      </w:r>
      <w:r w:rsidR="000337CD">
        <w:rPr>
          <w:rFonts w:eastAsiaTheme="minorEastAsia"/>
        </w:rPr>
        <w:t>Samples from the mesocosms</w:t>
      </w:r>
      <w:r w:rsidR="000337CD" w:rsidRPr="00022F03">
        <w:rPr>
          <w:rFonts w:cstheme="minorHAnsi"/>
        </w:rPr>
        <w:t xml:space="preserve"> </w:t>
      </w:r>
      <w:r w:rsidR="000337CD">
        <w:rPr>
          <w:rFonts w:cstheme="minorHAnsi"/>
        </w:rPr>
        <w:t xml:space="preserve">that contained no </w:t>
      </w:r>
      <w:r>
        <w:rPr>
          <w:rFonts w:cstheme="minorHAnsi"/>
        </w:rPr>
        <w:t>experimental organisms,</w:t>
      </w:r>
      <w:r w:rsidR="000337CD">
        <w:rPr>
          <w:rFonts w:cstheme="minorHAnsi"/>
        </w:rPr>
        <w:t xml:space="preserve"> and were used for monitoring the manipulated abiotic factors</w:t>
      </w:r>
      <w:r>
        <w:rPr>
          <w:rFonts w:cstheme="minorHAnsi"/>
        </w:rPr>
        <w:t>,</w:t>
      </w:r>
      <w:r w:rsidR="000337CD">
        <w:rPr>
          <w:rFonts w:cstheme="minorHAnsi"/>
        </w:rPr>
        <w:t xml:space="preserve"> </w:t>
      </w:r>
      <w:r w:rsidR="000337CD" w:rsidRPr="00022F03">
        <w:rPr>
          <w:rFonts w:cstheme="minorHAnsi"/>
        </w:rPr>
        <w:t>confirmed low background particle load and continuous counting accuracy throughout the measurements.</w:t>
      </w:r>
    </w:p>
    <w:p w14:paraId="0FAB097B" w14:textId="77777777" w:rsidR="000337CD" w:rsidRDefault="000337CD" w:rsidP="006733CF">
      <w:pPr>
        <w:pStyle w:val="Heading4"/>
        <w:spacing w:line="480" w:lineRule="auto"/>
      </w:pPr>
      <w:r>
        <w:t>Shell strength</w:t>
      </w:r>
    </w:p>
    <w:p w14:paraId="2F97667C" w14:textId="662DA963" w:rsidR="000337CD" w:rsidRPr="00335BF5" w:rsidRDefault="000337CD" w:rsidP="006733CF">
      <w:pPr>
        <w:spacing w:line="480" w:lineRule="auto"/>
      </w:pPr>
      <w:r w:rsidRPr="00E70BBB">
        <w:t>To analyse shell strength, the force needed to break them was determined</w:t>
      </w:r>
      <w:r>
        <w:t xml:space="preserve"> using </w:t>
      </w:r>
      <w:r w:rsidRPr="00E70BBB">
        <w:t xml:space="preserve">a materials testing machine </w:t>
      </w:r>
      <w:r>
        <w:t xml:space="preserve">for compression tests </w:t>
      </w:r>
      <w:r w:rsidRPr="00E70BBB">
        <w:t>(</w:t>
      </w:r>
      <w:proofErr w:type="spellStart"/>
      <w:r w:rsidRPr="00E70BBB">
        <w:t>ZwickRoell</w:t>
      </w:r>
      <w:proofErr w:type="spellEnd"/>
      <w:r w:rsidRPr="00E70BBB">
        <w:t xml:space="preserve"> </w:t>
      </w:r>
      <w:proofErr w:type="spellStart"/>
      <w:r w:rsidRPr="00E70BBB">
        <w:t>zwic</w:t>
      </w:r>
      <w:r>
        <w:t>k</w:t>
      </w:r>
      <w:r w:rsidRPr="00E70BBB">
        <w:t>iline</w:t>
      </w:r>
      <w:proofErr w:type="spellEnd"/>
      <w:r w:rsidRPr="00E70BBB">
        <w:t xml:space="preserve"> Z2.5)</w:t>
      </w:r>
      <w:r>
        <w:t xml:space="preserve"> at the Department of Mechanical, Manufacturing &amp; Biomedical Engineering, Trinity College Dublin</w:t>
      </w:r>
      <w:r w:rsidRPr="00E70BBB">
        <w:t xml:space="preserve">. Three mussels </w:t>
      </w:r>
      <w:r>
        <w:t xml:space="preserve">of </w:t>
      </w:r>
      <w:r w:rsidRPr="00E70BBB">
        <w:t xml:space="preserve">each mesocosm </w:t>
      </w:r>
      <w:r>
        <w:t xml:space="preserve">were collected on the last day of the experiment </w:t>
      </w:r>
      <w:r w:rsidRPr="00E70BBB">
        <w:t>and stored for five days at 4</w:t>
      </w:r>
      <w:r>
        <w:t xml:space="preserve"> </w:t>
      </w:r>
      <w:r w:rsidRPr="00E70BBB">
        <w:t xml:space="preserve">°C before they were dissected into shell </w:t>
      </w:r>
      <w:r>
        <w:t>valves</w:t>
      </w:r>
      <w:r w:rsidRPr="00E70BBB">
        <w:t xml:space="preserve"> and flesh</w:t>
      </w:r>
      <w:r>
        <w:t xml:space="preserve">. </w:t>
      </w:r>
      <w:r w:rsidRPr="00E70BBB">
        <w:t xml:space="preserve">Visibly intact right shell </w:t>
      </w:r>
      <w:r>
        <w:t>valves</w:t>
      </w:r>
      <w:r w:rsidRPr="00E70BBB">
        <w:t xml:space="preserve"> were placed individually into</w:t>
      </w:r>
      <w:r>
        <w:t xml:space="preserve"> the machine</w:t>
      </w:r>
      <w:r w:rsidRPr="00E70BBB">
        <w:t xml:space="preserve"> with the shell </w:t>
      </w:r>
      <w:r>
        <w:t xml:space="preserve">valve </w:t>
      </w:r>
      <w:r w:rsidRPr="00E70BBB">
        <w:t>opening</w:t>
      </w:r>
      <w:r>
        <w:t>s</w:t>
      </w:r>
      <w:r w:rsidRPr="00E70BBB">
        <w:t xml:space="preserve"> lying </w:t>
      </w:r>
      <w:r w:rsidRPr="00E70BBB">
        <w:lastRenderedPageBreak/>
        <w:t>flat on the machine</w:t>
      </w:r>
      <w:r>
        <w:t xml:space="preserve"> in similar orientation </w:t>
      </w:r>
      <w:r>
        <w:fldChar w:fldCharType="begin" w:fldLock="1"/>
      </w:r>
      <w:r w:rsidR="00082159">
        <w:instrText>ADDIN CSL_CITATION {"citationItems":[{"id":"ITEM-1","itemData":{"DOI":"10.1371/journal.pone.0086764","author":[{"dropping-particle":"","family":"Mackenzie","given":"Clara L","non-dropping-particle":"","parse-names":false,"suffix":""},{"dropping-particle":"","family":"Ormondroyd","given":"Graham A","non-dropping-particle":"","parse-names":false,"suffix":""},{"dropping-particle":"","family":"Curling","given":"Simon F","non-dropping-particle":"","parse-names":false,"suffix":""},{"dropping-particle":"","family":"Ball","given":"Richard J","non-dropping-particle":"","parse-names":false,"suffix":""},{"dropping-particle":"","family":"Whiteley","given":"Nia M","non-dropping-particle":"","parse-names":false,"suffix":""},{"dropping-particle":"","family":"Malham","given":"Shelagh K","non-dropping-particle":"","parse-names":false,"suffix":""}],"container-title":"PLoS ONE","id":"ITEM-1","issue":"1","issued":{"date-parts":[["2014"]]},"page":"1-9","title":"Ocean Warming, More than Acidification, Reduces Shell Strength in a Commercial Shellfish Species during Food Limitation","type":"article-journal","volume":"9"},"uris":["http://www.mendeley.com/documents/?uuid=912294b9-5331-4518-b3f3-05076133114e"]}],"mendeley":{"formattedCitation":"(Mackenzie et al., 2014)","plainTextFormattedCitation":"(Mackenzie et al., 2014)","previouslyFormattedCitation":"(Mackenzie et al., 2014)"},"properties":{"noteIndex":0},"schema":"https://github.com/citation-style-language/schema/raw/master/csl-citation.json"}</w:instrText>
      </w:r>
      <w:r>
        <w:fldChar w:fldCharType="separate"/>
      </w:r>
      <w:r w:rsidRPr="00082159">
        <w:rPr>
          <w:noProof/>
        </w:rPr>
        <w:t>(Mackenzie et al., 2014)</w:t>
      </w:r>
      <w:r>
        <w:fldChar w:fldCharType="end"/>
      </w:r>
      <w:r w:rsidRPr="00E70BBB">
        <w:t xml:space="preserve">. A load cell of 20 N was used for smaller shells and 200 N for the largest. Force was applied </w:t>
      </w:r>
      <w:r>
        <w:t xml:space="preserve">from the top </w:t>
      </w:r>
      <w:r w:rsidRPr="00E70BBB">
        <w:t xml:space="preserve">at a speed of 200 mm/min until shell failure occurred. The force applied was logged at 0.01 s intervals using </w:t>
      </w:r>
      <w:proofErr w:type="spellStart"/>
      <w:r w:rsidRPr="00E70BBB">
        <w:t>testXpert</w:t>
      </w:r>
      <w:proofErr w:type="spellEnd"/>
      <w:r w:rsidRPr="00E70BBB">
        <w:t xml:space="preserve"> II software (</w:t>
      </w:r>
      <w:proofErr w:type="spellStart"/>
      <w:r w:rsidRPr="00E70BBB">
        <w:t>ZwickRoell</w:t>
      </w:r>
      <w:proofErr w:type="spellEnd"/>
      <w:r w:rsidRPr="00E70BBB">
        <w:t>) that determined the maximum applied force (F</w:t>
      </w:r>
      <w:r w:rsidRPr="00E70BBB">
        <w:rPr>
          <w:vertAlign w:val="subscript"/>
        </w:rPr>
        <w:t>max</w:t>
      </w:r>
      <w:r w:rsidRPr="00E70BBB">
        <w:t xml:space="preserve">). </w:t>
      </w:r>
      <w:r>
        <w:t>60 s</w:t>
      </w:r>
      <w:r w:rsidRPr="00E70BBB">
        <w:t>hells</w:t>
      </w:r>
      <w:r>
        <w:t xml:space="preserve"> </w:t>
      </w:r>
      <w:r w:rsidRPr="00E70BBB">
        <w:t>broke visibly during dissection and were discarded</w:t>
      </w:r>
      <w:r>
        <w:t>, and</w:t>
      </w:r>
      <w:r w:rsidRPr="00E70BBB">
        <w:t xml:space="preserve"> 19 </w:t>
      </w:r>
      <w:r>
        <w:t>tested shells</w:t>
      </w:r>
      <w:r w:rsidRPr="00E70BBB">
        <w:t xml:space="preserve"> were excluded from analysis because they cracked multiple times instead of showing one clear </w:t>
      </w:r>
      <w:r>
        <w:t>failure event</w:t>
      </w:r>
      <w:r w:rsidRPr="00E70BBB">
        <w:t xml:space="preserve">. A total of 101 shell breaking tests were available for data analysis, with shells from all but five </w:t>
      </w:r>
      <w:r w:rsidR="003864C4">
        <w:t xml:space="preserve">(each from different treatments) </w:t>
      </w:r>
      <w:r>
        <w:t xml:space="preserve">of the 60 </w:t>
      </w:r>
      <w:r w:rsidRPr="00E70BBB">
        <w:t>mesocosms and seven to eleven shells per treatment. Shell length</w:t>
      </w:r>
      <w:r>
        <w:t xml:space="preserve"> (</w:t>
      </w:r>
      <w:r w:rsidR="00A60D4A">
        <w:t>Supplementary Material</w:t>
      </w:r>
      <w:r w:rsidR="004B2DBA">
        <w:t xml:space="preserve"> </w:t>
      </w:r>
      <w:r w:rsidR="004B2DBA">
        <w:fldChar w:fldCharType="begin"/>
      </w:r>
      <w:r w:rsidR="004B2DBA">
        <w:instrText xml:space="preserve"> REF _Ref127814959 \r \h </w:instrText>
      </w:r>
      <w:r w:rsidR="006733CF">
        <w:instrText xml:space="preserve"> \* MERGEFORMAT </w:instrText>
      </w:r>
      <w:r w:rsidR="004B2DBA">
        <w:fldChar w:fldCharType="separate"/>
      </w:r>
      <w:r w:rsidR="00A60D4A">
        <w:t>A</w:t>
      </w:r>
      <w:r w:rsidR="00BB1E6B">
        <w:t>.1</w:t>
      </w:r>
      <w:r w:rsidR="004B2DBA">
        <w:fldChar w:fldCharType="end"/>
      </w:r>
      <w:r>
        <w:t xml:space="preserve">) </w:t>
      </w:r>
      <w:r w:rsidRPr="00E70BBB">
        <w:t xml:space="preserve">was </w:t>
      </w:r>
      <w:r w:rsidRPr="00335BF5">
        <w:t>used to standardise F</w:t>
      </w:r>
      <w:r w:rsidRPr="00335BF5">
        <w:rPr>
          <w:vertAlign w:val="subscript"/>
        </w:rPr>
        <w:t>max</w:t>
      </w:r>
      <w:r w:rsidRPr="00335BF5">
        <w:t xml:space="preserve"> and</w:t>
      </w:r>
      <w:r>
        <w:t xml:space="preserve"> the</w:t>
      </w:r>
      <w:r w:rsidRPr="00335BF5">
        <w:t xml:space="preserve"> average</w:t>
      </w:r>
      <w:r>
        <w:t xml:space="preserve"> applied force per mm</w:t>
      </w:r>
      <w:r w:rsidRPr="00335BF5">
        <w:t xml:space="preserve"> </w:t>
      </w:r>
      <w:r>
        <w:t>(</w:t>
      </w:r>
      <w:r w:rsidRPr="00335BF5">
        <w:t>N/mm</w:t>
      </w:r>
      <w:r>
        <w:t>)</w:t>
      </w:r>
      <w:r w:rsidRPr="00335BF5">
        <w:t xml:space="preserve"> </w:t>
      </w:r>
      <w:r>
        <w:t xml:space="preserve">was </w:t>
      </w:r>
      <w:r w:rsidRPr="00335BF5">
        <w:t>calculated for each mesocosm</w:t>
      </w:r>
      <w:r>
        <w:t xml:space="preserve"> and used for data analysis.</w:t>
      </w:r>
    </w:p>
    <w:p w14:paraId="5EFB180C" w14:textId="77777777" w:rsidR="000337CD" w:rsidRDefault="000337CD" w:rsidP="006733CF">
      <w:pPr>
        <w:pStyle w:val="Heading4"/>
        <w:spacing w:line="480" w:lineRule="auto"/>
      </w:pPr>
      <w:r>
        <w:t>Byssus strength</w:t>
      </w:r>
    </w:p>
    <w:p w14:paraId="61D67593" w14:textId="70AA460B" w:rsidR="000337CD" w:rsidRPr="00ED046A" w:rsidRDefault="000337CD" w:rsidP="006733CF">
      <w:pPr>
        <w:spacing w:line="480" w:lineRule="auto"/>
      </w:pPr>
      <w:r w:rsidRPr="00ED046A">
        <w:t xml:space="preserve">After </w:t>
      </w:r>
      <w:r>
        <w:t xml:space="preserve">recording </w:t>
      </w:r>
      <w:r w:rsidRPr="00ED046A">
        <w:t xml:space="preserve">wet </w:t>
      </w:r>
      <w:r>
        <w:t>biomass</w:t>
      </w:r>
      <w:r w:rsidRPr="00ED046A">
        <w:t>, mussels were cut off the mesh</w:t>
      </w:r>
      <w:r>
        <w:t xml:space="preserve"> tiles</w:t>
      </w:r>
      <w:r w:rsidRPr="00ED046A">
        <w:t xml:space="preserve"> at the byssus stem, leaving the byssus threads </w:t>
      </w:r>
      <w:r>
        <w:t xml:space="preserve">as </w:t>
      </w:r>
      <w:r w:rsidRPr="00ED046A">
        <w:t>intact as possible. Areas where the byssus threads clearly belonged to one single mussel were marked and the mesh</w:t>
      </w:r>
      <w:r>
        <w:t xml:space="preserve"> tiles</w:t>
      </w:r>
      <w:r w:rsidRPr="00ED046A">
        <w:t xml:space="preserve"> were returned to their mesocosms for intermediate storage. Four days later, the </w:t>
      </w:r>
      <w:r>
        <w:t>mesh tiles</w:t>
      </w:r>
      <w:r w:rsidRPr="00ED046A">
        <w:t xml:space="preserve"> were individually fastened to a materials testing machine for traction tests (</w:t>
      </w:r>
      <w:proofErr w:type="spellStart"/>
      <w:r w:rsidRPr="00ED046A">
        <w:t>ZwickRoell</w:t>
      </w:r>
      <w:proofErr w:type="spellEnd"/>
      <w:r w:rsidRPr="00ED046A">
        <w:t xml:space="preserve"> </w:t>
      </w:r>
      <w:proofErr w:type="spellStart"/>
      <w:r w:rsidRPr="00ED046A">
        <w:t>zwickiline</w:t>
      </w:r>
      <w:proofErr w:type="spellEnd"/>
      <w:r w:rsidRPr="00ED046A">
        <w:t xml:space="preserve"> Z2.5; load cell: 20 N</w:t>
      </w:r>
      <w:r>
        <w:t>; Department of Mechanical, Manufacturing &amp; Biomedical Engineering, Trinity College Dublin</w:t>
      </w:r>
      <w:r w:rsidRPr="00ED046A">
        <w:t xml:space="preserve">) in the centre below the byssus cluster and parallel to the bottom of the machine. A plastic-wrapped wire was fed centrally through the cluster so that the cluster stem was positioned in a bend of the </w:t>
      </w:r>
      <w:r w:rsidRPr="00C002F4">
        <w:t>wire</w:t>
      </w:r>
      <w:r>
        <w:t>, with approximately equal amounts of byssus threads on each side (exact numbers could not be determined)</w:t>
      </w:r>
      <w:r w:rsidRPr="00C002F4">
        <w:t>. The wire ends were clamped into the top machine end, which pulled the wire vertically away</w:t>
      </w:r>
      <w:r w:rsidRPr="00ED046A">
        <w:t xml:space="preserve"> from the mesh at 5 mm/min</w:t>
      </w:r>
      <w:r>
        <w:t xml:space="preserve"> </w:t>
      </w:r>
      <w:r w:rsidRPr="00ED046A">
        <w:fldChar w:fldCharType="begin" w:fldLock="1"/>
      </w:r>
      <w:r w:rsidR="00082159">
        <w:instrText>ADDIN CSL_CITATION {"citationItems":[{"id":"ITEM-1","itemData":{"DOI":"10.1242/jeb.141440","ISSN":"00220949","PMID":"28153979","abstract":"Several bivalve species produce byssus threads to provide attachment to substrates, with mechanical properties highly variable among species. Here, we examined the distal section of byssal threads produced by a range of bivalve species (Mytilus edulis, Mytilus trossulus, Mytilus galloprovincialis, Mytilus californianus, Pinna nobilis, Perna perna, Xenostrobus securis, Brachidontes solisianus and Isognomon bicolor) collected from different nearshore environments. Morphological and mechanical properties were measured, and biochemical analyses were performed. Multivariate redundancy analyses on mechanical properties revealed that byssal threads of M. californianus, M. galloprovincialis and P. nobilis have very distinct mechanical behaviours compared with the remaining species. Extensibility, strength and force were the main variables separating these species groups, which were highest for M. californianus and lowest for P. nobilis. Furthermore, the analysis of the amino acid composition revealed that I. bicolor and P. nobilis threads are significantly different from the other species, suggesting a different underlying structural strategy. Determination of metal contents showed that the individual concentration of inorganic elements varies, but that the dominant elements are conserved between species. Altogether, this bivalve species comparison suggests some molecular bases for the biomechanical characteristics of byssal fibres that may reflect phylogenetic limitations.","author":[{"dropping-particle":"","family":"Bouhlel","given":"Zeineb","non-dropping-particle":"","parse-names":false,"suffix":""},{"dropping-particle":"","family":"Genard","given":"Bertrand","non-dropping-particle":"","parse-names":false,"suffix":""},{"dropping-particle":"","family":"Ibrahim","given":"Neilly","non-dropping-particle":"","parse-names":false,"suffix":""},{"dropping-particle":"","family":"Carrington","given":"Emily","non-dropping-particle":"","parse-names":false,"suffix":""},{"dropping-particle":"","family":"Babarro","given":"José M.F.","non-dropping-particle":"","parse-names":false,"suffix":""},{"dropping-particle":"","family":"Lok","given":"Aynur","non-dropping-particle":"","parse-names":false,"suffix":""},{"dropping-particle":"","family":"Flores","given":"Augusto A.V.","non-dropping-particle":"","parse-names":false,"suffix":""},{"dropping-particle":"","family":"Pellerin","given":"Christian","non-dropping-particle":"","parse-names":false,"suffix":""},{"dropping-particle":"","family":"Tremblay","given":"Réjean","non-dropping-particle":"","parse-names":false,"suffix":""},{"dropping-particle":"","family":"Marcotte","given":"Isabelle","non-dropping-particle":"","parse-names":false,"suffix":""}],"container-title":"Journal of Experimental Biology","id":"ITEM-1","issue":"6","issued":{"date-parts":[["2017"]]},"page":"984-994","title":"Interspecies comparison of the mechanical properties and biochemical composition of byssal threads","type":"article-journal","volume":"220"},"uris":["http://www.mendeley.com/documents/?uuid=da64206f-16e5-4692-9065-0027ee1f9532"]}],"mendeley":{"formattedCitation":"(Bouhlel et al., 2017)","plainTextFormattedCitation":"(Bouhlel et al., 2017)","previouslyFormattedCitation":"(Bouhlel et al., 2017)"},"properties":{"noteIndex":0},"schema":"https://github.com/citation-style-language/schema/raw/master/csl-citation.json"}</w:instrText>
      </w:r>
      <w:r w:rsidRPr="00ED046A">
        <w:fldChar w:fldCharType="separate"/>
      </w:r>
      <w:r w:rsidRPr="00082159">
        <w:rPr>
          <w:noProof/>
        </w:rPr>
        <w:t>(Bouhlel et al., 2017)</w:t>
      </w:r>
      <w:r w:rsidRPr="00ED046A">
        <w:fldChar w:fldCharType="end"/>
      </w:r>
      <w:r w:rsidRPr="00ED046A">
        <w:t xml:space="preserve">, exerting traction on the byssus cluster until all the byssus threads on one side of the wire </w:t>
      </w:r>
      <w:r w:rsidRPr="000B2127">
        <w:t>ruptured. All tests were conducted in air. The</w:t>
      </w:r>
      <w:r w:rsidRPr="00ED046A">
        <w:t xml:space="preserve"> applied force was logged at 0.1 s intervals using </w:t>
      </w:r>
      <w:proofErr w:type="spellStart"/>
      <w:r w:rsidRPr="00ED046A">
        <w:t>testXpert</w:t>
      </w:r>
      <w:proofErr w:type="spellEnd"/>
      <w:r w:rsidRPr="00ED046A">
        <w:t xml:space="preserve"> II software (</w:t>
      </w:r>
      <w:proofErr w:type="spellStart"/>
      <w:r w:rsidRPr="00ED046A">
        <w:t>ZwickRoell</w:t>
      </w:r>
      <w:proofErr w:type="spellEnd"/>
      <w:r w:rsidRPr="00ED046A">
        <w:t>)</w:t>
      </w:r>
      <w:r>
        <w:t xml:space="preserve">, recording the succession and magnitude of applied tensile force </w:t>
      </w:r>
      <w:r w:rsidRPr="00C84673">
        <w:t xml:space="preserve">and load drops over time. In adult </w:t>
      </w:r>
      <w:r w:rsidRPr="00C84673">
        <w:rPr>
          <w:i/>
          <w:iCs/>
        </w:rPr>
        <w:t>M</w:t>
      </w:r>
      <w:r>
        <w:rPr>
          <w:i/>
          <w:iCs/>
        </w:rPr>
        <w:t>ytilus</w:t>
      </w:r>
      <w:r w:rsidRPr="00C84673">
        <w:rPr>
          <w:i/>
          <w:iCs/>
        </w:rPr>
        <w:t xml:space="preserve"> californianus</w:t>
      </w:r>
      <w:r w:rsidRPr="00C84673">
        <w:t xml:space="preserve">, large drops in loads can be assigned to single threads breaking and the sum of individual load drops exceeds the maximum force applied to a whole byssus cluster </w:t>
      </w:r>
      <w:r w:rsidRPr="00C84673">
        <w:fldChar w:fldCharType="begin" w:fldLock="1"/>
      </w:r>
      <w:r w:rsidR="00702A3A">
        <w:instrText>ADDIN CSL_CITATION {"citationItems":[{"id":"ITEM-1","itemData":{"DOI":"doi: 10.1242/jeb.199.4.1005","author":[{"dropping-particle":"","family":"Bell","given":"Emily C","non-dropping-particle":"","parse-names":false,"suffix":""},{"dropping-particle":"","family":"Gosline","given":"John M","non-dropping-particle":"","parse-names":false,"suffix":""}],"container-title":"Journal of Experimental Biology","id":"ITEM-1","issued":{"date-parts":[["1996"]]},"page":"1005-1017","title":"Mechanical design of mussel byssus: material yield enhances attachment strength","type":"article-journal","volume":"199"},"uris":["http://www.mendeley.com/documents/?uuid=e20fa5af-351a-4db1-9a55-fd279ea1e1d3"]}],"mendeley":{"formattedCitation":"(Bell and Gosline, 1996)","plainTextFormattedCitation":"(Bell and Gosline, 1996)","previouslyFormattedCitation":"(Bell and Gosline, 1996)"},"properties":{"noteIndex":0},"schema":"https://github.com/citation-style-language/schema/raw/master/csl-citation.json"}</w:instrText>
      </w:r>
      <w:r w:rsidRPr="00C84673">
        <w:fldChar w:fldCharType="separate"/>
      </w:r>
      <w:r w:rsidR="00702A3A" w:rsidRPr="00702A3A">
        <w:rPr>
          <w:noProof/>
        </w:rPr>
        <w:t>(Bell and Gosline, 1996)</w:t>
      </w:r>
      <w:r w:rsidRPr="00C84673">
        <w:fldChar w:fldCharType="end"/>
      </w:r>
      <w:r w:rsidRPr="00C84673">
        <w:t xml:space="preserve">. The many and delicate byssus threads of the juvenile </w:t>
      </w:r>
      <w:r w:rsidRPr="00C84673">
        <w:rPr>
          <w:i/>
          <w:iCs/>
        </w:rPr>
        <w:t>M. edulis</w:t>
      </w:r>
      <w:r w:rsidRPr="00C84673">
        <w:t xml:space="preserve"> used in this study did not allow </w:t>
      </w:r>
      <w:r w:rsidR="003864C4">
        <w:t xml:space="preserve">us </w:t>
      </w:r>
      <w:r w:rsidRPr="00C84673">
        <w:t xml:space="preserve">to link load drops to individual observed thread ruptures. </w:t>
      </w:r>
      <w:r w:rsidR="00F57A53">
        <w:t>Analyses</w:t>
      </w:r>
      <w:r w:rsidR="00F57A53" w:rsidRPr="00C84673">
        <w:t xml:space="preserve"> </w:t>
      </w:r>
      <w:r w:rsidRPr="00C84673">
        <w:t>of all load drops that were recorded showed</w:t>
      </w:r>
      <w:r w:rsidR="00F57A53">
        <w:t xml:space="preserve"> </w:t>
      </w:r>
      <w:r w:rsidRPr="00C84673">
        <w:t>that load drops &lt;</w:t>
      </w:r>
      <w:r>
        <w:t xml:space="preserve"> </w:t>
      </w:r>
      <w:r w:rsidRPr="00C84673">
        <w:t>0.01 N occurred more than five times as often as the next force range</w:t>
      </w:r>
      <w:r>
        <w:t>. This</w:t>
      </w:r>
      <w:r w:rsidRPr="00C84673">
        <w:t xml:space="preserve"> indicat</w:t>
      </w:r>
      <w:r>
        <w:t>es the</w:t>
      </w:r>
      <w:r w:rsidRPr="00C84673">
        <w:t xml:space="preserve"> background noise of the tests and justifi</w:t>
      </w:r>
      <w:r>
        <w:t xml:space="preserve">es </w:t>
      </w:r>
      <w:r w:rsidRPr="00C84673">
        <w:t>the load drop</w:t>
      </w:r>
      <w:r>
        <w:t xml:space="preserve"> limits</w:t>
      </w:r>
      <w:r w:rsidRPr="00C84673">
        <w:t xml:space="preserve"> considered for analysis </w:t>
      </w:r>
      <w:r>
        <w:t>as</w:t>
      </w:r>
      <w:r w:rsidRPr="00C84673">
        <w:t xml:space="preserve"> &gt;</w:t>
      </w:r>
      <w:r>
        <w:t xml:space="preserve"> </w:t>
      </w:r>
      <w:r w:rsidRPr="00C84673">
        <w:t xml:space="preserve">0.01 N. The average load drop </w:t>
      </w:r>
      <w:r w:rsidRPr="00C84673">
        <w:lastRenderedPageBreak/>
        <w:t>&gt;</w:t>
      </w:r>
      <w:r>
        <w:t xml:space="preserve"> </w:t>
      </w:r>
      <w:r w:rsidRPr="00C84673">
        <w:t xml:space="preserve">0.01 N was used as a proxy for byssus strength. </w:t>
      </w:r>
      <w:r>
        <w:t>A total of 43 tests were conducted on byssus clusters from 34 mesh tiles.</w:t>
      </w:r>
      <w:r w:rsidRPr="00C84673">
        <w:t xml:space="preserve"> </w:t>
      </w:r>
      <w:r>
        <w:t>Test results from the same mesh tile were averaged and data of three random mesocosms per treatment were used for analysis, except for the two acidified mussel-only treatments at increased temperatures, for which only two mesh tiles were available for byssus strength testing.</w:t>
      </w:r>
    </w:p>
    <w:p w14:paraId="178E37CE" w14:textId="77777777" w:rsidR="000337CD" w:rsidRPr="00F30463" w:rsidRDefault="000337CD" w:rsidP="006733CF">
      <w:pPr>
        <w:pStyle w:val="Heading4"/>
        <w:spacing w:line="480" w:lineRule="auto"/>
      </w:pPr>
      <w:r w:rsidRPr="00F30463">
        <w:t>Algal biomass</w:t>
      </w:r>
    </w:p>
    <w:p w14:paraId="45FFA9EF" w14:textId="7D3CA375" w:rsidR="000337CD" w:rsidRDefault="000337CD" w:rsidP="006733CF">
      <w:pPr>
        <w:spacing w:line="480" w:lineRule="auto"/>
      </w:pPr>
      <w:r>
        <w:t>The kelp sporophytes on the seeded strings grew unexpected slowly, presumably because of unusual hatchery conditions due to pandemic lockdowns (</w:t>
      </w:r>
      <w:r w:rsidR="00F57A53">
        <w:t>described previously</w:t>
      </w:r>
      <w:r>
        <w:t xml:space="preserve">). Over time we observed that </w:t>
      </w:r>
      <w:r w:rsidRPr="006533C9">
        <w:t>microphytobenthos (</w:t>
      </w:r>
      <w:r>
        <w:t xml:space="preserve">primarily </w:t>
      </w:r>
      <w:r w:rsidRPr="006533C9">
        <w:t>benthic diatoms and</w:t>
      </w:r>
      <w:r>
        <w:t>,</w:t>
      </w:r>
      <w:r w:rsidRPr="006533C9">
        <w:t xml:space="preserve"> to a lesser exten</w:t>
      </w:r>
      <w:r>
        <w:t>t,</w:t>
      </w:r>
      <w:r w:rsidRPr="006533C9">
        <w:t xml:space="preserve"> green algae) </w:t>
      </w:r>
      <w:r>
        <w:t>grew on the</w:t>
      </w:r>
      <w:r w:rsidRPr="006533C9">
        <w:t xml:space="preserve"> seeded string, resulting in a</w:t>
      </w:r>
      <w:r>
        <w:t xml:space="preserve"> microscopic,</w:t>
      </w:r>
      <w:r w:rsidRPr="006533C9">
        <w:t xml:space="preserve"> mixed </w:t>
      </w:r>
      <w:r>
        <w:t>algal</w:t>
      </w:r>
      <w:r w:rsidRPr="006533C9">
        <w:t xml:space="preserve"> assemblage on the seeded string</w:t>
      </w:r>
      <w:r>
        <w:t>s</w:t>
      </w:r>
      <w:r w:rsidRPr="006533C9">
        <w:t>.</w:t>
      </w:r>
      <w:r>
        <w:t xml:space="preserve"> Instead of quantifying biomass of individuals of kelp at the end of the experiment as planned, </w:t>
      </w:r>
      <w:r w:rsidRPr="006533C9">
        <w:t xml:space="preserve">the </w:t>
      </w:r>
      <w:r>
        <w:t>total accumulated biomass of algae</w:t>
      </w:r>
      <w:r w:rsidRPr="006533C9">
        <w:t xml:space="preserve"> </w:t>
      </w:r>
      <w:r>
        <w:t xml:space="preserve">associated with </w:t>
      </w:r>
      <w:r w:rsidRPr="006533C9">
        <w:t>seeded string</w:t>
      </w:r>
      <w:r>
        <w:t xml:space="preserve"> was quantified. Final abundance of k</w:t>
      </w:r>
      <w:r w:rsidRPr="006533C9">
        <w:t>elp individuals</w:t>
      </w:r>
      <w:r>
        <w:t>, which had</w:t>
      </w:r>
      <w:r w:rsidRPr="006533C9">
        <w:t xml:space="preserve"> </w:t>
      </w:r>
      <w:r>
        <w:t>reached up to 1.4 mm in length at the end of the experiment, w</w:t>
      </w:r>
      <w:r w:rsidR="00F57A53">
        <w:t>as</w:t>
      </w:r>
      <w:r>
        <w:t xml:space="preserve"> counted using a dissection microscope.</w:t>
      </w:r>
    </w:p>
    <w:p w14:paraId="029092EC" w14:textId="77777777" w:rsidR="000337CD" w:rsidRPr="008E5920" w:rsidRDefault="000337CD" w:rsidP="006733CF">
      <w:pPr>
        <w:pStyle w:val="Heading4"/>
        <w:spacing w:line="480" w:lineRule="auto"/>
      </w:pPr>
      <w:r>
        <w:t>Photosynthetic performance</w:t>
      </w:r>
    </w:p>
    <w:p w14:paraId="4DD61BD7" w14:textId="07C4C1D0" w:rsidR="000337CD" w:rsidRDefault="000337CD" w:rsidP="006733CF">
      <w:pPr>
        <w:spacing w:line="480" w:lineRule="auto"/>
      </w:pPr>
      <w:r>
        <w:t>Photosynthetic performance of the algae present in the mesocosms was tested using a pulse amplitude modulation (PAM) fluorometer (DIVING-PAM-II, Walz) on the 39</w:t>
      </w:r>
      <w:r w:rsidRPr="001A41DA">
        <w:rPr>
          <w:vertAlign w:val="superscript"/>
        </w:rPr>
        <w:t>th</w:t>
      </w:r>
      <w:r>
        <w:t xml:space="preserve"> day at manipulated abiotic conditions. </w:t>
      </w:r>
      <w:r w:rsidRPr="00A57341">
        <w:t>A leaf clip (DIVING-LC, Walz GmbH) was connected to the seeded string to eliminate light and ensure consistent spacing of the optic</w:t>
      </w:r>
      <w:r w:rsidR="003864C4">
        <w:t xml:space="preserve"> </w:t>
      </w:r>
      <w:proofErr w:type="spellStart"/>
      <w:r w:rsidR="003864C4" w:rsidRPr="00A57341">
        <w:t>fiber</w:t>
      </w:r>
      <w:proofErr w:type="spellEnd"/>
      <w:r w:rsidRPr="00A57341">
        <w:t xml:space="preserve"> with the algae. </w:t>
      </w:r>
      <w:r>
        <w:t xml:space="preserve">Rapid light curves (RLCs) were taken on ambient-light acclimated algae to </w:t>
      </w:r>
      <w:r w:rsidRPr="4A686209">
        <w:rPr>
          <w:color w:val="000000"/>
          <w:shd w:val="clear" w:color="auto" w:fill="FFFFFF"/>
          <w:lang w:val="en-US"/>
        </w:rPr>
        <w:t>assess differences in potential photosynthetic performance</w:t>
      </w:r>
      <w:r>
        <w:rPr>
          <w:color w:val="000000"/>
          <w:shd w:val="clear" w:color="auto" w:fill="FFFFFF"/>
          <w:lang w:val="en-US"/>
        </w:rPr>
        <w:t>.</w:t>
      </w:r>
      <w:r w:rsidDel="00683013">
        <w:t xml:space="preserve"> </w:t>
      </w:r>
      <w:r w:rsidRPr="4A686209">
        <w:rPr>
          <w:color w:val="000000"/>
          <w:shd w:val="clear" w:color="auto" w:fill="FFFFFF"/>
          <w:lang w:val="en-US"/>
        </w:rPr>
        <w:t xml:space="preserve">Prior to starting the RLCs, tissue was quasi-dark adapted for a few seconds to allow </w:t>
      </w:r>
      <w:r>
        <w:rPr>
          <w:color w:val="000000"/>
          <w:shd w:val="clear" w:color="auto" w:fill="FFFFFF"/>
          <w:lang w:val="en-US"/>
        </w:rPr>
        <w:t>re-oxidization of the</w:t>
      </w:r>
      <w:r w:rsidRPr="4A686209">
        <w:rPr>
          <w:color w:val="000000"/>
          <w:shd w:val="clear" w:color="auto" w:fill="FFFFFF"/>
          <w:lang w:val="en-US"/>
        </w:rPr>
        <w:t xml:space="preserve"> primary electron acceptor</w:t>
      </w:r>
      <w:r w:rsidR="00B77559">
        <w:rPr>
          <w:color w:val="000000"/>
          <w:shd w:val="clear" w:color="auto" w:fill="FFFFFF"/>
          <w:lang w:val="en-US"/>
        </w:rPr>
        <w:t xml:space="preserve"> </w:t>
      </w:r>
      <w:r w:rsidR="00B77559">
        <w:rPr>
          <w:color w:val="000000"/>
          <w:shd w:val="clear" w:color="auto" w:fill="FFFFFF"/>
          <w:lang w:val="en-US"/>
        </w:rPr>
        <w:fldChar w:fldCharType="begin" w:fldLock="1"/>
      </w:r>
      <w:r w:rsidR="00D170BA">
        <w:rPr>
          <w:color w:val="000000"/>
          <w:shd w:val="clear" w:color="auto" w:fill="FFFFFF"/>
          <w:lang w:val="en-US"/>
        </w:rPr>
        <w:instrText>ADDIN CSL_CITATION {"citationItems":[{"id":"ITEM-1","itemData":{"DOI":"doi.org/10.1007/978-1-4020-3218-9_11","ISSN":"10643745","abstract":"Chlorophyll fluorescence analysis has become one of the most powerful and widely used techniques available to plant physiologists and ecophysiologists. This review aims to provide an introduction for the novice into the methodology and applications of chlorophyll fluorescence. After a brief introduction into the theoretical background of the technique, the methodology and some of the technical pitfalls that can be encountered are explained. A selection of examples is then used to illustrate the types of information that fluorescence can provide.","author":[{"dropping-particle":"","family":"Schreiber","given":"Ulrich","non-dropping-particle":"","parse-names":false,"suffix":""}],"container-title":"Chlorophyll a Fluorescence. Advances in Photosynthesis and Respiration","editor":[{"dropping-particle":"","family":"Papageorgiou","given":"G.C.","non-dropping-particle":"","parse-names":false,"suffix":""},{"dropping-particle":"","family":"Govindjee","given":"","non-dropping-particle":"","parse-names":false,"suffix":""}],"id":"ITEM-1","issued":{"date-parts":[["2004"]]},"page":"279-319","publisher":"Springer","title":"Pulse-Amplitude-Modulation (PAM) Fluorometry and Saturation Pulse Method: An Overview","type":"chapter","volume":"19"},"uris":["http://www.mendeley.com/documents/?uuid=9ab3f3e0-0a2a-4f06-bb58-cb2907253d01"]},{"id":"ITEM-2","itemData":{"DOI":"10.3354/meps12919","ISSN":"01718630","abstract":"Macroalgal forests provide the foundation for most shallow reef ecosystems in temperate environments; hence tools for accurately measuring primary productivity are integral for ecosystem management. This study compares estimates of production/potential production in an Ecklonia radiata kelp forest in Tasmania, Australia, using diel oxygen gross primary production (GPP) models, benthic exchange chambers, and electron transport rate in photosystem II measured using PAM fluorometry. Two approaches to modelling GPP show good fit with environmental dissolved oxygen (DO), with gross oxygen production of the kelp bed ranging between ~0−20 for one model and ~0−8 µmol O2 m−2 s−1 for the other, with total daily GPP (±SE) of 464 ± 28 and 347 ± 7 mmol O2 m−2, respectively. The oxygen production rate of E. radiata in benthic chambers ranged between 0 and 9.6 µmol O2 m−2 s−1, with total daily production as 204 ± 13 mmol O2 m−2, half that estimated from modelling DO. The peak value for maximum relative electron transport rate was 49 µmol e– m−2 s−1 at PAR of 208 µmol m–2 s−1. Oxygen evolution from benthic chambers and electron transport rates from PAM fluorometry were well correlated; however, the latter may overestimate oxygen production. Water column DO can measure GPP of the benthic communities; however, additional measurements/more sophisticated models may be necessary. Benthic exchange chambers and PAM fluorometry can potentially estimate the contribution of E. radiata to total daily production provided that the measurements can be calibrated with other methods to obtain actual productivity. Additionally, upscaling requires reliable biomass estimates.","author":[{"dropping-particle":"","family":"Randall","given":"Jo","non-dropping-particle":"","parse-names":false,"suffix":""},{"dropping-particle":"","family":"Wotherspoon","given":"Simon","non-dropping-particle":"","parse-names":false,"suffix":""},{"dropping-particle":"","family":"Ross","given":"Jeff","non-dropping-particle":"","parse-names":false,"suffix":""},{"dropping-particle":"","family":"Hermand","given":"Jean Pierre","non-dropping-particle":"","parse-names":false,"suffix":""},{"dropping-particle":"","family":"Johnson","given":"Craig R.","non-dropping-particle":"","parse-names":false,"suffix":""}],"container-title":"Marine Ecology Progress Series","id":"ITEM-2","issued":{"date-parts":[["2019"]]},"page":"51-65","title":"An in situ study of production from diel oxygen modelling, oxygen exchange, and electron transport rate in the kelp Ecklonia radiata","type":"article-journal","volume":"615"},"uris":["http://www.mendeley.com/documents/?uuid=6596e844-a0ba-406c-b8ab-51aef32cf2f4"]}],"mendeley":{"formattedCitation":"(Randall et al., 2019; Schreiber, 2004)","plainTextFormattedCitation":"(Randall et al., 2019; Schreiber, 2004)","previouslyFormattedCitation":"(Randall et al., 2019; Schreiber, 2004)"},"properties":{"noteIndex":0},"schema":"https://github.com/citation-style-language/schema/raw/master/csl-citation.json"}</w:instrText>
      </w:r>
      <w:r w:rsidR="00B77559">
        <w:rPr>
          <w:color w:val="000000"/>
          <w:shd w:val="clear" w:color="auto" w:fill="FFFFFF"/>
          <w:lang w:val="en-US"/>
        </w:rPr>
        <w:fldChar w:fldCharType="separate"/>
      </w:r>
      <w:r w:rsidR="00B77559" w:rsidRPr="00B77559">
        <w:rPr>
          <w:noProof/>
          <w:color w:val="000000"/>
          <w:shd w:val="clear" w:color="auto" w:fill="FFFFFF"/>
          <w:lang w:val="en-US"/>
        </w:rPr>
        <w:t>(Randall et al., 2019; Schreiber, 2004)</w:t>
      </w:r>
      <w:r w:rsidR="00B77559">
        <w:rPr>
          <w:color w:val="000000"/>
          <w:shd w:val="clear" w:color="auto" w:fill="FFFFFF"/>
          <w:lang w:val="en-US"/>
        </w:rPr>
        <w:fldChar w:fldCharType="end"/>
      </w:r>
      <w:r>
        <w:rPr>
          <w:color w:val="000000"/>
          <w:shd w:val="clear" w:color="auto" w:fill="FFFFFF"/>
          <w:lang w:val="en-US"/>
        </w:rPr>
        <w:t xml:space="preserve">. </w:t>
      </w:r>
      <w:r>
        <w:t xml:space="preserve">Relative electron transport rates were determined at steps of increasing actinic light intensity, from which the DIVING-PAM-II calculated the relative maximum electron transport rate, i.e. photosynthetic capacity </w:t>
      </w:r>
      <w:proofErr w:type="spellStart"/>
      <w:r>
        <w:t>rETRmax</w:t>
      </w:r>
      <w:proofErr w:type="spellEnd"/>
      <w:r>
        <w:t xml:space="preserve">, as well as the saturating light intensity </w:t>
      </w:r>
      <w:proofErr w:type="spellStart"/>
      <w:r>
        <w:t>I</w:t>
      </w:r>
      <w:r w:rsidRPr="007742C6">
        <w:rPr>
          <w:vertAlign w:val="subscript"/>
        </w:rPr>
        <w:t>k</w:t>
      </w:r>
      <w:proofErr w:type="spellEnd"/>
      <w:r>
        <w:t xml:space="preserve">, and the initial slope of the RLC, i.e. the light harvesting efficiency α </w:t>
      </w:r>
      <w:r>
        <w:fldChar w:fldCharType="begin" w:fldLock="1"/>
      </w:r>
      <w:r w:rsidR="00082159">
        <w:instrText>ADDIN CSL_CITATION {"citationItems":[{"id":"ITEM-1","itemData":{"DOI":"10.3354/meps12919","ISSN":"01718630","abstract":"Macroalgal forests provide the foundation for most shallow reef ecosystems in temperate environments; hence tools for accurately measuring primary productivity are integral for ecosystem management. This study compares estimates of production/potential production in an Ecklonia radiata kelp forest in Tasmania, Australia, using diel oxygen gross primary production (GPP) models, benthic exchange chambers, and electron transport rate in photosystem II measured using PAM fluorometry. Two approaches to modelling GPP show good fit with environmental dissolved oxygen (DO), with gross oxygen production of the kelp bed ranging between ~0−20 for one model and ~0−8 µmol O2 m−2 s−1 for the other, with total daily GPP (±SE) of 464 ± 28 and 347 ± 7 mmol O2 m−2, respectively. The oxygen production rate of E. radiata in benthic chambers ranged between 0 and 9.6 µmol O2 m−2 s−1, with total daily production as 204 ± 13 mmol O2 m−2, half that estimated from modelling DO. The peak value for maximum relative electron transport rate was 49 µmol e– m−2 s−1 at PAR of 208 µmol m–2 s−1. Oxygen evolution from benthic chambers and electron transport rates from PAM fluorometry were well correlated; however, the latter may overestimate oxygen production. Water column DO can measure GPP of the benthic communities; however, additional measurements/more sophisticated models may be necessary. Benthic exchange chambers and PAM fluorometry can potentially estimate the contribution of E. radiata to total daily production provided that the measurements can be calibrated with other methods to obtain actual productivity. Additionally, upscaling requires reliable biomass estimates.","author":[{"dropping-particle":"","family":"Randall","given":"Jo","non-dropping-particle":"","parse-names":false,"suffix":""},{"dropping-particle":"","family":"Wotherspoon","given":"Simon","non-dropping-particle":"","parse-names":false,"suffix":""},{"dropping-particle":"","family":"Ross","given":"Jeff","non-dropping-particle":"","parse-names":false,"suffix":""},{"dropping-particle":"","family":"Hermand","given":"Jean Pierre","non-dropping-particle":"","parse-names":false,"suffix":""},{"dropping-particle":"","family":"Johnson","given":"Craig R.","non-dropping-particle":"","parse-names":false,"suffix":""}],"container-title":"Marine Ecology Progress Series","id":"ITEM-1","issued":{"date-parts":[["2019"]]},"page":"51-65","title":"An in situ study of production from diel oxygen modelling, oxygen exchange, and electron transport rate in the kelp Ecklonia radiata","type":"article-journal","volume":"615"},"uris":["http://www.mendeley.com/documents/?uuid=6596e844-a0ba-406c-b8ab-51aef32cf2f4"]}],"mendeley":{"formattedCitation":"(Randall et al., 2019)","plainTextFormattedCitation":"(Randall et al., 2019)","previouslyFormattedCitation":"(Randall et al., 2019)"},"properties":{"noteIndex":0},"schema":"https://github.com/citation-style-language/schema/raw/master/csl-citation.json"}</w:instrText>
      </w:r>
      <w:r>
        <w:fldChar w:fldCharType="separate"/>
      </w:r>
      <w:r w:rsidRPr="00082159">
        <w:rPr>
          <w:noProof/>
        </w:rPr>
        <w:t>(Randall et al., 2019)</w:t>
      </w:r>
      <w:r>
        <w:fldChar w:fldCharType="end"/>
      </w:r>
      <w:r>
        <w:t xml:space="preserve">. After 15 minutes of dark acclimation, a different section of the seeded string was then used to measure the maximum quantum yield </w:t>
      </w:r>
      <w:proofErr w:type="spellStart"/>
      <w:r>
        <w:t>F</w:t>
      </w:r>
      <w:r w:rsidRPr="008F1641">
        <w:rPr>
          <w:vertAlign w:val="subscript"/>
        </w:rPr>
        <w:t>v</w:t>
      </w:r>
      <w:proofErr w:type="spellEnd"/>
      <w:r>
        <w:t>/F</w:t>
      </w:r>
      <w:r w:rsidRPr="008F1641">
        <w:rPr>
          <w:vertAlign w:val="subscript"/>
        </w:rPr>
        <w:t>m</w:t>
      </w:r>
      <w:r>
        <w:t xml:space="preserve">, calculated as </w:t>
      </w:r>
      <m:oMath>
        <m:f>
          <m:fPr>
            <m:ctrlPr>
              <w:rPr>
                <w:rFonts w:ascii="Cambria Math" w:hAnsi="Cambria Math" w:cstheme="minorHAnsi"/>
                <w:i/>
                <w:iCs/>
                <w:color w:val="000000"/>
                <w:shd w:val="clear" w:color="auto" w:fill="FFFFFF"/>
                <w:lang w:val="en-US"/>
              </w:rPr>
            </m:ctrlPr>
          </m:fPr>
          <m:num>
            <m:sSub>
              <m:sSubPr>
                <m:ctrlPr>
                  <w:rPr>
                    <w:rFonts w:ascii="Cambria Math" w:hAnsi="Cambria Math" w:cstheme="minorHAnsi"/>
                    <w:i/>
                    <w:iCs/>
                    <w:color w:val="000000"/>
                    <w:shd w:val="clear" w:color="auto" w:fill="FFFFFF"/>
                    <w:lang w:val="en-US"/>
                  </w:rPr>
                </m:ctrlPr>
              </m:sSubPr>
              <m:e>
                <m:r>
                  <w:rPr>
                    <w:rFonts w:ascii="Cambria Math" w:hAnsi="Cambria Math" w:cstheme="minorHAnsi"/>
                    <w:color w:val="000000"/>
                    <w:shd w:val="clear" w:color="auto" w:fill="FFFFFF"/>
                    <w:lang w:val="en-US"/>
                  </w:rPr>
                  <m:t>F</m:t>
                </m:r>
              </m:e>
              <m:sub>
                <m:r>
                  <w:rPr>
                    <w:rFonts w:ascii="Cambria Math" w:hAnsi="Cambria Math" w:cstheme="minorHAnsi"/>
                    <w:color w:val="000000"/>
                    <w:shd w:val="clear" w:color="auto" w:fill="FFFFFF"/>
                    <w:lang w:val="en-US"/>
                  </w:rPr>
                  <m:t>v</m:t>
                </m:r>
              </m:sub>
            </m:sSub>
          </m:num>
          <m:den>
            <m:sSub>
              <m:sSubPr>
                <m:ctrlPr>
                  <w:rPr>
                    <w:rFonts w:ascii="Cambria Math" w:hAnsi="Cambria Math" w:cstheme="minorHAnsi"/>
                    <w:i/>
                    <w:iCs/>
                    <w:color w:val="000000"/>
                    <w:shd w:val="clear" w:color="auto" w:fill="FFFFFF"/>
                    <w:lang w:val="en-US"/>
                  </w:rPr>
                </m:ctrlPr>
              </m:sSubPr>
              <m:e>
                <m:r>
                  <w:rPr>
                    <w:rFonts w:ascii="Cambria Math" w:hAnsi="Cambria Math" w:cstheme="minorHAnsi"/>
                    <w:color w:val="000000"/>
                    <w:shd w:val="clear" w:color="auto" w:fill="FFFFFF"/>
                    <w:lang w:val="en-US"/>
                  </w:rPr>
                  <m:t>F</m:t>
                </m:r>
              </m:e>
              <m:sub>
                <m:r>
                  <w:rPr>
                    <w:rFonts w:ascii="Cambria Math" w:hAnsi="Cambria Math" w:cstheme="minorHAnsi"/>
                    <w:color w:val="000000"/>
                    <w:shd w:val="clear" w:color="auto" w:fill="FFFFFF"/>
                    <w:lang w:val="en-US"/>
                  </w:rPr>
                  <m:t>m</m:t>
                </m:r>
              </m:sub>
            </m:sSub>
          </m:den>
        </m:f>
        <m:r>
          <w:rPr>
            <w:rFonts w:ascii="Cambria Math" w:hAnsi="Cambria Math" w:cstheme="minorHAnsi"/>
            <w:color w:val="000000"/>
            <w:shd w:val="clear" w:color="auto" w:fill="FFFFFF"/>
            <w:lang w:val="en-US"/>
          </w:rPr>
          <m:t>=</m:t>
        </m:r>
        <m:f>
          <m:fPr>
            <m:ctrlPr>
              <w:rPr>
                <w:rFonts w:ascii="Cambria Math" w:hAnsi="Cambria Math" w:cstheme="minorHAnsi"/>
                <w:i/>
                <w:iCs/>
                <w:color w:val="000000"/>
                <w:shd w:val="clear" w:color="auto" w:fill="FFFFFF"/>
                <w:lang w:val="en-US"/>
              </w:rPr>
            </m:ctrlPr>
          </m:fPr>
          <m:num>
            <m:sSub>
              <m:sSubPr>
                <m:ctrlPr>
                  <w:rPr>
                    <w:rFonts w:ascii="Cambria Math" w:hAnsi="Cambria Math" w:cstheme="minorHAnsi"/>
                    <w:i/>
                    <w:iCs/>
                    <w:color w:val="000000"/>
                    <w:shd w:val="clear" w:color="auto" w:fill="FFFFFF"/>
                    <w:lang w:val="en-US"/>
                  </w:rPr>
                </m:ctrlPr>
              </m:sSubPr>
              <m:e>
                <m:r>
                  <w:rPr>
                    <w:rFonts w:ascii="Cambria Math" w:hAnsi="Cambria Math" w:cstheme="minorHAnsi"/>
                    <w:color w:val="000000"/>
                    <w:shd w:val="clear" w:color="auto" w:fill="FFFFFF"/>
                    <w:lang w:val="en-US"/>
                  </w:rPr>
                  <m:t>F</m:t>
                </m:r>
              </m:e>
              <m:sub>
                <m:r>
                  <w:rPr>
                    <w:rFonts w:ascii="Cambria Math" w:hAnsi="Cambria Math" w:cstheme="minorHAnsi"/>
                    <w:color w:val="000000"/>
                    <w:shd w:val="clear" w:color="auto" w:fill="FFFFFF"/>
                    <w:lang w:val="en-US"/>
                  </w:rPr>
                  <m:t>m</m:t>
                </m:r>
              </m:sub>
            </m:sSub>
            <m:r>
              <w:rPr>
                <w:rFonts w:ascii="Cambria Math" w:hAnsi="Cambria Math" w:cstheme="minorHAnsi"/>
                <w:color w:val="000000"/>
                <w:shd w:val="clear" w:color="auto" w:fill="FFFFFF"/>
                <w:lang w:val="en-US"/>
              </w:rPr>
              <m:t xml:space="preserve">- </m:t>
            </m:r>
            <m:sSub>
              <m:sSubPr>
                <m:ctrlPr>
                  <w:rPr>
                    <w:rFonts w:ascii="Cambria Math" w:hAnsi="Cambria Math" w:cstheme="minorHAnsi"/>
                    <w:i/>
                    <w:iCs/>
                    <w:color w:val="000000"/>
                    <w:shd w:val="clear" w:color="auto" w:fill="FFFFFF"/>
                    <w:lang w:val="en-US"/>
                  </w:rPr>
                </m:ctrlPr>
              </m:sSubPr>
              <m:e>
                <m:r>
                  <w:rPr>
                    <w:rFonts w:ascii="Cambria Math" w:hAnsi="Cambria Math" w:cstheme="minorHAnsi"/>
                    <w:color w:val="000000"/>
                    <w:shd w:val="clear" w:color="auto" w:fill="FFFFFF"/>
                    <w:lang w:val="en-US"/>
                  </w:rPr>
                  <m:t>F</m:t>
                </m:r>
              </m:e>
              <m:sub>
                <m:r>
                  <w:rPr>
                    <w:rFonts w:ascii="Cambria Math" w:hAnsi="Cambria Math" w:cstheme="minorHAnsi"/>
                    <w:color w:val="000000"/>
                    <w:shd w:val="clear" w:color="auto" w:fill="FFFFFF"/>
                    <w:lang w:val="en-US"/>
                  </w:rPr>
                  <m:t>0</m:t>
                </m:r>
              </m:sub>
            </m:sSub>
            <m:r>
              <w:rPr>
                <w:rFonts w:ascii="Cambria Math" w:hAnsi="Cambria Math" w:cstheme="minorHAnsi"/>
                <w:color w:val="000000"/>
                <w:shd w:val="clear" w:color="auto" w:fill="FFFFFF"/>
                <w:lang w:val="en-US"/>
              </w:rPr>
              <m:t xml:space="preserve"> </m:t>
            </m:r>
          </m:num>
          <m:den>
            <m:sSub>
              <m:sSubPr>
                <m:ctrlPr>
                  <w:rPr>
                    <w:rFonts w:ascii="Cambria Math" w:hAnsi="Cambria Math" w:cstheme="minorHAnsi"/>
                    <w:i/>
                    <w:iCs/>
                    <w:color w:val="000000"/>
                    <w:shd w:val="clear" w:color="auto" w:fill="FFFFFF"/>
                    <w:lang w:val="en-US"/>
                  </w:rPr>
                </m:ctrlPr>
              </m:sSubPr>
              <m:e>
                <m:r>
                  <w:rPr>
                    <w:rFonts w:ascii="Cambria Math" w:hAnsi="Cambria Math" w:cstheme="minorHAnsi"/>
                    <w:color w:val="000000"/>
                    <w:shd w:val="clear" w:color="auto" w:fill="FFFFFF"/>
                    <w:lang w:val="en-US"/>
                  </w:rPr>
                  <m:t>F</m:t>
                </m:r>
              </m:e>
              <m:sub>
                <m:r>
                  <w:rPr>
                    <w:rFonts w:ascii="Cambria Math" w:hAnsi="Cambria Math" w:cstheme="minorHAnsi"/>
                    <w:color w:val="000000"/>
                    <w:shd w:val="clear" w:color="auto" w:fill="FFFFFF"/>
                    <w:lang w:val="en-US"/>
                  </w:rPr>
                  <m:t>m</m:t>
                </m:r>
              </m:sub>
            </m:sSub>
          </m:den>
        </m:f>
      </m:oMath>
      <w:r>
        <w:t xml:space="preserve"> where F</w:t>
      </w:r>
      <w:r w:rsidRPr="00011B7B">
        <w:rPr>
          <w:vertAlign w:val="subscript"/>
        </w:rPr>
        <w:t>m</w:t>
      </w:r>
      <w:r>
        <w:t xml:space="preserve"> represents the maximal fluorescence after a saturating light pulse and F</w:t>
      </w:r>
      <w:r w:rsidRPr="00011B7B">
        <w:rPr>
          <w:vertAlign w:val="subscript"/>
        </w:rPr>
        <w:t>0</w:t>
      </w:r>
      <w:r>
        <w:t xml:space="preserve"> the steady-state fluorescence under weak initial illumination before the light pulse </w:t>
      </w:r>
      <w:r>
        <w:fldChar w:fldCharType="begin" w:fldLock="1"/>
      </w:r>
      <w:r w:rsidR="00082159">
        <w:instrText>ADDIN CSL_CITATION {"citationItems":[{"id":"ITEM-1","itemData":{"DOI":"10.1098/rspb.2018.2866","ISSN":"14712954","abstract":"The interactive effects of ocean warming and invasive species are complex and remain a source of uncertainty for projecting future ecological change. Climate-mediated change to trophic interactions can have pervasive ecological consequences, but the role of invasion in mediating trophic effects is largely unstudied. Using manipulative experiments in replicated outdoor mesocosms, we reveal how near-future ocean warming and macrophyte invasion scenarios interactively impact gastropod grazing intensity and preference for consumption of foundation macroalgae ( Ecklonia radiata and Sargassum vestitum). Elevated water temperature increased the consumption of both macroalgae through greater grazing intensity. Given the documented decline of kelp ( E. radiata) growth at higher water temperatures, enhanced grazing could contribute to the shift from kelp-dominated to Sargassum-dominated reefs that is occurring at the low-latitude margins of kelp distribution. However, the presence of a native invader ( Caulerpa filiformis) was related to low consumption by the herbivores on dominant kelp at warmer temperatures. Thus, antagonistic effects between climate change and a range expanding species can favour kelp persistence in a warmer future. Introduction of species should, therefore, not automatically be considered unfavourable under climate change scenarios. Climatic changes are increasing the need for effective management actions to address the interactive effects of multiple stressors and their ecological consequences, rather than single threats in isolation.","author":[{"dropping-particle":"","family":"Miranda","given":"Ricardo J.","non-dropping-particle":"","parse-names":false,"suffix":""},{"dropping-particle":"","family":"Coleman","given":"Melinda A.","non-dropping-particle":"","parse-names":false,"suffix":""},{"dropping-particle":"","family":"Tagliafico","given":"Alejandro","non-dropping-particle":"","parse-names":false,"suffix":""},{"dropping-particle":"","family":"Rangel","given":"Maria S.","non-dropping-particle":"","parse-names":false,"suffix":""},{"dropping-particle":"","family":"Mamo","given":"Lea T.","non-dropping-particle":"","parse-names":false,"suffix":""},{"dropping-particle":"","family":"Barros","given":"Francisco","non-dropping-particle":"","parse-names":false,"suffix":""},{"dropping-particle":"","family":"Kelaher","given":"Brendan P.","non-dropping-particle":"","parse-names":false,"suffix":""}],"container-title":"Proceedings. Biological sciences","id":"ITEM-1","issue":"1899","issued":{"date-parts":[["2019"]]},"page":"20182866","title":"Invasion-mediated effects on marine trophic interactions in a changing climate: positive feedbacks favour kelp persistence","type":"article-journal","volume":"286"},"uris":["http://www.mendeley.com/documents/?uuid=a54a8eec-5a84-4c69-bdfb-241eef162a33"]}],"mendeley":{"formattedCitation":"(Miranda et al., 2019)","plainTextFormattedCitation":"(Miranda et al., 2019)","previouslyFormattedCitation":"(Miranda et al., 2019)"},"properties":{"noteIndex":0},"schema":"https://github.com/citation-style-language/schema/raw/master/csl-citation.json"}</w:instrText>
      </w:r>
      <w:r>
        <w:fldChar w:fldCharType="separate"/>
      </w:r>
      <w:r w:rsidRPr="00082159">
        <w:rPr>
          <w:noProof/>
        </w:rPr>
        <w:t>(Miranda et al., 2019)</w:t>
      </w:r>
      <w:r>
        <w:fldChar w:fldCharType="end"/>
      </w:r>
      <w:r>
        <w:t>. The higher the</w:t>
      </w:r>
      <w:r w:rsidRPr="00E90A73">
        <w:t xml:space="preserve"> yield</w:t>
      </w:r>
      <w:r>
        <w:t>, the more</w:t>
      </w:r>
      <w:r w:rsidRPr="00E90A73">
        <w:t xml:space="preserve"> suitable </w:t>
      </w:r>
      <w:r>
        <w:t xml:space="preserve">the </w:t>
      </w:r>
      <w:r w:rsidRPr="00E90A73">
        <w:t xml:space="preserve">conditions </w:t>
      </w:r>
      <w:r w:rsidRPr="00275A79">
        <w:fldChar w:fldCharType="begin" w:fldLock="1"/>
      </w:r>
      <w:r w:rsidR="00702A3A">
        <w:instrText>ADDIN CSL_CITATION {"citationItems":[{"id":"ITEM-1","itemData":{"author":[{"dropping-particle":"","family":"Bilger","given":"Wolfgang","non-dropping-particle":"","parse-names":false,"suffix":""},{"dropping-particle":"","family":"Schreiber","given":"Ulrich","non-dropping-particle":"","parse-names":false,"suffix":""},{"dropping-particle":"","family":"Bock","given":"Michael","non-dropping-particle":"","parse-names":false,"suffix":""}],"container-title":"Oecologia","id":"ITEM-1","issue":"4","issued":{"date-parts":[["1995"]]},"page":"425-432","title":"Determination of the Quantum Efficiency of Photosystem II and of Non-Photochemical Quenching of Chlorophyll Fluorescence in the Field","type":"article-journal","volume":"102"},"uris":["http://www.mendeley.com/documents/?uuid=d0af6459-7afb-4708-8eac-061d805634b5"]}],"mendeley":{"formattedCitation":"(Bilger et al., 1995)","plainTextFormattedCitation":"(Bilger et al., 1995)","previouslyFormattedCitation":"(Bilger et al., 1995)"},"properties":{"noteIndex":0},"schema":"https://github.com/citation-style-language/schema/raw/master/csl-citation.json"}</w:instrText>
      </w:r>
      <w:r w:rsidRPr="00275A79">
        <w:fldChar w:fldCharType="separate"/>
      </w:r>
      <w:r w:rsidR="00702A3A" w:rsidRPr="00702A3A">
        <w:rPr>
          <w:noProof/>
        </w:rPr>
        <w:t>(Bilger et al., 1995)</w:t>
      </w:r>
      <w:r w:rsidRPr="00275A79">
        <w:fldChar w:fldCharType="end"/>
      </w:r>
      <w:r>
        <w:t>.</w:t>
      </w:r>
    </w:p>
    <w:p w14:paraId="0AA4A079" w14:textId="12F6AAAB" w:rsidR="007B341E" w:rsidRDefault="007B341E" w:rsidP="006733CF">
      <w:pPr>
        <w:pStyle w:val="Heading4"/>
        <w:spacing w:line="480" w:lineRule="auto"/>
      </w:pPr>
      <w:r>
        <w:lastRenderedPageBreak/>
        <w:t>Total accumulated biomass</w:t>
      </w:r>
    </w:p>
    <w:p w14:paraId="6CA1A15B" w14:textId="5EE2CA5C" w:rsidR="007B341E" w:rsidRPr="000A54F1" w:rsidRDefault="007B341E" w:rsidP="006733CF">
      <w:pPr>
        <w:spacing w:line="480" w:lineRule="auto"/>
      </w:pPr>
      <w:r>
        <w:t>Total accumulated biomass for mussels and algae that were kept in the same mesocosm was calculated by adding the accumulated algal biomass to the accumulated mussel biomass. To compare between the total accumulated biomass of mussels and algae that had been kept together and the sum of accumulated biomass of mussels kept on their own and algae kept on their own in the same abiotic treatments, each possible combination of accumulated biomass per mesocosm of mussels kept on their own (n = 5) and algae kept on their own (n = 5) was calculated (</w:t>
      </w:r>
      <w:r w:rsidR="00FC5E5F">
        <w:t xml:space="preserve">for analysis </w:t>
      </w:r>
      <w:r>
        <w:t>n =</w:t>
      </w:r>
      <w:r w:rsidR="00FC5E5F">
        <w:t xml:space="preserve"> 5*5 =</w:t>
      </w:r>
      <w:r>
        <w:t xml:space="preserve"> 25).</w:t>
      </w:r>
    </w:p>
    <w:p w14:paraId="29F6DF4C" w14:textId="77777777" w:rsidR="000337CD" w:rsidRDefault="000337CD" w:rsidP="006733CF">
      <w:pPr>
        <w:pStyle w:val="Heading3"/>
        <w:spacing w:line="480" w:lineRule="auto"/>
      </w:pPr>
      <w:bookmarkStart w:id="13" w:name="_Toc157356540"/>
      <w:r>
        <w:t>Data analyses</w:t>
      </w:r>
      <w:bookmarkEnd w:id="13"/>
    </w:p>
    <w:p w14:paraId="7EE1386D" w14:textId="7963513F" w:rsidR="000337CD" w:rsidRDefault="000337CD" w:rsidP="006733CF">
      <w:pPr>
        <w:spacing w:line="480" w:lineRule="auto"/>
      </w:pPr>
      <w:r>
        <w:t>To test hypotheses, three-way Analyses of Variance (ANOVAs) were performed using temperature</w:t>
      </w:r>
      <w:r w:rsidR="002504BA">
        <w:t xml:space="preserve"> (three levels)</w:t>
      </w:r>
      <w:r>
        <w:t xml:space="preserve">, </w:t>
      </w:r>
      <w:r w:rsidRPr="00D50D49">
        <w:t>pCO</w:t>
      </w:r>
      <w:r w:rsidRPr="00D50D49">
        <w:rPr>
          <w:vertAlign w:val="subscript"/>
        </w:rPr>
        <w:t>2</w:t>
      </w:r>
      <w:r>
        <w:t xml:space="preserve"> </w:t>
      </w:r>
      <w:r w:rsidR="002504BA">
        <w:t xml:space="preserve">(two levels) </w:t>
      </w:r>
      <w:r>
        <w:t>and the presence of a second functional group</w:t>
      </w:r>
      <w:r w:rsidR="007A13BC">
        <w:t xml:space="preserve"> (</w:t>
      </w:r>
      <w:r w:rsidR="002504BA">
        <w:t xml:space="preserve">two levels; </w:t>
      </w:r>
      <w:r w:rsidR="007A13BC">
        <w:t>i.e. mussels vs. mussels and algae; or algae vs. mussels and algae)</w:t>
      </w:r>
      <w:r>
        <w:t xml:space="preserve"> as fixed </w:t>
      </w:r>
      <w:r w:rsidRPr="009601F7">
        <w:t xml:space="preserve">orthogonal factors and including all possible interactions. </w:t>
      </w:r>
      <w:bookmarkStart w:id="14" w:name="_Hlk126099776"/>
      <w:r w:rsidRPr="00E10924">
        <w:t xml:space="preserve">Data </w:t>
      </w:r>
      <w:r>
        <w:t xml:space="preserve">of </w:t>
      </w:r>
      <w:proofErr w:type="spellStart"/>
      <w:r>
        <w:t>rETRmax</w:t>
      </w:r>
      <w:proofErr w:type="spellEnd"/>
      <w:r>
        <w:t xml:space="preserve"> and </w:t>
      </w:r>
      <w:proofErr w:type="spellStart"/>
      <w:r>
        <w:t>I</w:t>
      </w:r>
      <w:r>
        <w:rPr>
          <w:vertAlign w:val="subscript"/>
        </w:rPr>
        <w:t>k</w:t>
      </w:r>
      <w:proofErr w:type="spellEnd"/>
      <w:r>
        <w:t xml:space="preserve"> were log </w:t>
      </w:r>
      <w:r w:rsidRPr="00E10924">
        <w:t>transformed</w:t>
      </w:r>
      <w:r w:rsidRPr="00E10924" w:rsidDel="005E4C28">
        <w:t xml:space="preserve"> </w:t>
      </w:r>
      <w:r w:rsidRPr="00E10924">
        <w:t>to meet the assumptions of ANOVA</w:t>
      </w:r>
      <w:bookmarkEnd w:id="14"/>
      <w:r>
        <w:t xml:space="preserve">. </w:t>
      </w:r>
      <w:bookmarkStart w:id="15" w:name="_Hlk126099807"/>
      <w:r>
        <w:t>Normality of errors was confirmed by plotting histograms of the residuals and applying Shapiro-Wilks-tests.</w:t>
      </w:r>
      <w:bookmarkEnd w:id="15"/>
      <w:r>
        <w:t xml:space="preserve"> Homogeneity of variances was tested </w:t>
      </w:r>
      <w:r w:rsidRPr="009601F7">
        <w:t xml:space="preserve">using </w:t>
      </w:r>
      <w:proofErr w:type="spellStart"/>
      <w:r w:rsidRPr="009601F7">
        <w:t>Levene’s</w:t>
      </w:r>
      <w:proofErr w:type="spellEnd"/>
      <w:r w:rsidRPr="009601F7">
        <w:t xml:space="preserve"> tests and </w:t>
      </w:r>
      <w:r w:rsidRPr="00510DC3">
        <w:rPr>
          <w:color w:val="000000" w:themeColor="text1"/>
        </w:rPr>
        <w:t>by plotting the residuals as a function of the fitted values</w:t>
      </w:r>
      <w:r>
        <w:t xml:space="preserve">. To test for autocorrelation in the residuals, Durbin-Watson tests were conducted, and the presence of influential data points was assessed using Cook’s distance. Data of mussel shell strength and mussel byssus strength were slightly unbalanced, hence ANOVA type 3 sums of squares were considered. When the ANOVA indicated differences between more than two treatment levels, Tukey’s Honest Significance Differences were calculated as post-hoc tests. To assess whether the final amount of kelp sporophytes differed among treatments, a generalised linear model of the family </w:t>
      </w:r>
      <w:proofErr w:type="spellStart"/>
      <w:r>
        <w:t>quasipoisson</w:t>
      </w:r>
      <w:proofErr w:type="spellEnd"/>
      <w:r>
        <w:t xml:space="preserve"> was applied.</w:t>
      </w:r>
      <w:r w:rsidR="001F0FA3">
        <w:t xml:space="preserve"> To test for differences in total accumulated biomass when mussels and algae were kept together </w:t>
      </w:r>
      <w:r w:rsidR="001453B1">
        <w:t>and</w:t>
      </w:r>
      <w:r w:rsidR="001F0FA3">
        <w:t xml:space="preserve"> the sums of accumulated mussel and algal biomass when kept separately, the sums of all possible biomass combinations of mesocosms that had only mussels </w:t>
      </w:r>
      <w:r w:rsidR="001453B1">
        <w:t>and</w:t>
      </w:r>
      <w:r w:rsidR="001F0FA3">
        <w:t xml:space="preserve"> only algae were calculated for each abiotic treatment (temperature levels crossed with </w:t>
      </w:r>
      <w:r w:rsidR="001F0FA3" w:rsidRPr="00D50D49">
        <w:t>pCO</w:t>
      </w:r>
      <w:r w:rsidR="001F0FA3" w:rsidRPr="00D50D49">
        <w:rPr>
          <w:vertAlign w:val="subscript"/>
        </w:rPr>
        <w:t>2</w:t>
      </w:r>
      <w:r w:rsidR="001F0FA3">
        <w:t xml:space="preserve"> levels), which yielded 25 samples per abiotic treatment. Variances were </w:t>
      </w:r>
      <w:r w:rsidR="00BE3C74">
        <w:t>heterogeneous</w:t>
      </w:r>
      <w:r w:rsidR="001F0FA3">
        <w:t xml:space="preserve"> between these groups and the corresponding five samples of mesocosms in which mussels and algae had been kept together at the same abiotic treatments, </w:t>
      </w:r>
      <w:r w:rsidR="00F34DD6">
        <w:t>thus</w:t>
      </w:r>
      <w:r w:rsidR="001F0FA3">
        <w:t xml:space="preserve"> the </w:t>
      </w:r>
      <w:proofErr w:type="spellStart"/>
      <w:r w:rsidR="001F0FA3">
        <w:t>Scheirer</w:t>
      </w:r>
      <w:proofErr w:type="spellEnd"/>
      <w:r w:rsidR="001F0FA3">
        <w:t xml:space="preserve">-Ray-Hare test </w:t>
      </w:r>
      <w:r w:rsidR="00711B3F">
        <w:t>was used for analysis, followed by the Dunn test for post</w:t>
      </w:r>
      <w:r w:rsidR="001453B1">
        <w:t>-</w:t>
      </w:r>
      <w:r w:rsidR="00711B3F">
        <w:t>hoc comparisons</w:t>
      </w:r>
      <w:r w:rsidR="006712CF">
        <w:t xml:space="preserve"> </w:t>
      </w:r>
      <w:r w:rsidR="00D170BA">
        <w:fldChar w:fldCharType="begin" w:fldLock="1"/>
      </w:r>
      <w:r w:rsidR="00D170BA">
        <w:instrText>ADDIN CSL_CITATION {"citationItems":[{"id":"ITEM-1","itemData":{"DOI":"rcompanion.org/handbook/","author":[{"dropping-particle":"","family":"Mangiafico","given":"S.S.","non-dropping-particle":"","parse-names":false,"suffix":""}],"id":"ITEM-1","issued":{"date-parts":[["2016"]]},"number":"version 1.20.05, revised 2023","title":"Summary and Analysis of Extension Program Evaluation in R","type":"book"},"uris":["http://www.mendeley.com/documents/?uuid=94eae0b2-dad7-4e7b-9de2-77a371d4550b"]}],"mendeley":{"formattedCitation":"(Mangiafico, 2016)","plainTextFormattedCitation":"(Mangiafico, 2016)","previouslyFormattedCitation":"(Mangiafico, 2016)"},"properties":{"noteIndex":0},"schema":"https://github.com/citation-style-language/schema/raw/master/csl-citation.json"}</w:instrText>
      </w:r>
      <w:r w:rsidR="00D170BA">
        <w:fldChar w:fldCharType="separate"/>
      </w:r>
      <w:r w:rsidR="00D170BA" w:rsidRPr="00D170BA">
        <w:rPr>
          <w:noProof/>
        </w:rPr>
        <w:t>(Mangiafico, 2016)</w:t>
      </w:r>
      <w:r w:rsidR="00D170BA">
        <w:fldChar w:fldCharType="end"/>
      </w:r>
      <w:r w:rsidR="00711B3F">
        <w:t xml:space="preserve">. </w:t>
      </w:r>
    </w:p>
    <w:p w14:paraId="213EBB4A" w14:textId="0476254F" w:rsidR="000337CD" w:rsidRDefault="000337CD" w:rsidP="006733CF">
      <w:pPr>
        <w:spacing w:line="480" w:lineRule="auto"/>
      </w:pPr>
      <w:r>
        <w:lastRenderedPageBreak/>
        <w:t xml:space="preserve">All statistical analyses and data visualisation were conducted in R version 4.2.1 </w:t>
      </w:r>
      <w:r>
        <w:fldChar w:fldCharType="begin" w:fldLock="1"/>
      </w:r>
      <w:r>
        <w:instrText>ADDIN CSL_CITATION {"citationItems":[{"id":"ITEM-1","itemData":{"author":[{"dropping-particle":"","family":"R Core Team","given":"","non-dropping-particle":"","parse-names":false,"suffix":""}],"id":"ITEM-1","issued":{"date-parts":[["2022"]]},"number":"4.2.1","publisher":"R Foundation for Statistical Computing","publisher-place":"Vienna, Austria","title":"R: A language and environment for statistical computing","type":"article"},"uris":["http://www.mendeley.com/documents/?uuid=aa4a8a3d-79d4-4e68-bc6e-f64428702010"]}],"mendeley":{"formattedCitation":"(R Core Team, 2022)","plainTextFormattedCitation":"(R Core Team, 2022)","previouslyFormattedCitation":"(R Core Team, 2022)"},"properties":{"noteIndex":0},"schema":"https://github.com/citation-style-language/schema/raw/master/csl-citation.json"}</w:instrText>
      </w:r>
      <w:r>
        <w:fldChar w:fldCharType="separate"/>
      </w:r>
      <w:r w:rsidRPr="00571787">
        <w:rPr>
          <w:noProof/>
        </w:rPr>
        <w:t>(R Core Team, 2022)</w:t>
      </w:r>
      <w:r>
        <w:fldChar w:fldCharType="end"/>
      </w:r>
      <w:r>
        <w:t xml:space="preserve"> using R Studio version 2022.07.2 </w:t>
      </w:r>
      <w:r>
        <w:fldChar w:fldCharType="begin" w:fldLock="1"/>
      </w:r>
      <w:r w:rsidR="00082159">
        <w:instrText>ADDIN CSL_CITATION {"citationItems":[{"id":"ITEM-1","itemData":{"author":[{"dropping-particle":"","family":"RStudio Team","given":"","non-dropping-particle":"","parse-names":false,"suffix":""}],"id":"ITEM-1","issued":{"date-parts":[["2022"]]},"number":"2022.07.2","publisher":"RStudio, PCB","publisher-place":"Boston, MA","title":"RStudio: Integrated Development Environment for R","type":"article"},"uris":["http://www.mendeley.com/documents/?uuid=567634f7-8612-4444-91e8-7860aabee8cd"]}],"mendeley":{"formattedCitation":"(RStudio Team, 2022)","plainTextFormattedCitation":"(RStudio Team, 2022)","previouslyFormattedCitation":"(RStudio Team, 2022)"},"properties":{"noteIndex":0},"schema":"https://github.com/citation-style-language/schema/raw/master/csl-citation.json"}</w:instrText>
      </w:r>
      <w:r>
        <w:fldChar w:fldCharType="separate"/>
      </w:r>
      <w:r w:rsidR="00082159" w:rsidRPr="00082159">
        <w:rPr>
          <w:noProof/>
        </w:rPr>
        <w:t>(RStudio Team, 2022)</w:t>
      </w:r>
      <w:r>
        <w:fldChar w:fldCharType="end"/>
      </w:r>
      <w:r>
        <w:t xml:space="preserve"> and the packages </w:t>
      </w:r>
      <w:proofErr w:type="spellStart"/>
      <w:r>
        <w:t>tidyverse</w:t>
      </w:r>
      <w:proofErr w:type="spellEnd"/>
      <w:r>
        <w:t xml:space="preserve"> version 1.3.2 </w:t>
      </w:r>
      <w:r>
        <w:fldChar w:fldCharType="begin" w:fldLock="1"/>
      </w:r>
      <w:r w:rsidR="00082159">
        <w:instrText>ADDIN CSL_CITATION {"citationItems":[{"id":"ITEM-1","itemData":{"DOI":"doi:10.21105/joss.01686","author":[{"dropping-particle":"","family":"Wickham","given":"H","non-dropping-particle":"","parse-names":false,"suffix":""},{"dropping-particle":"","family":"Averick","given":"M","non-dropping-particle":"","parse-names":false,"suffix":""},{"dropping-particle":"","family":"Bryan","given":"J","non-dropping-particle":"","parse-names":false,"suffix":""},{"dropping-particle":"","family":"Chang","given":"W","non-dropping-particle":"","parse-names":false,"suffix":""},{"dropping-particle":"","family":"McGowan","given":"LD","non-dropping-particle":"","parse-names":false,"suffix":""},{"dropping-particle":"","family":"François","given":"R","non-dropping-particle":"","parse-names":false,"suffix":""},{"dropping-particle":"","family":"Grolemund","given":"G","non-dropping-particle":"","parse-names":false,"suffix":""},{"dropping-particle":"","family":"Hayes","given":"A","non-dropping-particle":"","parse-names":false,"suffix":""},{"dropping-particle":"","family":"Henry","given":"L","non-dropping-particle":"","parse-names":false,"suffix":""},{"dropping-particle":"","family":"Hester","given":"J","non-dropping-particle":"","parse-names":false,"suffix":""},{"dropping-particle":"","family":"Kuhn","given":"M","non-dropping-particle":"","parse-names":false,"suffix":""},{"dropping-particle":"","family":"Pedersen","given":"TL","non-dropping-particle":"","parse-names":false,"suffix":""},{"dropping-particle":"","family":"Miller","given":"E","non-dropping-particle":"","parse-names":false,"suffix":""},{"dropping-particle":"","family":"Bache","given":"SM","non-dropping-particle":"","parse-names":false,"suffix":""},{"dropping-particle":"","family":"Müller","given":"K","non-dropping-particle":"","parse-names":false,"suffix":""},{"dropping-particle":"","family":"Ooms","given":"J","non-dropping-particle":"","parse-names":false,"suffix":""},{"dropping-particle":"","family":"Robinson","given":"D","non-dropping-particle":"","parse-names":false,"suffix":""},{"dropping-particle":"","family":"Seidel","given":"DP","non-dropping-particle":"","parse-names":false,"suffix":""},{"dropping-particle":"","family":"Spinu","given":"V","non-dropping-particle":"","parse-names":false,"suffix":""},{"dropping-particle":"","family":"Takahashi","given":"K","non-dropping-particle":"","parse-names":false,"suffix":""},{"dropping-particle":"","family":"Vaughan","given":"D","non-dropping-particle":"","parse-names":false,"suffix":""},{"dropping-particle":"","family":"Wilke","given":"C","non-dropping-particle":"","parse-names":false,"suffix":""},{"dropping-particle":"","family":"Woo","given":"K","non-dropping-particle":"","parse-names":false,"suffix":""},{"dropping-particle":"","family":"Yutani","given":"H","non-dropping-particle":"","parse-names":false,"suffix":""}],"container-title":"Journal of Open Source Software","id":"ITEM-1","issue":"43","issued":{"date-parts":[["2019"]]},"page":"1686","title":"Welcome to the tidyverse","type":"article-journal","volume":"4"},"uris":["http://www.mendeley.com/documents/?uuid=070212bb-6368-41a1-ace3-6f5b88e1bc90"]}],"mendeley":{"formattedCitation":"(Wickham et al., 2019)","plainTextFormattedCitation":"(Wickham et al., 2019)","previouslyFormattedCitation":"(Wickham et al., 2019)"},"properties":{"noteIndex":0},"schema":"https://github.com/citation-style-language/schema/raw/master/csl-citation.json"}</w:instrText>
      </w:r>
      <w:r>
        <w:fldChar w:fldCharType="separate"/>
      </w:r>
      <w:r w:rsidRPr="00082159">
        <w:rPr>
          <w:noProof/>
        </w:rPr>
        <w:t>(Wickham et al., 2019)</w:t>
      </w:r>
      <w:r>
        <w:fldChar w:fldCharType="end"/>
      </w:r>
      <w:r>
        <w:t xml:space="preserve">, car version 3.1.1 </w:t>
      </w:r>
      <w:r>
        <w:fldChar w:fldCharType="begin" w:fldLock="1"/>
      </w:r>
      <w:r w:rsidR="00702A3A">
        <w:instrText>ADDIN CSL_CITATION {"citationItems":[{"id":"ITEM-1","itemData":{"author":[{"dropping-particle":"","family":"Fox","given":"John","non-dropping-particle":"","parse-names":false,"suffix":""},{"dropping-particle":"","family":"Weisberg","given":"Sanford","non-dropping-particle":"","parse-names":false,"suffix":""}],"edition":"3rd","id":"ITEM-1","issued":{"date-parts":[["2019"]]},"publisher":"Sage","publisher-place":"Thousand Oaks CA","title":"An {R} Companion to Applied Regression","type":"book"},"uris":["http://www.mendeley.com/documents/?uuid=b44db1fb-87de-4090-a94c-22b15d3c6676"]}],"mendeley":{"formattedCitation":"(Fox and Weisberg, 2019)","plainTextFormattedCitation":"(Fox and Weisberg, 2019)","previouslyFormattedCitation":"(Fox and Weisberg, 2019)"},"properties":{"noteIndex":0},"schema":"https://github.com/citation-style-language/schema/raw/master/csl-citation.json"}</w:instrText>
      </w:r>
      <w:r>
        <w:fldChar w:fldCharType="separate"/>
      </w:r>
      <w:r w:rsidR="00702A3A" w:rsidRPr="00702A3A">
        <w:rPr>
          <w:noProof/>
        </w:rPr>
        <w:t>(Fox and Weisberg, 2019)</w:t>
      </w:r>
      <w:r>
        <w:fldChar w:fldCharType="end"/>
      </w:r>
      <w:r>
        <w:t xml:space="preserve">, </w:t>
      </w:r>
      <w:proofErr w:type="spellStart"/>
      <w:r>
        <w:t>Hmisc</w:t>
      </w:r>
      <w:proofErr w:type="spellEnd"/>
      <w:r>
        <w:t xml:space="preserve"> version 4.7-2 </w:t>
      </w:r>
      <w:r>
        <w:fldChar w:fldCharType="begin" w:fldLock="1"/>
      </w:r>
      <w:r>
        <w:instrText>ADDIN CSL_CITATION {"citationItems":[{"id":"ITEM-1","itemData":{"author":[{"dropping-particle":"","family":"Harrell Jr","given":"Frank E","non-dropping-particle":"","parse-names":false,"suffix":""}],"id":"ITEM-1","issued":{"date-parts":[["2022"]]},"number":"4.7-2","title":"Hmisc: Harrell Miscellaneous","type":"article"},"uris":["http://www.mendeley.com/documents/?uuid=9d0506af-afcd-4a45-bb5a-d3d52ab6cb6c"]}],"mendeley":{"formattedCitation":"(Harrell Jr, 2022)","plainTextFormattedCitation":"(Harrell Jr, 2022)","previouslyFormattedCitation":"(Harrell Jr, 2022)"},"properties":{"noteIndex":0},"schema":"https://github.com/citation-style-language/schema/raw/master/csl-citation.json"}</w:instrText>
      </w:r>
      <w:r>
        <w:fldChar w:fldCharType="separate"/>
      </w:r>
      <w:r w:rsidRPr="00571787">
        <w:rPr>
          <w:noProof/>
        </w:rPr>
        <w:t>(Harrell Jr, 2022)</w:t>
      </w:r>
      <w:r>
        <w:fldChar w:fldCharType="end"/>
      </w:r>
      <w:r w:rsidR="00551E3C">
        <w:t xml:space="preserve">, </w:t>
      </w:r>
      <w:proofErr w:type="spellStart"/>
      <w:r w:rsidR="00551E3C">
        <w:t>rcompanion</w:t>
      </w:r>
      <w:proofErr w:type="spellEnd"/>
      <w:r w:rsidR="00551E3C">
        <w:t xml:space="preserve"> version 2.4.34</w:t>
      </w:r>
      <w:r w:rsidR="00D170BA">
        <w:t xml:space="preserve"> </w:t>
      </w:r>
      <w:r w:rsidR="00D170BA">
        <w:fldChar w:fldCharType="begin" w:fldLock="1"/>
      </w:r>
      <w:r w:rsidR="00D170BA">
        <w:instrText>ADDIN CSL_CITATION {"citationItems":[{"id":"ITEM-1","itemData":{"author":[{"dropping-particle":"","family":"Mangiafico","given":"S.S.","non-dropping-particle":"","parse-names":false,"suffix":""}],"id":"ITEM-1","issued":{"date-parts":[["2023"]]},"number":"Version 2.4.34","title":"rcompanion: Functions to Support Extension Education Program Evaluation","type":"article"},"uris":["http://www.mendeley.com/documents/?uuid=f1aae811-bc1a-4a59-a494-0b9787fb83f8"]}],"mendeley":{"formattedCitation":"(Mangiafico, 2023)","plainTextFormattedCitation":"(Mangiafico, 2023)","previouslyFormattedCitation":"(Mangiafico, 2023)"},"properties":{"noteIndex":0},"schema":"https://github.com/citation-style-language/schema/raw/master/csl-citation.json"}</w:instrText>
      </w:r>
      <w:r w:rsidR="00D170BA">
        <w:fldChar w:fldCharType="separate"/>
      </w:r>
      <w:r w:rsidR="00D170BA" w:rsidRPr="00D170BA">
        <w:rPr>
          <w:noProof/>
        </w:rPr>
        <w:t>(Mangiafico, 2023)</w:t>
      </w:r>
      <w:r w:rsidR="00D170BA">
        <w:fldChar w:fldCharType="end"/>
      </w:r>
      <w:r w:rsidR="00551E3C">
        <w:t>, and FSA version 0.9.5</w:t>
      </w:r>
      <w:r w:rsidR="00D170BA">
        <w:t xml:space="preserve"> </w:t>
      </w:r>
      <w:r w:rsidR="00D170BA">
        <w:fldChar w:fldCharType="begin" w:fldLock="1"/>
      </w:r>
      <w:r w:rsidR="00AD4D65">
        <w:instrText>ADDIN CSL_CITATION {"citationItems":[{"id":"ITEM-1","itemData":{"author":[{"dropping-particle":"","family":"Ogle","given":"D.H.","non-dropping-particle":"","parse-names":false,"suffix":""},{"dropping-particle":"","family":"Doll","given":"J.C.","non-dropping-particle":"","parse-names":false,"suffix":""},{"dropping-particle":"","family":"Wheeler","given":"A.P.","non-dropping-particle":"","parse-names":false,"suffix":""},{"dropping-particle":"","family":"Dinno","given":"A.","non-dropping-particle":"","parse-names":false,"suffix":""}],"id":"ITEM-1","issued":{"date-parts":[["2023"]]},"number":"R package version 0.9.5","title":"FSA: Simple Fisheries Stock Assessment Methods","type":"article"},"uris":["http://www.mendeley.com/documents/?uuid=9dd926df-db55-4d7c-b216-09e4deb43aee"]}],"mendeley":{"formattedCitation":"(Ogle et al., 2023)","plainTextFormattedCitation":"(Ogle et al., 2023)","previouslyFormattedCitation":"(Ogle et al., 2023)"},"properties":{"noteIndex":0},"schema":"https://github.com/citation-style-language/schema/raw/master/csl-citation.json"}</w:instrText>
      </w:r>
      <w:r w:rsidR="00D170BA">
        <w:fldChar w:fldCharType="separate"/>
      </w:r>
      <w:r w:rsidR="00D170BA" w:rsidRPr="00D170BA">
        <w:rPr>
          <w:noProof/>
        </w:rPr>
        <w:t>(Ogle et al., 2023)</w:t>
      </w:r>
      <w:r w:rsidR="00D170BA">
        <w:fldChar w:fldCharType="end"/>
      </w:r>
      <w:r>
        <w:t>. Byssus strength test files were prepared and the average load drop &gt; 0.01 N</w:t>
      </w:r>
      <w:r w:rsidR="003F369E">
        <w:t xml:space="preserve"> calculated in Microsoft Excel</w:t>
      </w:r>
      <w:r>
        <w:t>.</w:t>
      </w:r>
    </w:p>
    <w:p w14:paraId="0D17F491" w14:textId="77777777" w:rsidR="00957C54" w:rsidRDefault="00957C54" w:rsidP="006733CF">
      <w:pPr>
        <w:spacing w:line="480" w:lineRule="auto"/>
      </w:pPr>
    </w:p>
    <w:p w14:paraId="6CD3B005" w14:textId="77777777" w:rsidR="000337CD" w:rsidRDefault="000337CD" w:rsidP="006733CF">
      <w:pPr>
        <w:pStyle w:val="Heading2"/>
        <w:spacing w:line="480" w:lineRule="auto"/>
      </w:pPr>
      <w:bookmarkStart w:id="16" w:name="_Toc157356541"/>
      <w:r>
        <w:t>Results</w:t>
      </w:r>
      <w:bookmarkEnd w:id="16"/>
    </w:p>
    <w:p w14:paraId="10149725" w14:textId="77777777" w:rsidR="000337CD" w:rsidRDefault="000337CD" w:rsidP="006733CF">
      <w:pPr>
        <w:pStyle w:val="Heading3"/>
        <w:spacing w:line="480" w:lineRule="auto"/>
      </w:pPr>
      <w:bookmarkStart w:id="17" w:name="_Toc157356542"/>
      <w:r>
        <w:t>Mussel responses</w:t>
      </w:r>
      <w:bookmarkEnd w:id="17"/>
    </w:p>
    <w:p w14:paraId="00F72C81" w14:textId="2F0F90D6" w:rsidR="000337CD" w:rsidRDefault="000337CD" w:rsidP="006733CF">
      <w:pPr>
        <w:spacing w:line="480" w:lineRule="auto"/>
      </w:pPr>
      <w:r>
        <w:t xml:space="preserve">No interactions were identified among any of the factors on </w:t>
      </w:r>
      <w:r w:rsidR="00470DE3">
        <w:t xml:space="preserve">mussel </w:t>
      </w:r>
      <w:r>
        <w:t xml:space="preserve">response variables. We did find </w:t>
      </w:r>
      <w:r w:rsidR="00650519">
        <w:t xml:space="preserve">an effect of temperature on </w:t>
      </w:r>
      <w:r>
        <w:t>mussel mortality (</w:t>
      </w:r>
      <w:r w:rsidRPr="00983D6A">
        <w:t>F</w:t>
      </w:r>
      <w:r w:rsidRPr="00117E1C">
        <w:rPr>
          <w:vertAlign w:val="subscript"/>
        </w:rPr>
        <w:t xml:space="preserve">2, </w:t>
      </w:r>
      <w:r>
        <w:rPr>
          <w:vertAlign w:val="subscript"/>
        </w:rPr>
        <w:t>48</w:t>
      </w:r>
      <w:r w:rsidRPr="00983D6A">
        <w:t xml:space="preserve"> = 6</w:t>
      </w:r>
      <w:r>
        <w:t>.382</w:t>
      </w:r>
      <w:r w:rsidRPr="00983D6A">
        <w:t xml:space="preserve">; p </w:t>
      </w:r>
      <w:r>
        <w:t>=</w:t>
      </w:r>
      <w:r w:rsidRPr="00983D6A">
        <w:t xml:space="preserve"> 0.0</w:t>
      </w:r>
      <w:r>
        <w:t>04) and post-hoc tests indicated significant differences (p = 0.002</w:t>
      </w:r>
      <w:r w:rsidRPr="00983D6A">
        <w:t xml:space="preserve">) </w:t>
      </w:r>
      <w:r>
        <w:t xml:space="preserve">between the ambient and the warmest (+2 °C) temperature level </w:t>
      </w:r>
      <w:r w:rsidRPr="00983D6A">
        <w:t>(</w:t>
      </w:r>
      <w:r w:rsidR="006345F4">
        <w:fldChar w:fldCharType="begin"/>
      </w:r>
      <w:r w:rsidR="006345F4">
        <w:instrText xml:space="preserve"> REF _Ref127734513 \h </w:instrText>
      </w:r>
      <w:r w:rsidR="006733CF">
        <w:instrText xml:space="preserve"> \* MERGEFORMAT </w:instrText>
      </w:r>
      <w:r w:rsidR="006345F4">
        <w:fldChar w:fldCharType="separate"/>
      </w:r>
      <w:r w:rsidR="00332893">
        <w:t xml:space="preserve">Figure </w:t>
      </w:r>
      <w:r w:rsidR="00332893">
        <w:rPr>
          <w:noProof/>
        </w:rPr>
        <w:t>2</w:t>
      </w:r>
      <w:r w:rsidR="006345F4">
        <w:fldChar w:fldCharType="end"/>
      </w:r>
      <w:r w:rsidRPr="00983D6A">
        <w:t>).</w:t>
      </w:r>
      <w:r>
        <w:t xml:space="preserve"> </w:t>
      </w:r>
      <w:r w:rsidRPr="00D50D49">
        <w:t>pCO</w:t>
      </w:r>
      <w:r w:rsidRPr="00D50D49">
        <w:rPr>
          <w:vertAlign w:val="subscript"/>
        </w:rPr>
        <w:t>2</w:t>
      </w:r>
      <w:r>
        <w:t xml:space="preserve"> had no effect on mussel mortality (</w:t>
      </w:r>
      <w:r w:rsidRPr="00983D6A">
        <w:t>F</w:t>
      </w:r>
      <w:r w:rsidRPr="00117E1C">
        <w:rPr>
          <w:vertAlign w:val="subscript"/>
        </w:rPr>
        <w:t xml:space="preserve">1, </w:t>
      </w:r>
      <w:r>
        <w:rPr>
          <w:vertAlign w:val="subscript"/>
        </w:rPr>
        <w:t>48</w:t>
      </w:r>
      <w:r w:rsidRPr="00983D6A">
        <w:t xml:space="preserve"> = </w:t>
      </w:r>
      <w:r>
        <w:t>0.37</w:t>
      </w:r>
      <w:r w:rsidRPr="00983D6A">
        <w:t xml:space="preserve">; p </w:t>
      </w:r>
      <w:r>
        <w:t>= 0.549). Fewer mussels died when algae were present (</w:t>
      </w:r>
      <w:r w:rsidRPr="00983D6A">
        <w:t>F</w:t>
      </w:r>
      <w:r w:rsidRPr="00117E1C">
        <w:rPr>
          <w:vertAlign w:val="subscript"/>
        </w:rPr>
        <w:t xml:space="preserve">1, </w:t>
      </w:r>
      <w:r>
        <w:rPr>
          <w:vertAlign w:val="subscript"/>
        </w:rPr>
        <w:t>48</w:t>
      </w:r>
      <w:r w:rsidRPr="00983D6A">
        <w:t xml:space="preserve"> = 8.</w:t>
      </w:r>
      <w:r>
        <w:t>403</w:t>
      </w:r>
      <w:r w:rsidRPr="00983D6A">
        <w:t xml:space="preserve">; p </w:t>
      </w:r>
      <w:r>
        <w:t>= 0.006).</w:t>
      </w:r>
    </w:p>
    <w:p w14:paraId="7CB24797" w14:textId="77777777" w:rsidR="00EE6A1B" w:rsidRDefault="000337CD" w:rsidP="006733CF">
      <w:pPr>
        <w:keepNext/>
        <w:spacing w:line="480" w:lineRule="auto"/>
        <w:ind w:right="-2"/>
        <w:jc w:val="center"/>
      </w:pPr>
      <w:r>
        <w:rPr>
          <w:noProof/>
        </w:rPr>
        <w:drawing>
          <wp:inline distT="0" distB="0" distL="0" distR="0" wp14:anchorId="681D37FF" wp14:editId="0D838C0C">
            <wp:extent cx="5025224" cy="2381700"/>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t="3425" b="3425"/>
                    <a:stretch>
                      <a:fillRect/>
                    </a:stretch>
                  </pic:blipFill>
                  <pic:spPr bwMode="auto">
                    <a:xfrm>
                      <a:off x="0" y="0"/>
                      <a:ext cx="5042495" cy="2389886"/>
                    </a:xfrm>
                    <a:prstGeom prst="rect">
                      <a:avLst/>
                    </a:prstGeom>
                    <a:noFill/>
                    <a:ln>
                      <a:noFill/>
                    </a:ln>
                    <a:extLst>
                      <a:ext uri="{53640926-AAD7-44D8-BBD7-CCE9431645EC}">
                        <a14:shadowObscured xmlns:a14="http://schemas.microsoft.com/office/drawing/2010/main"/>
                      </a:ext>
                    </a:extLst>
                  </pic:spPr>
                </pic:pic>
              </a:graphicData>
            </a:graphic>
          </wp:inline>
        </w:drawing>
      </w:r>
    </w:p>
    <w:p w14:paraId="4785FA45" w14:textId="7337675A" w:rsidR="000337CD" w:rsidRPr="00212E0F" w:rsidRDefault="00EE6A1B">
      <w:pPr>
        <w:pStyle w:val="Caption"/>
        <w:rPr>
          <w:iCs/>
        </w:rPr>
      </w:pPr>
      <w:bookmarkStart w:id="18" w:name="_Ref127734513"/>
      <w:bookmarkStart w:id="19" w:name="_Ref127734496"/>
      <w:bookmarkStart w:id="20" w:name="_Toc157356672"/>
      <w:r>
        <w:t xml:space="preserve">Figure </w:t>
      </w:r>
      <w:fldSimple w:instr=" SEQ Figure \* ARABIC \s 1 ">
        <w:r w:rsidR="00BB1E6B">
          <w:rPr>
            <w:noProof/>
          </w:rPr>
          <w:t>2</w:t>
        </w:r>
      </w:fldSimple>
      <w:bookmarkEnd w:id="18"/>
      <w:r>
        <w:t xml:space="preserve"> </w:t>
      </w:r>
      <w:r w:rsidR="000337CD" w:rsidRPr="00212E0F">
        <w:t xml:space="preserve">Mean (± standard error) mussel deaths </w:t>
      </w:r>
      <w:r w:rsidR="000337CD">
        <w:t xml:space="preserve">in A </w:t>
      </w:r>
      <w:r w:rsidR="00650519">
        <w:t>(</w:t>
      </w:r>
      <w:r w:rsidR="00BE3C74">
        <w:t>all treatments</w:t>
      </w:r>
      <w:r w:rsidR="00650519">
        <w:t xml:space="preserve">) </w:t>
      </w:r>
      <w:r w:rsidR="000337CD" w:rsidRPr="00212E0F">
        <w:t>at ambient (light blue),</w:t>
      </w:r>
      <w:r w:rsidR="00332893">
        <w:t xml:space="preserve"> </w:t>
      </w:r>
      <w:r w:rsidR="000337CD" w:rsidRPr="00212E0F">
        <w:t>+</w:t>
      </w:r>
      <w:r w:rsidR="00FB4E86">
        <w:t>0.8</w:t>
      </w:r>
      <w:r w:rsidR="000337CD" w:rsidRPr="00212E0F">
        <w:t xml:space="preserve"> °C (blue) </w:t>
      </w:r>
      <w:r w:rsidR="000337CD">
        <w:t>and</w:t>
      </w:r>
      <w:r w:rsidR="000337CD" w:rsidRPr="00212E0F">
        <w:t xml:space="preserve"> +2 °C (dark blue) temperature</w:t>
      </w:r>
      <w:r w:rsidR="000337CD">
        <w:t xml:space="preserve"> and at </w:t>
      </w:r>
      <w:r w:rsidR="000337CD" w:rsidRPr="00212E0F">
        <w:t xml:space="preserve">ambient (white bars) </w:t>
      </w:r>
      <w:r w:rsidR="000337CD">
        <w:t>and</w:t>
      </w:r>
      <w:r w:rsidR="000337CD" w:rsidRPr="00212E0F">
        <w:t xml:space="preserve"> elevated (grey bars) pCO</w:t>
      </w:r>
      <w:r w:rsidR="000337CD" w:rsidRPr="00212E0F">
        <w:rPr>
          <w:vertAlign w:val="subscript"/>
        </w:rPr>
        <w:t>2</w:t>
      </w:r>
      <w:r w:rsidR="000337CD" w:rsidRPr="00212E0F">
        <w:t>, in the absence (left panel</w:t>
      </w:r>
      <w:r w:rsidR="000337CD">
        <w:t xml:space="preserve"> in A</w:t>
      </w:r>
      <w:r w:rsidR="000337CD" w:rsidRPr="00212E0F">
        <w:t>) or presence (right panel</w:t>
      </w:r>
      <w:r w:rsidR="000337CD">
        <w:t xml:space="preserve"> in A</w:t>
      </w:r>
      <w:r w:rsidR="000337CD" w:rsidRPr="00212E0F">
        <w:t>) of algae</w:t>
      </w:r>
      <w:r w:rsidR="000337CD">
        <w:t>, n = 5;</w:t>
      </w:r>
      <w:r w:rsidR="000337CD" w:rsidRPr="00212E0F">
        <w:t xml:space="preserve"> </w:t>
      </w:r>
      <w:r w:rsidR="000337CD">
        <w:t>in B at different</w:t>
      </w:r>
      <w:r w:rsidR="000337CD" w:rsidRPr="00212E0F">
        <w:t xml:space="preserve"> temperature</w:t>
      </w:r>
      <w:r w:rsidR="000337CD">
        <w:t>s</w:t>
      </w:r>
      <w:r w:rsidR="00650519">
        <w:t xml:space="preserve"> (significant main </w:t>
      </w:r>
      <w:r w:rsidR="00650519">
        <w:lastRenderedPageBreak/>
        <w:t>effect)</w:t>
      </w:r>
      <w:r w:rsidR="000337CD">
        <w:t>;</w:t>
      </w:r>
      <w:r w:rsidR="000337CD" w:rsidRPr="00212E0F">
        <w:t xml:space="preserve"> and </w:t>
      </w:r>
      <w:r w:rsidR="000337CD">
        <w:t xml:space="preserve">in </w:t>
      </w:r>
      <w:r w:rsidR="000337CD" w:rsidRPr="00212E0F">
        <w:t>C</w:t>
      </w:r>
      <w:r w:rsidR="000337CD">
        <w:t xml:space="preserve"> without and with</w:t>
      </w:r>
      <w:r w:rsidR="000337CD" w:rsidRPr="00212E0F">
        <w:t xml:space="preserve"> alga</w:t>
      </w:r>
      <w:r w:rsidR="000337CD">
        <w:t>e</w:t>
      </w:r>
      <w:r w:rsidR="00650519">
        <w:t xml:space="preserve"> (significant main effect)</w:t>
      </w:r>
      <w:r w:rsidR="000337CD">
        <w:t>. Significant differences among groups of means</w:t>
      </w:r>
      <w:r w:rsidR="000337CD" w:rsidRPr="00212E0F">
        <w:t xml:space="preserve"> are indicated by lower case letters (p &lt; 0.01).</w:t>
      </w:r>
      <w:bookmarkEnd w:id="19"/>
      <w:bookmarkEnd w:id="20"/>
    </w:p>
    <w:p w14:paraId="79DF12F9" w14:textId="428E8399" w:rsidR="000337CD" w:rsidRDefault="000337CD" w:rsidP="006733CF">
      <w:pPr>
        <w:spacing w:line="480" w:lineRule="auto"/>
      </w:pPr>
      <w:r>
        <w:t>Temperature had no effect on mussel biomass (</w:t>
      </w:r>
      <w:r w:rsidRPr="00983D6A">
        <w:t>F</w:t>
      </w:r>
      <w:r>
        <w:rPr>
          <w:vertAlign w:val="subscript"/>
        </w:rPr>
        <w:t>2</w:t>
      </w:r>
      <w:r w:rsidRPr="00117E1C">
        <w:rPr>
          <w:vertAlign w:val="subscript"/>
        </w:rPr>
        <w:t xml:space="preserve">, </w:t>
      </w:r>
      <w:r>
        <w:rPr>
          <w:vertAlign w:val="subscript"/>
        </w:rPr>
        <w:t>48</w:t>
      </w:r>
      <w:r w:rsidRPr="00983D6A">
        <w:t xml:space="preserve"> = </w:t>
      </w:r>
      <w:r>
        <w:t>2.398;</w:t>
      </w:r>
      <w:r w:rsidRPr="00983D6A">
        <w:t xml:space="preserve"> p </w:t>
      </w:r>
      <w:r>
        <w:t>= 0.102), nor on the condition index (</w:t>
      </w:r>
      <w:r w:rsidRPr="00B97CFC">
        <w:t>F</w:t>
      </w:r>
      <w:r w:rsidRPr="00B97CFC">
        <w:rPr>
          <w:vertAlign w:val="subscript"/>
        </w:rPr>
        <w:t>2, 48</w:t>
      </w:r>
      <w:r w:rsidRPr="00B97CFC">
        <w:t xml:space="preserve"> = 0.086; p = 0.917),</w:t>
      </w:r>
      <w:r>
        <w:t xml:space="preserve"> nor did </w:t>
      </w:r>
      <w:r w:rsidRPr="00D50D49">
        <w:t>pCO</w:t>
      </w:r>
      <w:r w:rsidRPr="00D50D49">
        <w:rPr>
          <w:vertAlign w:val="subscript"/>
        </w:rPr>
        <w:t>2</w:t>
      </w:r>
      <w:r>
        <w:t xml:space="preserve"> (</w:t>
      </w:r>
      <w:r w:rsidRPr="00983D6A">
        <w:t>F</w:t>
      </w:r>
      <w:r w:rsidRPr="00117E1C">
        <w:rPr>
          <w:vertAlign w:val="subscript"/>
        </w:rPr>
        <w:t xml:space="preserve">1, </w:t>
      </w:r>
      <w:r>
        <w:rPr>
          <w:vertAlign w:val="subscript"/>
        </w:rPr>
        <w:t>48</w:t>
      </w:r>
      <w:r w:rsidRPr="00983D6A">
        <w:t xml:space="preserve"> = </w:t>
      </w:r>
      <w:r>
        <w:t>0.821,</w:t>
      </w:r>
      <w:r w:rsidRPr="00983D6A">
        <w:t xml:space="preserve"> p </w:t>
      </w:r>
      <w:r>
        <w:t xml:space="preserve">= 0.369 and </w:t>
      </w:r>
      <w:r w:rsidRPr="00B97CFC">
        <w:t>F</w:t>
      </w:r>
      <w:r w:rsidRPr="00B97CFC">
        <w:rPr>
          <w:vertAlign w:val="subscript"/>
        </w:rPr>
        <w:t>1, 48</w:t>
      </w:r>
      <w:r w:rsidRPr="00B97CFC">
        <w:t xml:space="preserve"> = 0.093; p = 0.862</w:t>
      </w:r>
      <w:r w:rsidRPr="00AE7A4A">
        <w:t xml:space="preserve">; </w:t>
      </w:r>
      <w:r w:rsidRPr="00AE7A4A">
        <w:fldChar w:fldCharType="begin"/>
      </w:r>
      <w:r w:rsidRPr="00AE7A4A">
        <w:instrText xml:space="preserve"> REF _Ref120116011 \h </w:instrText>
      </w:r>
      <w:r w:rsidRPr="00DB3219">
        <w:instrText xml:space="preserve"> \* MERGEFORMAT </w:instrText>
      </w:r>
      <w:r w:rsidRPr="00AE7A4A">
        <w:fldChar w:fldCharType="separate"/>
      </w:r>
      <w:r w:rsidR="00D151CE" w:rsidRPr="00212E0F">
        <w:t xml:space="preserve">Figure </w:t>
      </w:r>
      <w:r w:rsidR="00D151CE">
        <w:rPr>
          <w:noProof/>
        </w:rPr>
        <w:t>3</w:t>
      </w:r>
      <w:r w:rsidRPr="00AE7A4A">
        <w:fldChar w:fldCharType="end"/>
      </w:r>
      <w:r>
        <w:t>). The presence of algae, however, had a positive effect on mussel biomass (</w:t>
      </w:r>
      <w:r w:rsidRPr="00983D6A">
        <w:t>F</w:t>
      </w:r>
      <w:r w:rsidRPr="00117E1C">
        <w:rPr>
          <w:vertAlign w:val="subscript"/>
        </w:rPr>
        <w:t xml:space="preserve">1, </w:t>
      </w:r>
      <w:r>
        <w:rPr>
          <w:vertAlign w:val="subscript"/>
        </w:rPr>
        <w:t>48</w:t>
      </w:r>
      <w:r w:rsidRPr="00983D6A">
        <w:t xml:space="preserve"> = </w:t>
      </w:r>
      <w:r>
        <w:t>22.073</w:t>
      </w:r>
      <w:r w:rsidRPr="00983D6A">
        <w:t xml:space="preserve">; p </w:t>
      </w:r>
      <w:r>
        <w:t xml:space="preserve">&lt; 0.001) and condition </w:t>
      </w:r>
      <w:r w:rsidRPr="00FB2C38">
        <w:t>index (F</w:t>
      </w:r>
      <w:r w:rsidRPr="00FB2C38">
        <w:rPr>
          <w:vertAlign w:val="subscript"/>
        </w:rPr>
        <w:t>1, 48</w:t>
      </w:r>
      <w:r w:rsidRPr="00FB2C38">
        <w:t xml:space="preserve"> = 18.437; p &lt; 0.001</w:t>
      </w:r>
      <w:r>
        <w:t>;</w:t>
      </w:r>
      <w:r w:rsidRPr="00AE7A4A">
        <w:t xml:space="preserve"> </w:t>
      </w:r>
      <w:r w:rsidRPr="00AE7A4A">
        <w:fldChar w:fldCharType="begin"/>
      </w:r>
      <w:r w:rsidRPr="00AE7A4A">
        <w:instrText xml:space="preserve"> REF _Ref120116011 \h </w:instrText>
      </w:r>
      <w:r w:rsidRPr="00B31D4E">
        <w:instrText xml:space="preserve"> \* MERGEFORMAT </w:instrText>
      </w:r>
      <w:r w:rsidRPr="00AE7A4A">
        <w:fldChar w:fldCharType="separate"/>
      </w:r>
      <w:r w:rsidR="00332893" w:rsidRPr="00212E0F">
        <w:t xml:space="preserve">Figure </w:t>
      </w:r>
      <w:r w:rsidR="00332893">
        <w:rPr>
          <w:noProof/>
        </w:rPr>
        <w:t>3</w:t>
      </w:r>
      <w:r w:rsidRPr="00AE7A4A">
        <w:fldChar w:fldCharType="end"/>
      </w:r>
      <w:r w:rsidRPr="00FB2C38">
        <w:t>).</w:t>
      </w:r>
      <w:r>
        <w:t xml:space="preserve"> Mussel biomass almost doubled in the presence of algae compared to treatments without algae and mussel condition index was almost 20 % greater in the presence of algae compared to their absence</w:t>
      </w:r>
      <w:r w:rsidRPr="00D801F8">
        <w:t xml:space="preserve"> </w:t>
      </w:r>
      <w:r w:rsidRPr="00DB3219">
        <w:t>(</w:t>
      </w:r>
      <w:r w:rsidRPr="00AE7A4A">
        <w:fldChar w:fldCharType="begin"/>
      </w:r>
      <w:r w:rsidRPr="00AE7A4A">
        <w:instrText xml:space="preserve"> REF _Ref120116011 \h </w:instrText>
      </w:r>
      <w:r w:rsidRPr="00B31D4E">
        <w:instrText xml:space="preserve"> \* MERGEFORMAT </w:instrText>
      </w:r>
      <w:r w:rsidRPr="00AE7A4A">
        <w:fldChar w:fldCharType="separate"/>
      </w:r>
      <w:r w:rsidR="00D36CEF" w:rsidRPr="00212E0F">
        <w:t xml:space="preserve">Figure </w:t>
      </w:r>
      <w:r w:rsidR="00D36CEF">
        <w:rPr>
          <w:noProof/>
        </w:rPr>
        <w:t>3</w:t>
      </w:r>
      <w:r w:rsidRPr="00AE7A4A">
        <w:fldChar w:fldCharType="end"/>
      </w:r>
      <w:r w:rsidR="002E2F6F">
        <w:t>A</w:t>
      </w:r>
      <w:r w:rsidRPr="00DB3219">
        <w:t>)</w:t>
      </w:r>
      <w:r>
        <w:t xml:space="preserve">. </w:t>
      </w:r>
    </w:p>
    <w:p w14:paraId="7DE7E42C" w14:textId="77777777" w:rsidR="000337CD" w:rsidRDefault="000337CD" w:rsidP="006733CF">
      <w:pPr>
        <w:keepNext/>
        <w:spacing w:line="480" w:lineRule="auto"/>
        <w:jc w:val="center"/>
      </w:pPr>
      <w:r>
        <w:rPr>
          <w:noProof/>
        </w:rPr>
        <w:drawing>
          <wp:inline distT="0" distB="0" distL="0" distR="0" wp14:anchorId="6C26A703" wp14:editId="38897CBF">
            <wp:extent cx="4842344" cy="514757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8" t="1308" r="1398" b="974"/>
                    <a:stretch/>
                  </pic:blipFill>
                  <pic:spPr bwMode="auto">
                    <a:xfrm>
                      <a:off x="0" y="0"/>
                      <a:ext cx="4858497" cy="5164750"/>
                    </a:xfrm>
                    <a:prstGeom prst="rect">
                      <a:avLst/>
                    </a:prstGeom>
                    <a:noFill/>
                    <a:ln>
                      <a:noFill/>
                    </a:ln>
                    <a:extLst>
                      <a:ext uri="{53640926-AAD7-44D8-BBD7-CCE9431645EC}">
                        <a14:shadowObscured xmlns:a14="http://schemas.microsoft.com/office/drawing/2010/main"/>
                      </a:ext>
                    </a:extLst>
                  </pic:spPr>
                </pic:pic>
              </a:graphicData>
            </a:graphic>
          </wp:inline>
        </w:drawing>
      </w:r>
    </w:p>
    <w:p w14:paraId="442966CB" w14:textId="304DBCC2" w:rsidR="000337CD" w:rsidRPr="00212E0F" w:rsidRDefault="000337CD">
      <w:pPr>
        <w:pStyle w:val="Caption"/>
      </w:pPr>
      <w:bookmarkStart w:id="21" w:name="_Ref120116011"/>
      <w:bookmarkStart w:id="22" w:name="_Toc157356673"/>
      <w:r w:rsidRPr="00212E0F">
        <w:t xml:space="preserve">Figure </w:t>
      </w:r>
      <w:fldSimple w:instr=" SEQ Figure \* ARABIC \s 1 ">
        <w:r w:rsidR="00BB1E6B">
          <w:rPr>
            <w:noProof/>
          </w:rPr>
          <w:t>3</w:t>
        </w:r>
      </w:fldSimple>
      <w:bookmarkEnd w:id="21"/>
      <w:r w:rsidRPr="00212E0F">
        <w:t>. Mean (± standard error) accumulated biomass</w:t>
      </w:r>
      <w:r>
        <w:t xml:space="preserve"> </w:t>
      </w:r>
      <w:r w:rsidR="00011948">
        <w:t xml:space="preserve">per mussel </w:t>
      </w:r>
      <w:r>
        <w:t>in A</w:t>
      </w:r>
      <w:r w:rsidRPr="00212E0F">
        <w:t xml:space="preserve"> and condition index of mussels </w:t>
      </w:r>
      <w:r>
        <w:t xml:space="preserve">in B </w:t>
      </w:r>
      <w:r w:rsidRPr="00212E0F">
        <w:t>at ambient (light blue), +</w:t>
      </w:r>
      <w:r w:rsidR="00FB4E86">
        <w:t>0.8</w:t>
      </w:r>
      <w:r w:rsidRPr="00212E0F">
        <w:t xml:space="preserve"> °C (blue) </w:t>
      </w:r>
      <w:r>
        <w:t>and</w:t>
      </w:r>
      <w:r w:rsidRPr="00212E0F">
        <w:t xml:space="preserve"> +2 °C (dark blue) temperature, </w:t>
      </w:r>
      <w:r>
        <w:t xml:space="preserve">and at </w:t>
      </w:r>
      <w:r w:rsidRPr="00212E0F">
        <w:t xml:space="preserve">ambient (white bars) </w:t>
      </w:r>
      <w:r>
        <w:t>and</w:t>
      </w:r>
      <w:r w:rsidRPr="00212E0F">
        <w:t xml:space="preserve"> elevated (grey bars) pCO</w:t>
      </w:r>
      <w:r w:rsidRPr="00212E0F">
        <w:rPr>
          <w:vertAlign w:val="subscript"/>
        </w:rPr>
        <w:t>2</w:t>
      </w:r>
      <w:r w:rsidRPr="00212E0F">
        <w:t>, in the absence (left panel) or presence (right panel) of algae</w:t>
      </w:r>
      <w:r>
        <w:t>,</w:t>
      </w:r>
      <w:r w:rsidRPr="00212E0F">
        <w:t xml:space="preserve"> </w:t>
      </w:r>
      <w:r>
        <w:t>n</w:t>
      </w:r>
      <w:r w:rsidRPr="00212E0F">
        <w:t xml:space="preserve"> = 5. Insets show </w:t>
      </w:r>
      <w:r>
        <w:lastRenderedPageBreak/>
        <w:t>significant differences among groups of means without and with</w:t>
      </w:r>
      <w:r w:rsidRPr="00212E0F">
        <w:t xml:space="preserve"> algae, </w:t>
      </w:r>
      <w:r>
        <w:t xml:space="preserve">also </w:t>
      </w:r>
      <w:r w:rsidRPr="00212E0F">
        <w:t>indicated by lower case letters (p &lt; 0.001).</w:t>
      </w:r>
      <w:bookmarkEnd w:id="22"/>
    </w:p>
    <w:p w14:paraId="03594880" w14:textId="37F7EAD9" w:rsidR="000337CD" w:rsidRDefault="000337CD" w:rsidP="006733CF">
      <w:pPr>
        <w:spacing w:line="480" w:lineRule="auto"/>
        <w:rPr>
          <w:noProof/>
        </w:rPr>
      </w:pPr>
      <w:r w:rsidRPr="00B07A9B">
        <w:t>No differences among treatments were found in clearance rates after 2 hours of feeding</w:t>
      </w:r>
      <w:r>
        <w:t xml:space="preserve"> (temperature: </w:t>
      </w:r>
      <w:r w:rsidRPr="00983D6A">
        <w:t>F</w:t>
      </w:r>
      <w:r>
        <w:rPr>
          <w:vertAlign w:val="subscript"/>
        </w:rPr>
        <w:t>2</w:t>
      </w:r>
      <w:r w:rsidRPr="00117E1C">
        <w:rPr>
          <w:vertAlign w:val="subscript"/>
        </w:rPr>
        <w:t xml:space="preserve">, </w:t>
      </w:r>
      <w:r>
        <w:rPr>
          <w:vertAlign w:val="subscript"/>
        </w:rPr>
        <w:t>48</w:t>
      </w:r>
      <w:r w:rsidRPr="00983D6A">
        <w:t xml:space="preserve"> = </w:t>
      </w:r>
      <w:r>
        <w:t>2.213,</w:t>
      </w:r>
      <w:r w:rsidRPr="00983D6A">
        <w:t xml:space="preserve"> p </w:t>
      </w:r>
      <w:r>
        <w:t>=</w:t>
      </w:r>
      <w:r w:rsidRPr="00983D6A">
        <w:t xml:space="preserve"> 0.</w:t>
      </w:r>
      <w:r>
        <w:t xml:space="preserve">120; </w:t>
      </w:r>
      <w:r w:rsidRPr="00D50D49">
        <w:t>pCO</w:t>
      </w:r>
      <w:r w:rsidRPr="00D50D49">
        <w:rPr>
          <w:vertAlign w:val="subscript"/>
        </w:rPr>
        <w:t>2</w:t>
      </w:r>
      <w:r>
        <w:t xml:space="preserve">: </w:t>
      </w:r>
      <w:r w:rsidRPr="00983D6A">
        <w:t>F</w:t>
      </w:r>
      <w:r>
        <w:rPr>
          <w:vertAlign w:val="subscript"/>
        </w:rPr>
        <w:t>1</w:t>
      </w:r>
      <w:r w:rsidRPr="00117E1C">
        <w:rPr>
          <w:vertAlign w:val="subscript"/>
        </w:rPr>
        <w:t xml:space="preserve">, </w:t>
      </w:r>
      <w:r>
        <w:rPr>
          <w:vertAlign w:val="subscript"/>
        </w:rPr>
        <w:t>48</w:t>
      </w:r>
      <w:r w:rsidRPr="00983D6A">
        <w:t xml:space="preserve"> = </w:t>
      </w:r>
      <w:r>
        <w:t>3.156,</w:t>
      </w:r>
      <w:r w:rsidRPr="00983D6A">
        <w:t xml:space="preserve"> p </w:t>
      </w:r>
      <w:r>
        <w:t>=</w:t>
      </w:r>
      <w:r w:rsidRPr="00983D6A">
        <w:t xml:space="preserve"> 0.</w:t>
      </w:r>
      <w:r>
        <w:t xml:space="preserve">082; algae: </w:t>
      </w:r>
      <w:r w:rsidRPr="00983D6A">
        <w:t>F</w:t>
      </w:r>
      <w:r>
        <w:rPr>
          <w:vertAlign w:val="subscript"/>
        </w:rPr>
        <w:t>1</w:t>
      </w:r>
      <w:r w:rsidRPr="00117E1C">
        <w:rPr>
          <w:vertAlign w:val="subscript"/>
        </w:rPr>
        <w:t xml:space="preserve">, </w:t>
      </w:r>
      <w:r>
        <w:rPr>
          <w:vertAlign w:val="subscript"/>
        </w:rPr>
        <w:t>48</w:t>
      </w:r>
      <w:r w:rsidRPr="00983D6A">
        <w:t xml:space="preserve"> = </w:t>
      </w:r>
      <w:r>
        <w:t>0.750,</w:t>
      </w:r>
      <w:r w:rsidRPr="00983D6A">
        <w:t xml:space="preserve"> p </w:t>
      </w:r>
      <w:r>
        <w:t>=</w:t>
      </w:r>
      <w:r w:rsidRPr="00983D6A">
        <w:t xml:space="preserve"> 0.</w:t>
      </w:r>
      <w:r>
        <w:t>391)</w:t>
      </w:r>
      <w:r w:rsidRPr="00B07A9B">
        <w:t xml:space="preserve">, however, </w:t>
      </w:r>
      <w:r>
        <w:t>after 17 hours, a significant effect of temperature on mussel clearance rates was identified (</w:t>
      </w:r>
      <w:r w:rsidRPr="00983D6A">
        <w:t>F</w:t>
      </w:r>
      <w:r>
        <w:rPr>
          <w:vertAlign w:val="subscript"/>
        </w:rPr>
        <w:t>2</w:t>
      </w:r>
      <w:r w:rsidRPr="00117E1C">
        <w:rPr>
          <w:vertAlign w:val="subscript"/>
        </w:rPr>
        <w:t xml:space="preserve">, </w:t>
      </w:r>
      <w:r>
        <w:rPr>
          <w:vertAlign w:val="subscript"/>
        </w:rPr>
        <w:t>48</w:t>
      </w:r>
      <w:r w:rsidRPr="00983D6A">
        <w:t xml:space="preserve"> = </w:t>
      </w:r>
      <w:r>
        <w:t>3.556</w:t>
      </w:r>
      <w:r w:rsidRPr="00983D6A">
        <w:t xml:space="preserve">; p </w:t>
      </w:r>
      <w:r>
        <w:t>=</w:t>
      </w:r>
      <w:r w:rsidRPr="00983D6A">
        <w:t xml:space="preserve"> 0.</w:t>
      </w:r>
      <w:r>
        <w:t xml:space="preserve">036), with an almost 40 % greater rate in the warmest temperature level compared to the ambient temperature </w:t>
      </w:r>
      <w:r w:rsidRPr="0019683F">
        <w:t xml:space="preserve">level </w:t>
      </w:r>
      <w:r>
        <w:t>(</w:t>
      </w:r>
      <w:r w:rsidRPr="0019683F">
        <w:fldChar w:fldCharType="begin"/>
      </w:r>
      <w:r w:rsidRPr="0019683F">
        <w:instrText xml:space="preserve"> REF _Ref125574631 \h </w:instrText>
      </w:r>
      <w:r w:rsidRPr="00DB3219">
        <w:instrText xml:space="preserve"> \* MERGEFORMAT </w:instrText>
      </w:r>
      <w:r w:rsidRPr="0019683F">
        <w:fldChar w:fldCharType="separate"/>
      </w:r>
      <w:r w:rsidR="00B35825" w:rsidRPr="00212E0F">
        <w:t xml:space="preserve">Figure </w:t>
      </w:r>
      <w:r w:rsidR="00B35825">
        <w:rPr>
          <w:noProof/>
        </w:rPr>
        <w:t>4</w:t>
      </w:r>
      <w:r w:rsidRPr="0019683F">
        <w:fldChar w:fldCharType="end"/>
      </w:r>
      <w:r>
        <w:t>)</w:t>
      </w:r>
      <w:r w:rsidRPr="0019683F">
        <w:t>.</w:t>
      </w:r>
      <w:r>
        <w:t xml:space="preserve"> No effects of </w:t>
      </w:r>
      <w:r w:rsidRPr="00D50D49">
        <w:t>pCO</w:t>
      </w:r>
      <w:r w:rsidRPr="00D50D49">
        <w:rPr>
          <w:vertAlign w:val="subscript"/>
        </w:rPr>
        <w:t>2</w:t>
      </w:r>
      <w:r>
        <w:t xml:space="preserve"> (</w:t>
      </w:r>
      <w:r w:rsidRPr="00983D6A">
        <w:t>F</w:t>
      </w:r>
      <w:r w:rsidRPr="00117E1C">
        <w:rPr>
          <w:vertAlign w:val="subscript"/>
        </w:rPr>
        <w:t xml:space="preserve">1, </w:t>
      </w:r>
      <w:r>
        <w:rPr>
          <w:vertAlign w:val="subscript"/>
        </w:rPr>
        <w:t>48</w:t>
      </w:r>
      <w:r w:rsidRPr="00983D6A">
        <w:t xml:space="preserve"> =</w:t>
      </w:r>
      <w:r>
        <w:t xml:space="preserve"> 0.708</w:t>
      </w:r>
      <w:r w:rsidRPr="00983D6A">
        <w:t xml:space="preserve">; p </w:t>
      </w:r>
      <w:r>
        <w:t>=</w:t>
      </w:r>
      <w:r w:rsidRPr="00983D6A">
        <w:t xml:space="preserve"> 0.</w:t>
      </w:r>
      <w:r>
        <w:t>404)</w:t>
      </w:r>
      <w:r w:rsidDel="00080887">
        <w:t xml:space="preserve"> </w:t>
      </w:r>
      <w:r>
        <w:t>nor the presence of algae (</w:t>
      </w:r>
      <w:r w:rsidRPr="00983D6A">
        <w:t>F</w:t>
      </w:r>
      <w:r w:rsidRPr="00117E1C">
        <w:rPr>
          <w:vertAlign w:val="subscript"/>
        </w:rPr>
        <w:t xml:space="preserve">1, </w:t>
      </w:r>
      <w:r>
        <w:rPr>
          <w:vertAlign w:val="subscript"/>
        </w:rPr>
        <w:t>48</w:t>
      </w:r>
      <w:r w:rsidRPr="00983D6A">
        <w:t xml:space="preserve"> = </w:t>
      </w:r>
      <w:r>
        <w:t>1.870</w:t>
      </w:r>
      <w:r w:rsidRPr="00983D6A">
        <w:t xml:space="preserve">; p </w:t>
      </w:r>
      <w:r>
        <w:t>=</w:t>
      </w:r>
      <w:r w:rsidRPr="00983D6A">
        <w:t xml:space="preserve"> 0.</w:t>
      </w:r>
      <w:r>
        <w:t>178)</w:t>
      </w:r>
      <w:r w:rsidDel="00080887">
        <w:t xml:space="preserve"> </w:t>
      </w:r>
      <w:r>
        <w:t xml:space="preserve">were identified after 17 hours. </w:t>
      </w:r>
    </w:p>
    <w:p w14:paraId="133F064F" w14:textId="77777777" w:rsidR="000337CD" w:rsidRDefault="000337CD" w:rsidP="006733CF">
      <w:pPr>
        <w:keepNext/>
        <w:spacing w:line="480" w:lineRule="auto"/>
      </w:pPr>
      <w:r>
        <w:rPr>
          <w:noProof/>
        </w:rPr>
        <w:drawing>
          <wp:inline distT="0" distB="0" distL="0" distR="0" wp14:anchorId="7B04512A" wp14:editId="2F966ABC">
            <wp:extent cx="5540924" cy="2544059"/>
            <wp:effectExtent l="0" t="0" r="3175"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744" t="2956" r="1355" b="723"/>
                    <a:stretch/>
                  </pic:blipFill>
                  <pic:spPr bwMode="auto">
                    <a:xfrm>
                      <a:off x="0" y="0"/>
                      <a:ext cx="5566383" cy="2555748"/>
                    </a:xfrm>
                    <a:prstGeom prst="rect">
                      <a:avLst/>
                    </a:prstGeom>
                    <a:ln>
                      <a:noFill/>
                    </a:ln>
                    <a:extLst>
                      <a:ext uri="{53640926-AAD7-44D8-BBD7-CCE9431645EC}">
                        <a14:shadowObscured xmlns:a14="http://schemas.microsoft.com/office/drawing/2010/main"/>
                      </a:ext>
                    </a:extLst>
                  </pic:spPr>
                </pic:pic>
              </a:graphicData>
            </a:graphic>
          </wp:inline>
        </w:drawing>
      </w:r>
    </w:p>
    <w:p w14:paraId="56BF5E24" w14:textId="50A8841D" w:rsidR="001529EB" w:rsidRDefault="000337CD">
      <w:pPr>
        <w:pStyle w:val="Caption"/>
      </w:pPr>
      <w:bookmarkStart w:id="23" w:name="_Ref125574631"/>
      <w:bookmarkStart w:id="24" w:name="_Toc157356674"/>
      <w:r w:rsidRPr="00212E0F">
        <w:t xml:space="preserve">Figure </w:t>
      </w:r>
      <w:fldSimple w:instr=" SEQ Figure \* ARABIC \s 1 ">
        <w:r w:rsidR="00BB1E6B">
          <w:rPr>
            <w:noProof/>
          </w:rPr>
          <w:t>4</w:t>
        </w:r>
      </w:fldSimple>
      <w:bookmarkEnd w:id="23"/>
      <w:r w:rsidRPr="00212E0F">
        <w:t xml:space="preserve">. Mean (± standard error) mussel clearance rates </w:t>
      </w:r>
      <w:r>
        <w:rPr>
          <w:iCs/>
        </w:rPr>
        <w:t xml:space="preserve">in </w:t>
      </w:r>
      <w:r w:rsidRPr="00212E0F">
        <w:t>A</w:t>
      </w:r>
      <w:r>
        <w:rPr>
          <w:iCs/>
        </w:rPr>
        <w:t xml:space="preserve"> </w:t>
      </w:r>
      <w:r w:rsidR="00011948">
        <w:rPr>
          <w:iCs/>
        </w:rPr>
        <w:t>(</w:t>
      </w:r>
      <w:r w:rsidR="00BE3C74">
        <w:rPr>
          <w:iCs/>
        </w:rPr>
        <w:t>all treatments</w:t>
      </w:r>
      <w:r w:rsidR="00011948">
        <w:rPr>
          <w:iCs/>
        </w:rPr>
        <w:t xml:space="preserve">) </w:t>
      </w:r>
      <w:r>
        <w:rPr>
          <w:iCs/>
        </w:rPr>
        <w:t>at</w:t>
      </w:r>
      <w:r w:rsidRPr="00212E0F">
        <w:t xml:space="preserve"> ambient (light blue), +</w:t>
      </w:r>
      <w:r w:rsidR="00FB4E86">
        <w:t>0.8</w:t>
      </w:r>
      <w:r w:rsidRPr="00212E0F">
        <w:t xml:space="preserve"> °C (blue) </w:t>
      </w:r>
      <w:r>
        <w:rPr>
          <w:iCs/>
        </w:rPr>
        <w:t>and</w:t>
      </w:r>
      <w:r w:rsidRPr="00212E0F">
        <w:t xml:space="preserve"> +2 °C (dark blue) temperature,</w:t>
      </w:r>
      <w:r>
        <w:rPr>
          <w:iCs/>
        </w:rPr>
        <w:t xml:space="preserve"> and at</w:t>
      </w:r>
      <w:r w:rsidRPr="00212E0F">
        <w:t xml:space="preserve"> ambient (white bars) </w:t>
      </w:r>
      <w:r>
        <w:rPr>
          <w:iCs/>
        </w:rPr>
        <w:t>and</w:t>
      </w:r>
      <w:r w:rsidRPr="00212E0F">
        <w:t xml:space="preserve"> elevated (grey bars) pCO</w:t>
      </w:r>
      <w:r w:rsidRPr="00212E0F">
        <w:rPr>
          <w:vertAlign w:val="subscript"/>
        </w:rPr>
        <w:t>2</w:t>
      </w:r>
      <w:r w:rsidRPr="00212E0F">
        <w:t>, in the absence (left panel) or presence (right panel) of algae</w:t>
      </w:r>
      <w:r>
        <w:rPr>
          <w:iCs/>
        </w:rPr>
        <w:t>, n</w:t>
      </w:r>
      <w:r w:rsidRPr="00212E0F">
        <w:t xml:space="preserve"> = 5</w:t>
      </w:r>
      <w:r>
        <w:rPr>
          <w:iCs/>
        </w:rPr>
        <w:t>; and in</w:t>
      </w:r>
      <w:r w:rsidRPr="00212E0F">
        <w:t xml:space="preserve"> B </w:t>
      </w:r>
      <w:r w:rsidR="00011948">
        <w:t xml:space="preserve">(significant main effect) </w:t>
      </w:r>
      <w:r w:rsidRPr="00212E0F">
        <w:t>at different temperatures with significant differen</w:t>
      </w:r>
      <w:r>
        <w:rPr>
          <w:iCs/>
        </w:rPr>
        <w:t>ces among groups of means</w:t>
      </w:r>
      <w:r w:rsidRPr="00212E0F">
        <w:t xml:space="preserve"> indicated by lower case letters (p &lt; 0.05).</w:t>
      </w:r>
      <w:bookmarkEnd w:id="24"/>
    </w:p>
    <w:p w14:paraId="73E1B3D4" w14:textId="0608B517" w:rsidR="000337CD" w:rsidRDefault="000337CD" w:rsidP="006733CF">
      <w:pPr>
        <w:spacing w:line="480" w:lineRule="auto"/>
      </w:pPr>
      <w:r>
        <w:t xml:space="preserve">No effects of temperature, </w:t>
      </w:r>
      <w:r w:rsidRPr="00D50D49">
        <w:t>pCO</w:t>
      </w:r>
      <w:r w:rsidRPr="00D50D49">
        <w:rPr>
          <w:vertAlign w:val="subscript"/>
        </w:rPr>
        <w:t>2</w:t>
      </w:r>
      <w:r>
        <w:t xml:space="preserve"> nor the presence/absence of algae on mussel shell strength (temperature: </w:t>
      </w:r>
      <w:r w:rsidRPr="00983D6A">
        <w:t>F</w:t>
      </w:r>
      <w:r>
        <w:rPr>
          <w:vertAlign w:val="subscript"/>
        </w:rPr>
        <w:t>2</w:t>
      </w:r>
      <w:r w:rsidRPr="00117E1C">
        <w:rPr>
          <w:vertAlign w:val="subscript"/>
        </w:rPr>
        <w:t xml:space="preserve">, </w:t>
      </w:r>
      <w:r>
        <w:rPr>
          <w:vertAlign w:val="subscript"/>
        </w:rPr>
        <w:t>43</w:t>
      </w:r>
      <w:r w:rsidRPr="00983D6A">
        <w:t xml:space="preserve"> = </w:t>
      </w:r>
      <w:r>
        <w:t>0.454,</w:t>
      </w:r>
      <w:r w:rsidRPr="00983D6A">
        <w:t xml:space="preserve"> p </w:t>
      </w:r>
      <w:r>
        <w:t>=</w:t>
      </w:r>
      <w:r w:rsidRPr="00983D6A">
        <w:t xml:space="preserve"> 0.</w:t>
      </w:r>
      <w:r>
        <w:t xml:space="preserve">638; </w:t>
      </w:r>
      <w:r w:rsidRPr="00D50D49">
        <w:t>pCO</w:t>
      </w:r>
      <w:r w:rsidRPr="00D50D49">
        <w:rPr>
          <w:vertAlign w:val="subscript"/>
        </w:rPr>
        <w:t>2</w:t>
      </w:r>
      <w:r>
        <w:t xml:space="preserve">: </w:t>
      </w:r>
      <w:r w:rsidRPr="00983D6A">
        <w:t>F</w:t>
      </w:r>
      <w:r>
        <w:rPr>
          <w:vertAlign w:val="subscript"/>
        </w:rPr>
        <w:t>1</w:t>
      </w:r>
      <w:r w:rsidRPr="00117E1C">
        <w:rPr>
          <w:vertAlign w:val="subscript"/>
        </w:rPr>
        <w:t xml:space="preserve">, </w:t>
      </w:r>
      <w:r>
        <w:rPr>
          <w:vertAlign w:val="subscript"/>
        </w:rPr>
        <w:t>43</w:t>
      </w:r>
      <w:r w:rsidRPr="00983D6A">
        <w:t xml:space="preserve"> = </w:t>
      </w:r>
      <w:r>
        <w:t>0.000,</w:t>
      </w:r>
      <w:r w:rsidRPr="00983D6A">
        <w:t xml:space="preserve"> p </w:t>
      </w:r>
      <w:r>
        <w:t>=</w:t>
      </w:r>
      <w:r w:rsidRPr="00983D6A">
        <w:t xml:space="preserve"> 0.</w:t>
      </w:r>
      <w:r>
        <w:t xml:space="preserve">995; algae: </w:t>
      </w:r>
      <w:r w:rsidRPr="00983D6A">
        <w:t>F</w:t>
      </w:r>
      <w:r>
        <w:rPr>
          <w:vertAlign w:val="subscript"/>
        </w:rPr>
        <w:t>1</w:t>
      </w:r>
      <w:r w:rsidRPr="00117E1C">
        <w:rPr>
          <w:vertAlign w:val="subscript"/>
        </w:rPr>
        <w:t xml:space="preserve">, </w:t>
      </w:r>
      <w:r>
        <w:rPr>
          <w:vertAlign w:val="subscript"/>
        </w:rPr>
        <w:t>43</w:t>
      </w:r>
      <w:r w:rsidRPr="00983D6A">
        <w:t xml:space="preserve"> = </w:t>
      </w:r>
      <w:r>
        <w:t>0.774,</w:t>
      </w:r>
      <w:r w:rsidRPr="00983D6A">
        <w:t xml:space="preserve"> p </w:t>
      </w:r>
      <w:r>
        <w:t>=</w:t>
      </w:r>
      <w:r w:rsidRPr="00983D6A">
        <w:t xml:space="preserve"> 0.</w:t>
      </w:r>
      <w:r>
        <w:t xml:space="preserve">384) or byssus strength (temperature: </w:t>
      </w:r>
      <w:r w:rsidRPr="00983D6A">
        <w:t>F</w:t>
      </w:r>
      <w:r>
        <w:rPr>
          <w:vertAlign w:val="subscript"/>
        </w:rPr>
        <w:t>2</w:t>
      </w:r>
      <w:r w:rsidRPr="00117E1C">
        <w:rPr>
          <w:vertAlign w:val="subscript"/>
        </w:rPr>
        <w:t xml:space="preserve">, </w:t>
      </w:r>
      <w:r>
        <w:rPr>
          <w:vertAlign w:val="subscript"/>
        </w:rPr>
        <w:t>22</w:t>
      </w:r>
      <w:r w:rsidRPr="00983D6A">
        <w:t xml:space="preserve"> = </w:t>
      </w:r>
      <w:r>
        <w:t>0.058,</w:t>
      </w:r>
      <w:r w:rsidRPr="00983D6A">
        <w:t xml:space="preserve"> p </w:t>
      </w:r>
      <w:r>
        <w:t>=</w:t>
      </w:r>
      <w:r w:rsidRPr="00983D6A">
        <w:t xml:space="preserve"> 0.</w:t>
      </w:r>
      <w:r>
        <w:t xml:space="preserve">944; </w:t>
      </w:r>
      <w:r w:rsidRPr="00D50D49">
        <w:t>pCO</w:t>
      </w:r>
      <w:r w:rsidRPr="00D50D49">
        <w:rPr>
          <w:vertAlign w:val="subscript"/>
        </w:rPr>
        <w:t>2</w:t>
      </w:r>
      <w:r>
        <w:t xml:space="preserve">: </w:t>
      </w:r>
      <w:r w:rsidRPr="00983D6A">
        <w:t>F</w:t>
      </w:r>
      <w:r>
        <w:rPr>
          <w:vertAlign w:val="subscript"/>
        </w:rPr>
        <w:t>1</w:t>
      </w:r>
      <w:r w:rsidRPr="00117E1C">
        <w:rPr>
          <w:vertAlign w:val="subscript"/>
        </w:rPr>
        <w:t xml:space="preserve">, </w:t>
      </w:r>
      <w:r>
        <w:rPr>
          <w:vertAlign w:val="subscript"/>
        </w:rPr>
        <w:t>22</w:t>
      </w:r>
      <w:r w:rsidRPr="00983D6A">
        <w:t xml:space="preserve"> = </w:t>
      </w:r>
      <w:r>
        <w:t>0.685,</w:t>
      </w:r>
      <w:r w:rsidRPr="00983D6A">
        <w:t xml:space="preserve"> p </w:t>
      </w:r>
      <w:r>
        <w:t>=</w:t>
      </w:r>
      <w:r w:rsidRPr="00983D6A">
        <w:t xml:space="preserve"> 0.</w:t>
      </w:r>
      <w:r>
        <w:t>417; algae:</w:t>
      </w:r>
      <w:r w:rsidR="0094164B">
        <w:t xml:space="preserve"> </w:t>
      </w:r>
      <w:r w:rsidRPr="00983D6A">
        <w:t>F</w:t>
      </w:r>
      <w:r>
        <w:rPr>
          <w:vertAlign w:val="subscript"/>
        </w:rPr>
        <w:t>1</w:t>
      </w:r>
      <w:r w:rsidRPr="00117E1C">
        <w:rPr>
          <w:vertAlign w:val="subscript"/>
        </w:rPr>
        <w:t xml:space="preserve">, </w:t>
      </w:r>
      <w:r>
        <w:rPr>
          <w:vertAlign w:val="subscript"/>
        </w:rPr>
        <w:t>22</w:t>
      </w:r>
      <w:r w:rsidRPr="00983D6A">
        <w:t xml:space="preserve"> = </w:t>
      </w:r>
      <w:r>
        <w:t>0.201,</w:t>
      </w:r>
      <w:r w:rsidRPr="00983D6A">
        <w:t xml:space="preserve"> p </w:t>
      </w:r>
      <w:r>
        <w:t>=</w:t>
      </w:r>
      <w:r w:rsidRPr="00983D6A">
        <w:t xml:space="preserve"> 0.</w:t>
      </w:r>
      <w:r>
        <w:t>658) were found.</w:t>
      </w:r>
    </w:p>
    <w:p w14:paraId="45A6638C" w14:textId="77777777" w:rsidR="000337CD" w:rsidRDefault="000337CD" w:rsidP="006733CF">
      <w:pPr>
        <w:pStyle w:val="Heading3"/>
        <w:spacing w:line="480" w:lineRule="auto"/>
      </w:pPr>
      <w:bookmarkStart w:id="25" w:name="_Toc157356543"/>
      <w:r>
        <w:lastRenderedPageBreak/>
        <w:t>Algal responses</w:t>
      </w:r>
      <w:bookmarkEnd w:id="25"/>
      <w:r>
        <w:t xml:space="preserve"> </w:t>
      </w:r>
    </w:p>
    <w:p w14:paraId="1B45D0B9" w14:textId="137EED51" w:rsidR="000337CD" w:rsidRPr="00A2362F" w:rsidRDefault="00470DE3" w:rsidP="006733CF">
      <w:pPr>
        <w:spacing w:line="480" w:lineRule="auto"/>
      </w:pPr>
      <w:r>
        <w:t xml:space="preserve">No interactions were identified among any of the factors on algal response variables. </w:t>
      </w:r>
      <w:r w:rsidR="000337CD">
        <w:t>Neither temperature (</w:t>
      </w:r>
      <w:r w:rsidR="000337CD" w:rsidRPr="00983D6A">
        <w:t>F</w:t>
      </w:r>
      <w:r w:rsidR="000337CD">
        <w:rPr>
          <w:vertAlign w:val="subscript"/>
        </w:rPr>
        <w:t>2</w:t>
      </w:r>
      <w:r w:rsidR="000337CD" w:rsidRPr="00117E1C">
        <w:rPr>
          <w:vertAlign w:val="subscript"/>
        </w:rPr>
        <w:t xml:space="preserve">, </w:t>
      </w:r>
      <w:r w:rsidR="000337CD">
        <w:rPr>
          <w:vertAlign w:val="subscript"/>
        </w:rPr>
        <w:t>48</w:t>
      </w:r>
      <w:r w:rsidR="000337CD" w:rsidRPr="00983D6A">
        <w:t xml:space="preserve"> = </w:t>
      </w:r>
      <w:r w:rsidR="000337CD">
        <w:t>0.014</w:t>
      </w:r>
      <w:r w:rsidR="000337CD" w:rsidRPr="00983D6A">
        <w:t xml:space="preserve">; p </w:t>
      </w:r>
      <w:r w:rsidR="000337CD">
        <w:t>=</w:t>
      </w:r>
      <w:r w:rsidR="000337CD" w:rsidRPr="00983D6A">
        <w:t xml:space="preserve"> 0.</w:t>
      </w:r>
      <w:r w:rsidR="000337CD">
        <w:t>986</w:t>
      </w:r>
      <w:r w:rsidR="000337CD" w:rsidRPr="001538A9">
        <w:t>)</w:t>
      </w:r>
      <w:r w:rsidR="000337CD">
        <w:t xml:space="preserve"> nor </w:t>
      </w:r>
      <w:r w:rsidR="000337CD" w:rsidRPr="00D50D49">
        <w:t>pCO</w:t>
      </w:r>
      <w:r w:rsidR="000337CD" w:rsidRPr="00D50D49">
        <w:rPr>
          <w:vertAlign w:val="subscript"/>
        </w:rPr>
        <w:t>2</w:t>
      </w:r>
      <w:r w:rsidR="000337CD">
        <w:t xml:space="preserve"> (</w:t>
      </w:r>
      <w:r w:rsidR="000337CD" w:rsidRPr="00983D6A">
        <w:t>F</w:t>
      </w:r>
      <w:r w:rsidR="000337CD" w:rsidRPr="00117E1C">
        <w:rPr>
          <w:vertAlign w:val="subscript"/>
        </w:rPr>
        <w:t xml:space="preserve">1, </w:t>
      </w:r>
      <w:r w:rsidR="000337CD">
        <w:rPr>
          <w:vertAlign w:val="subscript"/>
        </w:rPr>
        <w:t>48</w:t>
      </w:r>
      <w:r w:rsidR="000337CD" w:rsidRPr="00983D6A">
        <w:t xml:space="preserve"> = </w:t>
      </w:r>
      <w:r w:rsidR="000337CD">
        <w:t>0.734</w:t>
      </w:r>
      <w:r w:rsidR="000337CD" w:rsidRPr="00983D6A">
        <w:t xml:space="preserve">; p </w:t>
      </w:r>
      <w:r w:rsidR="000337CD">
        <w:t>= 0.396</w:t>
      </w:r>
      <w:r w:rsidR="000337CD" w:rsidRPr="001538A9">
        <w:t>)</w:t>
      </w:r>
      <w:r w:rsidR="000337CD">
        <w:t xml:space="preserve"> affected the accumulated biomass of algae in the mesocosms. In the presence of mussels, however, 20 % more </w:t>
      </w:r>
      <w:r w:rsidR="001F39B4">
        <w:t xml:space="preserve">algal </w:t>
      </w:r>
      <w:r w:rsidR="000337CD">
        <w:t>biomass accumulated than in the absence of mussels (</w:t>
      </w:r>
      <w:r w:rsidR="000337CD" w:rsidRPr="00983D6A">
        <w:t>F</w:t>
      </w:r>
      <w:r w:rsidR="000337CD" w:rsidRPr="00117E1C">
        <w:rPr>
          <w:vertAlign w:val="subscript"/>
        </w:rPr>
        <w:t xml:space="preserve">1, </w:t>
      </w:r>
      <w:r w:rsidR="000337CD">
        <w:rPr>
          <w:vertAlign w:val="subscript"/>
        </w:rPr>
        <w:t>48</w:t>
      </w:r>
      <w:r w:rsidR="000337CD" w:rsidRPr="00983D6A">
        <w:t xml:space="preserve"> = </w:t>
      </w:r>
      <w:r w:rsidR="000337CD">
        <w:t>17.156</w:t>
      </w:r>
      <w:r w:rsidR="000337CD" w:rsidRPr="00983D6A">
        <w:t>; p &lt; 0.</w:t>
      </w:r>
      <w:r w:rsidR="000337CD">
        <w:t>0</w:t>
      </w:r>
      <w:r w:rsidR="000337CD" w:rsidRPr="00983D6A">
        <w:t>01</w:t>
      </w:r>
      <w:r w:rsidR="000337CD">
        <w:t xml:space="preserve">; </w:t>
      </w:r>
      <w:r w:rsidR="000337CD" w:rsidRPr="00A2362F">
        <w:fldChar w:fldCharType="begin"/>
      </w:r>
      <w:r w:rsidR="000337CD" w:rsidRPr="00A2362F">
        <w:instrText xml:space="preserve"> REF _Ref120213531 \h </w:instrText>
      </w:r>
      <w:r w:rsidR="000337CD">
        <w:instrText xml:space="preserve"> \* MERGEFORMAT </w:instrText>
      </w:r>
      <w:r w:rsidR="000337CD" w:rsidRPr="00A2362F">
        <w:fldChar w:fldCharType="separate"/>
      </w:r>
      <w:r w:rsidR="00B35825" w:rsidRPr="00212E0F">
        <w:t>Figure</w:t>
      </w:r>
      <w:r w:rsidR="00B35825">
        <w:t xml:space="preserve"> </w:t>
      </w:r>
      <w:r w:rsidR="00B35825">
        <w:rPr>
          <w:noProof/>
        </w:rPr>
        <w:t>5</w:t>
      </w:r>
      <w:r w:rsidR="000337CD" w:rsidRPr="00A2362F">
        <w:fldChar w:fldCharType="end"/>
      </w:r>
      <w:r w:rsidR="000337CD">
        <w:t>)</w:t>
      </w:r>
      <w:r w:rsidR="000337CD" w:rsidRPr="00A2362F">
        <w:t>.</w:t>
      </w:r>
      <w:r w:rsidR="000337CD">
        <w:t xml:space="preserve"> </w:t>
      </w:r>
    </w:p>
    <w:p w14:paraId="6064FB08" w14:textId="77777777" w:rsidR="000337CD" w:rsidRDefault="000337CD" w:rsidP="006733CF">
      <w:pPr>
        <w:keepNext/>
        <w:spacing w:line="480" w:lineRule="auto"/>
        <w:jc w:val="center"/>
      </w:pPr>
      <w:r>
        <w:rPr>
          <w:noProof/>
        </w:rPr>
        <w:drawing>
          <wp:inline distT="0" distB="0" distL="0" distR="0" wp14:anchorId="02B88119" wp14:editId="76CCF315">
            <wp:extent cx="4902799" cy="302944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12" cstate="print">
                      <a:extLst>
                        <a:ext uri="{28A0092B-C50C-407E-A947-70E740481C1C}">
                          <a14:useLocalDpi xmlns:a14="http://schemas.microsoft.com/office/drawing/2010/main" val="0"/>
                        </a:ext>
                      </a:extLst>
                    </a:blip>
                    <a:srcRect l="1357" t="2550" r="1410" b="2489"/>
                    <a:stretch/>
                  </pic:blipFill>
                  <pic:spPr bwMode="auto">
                    <a:xfrm>
                      <a:off x="0" y="0"/>
                      <a:ext cx="4929594" cy="3046004"/>
                    </a:xfrm>
                    <a:prstGeom prst="rect">
                      <a:avLst/>
                    </a:prstGeom>
                    <a:ln>
                      <a:noFill/>
                    </a:ln>
                    <a:extLst>
                      <a:ext uri="{53640926-AAD7-44D8-BBD7-CCE9431645EC}">
                        <a14:shadowObscured xmlns:a14="http://schemas.microsoft.com/office/drawing/2010/main"/>
                      </a:ext>
                    </a:extLst>
                  </pic:spPr>
                </pic:pic>
              </a:graphicData>
            </a:graphic>
          </wp:inline>
        </w:drawing>
      </w:r>
    </w:p>
    <w:p w14:paraId="1CFF5A18" w14:textId="5F9B3F95" w:rsidR="000337CD" w:rsidRPr="00303BF8" w:rsidRDefault="000337CD">
      <w:pPr>
        <w:pStyle w:val="Caption"/>
        <w:rPr>
          <w:iCs/>
        </w:rPr>
      </w:pPr>
      <w:bookmarkStart w:id="26" w:name="_Ref120213531"/>
      <w:bookmarkStart w:id="27" w:name="_Ref156856376"/>
      <w:bookmarkStart w:id="28" w:name="_Toc157356675"/>
      <w:r w:rsidRPr="00212E0F">
        <w:t>Figure</w:t>
      </w:r>
      <w:r w:rsidR="00B35825">
        <w:t xml:space="preserve"> </w:t>
      </w:r>
      <w:fldSimple w:instr=" SEQ Figure \* ARABIC \s 1 ">
        <w:r w:rsidR="00BB1E6B">
          <w:rPr>
            <w:noProof/>
          </w:rPr>
          <w:t>5</w:t>
        </w:r>
      </w:fldSimple>
      <w:bookmarkEnd w:id="26"/>
      <w:bookmarkEnd w:id="27"/>
      <w:r w:rsidRPr="00212E0F">
        <w:t>. Mean (± standard error) accumulated biomass of algae at ambient (light blue), +</w:t>
      </w:r>
      <w:r w:rsidR="00FB4E86">
        <w:t>0.8</w:t>
      </w:r>
      <w:r w:rsidRPr="00212E0F">
        <w:t xml:space="preserve"> °C (blue) </w:t>
      </w:r>
      <w:r>
        <w:t>and</w:t>
      </w:r>
      <w:r w:rsidRPr="00212E0F">
        <w:t xml:space="preserve"> +2 °C (dark blue) temperature, </w:t>
      </w:r>
      <w:r>
        <w:t xml:space="preserve">and at </w:t>
      </w:r>
      <w:r w:rsidRPr="00212E0F">
        <w:t xml:space="preserve">ambient (white bars) </w:t>
      </w:r>
      <w:r>
        <w:t>and</w:t>
      </w:r>
      <w:r w:rsidRPr="00212E0F">
        <w:t xml:space="preserve"> elevated (grey bars) pCO</w:t>
      </w:r>
      <w:r w:rsidRPr="00212E0F">
        <w:rPr>
          <w:vertAlign w:val="subscript"/>
        </w:rPr>
        <w:t>2</w:t>
      </w:r>
      <w:r w:rsidRPr="00212E0F">
        <w:t xml:space="preserve">, in the </w:t>
      </w:r>
      <w:r>
        <w:t>presence</w:t>
      </w:r>
      <w:r w:rsidRPr="00212E0F">
        <w:t xml:space="preserve"> (left panel) or </w:t>
      </w:r>
      <w:r>
        <w:t>ab</w:t>
      </w:r>
      <w:r w:rsidRPr="00212E0F">
        <w:t xml:space="preserve">sence (right panel) of </w:t>
      </w:r>
      <w:r>
        <w:t>mussels, n</w:t>
      </w:r>
      <w:r w:rsidRPr="00212E0F">
        <w:t xml:space="preserve"> = 5 per bar. Inset show</w:t>
      </w:r>
      <w:r>
        <w:t>s</w:t>
      </w:r>
      <w:r w:rsidRPr="00212E0F">
        <w:t xml:space="preserve"> significant differen</w:t>
      </w:r>
      <w:r>
        <w:t>ces among groups of means with and without mussels</w:t>
      </w:r>
      <w:r w:rsidRPr="00212E0F">
        <w:t xml:space="preserve">, </w:t>
      </w:r>
      <w:r>
        <w:t>also</w:t>
      </w:r>
      <w:r w:rsidRPr="00212E0F">
        <w:t xml:space="preserve"> indicated by lower case letters (p &lt; 0.001)</w:t>
      </w:r>
      <w:r>
        <w:t>.</w:t>
      </w:r>
      <w:bookmarkEnd w:id="28"/>
    </w:p>
    <w:p w14:paraId="0B300BAF" w14:textId="2A2EDD8A" w:rsidR="000337CD" w:rsidRDefault="000337CD" w:rsidP="006733CF">
      <w:pPr>
        <w:spacing w:line="480" w:lineRule="auto"/>
      </w:pPr>
      <w:bookmarkStart w:id="29" w:name="_Ref125659258"/>
      <w:r>
        <w:t>At the end of the experiment, no effects of temperature (</w:t>
      </w:r>
      <w:r w:rsidRPr="00983D6A">
        <w:t>F</w:t>
      </w:r>
      <w:r>
        <w:rPr>
          <w:vertAlign w:val="subscript"/>
        </w:rPr>
        <w:t>2</w:t>
      </w:r>
      <w:r w:rsidRPr="00117E1C">
        <w:rPr>
          <w:vertAlign w:val="subscript"/>
        </w:rPr>
        <w:t xml:space="preserve">, </w:t>
      </w:r>
      <w:r>
        <w:rPr>
          <w:vertAlign w:val="subscript"/>
        </w:rPr>
        <w:t>29</w:t>
      </w:r>
      <w:r w:rsidRPr="00983D6A">
        <w:t xml:space="preserve"> = </w:t>
      </w:r>
      <w:r>
        <w:t>5.161</w:t>
      </w:r>
      <w:r w:rsidRPr="00983D6A">
        <w:t xml:space="preserve">; p </w:t>
      </w:r>
      <w:r>
        <w:t>=</w:t>
      </w:r>
      <w:r w:rsidRPr="00983D6A">
        <w:t xml:space="preserve"> 0.</w:t>
      </w:r>
      <w:r>
        <w:t xml:space="preserve">527) nor </w:t>
      </w:r>
      <w:r w:rsidRPr="00D50D49">
        <w:t>pCO</w:t>
      </w:r>
      <w:r w:rsidRPr="00D50D49">
        <w:rPr>
          <w:vertAlign w:val="subscript"/>
        </w:rPr>
        <w:t>2</w:t>
      </w:r>
      <w:r w:rsidR="0098789F">
        <w:t xml:space="preserve"> </w:t>
      </w:r>
      <w:r>
        <w:t>(</w:t>
      </w:r>
      <w:r w:rsidRPr="00983D6A">
        <w:t>F</w:t>
      </w:r>
      <w:r>
        <w:rPr>
          <w:vertAlign w:val="subscript"/>
        </w:rPr>
        <w:t>1</w:t>
      </w:r>
      <w:r w:rsidRPr="00117E1C">
        <w:rPr>
          <w:vertAlign w:val="subscript"/>
        </w:rPr>
        <w:t xml:space="preserve">, </w:t>
      </w:r>
      <w:r>
        <w:rPr>
          <w:vertAlign w:val="subscript"/>
        </w:rPr>
        <w:t>29</w:t>
      </w:r>
      <w:r w:rsidRPr="00983D6A">
        <w:t xml:space="preserve"> = </w:t>
      </w:r>
      <w:r>
        <w:t>0.000</w:t>
      </w:r>
      <w:r w:rsidRPr="00983D6A">
        <w:t xml:space="preserve">; p </w:t>
      </w:r>
      <w:r>
        <w:t>=</w:t>
      </w:r>
      <w:r w:rsidRPr="00983D6A">
        <w:t xml:space="preserve"> </w:t>
      </w:r>
      <w:r>
        <w:t>1.000) on the abundance of kelp individuals were identified, however, sporophytes could only be counted in the treatments without mussels</w:t>
      </w:r>
      <w:r w:rsidRPr="00C96A63">
        <w:t>.</w:t>
      </w:r>
      <w:bookmarkEnd w:id="29"/>
    </w:p>
    <w:p w14:paraId="4D3CFE8F" w14:textId="644FA23B" w:rsidR="000337CD" w:rsidRDefault="000337CD" w:rsidP="006733CF">
      <w:pPr>
        <w:spacing w:line="480" w:lineRule="auto"/>
      </w:pPr>
      <w:r>
        <w:t xml:space="preserve">Results of the rapid light curves revealed no effects of temperature nor </w:t>
      </w:r>
      <w:r w:rsidRPr="00D50D49">
        <w:t>pCO</w:t>
      </w:r>
      <w:r w:rsidRPr="00D50D49">
        <w:rPr>
          <w:vertAlign w:val="subscript"/>
        </w:rPr>
        <w:t>2</w:t>
      </w:r>
      <w:r>
        <w:t xml:space="preserve"> on the relative maximum electron transport rate </w:t>
      </w:r>
      <w:proofErr w:type="spellStart"/>
      <w:r>
        <w:t>rETRmax</w:t>
      </w:r>
      <w:proofErr w:type="spellEnd"/>
      <w:r>
        <w:t xml:space="preserve"> (temperature: </w:t>
      </w:r>
      <w:r w:rsidRPr="00983D6A">
        <w:t>F</w:t>
      </w:r>
      <w:r>
        <w:rPr>
          <w:vertAlign w:val="subscript"/>
        </w:rPr>
        <w:t>2</w:t>
      </w:r>
      <w:r w:rsidRPr="00117E1C">
        <w:rPr>
          <w:vertAlign w:val="subscript"/>
        </w:rPr>
        <w:t>,</w:t>
      </w:r>
      <w:r w:rsidRPr="00D41A07">
        <w:rPr>
          <w:vertAlign w:val="subscript"/>
        </w:rPr>
        <w:t xml:space="preserve"> </w:t>
      </w:r>
      <w:r>
        <w:rPr>
          <w:vertAlign w:val="subscript"/>
        </w:rPr>
        <w:t>48</w:t>
      </w:r>
      <w:r w:rsidRPr="00983D6A">
        <w:t xml:space="preserve"> = </w:t>
      </w:r>
      <w:r>
        <w:t>0.324</w:t>
      </w:r>
      <w:r w:rsidRPr="00983D6A">
        <w:t xml:space="preserve">; p </w:t>
      </w:r>
      <w:r>
        <w:t>=</w:t>
      </w:r>
      <w:r w:rsidR="00EE3AC2">
        <w:t xml:space="preserve"> </w:t>
      </w:r>
      <w:r>
        <w:t xml:space="preserve">0.725; </w:t>
      </w:r>
      <w:r w:rsidRPr="00D50D49">
        <w:t>pCO</w:t>
      </w:r>
      <w:r w:rsidRPr="00D50D49">
        <w:rPr>
          <w:vertAlign w:val="subscript"/>
        </w:rPr>
        <w:t>2</w:t>
      </w:r>
      <w:r>
        <w:t xml:space="preserve">: </w:t>
      </w:r>
      <w:r w:rsidRPr="00983D6A">
        <w:t>F</w:t>
      </w:r>
      <w:r w:rsidRPr="00117E1C">
        <w:rPr>
          <w:vertAlign w:val="subscript"/>
        </w:rPr>
        <w:t xml:space="preserve">1, </w:t>
      </w:r>
      <w:r>
        <w:rPr>
          <w:vertAlign w:val="subscript"/>
        </w:rPr>
        <w:t>48</w:t>
      </w:r>
      <w:r w:rsidRPr="00983D6A">
        <w:t xml:space="preserve"> = </w:t>
      </w:r>
      <w:r>
        <w:t>2.130</w:t>
      </w:r>
      <w:r w:rsidRPr="00983D6A">
        <w:t xml:space="preserve">; p </w:t>
      </w:r>
      <w:r>
        <w:t>= 0.151</w:t>
      </w:r>
      <w:r w:rsidRPr="001538A9">
        <w:t>)</w:t>
      </w:r>
      <w:r>
        <w:t xml:space="preserve"> or on the saturating light intensity </w:t>
      </w:r>
      <w:proofErr w:type="spellStart"/>
      <w:r>
        <w:t>I</w:t>
      </w:r>
      <w:r w:rsidRPr="00E54984">
        <w:rPr>
          <w:vertAlign w:val="subscript"/>
        </w:rPr>
        <w:t>k</w:t>
      </w:r>
      <w:proofErr w:type="spellEnd"/>
      <w:r>
        <w:t xml:space="preserve"> (temperature: </w:t>
      </w:r>
      <w:r w:rsidRPr="00983D6A">
        <w:t>F</w:t>
      </w:r>
      <w:r>
        <w:rPr>
          <w:vertAlign w:val="subscript"/>
        </w:rPr>
        <w:t>2</w:t>
      </w:r>
      <w:r w:rsidRPr="00117E1C">
        <w:rPr>
          <w:vertAlign w:val="subscript"/>
        </w:rPr>
        <w:t xml:space="preserve">, </w:t>
      </w:r>
      <w:r>
        <w:rPr>
          <w:vertAlign w:val="subscript"/>
        </w:rPr>
        <w:t>48</w:t>
      </w:r>
      <w:r w:rsidRPr="00983D6A">
        <w:t xml:space="preserve"> = </w:t>
      </w:r>
      <w:r>
        <w:t>1.459</w:t>
      </w:r>
      <w:r w:rsidRPr="00983D6A">
        <w:t xml:space="preserve">; p </w:t>
      </w:r>
      <w:r>
        <w:t xml:space="preserve">= 0.243; </w:t>
      </w:r>
      <w:r w:rsidRPr="00D50D49">
        <w:t>pCO</w:t>
      </w:r>
      <w:r w:rsidRPr="00D50D49">
        <w:rPr>
          <w:vertAlign w:val="subscript"/>
        </w:rPr>
        <w:t>2</w:t>
      </w:r>
      <w:r>
        <w:t xml:space="preserve">: </w:t>
      </w:r>
      <w:r w:rsidRPr="00983D6A">
        <w:t>F</w:t>
      </w:r>
      <w:r w:rsidRPr="00117E1C">
        <w:rPr>
          <w:vertAlign w:val="subscript"/>
        </w:rPr>
        <w:t xml:space="preserve">1, </w:t>
      </w:r>
      <w:r>
        <w:rPr>
          <w:vertAlign w:val="subscript"/>
        </w:rPr>
        <w:t>48</w:t>
      </w:r>
      <w:r w:rsidRPr="00983D6A">
        <w:t xml:space="preserve"> = </w:t>
      </w:r>
      <w:r>
        <w:t>0.774</w:t>
      </w:r>
      <w:r w:rsidRPr="00983D6A">
        <w:t xml:space="preserve">; p </w:t>
      </w:r>
      <w:r>
        <w:t>= 0.383</w:t>
      </w:r>
      <w:r w:rsidRPr="001538A9">
        <w:t>)</w:t>
      </w:r>
      <w:r>
        <w:t xml:space="preserve"> of algae in these treatments</w:t>
      </w:r>
      <w:r w:rsidRPr="00844DF7">
        <w:t xml:space="preserve"> (</w:t>
      </w:r>
      <w:r w:rsidRPr="00844DF7">
        <w:fldChar w:fldCharType="begin"/>
      </w:r>
      <w:r w:rsidRPr="00844DF7">
        <w:instrText xml:space="preserve"> REF _Ref120220254 \h </w:instrText>
      </w:r>
      <w:r>
        <w:instrText xml:space="preserve"> \* MERGEFORMAT </w:instrText>
      </w:r>
      <w:r w:rsidRPr="00844DF7">
        <w:fldChar w:fldCharType="separate"/>
      </w:r>
      <w:r w:rsidR="00B35825" w:rsidRPr="00E642CA">
        <w:t xml:space="preserve">Figure </w:t>
      </w:r>
      <w:r w:rsidR="00B35825">
        <w:rPr>
          <w:noProof/>
        </w:rPr>
        <w:t>6</w:t>
      </w:r>
      <w:r w:rsidRPr="00844DF7">
        <w:fldChar w:fldCharType="end"/>
      </w:r>
      <w:r w:rsidRPr="00844DF7">
        <w:t>)</w:t>
      </w:r>
      <w:r>
        <w:t xml:space="preserve">. The presence of mussels, however, significantly affected </w:t>
      </w:r>
      <w:proofErr w:type="spellStart"/>
      <w:r>
        <w:t>rETRmax</w:t>
      </w:r>
      <w:proofErr w:type="spellEnd"/>
      <w:r>
        <w:t xml:space="preserve"> (</w:t>
      </w:r>
      <w:r w:rsidRPr="00983D6A">
        <w:t>F</w:t>
      </w:r>
      <w:r w:rsidRPr="00117E1C">
        <w:rPr>
          <w:vertAlign w:val="subscript"/>
        </w:rPr>
        <w:t xml:space="preserve">1, </w:t>
      </w:r>
      <w:r>
        <w:rPr>
          <w:vertAlign w:val="subscript"/>
        </w:rPr>
        <w:t>48</w:t>
      </w:r>
      <w:r w:rsidRPr="00983D6A">
        <w:t xml:space="preserve"> = </w:t>
      </w:r>
      <w:r>
        <w:t>10.107</w:t>
      </w:r>
      <w:r w:rsidRPr="00983D6A">
        <w:t xml:space="preserve">; p </w:t>
      </w:r>
      <w:r>
        <w:t>=0.003</w:t>
      </w:r>
      <w:r w:rsidRPr="001538A9">
        <w:t>)</w:t>
      </w:r>
      <w:r>
        <w:t xml:space="preserve"> and </w:t>
      </w:r>
      <w:proofErr w:type="spellStart"/>
      <w:r>
        <w:t>I</w:t>
      </w:r>
      <w:r w:rsidRPr="00E54984">
        <w:rPr>
          <w:vertAlign w:val="subscript"/>
        </w:rPr>
        <w:t>k</w:t>
      </w:r>
      <w:proofErr w:type="spellEnd"/>
      <w:r>
        <w:t xml:space="preserve"> (</w:t>
      </w:r>
      <w:r w:rsidRPr="00983D6A">
        <w:t>F</w:t>
      </w:r>
      <w:r w:rsidRPr="00117E1C">
        <w:rPr>
          <w:vertAlign w:val="subscript"/>
        </w:rPr>
        <w:t xml:space="preserve">1, </w:t>
      </w:r>
      <w:r>
        <w:rPr>
          <w:vertAlign w:val="subscript"/>
        </w:rPr>
        <w:t>48</w:t>
      </w:r>
      <w:r w:rsidRPr="00983D6A">
        <w:t xml:space="preserve"> = </w:t>
      </w:r>
      <w:r>
        <w:t>31.966</w:t>
      </w:r>
      <w:r w:rsidRPr="00983D6A">
        <w:t>; p &lt; 0.</w:t>
      </w:r>
      <w:r>
        <w:t>0</w:t>
      </w:r>
      <w:r w:rsidRPr="00983D6A">
        <w:t>01</w:t>
      </w:r>
      <w:r>
        <w:t xml:space="preserve">; </w:t>
      </w:r>
      <w:r w:rsidRPr="00844DF7">
        <w:fldChar w:fldCharType="begin"/>
      </w:r>
      <w:r w:rsidRPr="00844DF7">
        <w:instrText xml:space="preserve"> REF _Ref120220254 \h </w:instrText>
      </w:r>
      <w:r>
        <w:instrText xml:space="preserve"> \* MERGEFORMAT </w:instrText>
      </w:r>
      <w:r w:rsidRPr="00844DF7">
        <w:fldChar w:fldCharType="separate"/>
      </w:r>
      <w:r w:rsidR="00D151CE" w:rsidRPr="00E642CA">
        <w:t xml:space="preserve">Figure </w:t>
      </w:r>
      <w:r w:rsidR="00D151CE">
        <w:rPr>
          <w:noProof/>
        </w:rPr>
        <w:t>6</w:t>
      </w:r>
      <w:r w:rsidRPr="00844DF7">
        <w:fldChar w:fldCharType="end"/>
      </w:r>
      <w:r w:rsidRPr="001538A9">
        <w:t>)</w:t>
      </w:r>
      <w:r>
        <w:t xml:space="preserve">. </w:t>
      </w:r>
      <w:proofErr w:type="spellStart"/>
      <w:r>
        <w:t>rETRmax</w:t>
      </w:r>
      <w:proofErr w:type="spellEnd"/>
      <w:r>
        <w:t xml:space="preserve"> increased by 30 % in the presence of mussels </w:t>
      </w:r>
      <w:r>
        <w:lastRenderedPageBreak/>
        <w:t xml:space="preserve">and </w:t>
      </w:r>
      <w:proofErr w:type="spellStart"/>
      <w:r>
        <w:t>I</w:t>
      </w:r>
      <w:r w:rsidRPr="004E1906">
        <w:rPr>
          <w:vertAlign w:val="subscript"/>
        </w:rPr>
        <w:t>k</w:t>
      </w:r>
      <w:proofErr w:type="spellEnd"/>
      <w:r>
        <w:t xml:space="preserve"> by 45 %. The light harvesting efficiency α did not show any differences among experimental treatments (temperature: </w:t>
      </w:r>
      <w:r w:rsidRPr="00983D6A">
        <w:t>F</w:t>
      </w:r>
      <w:r>
        <w:rPr>
          <w:vertAlign w:val="subscript"/>
        </w:rPr>
        <w:t>2</w:t>
      </w:r>
      <w:r w:rsidRPr="00117E1C">
        <w:rPr>
          <w:vertAlign w:val="subscript"/>
        </w:rPr>
        <w:t xml:space="preserve">, </w:t>
      </w:r>
      <w:r>
        <w:rPr>
          <w:vertAlign w:val="subscript"/>
        </w:rPr>
        <w:t>48</w:t>
      </w:r>
      <w:r w:rsidRPr="00983D6A">
        <w:t xml:space="preserve"> = </w:t>
      </w:r>
      <w:r>
        <w:t>1.400,</w:t>
      </w:r>
      <w:r w:rsidRPr="00983D6A">
        <w:t xml:space="preserve"> p </w:t>
      </w:r>
      <w:r>
        <w:t>=</w:t>
      </w:r>
      <w:r w:rsidRPr="00983D6A">
        <w:t xml:space="preserve"> 0.</w:t>
      </w:r>
      <w:r>
        <w:t xml:space="preserve">257; </w:t>
      </w:r>
      <w:r w:rsidRPr="00D50D49">
        <w:t>pCO</w:t>
      </w:r>
      <w:r w:rsidRPr="00D50D49">
        <w:rPr>
          <w:vertAlign w:val="subscript"/>
        </w:rPr>
        <w:t>2</w:t>
      </w:r>
      <w:r>
        <w:t xml:space="preserve">: </w:t>
      </w:r>
      <w:r w:rsidRPr="00983D6A">
        <w:t>F</w:t>
      </w:r>
      <w:r>
        <w:rPr>
          <w:vertAlign w:val="subscript"/>
        </w:rPr>
        <w:t>1</w:t>
      </w:r>
      <w:r w:rsidRPr="00117E1C">
        <w:rPr>
          <w:vertAlign w:val="subscript"/>
        </w:rPr>
        <w:t xml:space="preserve">, </w:t>
      </w:r>
      <w:r>
        <w:rPr>
          <w:vertAlign w:val="subscript"/>
        </w:rPr>
        <w:t>48</w:t>
      </w:r>
      <w:r w:rsidRPr="00983D6A">
        <w:t xml:space="preserve"> = </w:t>
      </w:r>
      <w:r>
        <w:t>2.790,</w:t>
      </w:r>
      <w:r w:rsidRPr="00983D6A">
        <w:t xml:space="preserve"> p </w:t>
      </w:r>
      <w:r>
        <w:t>=</w:t>
      </w:r>
      <w:r w:rsidRPr="00983D6A">
        <w:t xml:space="preserve"> 0.</w:t>
      </w:r>
      <w:r>
        <w:t xml:space="preserve">101; mussels: </w:t>
      </w:r>
      <w:r w:rsidRPr="00983D6A">
        <w:t>F</w:t>
      </w:r>
      <w:r>
        <w:rPr>
          <w:vertAlign w:val="subscript"/>
        </w:rPr>
        <w:t>1</w:t>
      </w:r>
      <w:r w:rsidRPr="00117E1C">
        <w:rPr>
          <w:vertAlign w:val="subscript"/>
        </w:rPr>
        <w:t xml:space="preserve">, </w:t>
      </w:r>
      <w:r>
        <w:rPr>
          <w:vertAlign w:val="subscript"/>
        </w:rPr>
        <w:t>48</w:t>
      </w:r>
      <w:r w:rsidRPr="00983D6A">
        <w:t xml:space="preserve"> = </w:t>
      </w:r>
      <w:r>
        <w:t>3.234,</w:t>
      </w:r>
      <w:r w:rsidRPr="00983D6A">
        <w:t xml:space="preserve"> p </w:t>
      </w:r>
      <w:r>
        <w:t>=</w:t>
      </w:r>
      <w:r w:rsidRPr="00983D6A">
        <w:t xml:space="preserve"> 0.</w:t>
      </w:r>
      <w:r>
        <w:t>078).</w:t>
      </w:r>
    </w:p>
    <w:p w14:paraId="37FE8074" w14:textId="77777777" w:rsidR="000337CD" w:rsidRDefault="000337CD" w:rsidP="006733CF">
      <w:pPr>
        <w:keepNext/>
        <w:spacing w:line="480" w:lineRule="auto"/>
        <w:jc w:val="center"/>
      </w:pPr>
      <w:r>
        <w:rPr>
          <w:noProof/>
        </w:rPr>
        <w:drawing>
          <wp:inline distT="0" distB="0" distL="0" distR="0" wp14:anchorId="7C105C60" wp14:editId="441AD6E6">
            <wp:extent cx="5016500" cy="545751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89" t="1957" r="3416" b="1162"/>
                    <a:stretch/>
                  </pic:blipFill>
                  <pic:spPr bwMode="auto">
                    <a:xfrm>
                      <a:off x="0" y="0"/>
                      <a:ext cx="5032022" cy="5474398"/>
                    </a:xfrm>
                    <a:prstGeom prst="rect">
                      <a:avLst/>
                    </a:prstGeom>
                    <a:noFill/>
                    <a:ln>
                      <a:noFill/>
                    </a:ln>
                    <a:extLst>
                      <a:ext uri="{53640926-AAD7-44D8-BBD7-CCE9431645EC}">
                        <a14:shadowObscured xmlns:a14="http://schemas.microsoft.com/office/drawing/2010/main"/>
                      </a:ext>
                    </a:extLst>
                  </pic:spPr>
                </pic:pic>
              </a:graphicData>
            </a:graphic>
          </wp:inline>
        </w:drawing>
      </w:r>
    </w:p>
    <w:p w14:paraId="3992A713" w14:textId="32294957" w:rsidR="000337CD" w:rsidRPr="00BA5665" w:rsidRDefault="000337CD">
      <w:pPr>
        <w:pStyle w:val="Caption"/>
        <w:rPr>
          <w:iCs/>
        </w:rPr>
      </w:pPr>
      <w:bookmarkStart w:id="30" w:name="_Ref120220254"/>
      <w:bookmarkStart w:id="31" w:name="_Toc157356676"/>
      <w:r w:rsidRPr="00E642CA">
        <w:t xml:space="preserve">Figure </w:t>
      </w:r>
      <w:fldSimple w:instr=" SEQ Figure \* ARABIC \s 1 ">
        <w:r w:rsidR="00BB1E6B">
          <w:rPr>
            <w:noProof/>
          </w:rPr>
          <w:t>6</w:t>
        </w:r>
      </w:fldSimple>
      <w:bookmarkEnd w:id="30"/>
      <w:r w:rsidRPr="00E642CA">
        <w:t xml:space="preserve">. Mean (± standard error) relative maximum electron transport rate </w:t>
      </w:r>
      <w:r>
        <w:t xml:space="preserve">in A </w:t>
      </w:r>
      <w:r w:rsidRPr="00E642CA">
        <w:t xml:space="preserve">and saturating light intensity </w:t>
      </w:r>
      <w:r>
        <w:t xml:space="preserve">in B </w:t>
      </w:r>
      <w:r w:rsidRPr="00E642CA">
        <w:t>at ambient (light blue), +</w:t>
      </w:r>
      <w:r w:rsidR="00FB4E86">
        <w:t>0.8</w:t>
      </w:r>
      <w:r w:rsidRPr="00E642CA">
        <w:t xml:space="preserve"> °C (blue) </w:t>
      </w:r>
      <w:r>
        <w:t>and</w:t>
      </w:r>
      <w:r w:rsidRPr="00E642CA">
        <w:t xml:space="preserve"> +2 °C (dark blue) temperature, </w:t>
      </w:r>
      <w:r>
        <w:t xml:space="preserve">and at </w:t>
      </w:r>
      <w:r w:rsidRPr="00E642CA">
        <w:t xml:space="preserve">ambient (white bars) </w:t>
      </w:r>
      <w:r>
        <w:t>and</w:t>
      </w:r>
      <w:r w:rsidRPr="00E642CA">
        <w:t xml:space="preserve"> elevated (grey bars) pCO</w:t>
      </w:r>
      <w:r w:rsidRPr="00E642CA">
        <w:rPr>
          <w:vertAlign w:val="subscript"/>
        </w:rPr>
        <w:t>2</w:t>
      </w:r>
      <w:r w:rsidRPr="00E642CA">
        <w:t>, in the presence (left panel) or absence (right panel) of mussels</w:t>
      </w:r>
      <w:r>
        <w:t>; n</w:t>
      </w:r>
      <w:r w:rsidRPr="00E642CA">
        <w:t xml:space="preserve"> = 5. Insets show significant differen</w:t>
      </w:r>
      <w:r>
        <w:t>ces among groups of means with and without</w:t>
      </w:r>
      <w:r w:rsidRPr="00E642CA">
        <w:t xml:space="preserve"> mussels, </w:t>
      </w:r>
      <w:r>
        <w:t>also</w:t>
      </w:r>
      <w:r w:rsidRPr="00E642CA">
        <w:t xml:space="preserve"> indicated by lower case letters (p &lt; 0.001).</w:t>
      </w:r>
      <w:bookmarkEnd w:id="31"/>
    </w:p>
    <w:p w14:paraId="4A2061F0" w14:textId="18D1954F" w:rsidR="000337CD" w:rsidRDefault="000337CD" w:rsidP="006733CF">
      <w:pPr>
        <w:spacing w:line="480" w:lineRule="auto"/>
      </w:pPr>
      <w:r>
        <w:t xml:space="preserve">The maximum quantum yield </w:t>
      </w:r>
      <w:proofErr w:type="spellStart"/>
      <w:r>
        <w:t>F</w:t>
      </w:r>
      <w:r w:rsidRPr="008F1641">
        <w:rPr>
          <w:vertAlign w:val="subscript"/>
        </w:rPr>
        <w:t>v</w:t>
      </w:r>
      <w:proofErr w:type="spellEnd"/>
      <w:r>
        <w:t>/F</w:t>
      </w:r>
      <w:r w:rsidRPr="008F1641">
        <w:rPr>
          <w:vertAlign w:val="subscript"/>
        </w:rPr>
        <w:t>m</w:t>
      </w:r>
      <w:r>
        <w:t xml:space="preserve"> was significantly affected by temperature (</w:t>
      </w:r>
      <w:r w:rsidRPr="00983D6A">
        <w:t>F</w:t>
      </w:r>
      <w:r>
        <w:rPr>
          <w:vertAlign w:val="subscript"/>
        </w:rPr>
        <w:t>2</w:t>
      </w:r>
      <w:r w:rsidRPr="00117E1C">
        <w:rPr>
          <w:vertAlign w:val="subscript"/>
        </w:rPr>
        <w:t xml:space="preserve">, </w:t>
      </w:r>
      <w:r>
        <w:rPr>
          <w:vertAlign w:val="subscript"/>
        </w:rPr>
        <w:t>48</w:t>
      </w:r>
      <w:r w:rsidRPr="00983D6A">
        <w:t xml:space="preserve"> = </w:t>
      </w:r>
      <w:r>
        <w:t>3.261</w:t>
      </w:r>
      <w:r w:rsidRPr="00983D6A">
        <w:t xml:space="preserve">; p </w:t>
      </w:r>
      <w:r w:rsidR="00915976">
        <w:t>=</w:t>
      </w:r>
      <w:r w:rsidRPr="00983D6A">
        <w:t xml:space="preserve"> 0.0</w:t>
      </w:r>
      <w:r>
        <w:t>47</w:t>
      </w:r>
      <w:r w:rsidRPr="001538A9">
        <w:t>)</w:t>
      </w:r>
      <w:r>
        <w:t xml:space="preserve">, but not by </w:t>
      </w:r>
      <w:r w:rsidRPr="00D50D49">
        <w:t>pCO</w:t>
      </w:r>
      <w:r w:rsidRPr="00D50D49">
        <w:rPr>
          <w:vertAlign w:val="subscript"/>
        </w:rPr>
        <w:t>2</w:t>
      </w:r>
      <w:r>
        <w:t xml:space="preserve"> (</w:t>
      </w:r>
      <w:r w:rsidRPr="00983D6A">
        <w:t>F</w:t>
      </w:r>
      <w:r>
        <w:rPr>
          <w:vertAlign w:val="subscript"/>
        </w:rPr>
        <w:t>1</w:t>
      </w:r>
      <w:r w:rsidRPr="00117E1C">
        <w:rPr>
          <w:vertAlign w:val="subscript"/>
        </w:rPr>
        <w:t xml:space="preserve">, </w:t>
      </w:r>
      <w:r>
        <w:rPr>
          <w:vertAlign w:val="subscript"/>
        </w:rPr>
        <w:t>48</w:t>
      </w:r>
      <w:r w:rsidRPr="00983D6A">
        <w:t xml:space="preserve"> = </w:t>
      </w:r>
      <w:r>
        <w:t>0.972</w:t>
      </w:r>
      <w:r w:rsidRPr="00983D6A">
        <w:t xml:space="preserve">; p </w:t>
      </w:r>
      <w:r w:rsidR="00915976">
        <w:t>=</w:t>
      </w:r>
      <w:r w:rsidRPr="00983D6A">
        <w:t xml:space="preserve"> 0.</w:t>
      </w:r>
      <w:r>
        <w:t>329</w:t>
      </w:r>
      <w:r w:rsidRPr="001538A9">
        <w:t>)</w:t>
      </w:r>
      <w:r>
        <w:t xml:space="preserve"> nor the presence or absence of mussels (</w:t>
      </w:r>
      <w:r w:rsidRPr="00983D6A">
        <w:t>F</w:t>
      </w:r>
      <w:r>
        <w:rPr>
          <w:vertAlign w:val="subscript"/>
        </w:rPr>
        <w:t>1</w:t>
      </w:r>
      <w:r w:rsidRPr="00117E1C">
        <w:rPr>
          <w:vertAlign w:val="subscript"/>
        </w:rPr>
        <w:t xml:space="preserve">, </w:t>
      </w:r>
      <w:r>
        <w:rPr>
          <w:vertAlign w:val="subscript"/>
        </w:rPr>
        <w:t>48</w:t>
      </w:r>
      <w:r w:rsidRPr="00983D6A">
        <w:t xml:space="preserve"> = </w:t>
      </w:r>
      <w:r>
        <w:t>1.602</w:t>
      </w:r>
      <w:r w:rsidRPr="00983D6A">
        <w:t xml:space="preserve">; p </w:t>
      </w:r>
      <w:r w:rsidR="00915976">
        <w:t>=</w:t>
      </w:r>
      <w:r w:rsidRPr="00983D6A">
        <w:t xml:space="preserve"> 0.</w:t>
      </w:r>
      <w:r>
        <w:t>212</w:t>
      </w:r>
      <w:r w:rsidRPr="001538A9">
        <w:t>)</w:t>
      </w:r>
      <w:r>
        <w:t xml:space="preserve">. Post </w:t>
      </w:r>
      <w:r>
        <w:lastRenderedPageBreak/>
        <w:t>hoc tests were inconclusive (</w:t>
      </w:r>
      <w:r w:rsidR="00AA26BF">
        <w:fldChar w:fldCharType="begin"/>
      </w:r>
      <w:r w:rsidR="00AA26BF">
        <w:instrText xml:space="preserve"> REF _Ref127833870 \h </w:instrText>
      </w:r>
      <w:r w:rsidR="006733CF">
        <w:instrText xml:space="preserve"> \* MERGEFORMAT </w:instrText>
      </w:r>
      <w:r w:rsidR="00AA26BF">
        <w:fldChar w:fldCharType="separate"/>
      </w:r>
      <w:r w:rsidR="00BB1E6B">
        <w:t xml:space="preserve">Table </w:t>
      </w:r>
      <w:r w:rsidR="00BB1E6B">
        <w:rPr>
          <w:noProof/>
        </w:rPr>
        <w:t>B</w:t>
      </w:r>
      <w:r w:rsidR="00BB1E6B">
        <w:t>.</w:t>
      </w:r>
      <w:r w:rsidR="00BB1E6B">
        <w:rPr>
          <w:noProof/>
        </w:rPr>
        <w:t>1</w:t>
      </w:r>
      <w:r w:rsidR="00AA26BF">
        <w:fldChar w:fldCharType="end"/>
      </w:r>
      <w:r>
        <w:t>) but we can suggest tentatively that the medium temperature level differed from the ambient and the warmest level (</w:t>
      </w:r>
      <w:r w:rsidRPr="008B003F">
        <w:fldChar w:fldCharType="begin"/>
      </w:r>
      <w:r w:rsidRPr="008B003F">
        <w:instrText xml:space="preserve"> REF _Ref127634654 \h </w:instrText>
      </w:r>
      <w:r w:rsidRPr="00750125">
        <w:instrText xml:space="preserve"> \* MERGEFORMAT </w:instrText>
      </w:r>
      <w:r w:rsidRPr="008B003F">
        <w:fldChar w:fldCharType="separate"/>
      </w:r>
      <w:r w:rsidR="00B35825" w:rsidRPr="00D20BBE">
        <w:t xml:space="preserve">Figure </w:t>
      </w:r>
      <w:r w:rsidR="00B35825">
        <w:rPr>
          <w:noProof/>
        </w:rPr>
        <w:t>7</w:t>
      </w:r>
      <w:r w:rsidRPr="008B003F">
        <w:fldChar w:fldCharType="end"/>
      </w:r>
      <w:r>
        <w:t xml:space="preserve">). </w:t>
      </w:r>
    </w:p>
    <w:p w14:paraId="575A0C74" w14:textId="77777777" w:rsidR="000337CD" w:rsidRDefault="000337CD" w:rsidP="006733CF">
      <w:pPr>
        <w:keepNext/>
        <w:spacing w:line="480" w:lineRule="auto"/>
        <w:jc w:val="center"/>
      </w:pPr>
      <w:r>
        <w:rPr>
          <w:noProof/>
        </w:rPr>
        <w:drawing>
          <wp:inline distT="0" distB="0" distL="0" distR="0" wp14:anchorId="261FBC83" wp14:editId="26679086">
            <wp:extent cx="5615062" cy="2896026"/>
            <wp:effectExtent l="0" t="0" r="508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4" cstate="print">
                      <a:extLst>
                        <a:ext uri="{28A0092B-C50C-407E-A947-70E740481C1C}">
                          <a14:useLocalDpi xmlns:a14="http://schemas.microsoft.com/office/drawing/2010/main" val="0"/>
                        </a:ext>
                      </a:extLst>
                    </a:blip>
                    <a:srcRect l="1289" r="1289"/>
                    <a:stretch>
                      <a:fillRect/>
                    </a:stretch>
                  </pic:blipFill>
                  <pic:spPr bwMode="auto">
                    <a:xfrm>
                      <a:off x="0" y="0"/>
                      <a:ext cx="5615062" cy="2896026"/>
                    </a:xfrm>
                    <a:prstGeom prst="rect">
                      <a:avLst/>
                    </a:prstGeom>
                    <a:ln>
                      <a:noFill/>
                    </a:ln>
                    <a:extLst>
                      <a:ext uri="{53640926-AAD7-44D8-BBD7-CCE9431645EC}">
                        <a14:shadowObscured xmlns:a14="http://schemas.microsoft.com/office/drawing/2010/main"/>
                      </a:ext>
                    </a:extLst>
                  </pic:spPr>
                </pic:pic>
              </a:graphicData>
            </a:graphic>
          </wp:inline>
        </w:drawing>
      </w:r>
    </w:p>
    <w:p w14:paraId="349C96EF" w14:textId="61235ACF" w:rsidR="000337CD" w:rsidRDefault="000337CD">
      <w:pPr>
        <w:pStyle w:val="Caption"/>
        <w:rPr>
          <w:iCs/>
        </w:rPr>
      </w:pPr>
      <w:bookmarkStart w:id="32" w:name="_Ref127634654"/>
      <w:bookmarkStart w:id="33" w:name="_Toc157356677"/>
      <w:r w:rsidRPr="00D20BBE">
        <w:t xml:space="preserve">Figure </w:t>
      </w:r>
      <w:fldSimple w:instr=" SEQ Figure \* ARABIC \s 1 ">
        <w:r w:rsidR="00BB1E6B">
          <w:rPr>
            <w:noProof/>
          </w:rPr>
          <w:t>7</w:t>
        </w:r>
      </w:fldSimple>
      <w:bookmarkEnd w:id="32"/>
      <w:r w:rsidRPr="00D20BBE">
        <w:t>. Mean (± standard error) maximum quantum yield</w:t>
      </w:r>
      <w:r w:rsidRPr="00D20BBE">
        <w:rPr>
          <w:rFonts w:eastAsiaTheme="minorEastAsia"/>
        </w:rPr>
        <w:t xml:space="preserve"> of algae </w:t>
      </w:r>
      <w:r>
        <w:rPr>
          <w:rFonts w:eastAsiaTheme="minorEastAsia"/>
          <w:iCs/>
        </w:rPr>
        <w:t xml:space="preserve">in A </w:t>
      </w:r>
      <w:r w:rsidR="00011948">
        <w:rPr>
          <w:rFonts w:eastAsiaTheme="minorEastAsia"/>
          <w:iCs/>
        </w:rPr>
        <w:t>(</w:t>
      </w:r>
      <w:r w:rsidR="00BE3C74">
        <w:rPr>
          <w:rFonts w:eastAsiaTheme="minorEastAsia"/>
          <w:iCs/>
        </w:rPr>
        <w:t>all treatments</w:t>
      </w:r>
      <w:r w:rsidR="00011948">
        <w:rPr>
          <w:rFonts w:eastAsiaTheme="minorEastAsia"/>
          <w:iCs/>
        </w:rPr>
        <w:t xml:space="preserve">) </w:t>
      </w:r>
      <w:r w:rsidRPr="005A0D4E">
        <w:t>at ambient (light blue), +</w:t>
      </w:r>
      <w:r w:rsidR="008A0CCD">
        <w:t>0.8</w:t>
      </w:r>
      <w:r w:rsidRPr="005A0D4E">
        <w:t xml:space="preserve"> °C (blue) </w:t>
      </w:r>
      <w:r>
        <w:rPr>
          <w:iCs/>
        </w:rPr>
        <w:t>and</w:t>
      </w:r>
      <w:r w:rsidRPr="005A0D4E">
        <w:t xml:space="preserve"> +2 °C (dark blue) temperature,</w:t>
      </w:r>
      <w:r>
        <w:rPr>
          <w:iCs/>
        </w:rPr>
        <w:t xml:space="preserve"> and at</w:t>
      </w:r>
      <w:r w:rsidRPr="005A0D4E">
        <w:t xml:space="preserve"> ambient (white bars) </w:t>
      </w:r>
      <w:r>
        <w:rPr>
          <w:iCs/>
        </w:rPr>
        <w:t>and</w:t>
      </w:r>
      <w:r w:rsidRPr="005A0D4E">
        <w:t xml:space="preserve"> elevated (grey bars) pCO</w:t>
      </w:r>
      <w:r w:rsidRPr="005A0D4E">
        <w:rPr>
          <w:vertAlign w:val="subscript"/>
        </w:rPr>
        <w:t>2</w:t>
      </w:r>
      <w:r w:rsidRPr="005A0D4E">
        <w:t xml:space="preserve">, in the </w:t>
      </w:r>
      <w:r>
        <w:rPr>
          <w:iCs/>
        </w:rPr>
        <w:t>presence</w:t>
      </w:r>
      <w:r w:rsidRPr="005A0D4E">
        <w:t xml:space="preserve"> (left panel) or </w:t>
      </w:r>
      <w:r>
        <w:rPr>
          <w:iCs/>
        </w:rPr>
        <w:t>ab</w:t>
      </w:r>
      <w:r w:rsidRPr="005A0D4E">
        <w:t xml:space="preserve">sence (right panel) of </w:t>
      </w:r>
      <w:r>
        <w:rPr>
          <w:iCs/>
        </w:rPr>
        <w:t>mussels, n</w:t>
      </w:r>
      <w:r w:rsidRPr="005A0D4E">
        <w:t xml:space="preserve"> = 5</w:t>
      </w:r>
      <w:r>
        <w:rPr>
          <w:iCs/>
        </w:rPr>
        <w:t>;</w:t>
      </w:r>
      <w:r w:rsidRPr="005A0D4E">
        <w:t xml:space="preserve"> </w:t>
      </w:r>
      <w:r>
        <w:rPr>
          <w:iCs/>
        </w:rPr>
        <w:t xml:space="preserve">and in </w:t>
      </w:r>
      <w:r w:rsidRPr="005A0D4E">
        <w:t>B</w:t>
      </w:r>
      <w:r>
        <w:rPr>
          <w:iCs/>
        </w:rPr>
        <w:t xml:space="preserve"> </w:t>
      </w:r>
      <w:r w:rsidR="00011948">
        <w:rPr>
          <w:iCs/>
        </w:rPr>
        <w:t xml:space="preserve">(significant main effect) </w:t>
      </w:r>
      <w:r>
        <w:rPr>
          <w:iCs/>
        </w:rPr>
        <w:t>as groups of means at different temperatures.</w:t>
      </w:r>
      <w:bookmarkEnd w:id="33"/>
      <w:r>
        <w:rPr>
          <w:iCs/>
        </w:rPr>
        <w:t xml:space="preserve"> </w:t>
      </w:r>
    </w:p>
    <w:p w14:paraId="250AEE6F" w14:textId="3A833476" w:rsidR="008E3C0D" w:rsidRDefault="008E3C0D" w:rsidP="006733CF">
      <w:pPr>
        <w:pStyle w:val="Heading3"/>
        <w:spacing w:line="480" w:lineRule="auto"/>
      </w:pPr>
      <w:bookmarkStart w:id="34" w:name="_Toc157356544"/>
      <w:bookmarkStart w:id="35" w:name="_Hlk156933508"/>
      <w:r>
        <w:t>Total accumulated biomass</w:t>
      </w:r>
      <w:bookmarkEnd w:id="34"/>
    </w:p>
    <w:p w14:paraId="589DED04" w14:textId="52913B72" w:rsidR="00BE3C74" w:rsidRPr="00BE3C74" w:rsidRDefault="00D50811" w:rsidP="006733CF">
      <w:pPr>
        <w:spacing w:line="480" w:lineRule="auto"/>
      </w:pPr>
      <w:r>
        <w:t>No factors interacted</w:t>
      </w:r>
      <w:r>
        <w:rPr>
          <w:color w:val="000000" w:themeColor="text1"/>
        </w:rPr>
        <w:t xml:space="preserve"> w</w:t>
      </w:r>
      <w:r w:rsidR="000337CD">
        <w:rPr>
          <w:color w:val="000000" w:themeColor="text1"/>
        </w:rPr>
        <w:t>hen comparing the t</w:t>
      </w:r>
      <w:r w:rsidR="000337CD" w:rsidRPr="00A92D8C">
        <w:rPr>
          <w:color w:val="000000" w:themeColor="text1"/>
        </w:rPr>
        <w:t xml:space="preserve">otal </w:t>
      </w:r>
      <w:r w:rsidR="000337CD">
        <w:rPr>
          <w:color w:val="000000" w:themeColor="text1"/>
        </w:rPr>
        <w:t xml:space="preserve">accumulated </w:t>
      </w:r>
      <w:r w:rsidR="000337CD" w:rsidRPr="00A92D8C">
        <w:rPr>
          <w:color w:val="000000" w:themeColor="text1"/>
        </w:rPr>
        <w:t xml:space="preserve">biomass </w:t>
      </w:r>
      <w:r w:rsidR="000337CD">
        <w:rPr>
          <w:color w:val="000000" w:themeColor="text1"/>
        </w:rPr>
        <w:t xml:space="preserve">of mussels and algae </w:t>
      </w:r>
      <w:r w:rsidR="0027558A">
        <w:rPr>
          <w:color w:val="000000" w:themeColor="text1"/>
        </w:rPr>
        <w:t>in</w:t>
      </w:r>
      <w:r w:rsidR="000337CD" w:rsidRPr="00A92D8C">
        <w:rPr>
          <w:color w:val="000000" w:themeColor="text1"/>
        </w:rPr>
        <w:t xml:space="preserve"> treatments </w:t>
      </w:r>
      <w:r w:rsidR="000337CD">
        <w:rPr>
          <w:color w:val="000000" w:themeColor="text1"/>
        </w:rPr>
        <w:t>where they were kept together to the sums of biomass</w:t>
      </w:r>
      <w:r w:rsidR="0027558A">
        <w:rPr>
          <w:color w:val="000000" w:themeColor="text1"/>
        </w:rPr>
        <w:t xml:space="preserve"> in</w:t>
      </w:r>
      <w:r w:rsidR="000337CD">
        <w:rPr>
          <w:color w:val="000000" w:themeColor="text1"/>
        </w:rPr>
        <w:t xml:space="preserve"> treatments that contained just mussels or just algae</w:t>
      </w:r>
      <w:r>
        <w:rPr>
          <w:color w:val="000000" w:themeColor="text1"/>
        </w:rPr>
        <w:t xml:space="preserve">. </w:t>
      </w:r>
      <w:r w:rsidR="0027558A">
        <w:rPr>
          <w:color w:val="000000" w:themeColor="text1"/>
        </w:rPr>
        <w:t>Whether</w:t>
      </w:r>
      <w:r w:rsidR="00370045">
        <w:rPr>
          <w:color w:val="000000" w:themeColor="text1"/>
        </w:rPr>
        <w:t xml:space="preserve"> mussels and algae were kept separately or together affected the t</w:t>
      </w:r>
      <w:r>
        <w:rPr>
          <w:color w:val="000000" w:themeColor="text1"/>
        </w:rPr>
        <w:t>otal accumulated biomass</w:t>
      </w:r>
      <w:r w:rsidR="00370045">
        <w:rPr>
          <w:color w:val="000000" w:themeColor="text1"/>
        </w:rPr>
        <w:t xml:space="preserve"> </w:t>
      </w:r>
      <w:r w:rsidR="0027558A">
        <w:rPr>
          <w:color w:val="000000" w:themeColor="text1"/>
        </w:rPr>
        <w:t>significantly</w:t>
      </w:r>
      <w:r w:rsidR="0027558A">
        <w:t xml:space="preserve"> </w:t>
      </w:r>
      <w:r w:rsidR="00915976">
        <w:t>(</w:t>
      </w:r>
      <w:r w:rsidR="00915976" w:rsidRPr="00983D6A">
        <w:t>F</w:t>
      </w:r>
      <w:r w:rsidR="00915976">
        <w:rPr>
          <w:vertAlign w:val="subscript"/>
        </w:rPr>
        <w:t>3</w:t>
      </w:r>
      <w:r w:rsidR="00915976" w:rsidRPr="00117E1C">
        <w:rPr>
          <w:vertAlign w:val="subscript"/>
        </w:rPr>
        <w:t xml:space="preserve">, </w:t>
      </w:r>
      <w:r w:rsidR="00915976">
        <w:rPr>
          <w:vertAlign w:val="subscript"/>
        </w:rPr>
        <w:t>228</w:t>
      </w:r>
      <w:r w:rsidR="00915976" w:rsidRPr="00983D6A">
        <w:t xml:space="preserve"> = </w:t>
      </w:r>
      <w:r w:rsidR="00915976">
        <w:t>135.902</w:t>
      </w:r>
      <w:r w:rsidR="00915976" w:rsidRPr="00983D6A">
        <w:t>; p &lt; 0.</w:t>
      </w:r>
      <w:r w:rsidR="00915976">
        <w:t>001</w:t>
      </w:r>
      <w:r w:rsidR="00915976" w:rsidRPr="001538A9">
        <w:t>)</w:t>
      </w:r>
      <w:r w:rsidR="00915976">
        <w:t xml:space="preserve">, which </w:t>
      </w:r>
      <w:r>
        <w:rPr>
          <w:color w:val="000000" w:themeColor="text1"/>
        </w:rPr>
        <w:t xml:space="preserve">was 54 % higher </w:t>
      </w:r>
      <w:r w:rsidR="00915976">
        <w:rPr>
          <w:color w:val="000000" w:themeColor="text1"/>
        </w:rPr>
        <w:t>when kept together</w:t>
      </w:r>
      <w:r w:rsidR="00E02D5E">
        <w:rPr>
          <w:color w:val="000000" w:themeColor="text1"/>
        </w:rPr>
        <w:t xml:space="preserve"> compared to</w:t>
      </w:r>
      <w:r>
        <w:rPr>
          <w:color w:val="000000" w:themeColor="text1"/>
        </w:rPr>
        <w:t xml:space="preserve"> the</w:t>
      </w:r>
      <w:r w:rsidR="00E02D5E">
        <w:rPr>
          <w:color w:val="000000" w:themeColor="text1"/>
        </w:rPr>
        <w:t>ir</w:t>
      </w:r>
      <w:r>
        <w:rPr>
          <w:color w:val="000000" w:themeColor="text1"/>
        </w:rPr>
        <w:t xml:space="preserve"> sums when kept separately</w:t>
      </w:r>
      <w:r w:rsidR="007917CE">
        <w:rPr>
          <w:color w:val="000000" w:themeColor="text1"/>
        </w:rPr>
        <w:t xml:space="preserve"> (</w:t>
      </w:r>
      <w:r w:rsidR="007917CE">
        <w:rPr>
          <w:color w:val="000000" w:themeColor="text1"/>
        </w:rPr>
        <w:fldChar w:fldCharType="begin"/>
      </w:r>
      <w:r w:rsidR="007917CE">
        <w:rPr>
          <w:color w:val="000000" w:themeColor="text1"/>
        </w:rPr>
        <w:instrText xml:space="preserve"> REF _Ref156854333 \h </w:instrText>
      </w:r>
      <w:r w:rsidR="006733CF">
        <w:rPr>
          <w:color w:val="000000" w:themeColor="text1"/>
        </w:rPr>
        <w:instrText xml:space="preserve"> \* MERGEFORMAT </w:instrText>
      </w:r>
      <w:r w:rsidR="007917CE">
        <w:rPr>
          <w:color w:val="000000" w:themeColor="text1"/>
        </w:rPr>
      </w:r>
      <w:r w:rsidR="007917CE">
        <w:rPr>
          <w:color w:val="000000" w:themeColor="text1"/>
        </w:rPr>
        <w:fldChar w:fldCharType="separate"/>
      </w:r>
      <w:r w:rsidR="005A120A">
        <w:t xml:space="preserve">Figure </w:t>
      </w:r>
      <w:r w:rsidR="005A120A">
        <w:rPr>
          <w:noProof/>
        </w:rPr>
        <w:t>8</w:t>
      </w:r>
      <w:r w:rsidR="007917CE">
        <w:rPr>
          <w:color w:val="000000" w:themeColor="text1"/>
        </w:rPr>
        <w:fldChar w:fldCharType="end"/>
      </w:r>
      <w:r w:rsidR="007917CE">
        <w:rPr>
          <w:color w:val="000000" w:themeColor="text1"/>
        </w:rPr>
        <w:t>)</w:t>
      </w:r>
      <w:r>
        <w:rPr>
          <w:color w:val="000000" w:themeColor="text1"/>
        </w:rPr>
        <w:t>.</w:t>
      </w:r>
      <w:r w:rsidR="00741277">
        <w:rPr>
          <w:color w:val="000000" w:themeColor="text1"/>
        </w:rPr>
        <w:t xml:space="preserve"> Temperature </w:t>
      </w:r>
      <w:r w:rsidR="00A64660">
        <w:rPr>
          <w:color w:val="000000" w:themeColor="text1"/>
        </w:rPr>
        <w:t xml:space="preserve">had an effect on </w:t>
      </w:r>
      <w:r w:rsidR="00741277">
        <w:rPr>
          <w:color w:val="000000" w:themeColor="text1"/>
        </w:rPr>
        <w:t xml:space="preserve">the total accumulated biomass </w:t>
      </w:r>
      <w:r w:rsidR="00741277">
        <w:t>(</w:t>
      </w:r>
      <w:r w:rsidR="00741277" w:rsidRPr="00983D6A">
        <w:t>F</w:t>
      </w:r>
      <w:r w:rsidR="00AD7927">
        <w:rPr>
          <w:vertAlign w:val="subscript"/>
        </w:rPr>
        <w:t>2</w:t>
      </w:r>
      <w:r w:rsidR="00741277" w:rsidRPr="00117E1C">
        <w:rPr>
          <w:vertAlign w:val="subscript"/>
        </w:rPr>
        <w:t xml:space="preserve">, </w:t>
      </w:r>
      <w:r w:rsidR="00741277">
        <w:rPr>
          <w:vertAlign w:val="subscript"/>
        </w:rPr>
        <w:t>228</w:t>
      </w:r>
      <w:r w:rsidR="00741277" w:rsidRPr="00983D6A">
        <w:t xml:space="preserve"> = </w:t>
      </w:r>
      <w:r w:rsidR="00AD7927">
        <w:t>16.314</w:t>
      </w:r>
      <w:r w:rsidR="00741277" w:rsidRPr="00983D6A">
        <w:t>; p &lt; 0.</w:t>
      </w:r>
      <w:r w:rsidR="00741277">
        <w:t>001</w:t>
      </w:r>
      <w:r w:rsidR="00741277" w:rsidRPr="001538A9">
        <w:t>)</w:t>
      </w:r>
      <w:r w:rsidR="00A64660">
        <w:rPr>
          <w:color w:val="000000" w:themeColor="text1"/>
        </w:rPr>
        <w:t xml:space="preserve"> and</w:t>
      </w:r>
      <w:r w:rsidR="000337CD">
        <w:rPr>
          <w:color w:val="000000" w:themeColor="text1"/>
        </w:rPr>
        <w:t xml:space="preserve"> </w:t>
      </w:r>
      <w:r w:rsidR="00A64660">
        <w:t xml:space="preserve">post-hoc tests indicated significant differences between the ambient and the </w:t>
      </w:r>
      <w:r w:rsidR="003505FE">
        <w:t>medium (+0.8 °C; p = 0.003) and the medium and the</w:t>
      </w:r>
      <w:r w:rsidR="003505FE" w:rsidRPr="00983D6A">
        <w:t xml:space="preserve"> </w:t>
      </w:r>
      <w:r w:rsidR="00A64660">
        <w:t>warmest (+2 °C</w:t>
      </w:r>
      <w:r w:rsidR="007D791E">
        <w:t xml:space="preserve">; p </w:t>
      </w:r>
      <w:r w:rsidR="007D791E" w:rsidRPr="00983D6A">
        <w:t>&lt; 0.</w:t>
      </w:r>
      <w:r w:rsidR="007D791E">
        <w:t>001</w:t>
      </w:r>
      <w:r w:rsidR="00A64660">
        <w:t>) temperature level</w:t>
      </w:r>
      <w:r w:rsidR="0072485E">
        <w:t xml:space="preserve">. </w:t>
      </w:r>
      <w:r w:rsidR="0072485E" w:rsidRPr="00D50D49">
        <w:t>pCO</w:t>
      </w:r>
      <w:r w:rsidR="0072485E" w:rsidRPr="00D50D49">
        <w:rPr>
          <w:vertAlign w:val="subscript"/>
        </w:rPr>
        <w:t>2</w:t>
      </w:r>
      <w:r w:rsidR="0072485E">
        <w:t xml:space="preserve"> had no effect on the total accumulated biomass.</w:t>
      </w:r>
      <w:r w:rsidR="00A64660">
        <w:t xml:space="preserve"> </w:t>
      </w:r>
      <w:r w:rsidR="00BD69A1">
        <w:t>Differences in total accumulated biomass were mainly driven by mussels</w:t>
      </w:r>
      <w:r w:rsidR="008F40CC">
        <w:t xml:space="preserve"> (</w:t>
      </w:r>
      <w:r w:rsidR="008F40CC">
        <w:fldChar w:fldCharType="begin"/>
      </w:r>
      <w:r w:rsidR="008F40CC">
        <w:instrText xml:space="preserve"> REF _Ref156856376 \h </w:instrText>
      </w:r>
      <w:r w:rsidR="006733CF">
        <w:instrText xml:space="preserve"> \* MERGEFORMAT </w:instrText>
      </w:r>
      <w:r w:rsidR="008F40CC">
        <w:fldChar w:fldCharType="separate"/>
      </w:r>
      <w:r w:rsidR="005A120A" w:rsidRPr="00212E0F">
        <w:t>Figure</w:t>
      </w:r>
      <w:r w:rsidR="005A120A">
        <w:t xml:space="preserve"> </w:t>
      </w:r>
      <w:r w:rsidR="005A120A">
        <w:rPr>
          <w:noProof/>
        </w:rPr>
        <w:t>5</w:t>
      </w:r>
      <w:r w:rsidR="008F40CC">
        <w:fldChar w:fldCharType="end"/>
      </w:r>
      <w:r w:rsidR="008F40CC">
        <w:t xml:space="preserve">; </w:t>
      </w:r>
      <w:r w:rsidR="008F40CC">
        <w:fldChar w:fldCharType="begin"/>
      </w:r>
      <w:r w:rsidR="008F40CC">
        <w:instrText xml:space="preserve"> REF _Ref156854333 \h </w:instrText>
      </w:r>
      <w:r w:rsidR="006733CF">
        <w:instrText xml:space="preserve"> \* MERGEFORMAT </w:instrText>
      </w:r>
      <w:r w:rsidR="008F40CC">
        <w:fldChar w:fldCharType="separate"/>
      </w:r>
      <w:r w:rsidR="005A120A">
        <w:t xml:space="preserve">Figure </w:t>
      </w:r>
      <w:r w:rsidR="005A120A">
        <w:rPr>
          <w:noProof/>
        </w:rPr>
        <w:t>8</w:t>
      </w:r>
      <w:r w:rsidR="008F40CC">
        <w:fldChar w:fldCharType="end"/>
      </w:r>
      <w:r w:rsidR="008F40CC">
        <w:t>)</w:t>
      </w:r>
      <w:r w:rsidR="00BD69A1">
        <w:t xml:space="preserve">. </w:t>
      </w:r>
    </w:p>
    <w:p w14:paraId="2FCEFB52" w14:textId="77777777" w:rsidR="00A43AD2" w:rsidRDefault="00B42A64" w:rsidP="006733CF">
      <w:pPr>
        <w:keepNext/>
        <w:spacing w:line="480" w:lineRule="auto"/>
        <w:jc w:val="center"/>
      </w:pPr>
      <w:r>
        <w:rPr>
          <w:noProof/>
          <w:color w:val="000000" w:themeColor="text1"/>
        </w:rPr>
        <w:lastRenderedPageBreak/>
        <w:drawing>
          <wp:inline distT="0" distB="0" distL="0" distR="0" wp14:anchorId="616CD12E" wp14:editId="3EF94C6D">
            <wp:extent cx="4524292" cy="6271402"/>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Picture 274"/>
                    <pic:cNvPicPr/>
                  </pic:nvPicPr>
                  <pic:blipFill rotWithShape="1">
                    <a:blip r:embed="rId15" cstate="print">
                      <a:extLst>
                        <a:ext uri="{28A0092B-C50C-407E-A947-70E740481C1C}">
                          <a14:useLocalDpi xmlns:a14="http://schemas.microsoft.com/office/drawing/2010/main" val="0"/>
                        </a:ext>
                      </a:extLst>
                    </a:blip>
                    <a:srcRect l="2032" t="1566" r="1585" b="1566"/>
                    <a:stretch/>
                  </pic:blipFill>
                  <pic:spPr bwMode="auto">
                    <a:xfrm>
                      <a:off x="0" y="0"/>
                      <a:ext cx="4524989" cy="6272368"/>
                    </a:xfrm>
                    <a:prstGeom prst="rect">
                      <a:avLst/>
                    </a:prstGeom>
                    <a:ln>
                      <a:noFill/>
                    </a:ln>
                    <a:extLst>
                      <a:ext uri="{53640926-AAD7-44D8-BBD7-CCE9431645EC}">
                        <a14:shadowObscured xmlns:a14="http://schemas.microsoft.com/office/drawing/2010/main"/>
                      </a:ext>
                    </a:extLst>
                  </pic:spPr>
                </pic:pic>
              </a:graphicData>
            </a:graphic>
          </wp:inline>
        </w:drawing>
      </w:r>
    </w:p>
    <w:p w14:paraId="3C96D3AA" w14:textId="48B92EE5" w:rsidR="00B42A64" w:rsidRDefault="00A43AD2">
      <w:pPr>
        <w:pStyle w:val="Caption"/>
      </w:pPr>
      <w:bookmarkStart w:id="36" w:name="_Ref156854333"/>
      <w:bookmarkStart w:id="37" w:name="_Toc157356678"/>
      <w:r>
        <w:t xml:space="preserve">Figure </w:t>
      </w:r>
      <w:fldSimple w:instr=" SEQ Figure \* ARABIC \s 1 ">
        <w:r w:rsidR="00BB1E6B">
          <w:rPr>
            <w:noProof/>
          </w:rPr>
          <w:t>8</w:t>
        </w:r>
      </w:fldSimple>
      <w:bookmarkEnd w:id="36"/>
      <w:r>
        <w:t xml:space="preserve"> </w:t>
      </w:r>
      <w:r w:rsidR="00011948" w:rsidRPr="00212E0F">
        <w:t xml:space="preserve">Mean (± standard error) </w:t>
      </w:r>
      <w:r w:rsidR="00011948">
        <w:t>total accumulated biomass per mesocosm</w:t>
      </w:r>
      <w:r w:rsidR="00011948" w:rsidRPr="00212E0F">
        <w:t xml:space="preserve"> </w:t>
      </w:r>
      <w:r w:rsidR="00011948">
        <w:t xml:space="preserve">in </w:t>
      </w:r>
      <w:r w:rsidR="00011948" w:rsidRPr="00212E0F">
        <w:t>A</w:t>
      </w:r>
      <w:r w:rsidR="00011948">
        <w:t xml:space="preserve"> (</w:t>
      </w:r>
      <w:r w:rsidR="00E02D5E">
        <w:t>all treatments</w:t>
      </w:r>
      <w:r w:rsidR="00011948">
        <w:t xml:space="preserve">) for the sum of mussel and algal biomass kept in separate treatments </w:t>
      </w:r>
      <w:r w:rsidR="00A0675D">
        <w:t xml:space="preserve">(n = 25) </w:t>
      </w:r>
      <w:r w:rsidR="00011948">
        <w:t>compared to the total accumulated biomass of mussels and algae kept together</w:t>
      </w:r>
      <w:r w:rsidR="00A0675D">
        <w:t xml:space="preserve"> (n = 5)</w:t>
      </w:r>
      <w:r w:rsidR="00011948">
        <w:t>.</w:t>
      </w:r>
      <w:r w:rsidR="00EE5C3B">
        <w:t xml:space="preserve"> Proportional contributions of mussels or algae to total biomass accumulation are indicated by dashed lines.</w:t>
      </w:r>
      <w:r w:rsidR="00011948">
        <w:t xml:space="preserve"> </w:t>
      </w:r>
      <w:r w:rsidR="00D27517">
        <w:t>The panels show means at</w:t>
      </w:r>
      <w:r w:rsidR="00D27517" w:rsidRPr="00212E0F">
        <w:t xml:space="preserve"> </w:t>
      </w:r>
      <w:r w:rsidR="00A0675D" w:rsidRPr="00212E0F">
        <w:t>ambient (light blue), +</w:t>
      </w:r>
      <w:r w:rsidR="009906CF">
        <w:t>0.8</w:t>
      </w:r>
      <w:r w:rsidR="00A0675D" w:rsidRPr="00212E0F">
        <w:t xml:space="preserve"> °C (blue) </w:t>
      </w:r>
      <w:r w:rsidR="00A0675D">
        <w:t>and</w:t>
      </w:r>
      <w:r w:rsidR="00A0675D" w:rsidRPr="00212E0F">
        <w:t xml:space="preserve"> +2 °C (dark blue) temperature</w:t>
      </w:r>
      <w:r w:rsidR="00A0675D">
        <w:t xml:space="preserve">, the rows at </w:t>
      </w:r>
      <w:r w:rsidR="00D27517" w:rsidRPr="00212E0F">
        <w:t>ambient</w:t>
      </w:r>
      <w:r w:rsidR="00D27517">
        <w:t xml:space="preserve"> </w:t>
      </w:r>
      <w:r w:rsidR="00D27517" w:rsidRPr="00212E0F">
        <w:t xml:space="preserve">(white bars) </w:t>
      </w:r>
      <w:r w:rsidR="00D27517">
        <w:t>and</w:t>
      </w:r>
      <w:r w:rsidR="00D27517" w:rsidRPr="00212E0F">
        <w:t xml:space="preserve"> elevated (grey bars) pCO</w:t>
      </w:r>
      <w:r w:rsidR="00D27517" w:rsidRPr="00212E0F">
        <w:rPr>
          <w:vertAlign w:val="subscript"/>
        </w:rPr>
        <w:t>2</w:t>
      </w:r>
      <w:r w:rsidR="00D27517">
        <w:t>.</w:t>
      </w:r>
      <w:r w:rsidR="00D27517" w:rsidRPr="00212E0F">
        <w:t xml:space="preserve"> </w:t>
      </w:r>
      <w:r w:rsidR="00A0675D">
        <w:t>Si</w:t>
      </w:r>
      <w:r w:rsidR="00011948">
        <w:t>gnificant main effect</w:t>
      </w:r>
      <w:r w:rsidR="00773995">
        <w:t>s</w:t>
      </w:r>
      <w:r w:rsidR="00011948">
        <w:t xml:space="preserve"> </w:t>
      </w:r>
      <w:r w:rsidR="00A0675D">
        <w:t xml:space="preserve">of functional group (mussels and algae kept separately vs. together) in B and of </w:t>
      </w:r>
      <w:r w:rsidR="00011948" w:rsidRPr="00212E0F">
        <w:lastRenderedPageBreak/>
        <w:t xml:space="preserve">temperature </w:t>
      </w:r>
      <w:r w:rsidR="00A0675D">
        <w:t xml:space="preserve">in C </w:t>
      </w:r>
      <w:r w:rsidR="00011948" w:rsidRPr="00212E0F">
        <w:t>with significant differen</w:t>
      </w:r>
      <w:r w:rsidR="00011948">
        <w:t>ces among groups of means</w:t>
      </w:r>
      <w:r w:rsidR="00011948" w:rsidRPr="00212E0F">
        <w:t xml:space="preserve"> indicated by lower case letters (p &lt; 0.05).</w:t>
      </w:r>
      <w:bookmarkEnd w:id="37"/>
    </w:p>
    <w:p w14:paraId="7F9A4595" w14:textId="77777777" w:rsidR="00773995" w:rsidRPr="00C473ED" w:rsidRDefault="00773995" w:rsidP="006733CF">
      <w:pPr>
        <w:spacing w:line="480" w:lineRule="auto"/>
      </w:pPr>
    </w:p>
    <w:p w14:paraId="2BCFC341" w14:textId="77777777" w:rsidR="000337CD" w:rsidRPr="001367E4" w:rsidRDefault="000337CD" w:rsidP="006733CF">
      <w:pPr>
        <w:pStyle w:val="Heading2"/>
        <w:spacing w:line="480" w:lineRule="auto"/>
      </w:pPr>
      <w:bookmarkStart w:id="38" w:name="_Toc157356545"/>
      <w:r>
        <w:t>Discussion</w:t>
      </w:r>
      <w:bookmarkEnd w:id="38"/>
    </w:p>
    <w:p w14:paraId="5C825C3E" w14:textId="0BF75D4C" w:rsidR="000337CD" w:rsidRPr="00AD5EB5" w:rsidRDefault="000337CD" w:rsidP="006733CF">
      <w:pPr>
        <w:spacing w:line="480" w:lineRule="auto"/>
      </w:pPr>
      <w:r>
        <w:t xml:space="preserve">Understanding how species interact when exposed to multiple stressors </w:t>
      </w:r>
      <w:r w:rsidR="00E02D5E">
        <w:t>associated with</w:t>
      </w:r>
      <w:r>
        <w:t xml:space="preserve"> climate change is crucial to estimate future ecosystem structure and the provisioning of ecosystem services. Here, we show that moderate predicted warming, but not acidification, affected the functioning of mussels and algae and that culturing them together enhanced both their performances compared to treatments that contained only mussels or only algae. </w:t>
      </w:r>
    </w:p>
    <w:p w14:paraId="1019A93E" w14:textId="22285E8D" w:rsidR="000337CD" w:rsidRDefault="000337CD" w:rsidP="006733CF">
      <w:pPr>
        <w:spacing w:line="480" w:lineRule="auto"/>
      </w:pPr>
      <w:r>
        <w:t xml:space="preserve">Mussel </w:t>
      </w:r>
      <w:r w:rsidR="00141C3F">
        <w:t>c</w:t>
      </w:r>
      <w:r>
        <w:t xml:space="preserve">learance rates </w:t>
      </w:r>
      <w:r w:rsidR="00810D63">
        <w:t xml:space="preserve">were </w:t>
      </w:r>
      <w:r w:rsidR="00E02D5E">
        <w:t xml:space="preserve">greater </w:t>
      </w:r>
      <w:r w:rsidR="00810D63">
        <w:t>at warmer temperatures</w:t>
      </w:r>
      <w:r w:rsidR="00707DFF">
        <w:t xml:space="preserve"> as we hypothesised</w:t>
      </w:r>
      <w:r w:rsidR="00E02D5E">
        <w:t>. Contrastingly, m</w:t>
      </w:r>
      <w:r w:rsidR="00707DFF">
        <w:t>ussel mortality</w:t>
      </w:r>
      <w:r w:rsidR="009F54D9">
        <w:t xml:space="preserve"> </w:t>
      </w:r>
      <w:r w:rsidR="00E02D5E">
        <w:t xml:space="preserve">was also greater, which was </w:t>
      </w:r>
      <w:r w:rsidR="009F54D9">
        <w:t>contrary to our expectations</w:t>
      </w:r>
      <w:r w:rsidR="009A329F">
        <w:t>. This</w:t>
      </w:r>
      <w:r>
        <w:t xml:space="preserve"> indicat</w:t>
      </w:r>
      <w:r w:rsidR="009A329F">
        <w:t>es</w:t>
      </w:r>
      <w:r>
        <w:t xml:space="preserve"> that the mussels were not able to maintain their fitness despite increasing their energy intake. </w:t>
      </w:r>
      <w:r w:rsidR="00D70C8D">
        <w:t>Average a</w:t>
      </w:r>
      <w:r>
        <w:t>ccumulated biomass</w:t>
      </w:r>
      <w:r w:rsidR="00D70C8D">
        <w:t xml:space="preserve"> of individual musse</w:t>
      </w:r>
      <w:r w:rsidR="00707DFF">
        <w:t>l</w:t>
      </w:r>
      <w:r w:rsidR="00D70C8D">
        <w:t>s</w:t>
      </w:r>
      <w:r>
        <w:t xml:space="preserve"> </w:t>
      </w:r>
      <w:r w:rsidR="00141C3F">
        <w:t xml:space="preserve">and </w:t>
      </w:r>
      <w:r>
        <w:t>condition index w</w:t>
      </w:r>
      <w:r w:rsidR="00707DFF">
        <w:t>ere</w:t>
      </w:r>
      <w:r>
        <w:t xml:space="preserve"> not affected by temperature</w:t>
      </w:r>
      <w:r w:rsidR="00810D63">
        <w:t xml:space="preserve">. </w:t>
      </w:r>
      <w:r>
        <w:t>The fact that marine ectotherms</w:t>
      </w:r>
      <w:r w:rsidRPr="009A29A4">
        <w:t xml:space="preserve">, including bivalves and algae, adapt their </w:t>
      </w:r>
      <w:r>
        <w:t>metabolic rates and directly related traits, such as feeding rates</w:t>
      </w:r>
      <w:r w:rsidR="00334A4C">
        <w:t xml:space="preserve"> in the case of mussels</w:t>
      </w:r>
      <w:r>
        <w:t>, according to the prevailing water temperature within their thermal range is well understood (e.g.</w:t>
      </w:r>
      <w:r w:rsidR="00AD4D65">
        <w:t xml:space="preserve"> </w:t>
      </w:r>
      <w:r w:rsidR="00AD4D65">
        <w:fldChar w:fldCharType="begin" w:fldLock="1"/>
      </w:r>
      <w:r w:rsidR="00AD4D65">
        <w:instrText>ADDIN CSL_CITATION {"citationItems":[{"id":"ITEM-1","itemData":{"DOI":"10.3354/meps305147","ISSN":"01718630","abstract":"The filtration rate of Mytilus edulis as a function of acute change in temperature was measured by means of the clearance method in a group of mussels seasonally acclimated to 18°C. This was done by stepwise changes in temperature in order to both determine the temperature-tolerance interval within which the mussels were fully open, and to ensure that the acute effects were reversible. The filtration rate (F, ml min-1 ind.-1) as a function of temperature (T, °C) could be expressed by a regression line with the equation: F = 3.27 T + 38.2 in the temperature-tolerance interval between 8.3 and 20°C. A reduction in temperature to below 8.3°C initiated valve closure, and at 6.1°C all mussels were completely closed. The same group of mussels was then acclimated to 11°C over a period of 5 d before the measurements were repeated, and the filtration rate as a function of temperature was subsequently found to be: F = 3.27 T + 38.1 in the temperature-tolerance interval which had extended down to 4.1°C. Next, a group of mussels seasonally acclimated to about 15°C was split up into 3 subgroups which were exposed to 10.2, 15.6 and 20.3°C over the following 23 d. During the acclimation period, the filtration rate of fully open mussels was measured every 3 to 4 d in the 3 groups. Because none of the slopes of the 3 regression lines appreciably differed from 0, it is concluded that the acute effect of a change in temperature is not modified in M. edulis over a 3 wk acclimation period; i.e., there is no evidence for temperature compensation. © Inter-Research 2005.","author":[{"dropping-particle":"","family":"Kittner","given":"Christina","non-dropping-particle":"","parse-names":false,"suffix":""},{"dropping-particle":"","family":"Riisgård","given":"Hans Ulrik","non-dropping-particle":"","parse-names":false,"suffix":""}],"container-title":"Marine Ecology Progress Series","id":"ITEM-1","issue":"1990","issued":{"date-parts":[["2005"]]},"note":"no replication, rather repeated measurements","page":"147-152","title":"Effect of temperature on filtration rate in the mussel Mytilus edulis: No evidence for temperature compensation","type":"article-journal","volume":"305"},"uris":["http://www.mendeley.com/documents/?uuid=a433a02e-ee60-4523-9a0f-bc21072e60db"]},{"id":"ITEM-2","itemData":{"DOI":"10.1242/jeb.037523","ISSN":"00220949","PMID":"20190113","abstract":"The concept of oxygen- and capacity-dependent thermal tolerance in aquatic ectotherms has successfully explained climateinduced effects of rising temperatures on species abundance in the field. Oxygen supply to tissues and the resulting aerobic performance characters thus form a primary link between organismal fitness and its role and functioning at the ecosystem level. The thermal window of performance in water breathers matches their window of aerobic scope. Loss of performance reflects the earliest level of thermal stress, caused by hypoxaemia and the progressive mismatch of oxygen supply and demand at the borders of the thermal envelope. Oxygen deficiency elicits the transition to passive tolerance and associated systemic and cellular stress signals like hormonal responses or oxidative stress as well as the use of protection mechanisms like heat shock proteins at thermal extremes. Thermal acclimatization between seasons or adaptation to a climate regime involves shifting thermal windows and adjusting window widths. The need to specialize on a limited temperature range results from temperaturedependent trade-offs at several hierarchical levels, from molecular structure to whole-organism functioning, and may also support maximized energy efficiency. Various environmental factors like CO2 (ocean acidification) and hypoxia interact with these principal relationships. Existing knowledge suggests that these factors elicit metabolic depression supporting passive tolerance to thermal extremes. However, they also exacerbate hypoxaemia, causing a narrowing of thermal performance windows and prematurely leading the organism to the limits of its thermal acclimation capacity. The conceptual analysis suggests that the relationships between energy turnover, the capacities of activity and other functions and the width of thermal windows may lead to an integrative understanding of specialization on climate and, as a thermal matrix, of sensitivity to climate change and the factors involved. Such functional relationships might also relate to climate-induced changes in species interactions and, thus, community responses at the ecosystem level. © 2010, Published by The Company of Biologists Ltd.","author":[{"dropping-particle":"","family":"Pörtner","given":"H. O.","non-dropping-particle":"","parse-names":false,"suffix":""}],"container-title":"Journal of Experimental Biology","id":"ITEM-2","issue":"6","issued":{"date-parts":[["2010"]]},"page":"881-893","title":"Oxygen- And capacity-limitation of thermal tolerance: A matrix for integrating climate-related stressor effects in marine ecosystems","type":"article-journal","volume":"213"},"uris":["http://www.mendeley.com/documents/?uuid=0cab539d-79ba-4ec7-b062-bac6e28998e3"]},{"id":"ITEM-3","itemData":{"DOI":"10.1016/j.marpolbul.2019.03.063","ISSN":"18793363","abstract":"Ocean acidification and warming represent major environmental threats to kelp mariculture. In this study, sporophytic photochemical efficiency and gametophytic growth of Saccharina japonica and Undaria pinnatifida were evaluated under different pCO 2 levels (360, 720, and 980 ppmv) and temperatures (5, 10, 15, and 20 °C for sporophytes; 15 and 20 °C for gametophytes). Sporophytic photochemical efficiencies of both kelps were significantly greater at 720 ppmv than at 360 and 980 ppmv. Female gametophytes of both kelps grew significantly better at 360 ppmv than at higher pCO 2 levels. The growth of U. pinnatifida gametophytes was significantly greater at 20 °C than at 15 °C, while no significant difference was observed for the growth of S. japonica. These results indicate that increased pCO 2 stimulated sporophytic photochemical efficiency while inhibited gametophytic growth of these kelps, which might negatively affect their seedling cultivation. U. pinnatifida exhibited higher productivity in warmer ocean than S. japonica.","author":[{"dropping-particle":"","family":"Gao","given":"Xu","non-dropping-particle":"","parse-names":false,"suffix":""},{"dropping-particle":"","family":"Kim","given":"Ju Hyoung","non-dropping-particle":"","parse-names":false,"suffix":""},{"dropping-particle":"","family":"Park","given":"Seo Kyoung","non-dropping-particle":"","parse-names":false,"suffix":""},{"dropping-particle":"","family":"Yu","given":"Ok Hwan","non-dropping-particle":"","parse-names":false,"suffix":""},{"dropping-particle":"","family":"Kim","given":"Young Sik","non-dropping-particle":"","parse-names":false,"suffix":""},{"dropping-particle":"","family":"Choi","given":"Han Gil","non-dropping-particle":"","parse-names":false,"suffix":""}],"container-title":"Marine Pollution Bulletin","id":"ITEM-3","issue":"March","issued":{"date-parts":[["2019"]]},"note":"Gao &amp;amp; McKinley 1994","page":"315-320","publisher":"Elsevier","title":"Diverse responses of sporophytic photochemical efficiency and gametophytic growth for two edible kelps, Saccharina japonica and Undaria pinnatifida, to ocean acidification and warming","type":"article-journal","volume":"142"},"uris":["http://www.mendeley.com/documents/?uuid=46de6597-252e-4ff0-881a-c877d30ba673"]},{"id":"ITEM-4","itemData":{"DOI":"10.1016/j.jembe.2021.151603","ISSN":"00220981","abstract":"Rising sea surface temperatures affect the feeding behaviour and reproductive success of many coastal benthic invertebrates. This experimental study investigated the effects of ocean warming on macroalgal food consumption rates in the sea urchins Arbacia lixula and Paracentrotus lividus from Madeira Island to assess how the feeding pressure they exert may change under warmer ocean conditions. Additionally, in A. lixula, the relationship between temperature and the gonad index was examined to estimate potential future reproductive output. Over the course of 25 days, 180 individuals of each species were exposed to temperatures between 22 °C and 31 °C. After 20 days, consumption rates were assessed in 48-h feeding trials. Gonad indices of A. lixula were determined on the last day of the experiment. In the thermal range investigated, both traits were found to be unimodal functions of temperature. In addition to temperature, consumption rates in both species and the gonad indices in A. lixula were influenced by body size, while feeding in A. lixula also varied between sexes. Maximum food consumption rates (A. lixula and P. lividus) as well as maximum gonad indices (only A. lixula) were observed between 25 °C and 26 °C. These values are at the upper end of the temperature range that currently prevails around Madeira, and may become average summer temperatures by the year 2100. Consequently, both sea urchin species may thrive during future warm summers and may enhance their top-down control on local macroalgal populations.","author":[{"dropping-particle":"","family":"Roma","given":"Joana","non-dropping-particle":"","parse-names":false,"suffix":""},{"dropping-particle":"","family":"Schertenleib","given":"Katrin","non-dropping-particle":"","parse-names":false,"suffix":""},{"dropping-particle":"","family":"Ramalhosa","given":"Patrício","non-dropping-particle":"","parse-names":false,"suffix":""},{"dropping-particle":"","family":"Gestoso","given":"Ignacio","non-dropping-particle":"","parse-names":false,"suffix":""},{"dropping-particle":"","family":"Canning-Clode","given":"João","non-dropping-particle":"","parse-names":false,"suffix":""},{"dropping-particle":"","family":"Lenz","given":"Mark","non-dropping-particle":"","parse-names":false,"suffix":""}],"container-title":"Journal of Experimental Marine Biology and Ecology","id":"ITEM-4","issue":"November 2020","issued":{"date-parts":[["2021"]]},"title":"Moderately elevated temperatures increase macroalgal food consumption in two sea urchin species from coastal waters of Madeira","type":"article-journal","volume":"542-543"},"uris":["http://www.mendeley.com/documents/?uuid=b9456f6d-8f1c-4f3f-8b5a-12deb2251125"]}],"mendeley":{"formattedCitation":"(Gao et al., 2019; Kittner and Riisgård, 2005; Pörtner, 2010; Roma et al., 2021)","manualFormatting":"Gao et al., 2019; Kittner and Riisgård, 2005; Pörtner, 2010; Roma et al., 2021)","plainTextFormattedCitation":"(Gao et al., 2019; Kittner and Riisgård, 2005; Pörtner, 2010; Roma et al., 2021)","previouslyFormattedCitation":"(Gao et al., 2019; Kittner and Riisgård, 2005; Pörtner, 2010; Roma et al., 2021)"},"properties":{"noteIndex":0},"schema":"https://github.com/citation-style-language/schema/raw/master/csl-citation.json"}</w:instrText>
      </w:r>
      <w:r w:rsidR="00AD4D65">
        <w:fldChar w:fldCharType="separate"/>
      </w:r>
      <w:r w:rsidR="00AD4D65" w:rsidRPr="00AD4D65">
        <w:rPr>
          <w:noProof/>
        </w:rPr>
        <w:t>Gao et al., 2019; Kittner and Riisgård, 2005; Pörtner, 2010; Roma et al., 2021)</w:t>
      </w:r>
      <w:r w:rsidR="00AD4D65">
        <w:fldChar w:fldCharType="end"/>
      </w:r>
      <w:r>
        <w:t xml:space="preserve">. When food supply is high, biomass in </w:t>
      </w:r>
      <w:r w:rsidRPr="000E631C">
        <w:rPr>
          <w:i/>
          <w:iCs/>
        </w:rPr>
        <w:t>M. edulis</w:t>
      </w:r>
      <w:r>
        <w:t xml:space="preserve"> usually increases accordingly, while the condition index can decrease in response to warming when food is limiting </w:t>
      </w:r>
      <w:r>
        <w:fldChar w:fldCharType="begin" w:fldLock="1"/>
      </w:r>
      <w:r w:rsidR="00082159">
        <w:instrText>ADDIN CSL_CITATION {"citationItems":[{"id":"ITEM-1","itemData":{"DOI":"10.1111/gcb.12109","ISBN":"1365-2486","ISSN":"13541013","PMID":"23504880","abstract":"Ocean acidification is expected to decrease calcification rates of bivalves. Nevertheless, in many coastal areas high pCO2 variability is encountered already today. Kiel Fjord (Western Baltic Sea) is a brackish (12-20 g kg(-1) ) and CO2 enriched habitat, but the blue mussel Mytilus edulis dominates the benthic community. In a coupled field and laboratory study we examined the annual pCO2 variability in this habitat and the combined effects of elevated pCO2 and food availability on juvenile M. edulis growth and calcification. In the laboratory experiment, mussel growth and calcification were found to chiefly depend on food supply, with only minor impacts of pCO2 up to 3350 μatm. Kiel Fjord was characterized by strong seasonal pCO2 variability. During summer, maximal pCO2 values of 2500 μatm were observed at the surface and &gt;3000 μatm at the bottom. However, the field growth experiment revealed seven times higher growth and calcification rates of M. edulis at a high pCO2 inner fjord field station (mean pCO2 ca. 1000 μatm) in comparison to a low pCO2 outer fjord station (ca. 600 μatm). In addition, mussels were able to out-compete the barnacle Amphibalanus improvisus at the high pCO2 site. High mussel productivity at the inner fjord site was enabled by higher particulate organic carbon concentrations. Kiel Fjord is highly impacted by eutrophication, which causes bottom water hypoxia and consequently high seawater pCO2 . At the same time, elevated nutrient concentrations increase the energy availability for filter feeding organisms such as mussels. Thus, M. edulis can dominate over a seemingly more acidification resistant species such as A. improvisus. We conclude that benthic stages of M. edulis tolerate high ambient pCO2 when food supply is abundant and that important habitat characteristics such as species interactions and energy availability need to be considered to predict species vulnerability to ocean acidification.","author":[{"dropping-particle":"","family":"Thomsen","given":"Jörn","non-dropping-particle":"","parse-names":false,"suffix":""},{"dropping-particle":"","family":"Casties","given":"Isabel","non-dropping-particle":"","parse-names":false,"suffix":""},{"dropping-particle":"","family":"Pansch","given":"Christian","non-dropping-particle":"","parse-names":false,"suffix":""},{"dropping-particle":"","family":"Körtzinger","given":"Arne","non-dropping-particle":"","parse-names":false,"suffix":""},{"dropping-particle":"","family":"Melzner","given":"Frank","non-dropping-particle":"","parse-names":false,"suffix":""}],"container-title":"Global Change Biology","id":"ITEM-1","issue":"4","issued":{"date-parts":[["2013"]]},"note":"(Feely et al., 2010; Cai et al., 2011; Melzner et al., 2012; Hofmann et al., 2011).\n\nPopulation specific differences in vulnera- bility to ocean acidification were already observed in oysters and emphasize the need to compare the responses of Kiel Fjord mussels with other populations from less CO2 enriched areas (Parker et al., 2012).\n\ncontinuous feeding?","page":"1017-1027","title":"Food availability outweighs ocean acidification effects in juvenile Mytilus edulis: Laboratory and field experiments","type":"article-journal","volume":"19"},"uris":["http://www.mendeley.com/documents/?uuid=81e829e4-597d-467f-bd48-ba46848c79fd"]},{"id":"ITEM-2","itemData":{"DOI":"10.1371/journal.pone.0086764","author":[{"dropping-particle":"","family":"Mackenzie","given":"Clara L","non-dropping-particle":"","parse-names":false,"suffix":""},{"dropping-particle":"","family":"Ormondroyd","given":"Graham A","non-dropping-particle":"","parse-names":false,"suffix":""},{"dropping-particle":"","family":"Curling","given":"Simon F","non-dropping-particle":"","parse-names":false,"suffix":""},{"dropping-particle":"","family":"Ball","given":"Richard J","non-dropping-particle":"","parse-names":false,"suffix":""},{"dropping-particle":"","family":"Whiteley","given":"Nia M","non-dropping-particle":"","parse-names":false,"suffix":""},{"dropping-particle":"","family":"Malham","given":"Shelagh K","non-dropping-particle":"","parse-names":false,"suffix":""}],"container-title":"PLoS ONE","id":"ITEM-2","issue":"1","issued":{"date-parts":[["2014"]]},"page":"1-9","title":"Ocean Warming, More than Acidification, Reduces Shell Strength in a Commercial Shellfish Species during Food Limitation","type":"article-journal","volume":"9"},"uris":["http://www.mendeley.com/documents/?uuid=912294b9-5331-4518-b3f3-05076133114e"]}],"mendeley":{"formattedCitation":"(Mackenzie et al., 2014; Thomsen et al., 2013)","plainTextFormattedCitation":"(Mackenzie et al., 2014; Thomsen et al., 2013)","previouslyFormattedCitation":"(Mackenzie et al., 2014; Thomsen et al., 2013)"},"properties":{"noteIndex":0},"schema":"https://github.com/citation-style-language/schema/raw/master/csl-citation.json"}</w:instrText>
      </w:r>
      <w:r>
        <w:fldChar w:fldCharType="separate"/>
      </w:r>
      <w:r w:rsidR="00082159" w:rsidRPr="00082159">
        <w:rPr>
          <w:noProof/>
        </w:rPr>
        <w:t>(Mackenzie et al., 2014; Thomsen et al., 2013)</w:t>
      </w:r>
      <w:r>
        <w:fldChar w:fldCharType="end"/>
      </w:r>
      <w:r>
        <w:t>. When mussels died, the relative availability of food increased for the remaining mussels, which may have s</w:t>
      </w:r>
      <w:r w:rsidR="00334A4C">
        <w:t>erved</w:t>
      </w:r>
      <w:r>
        <w:t xml:space="preserve"> to compensate increased energy demands at higher temperatures, e.g. required for byssus production, and may explain the absence of temperature effects on </w:t>
      </w:r>
      <w:r w:rsidR="006C5023">
        <w:t xml:space="preserve">individual </w:t>
      </w:r>
      <w:r>
        <w:t xml:space="preserve">biomass and condition index </w:t>
      </w:r>
      <w:r>
        <w:fldChar w:fldCharType="begin" w:fldLock="1"/>
      </w:r>
      <w:r w:rsidR="00702A3A">
        <w:instrText>ADDIN CSL_CITATION {"citationItems":[{"id":"ITEM-1","itemData":{"author":[{"dropping-particle":"","family":"Roberts","given":"Emily A","non-dropping-particle":"","parse-names":false,"suffix":""},{"dropping-particle":"","family":"Carrington","given":"Emily","non-dropping-particle":"","parse-names":false,"suffix":""}],"container-title":"Marine Ecology Progress Series","id":"ITEM-1","issued":{"date-parts":[["2023"]]},"page":"35-54","publisher":"Inter-Research Science Center","title":"Byssal thread attachment and growth are not correlated across gradients of temperature and food availability for two congeneric mussel species","type":"article-journal","volume":"704"},"uris":["http://www.mendeley.com/documents/?uuid=a966763a-6d38-45bd-b213-2f80b114e176"]}],"mendeley":{"formattedCitation":"(Roberts and Carrington, 2023)","plainTextFormattedCitation":"(Roberts and Carrington, 2023)","previouslyFormattedCitation":"(Roberts and Carrington, 2023)"},"properties":{"noteIndex":0},"schema":"https://github.com/citation-style-language/schema/raw/master/csl-citation.json"}</w:instrText>
      </w:r>
      <w:r>
        <w:fldChar w:fldCharType="separate"/>
      </w:r>
      <w:r w:rsidR="00702A3A" w:rsidRPr="00702A3A">
        <w:rPr>
          <w:noProof/>
        </w:rPr>
        <w:t>(Roberts and Carrington, 2023)</w:t>
      </w:r>
      <w:r>
        <w:fldChar w:fldCharType="end"/>
      </w:r>
      <w:r>
        <w:t xml:space="preserve">. </w:t>
      </w:r>
    </w:p>
    <w:p w14:paraId="437E6685" w14:textId="7CC088A8" w:rsidR="000337CD" w:rsidRDefault="000337CD" w:rsidP="006733CF">
      <w:pPr>
        <w:spacing w:line="480" w:lineRule="auto"/>
      </w:pPr>
      <w:r>
        <w:t xml:space="preserve">The absence of </w:t>
      </w:r>
      <w:r w:rsidRPr="00D50D49">
        <w:t>pCO</w:t>
      </w:r>
      <w:r w:rsidRPr="00D50D49">
        <w:rPr>
          <w:vertAlign w:val="subscript"/>
        </w:rPr>
        <w:t>2</w:t>
      </w:r>
      <w:r>
        <w:t xml:space="preserve"> effect</w:t>
      </w:r>
      <w:r w:rsidR="00334A4C">
        <w:t>s</w:t>
      </w:r>
      <w:r>
        <w:t xml:space="preserve"> on mussel responses may be because coastal ecosystems experience large daily and seasonal fluctuations in </w:t>
      </w:r>
      <w:r w:rsidRPr="00D50D49">
        <w:t>pCO</w:t>
      </w:r>
      <w:r w:rsidRPr="00D50D49">
        <w:rPr>
          <w:vertAlign w:val="subscript"/>
        </w:rPr>
        <w:t>2</w:t>
      </w:r>
      <w:r>
        <w:t xml:space="preserve"> and respective pH conditions</w:t>
      </w:r>
      <w:r w:rsidR="00AD4D65">
        <w:t xml:space="preserve"> </w:t>
      </w:r>
      <w:r w:rsidR="00AD4D65">
        <w:fldChar w:fldCharType="begin" w:fldLock="1"/>
      </w:r>
      <w:r w:rsidR="00A95CB3">
        <w:instrText>ADDIN CSL_CITATION {"citationItems":[{"id":"ITEM-1","itemData":{"DOI":"10.1007/s12237-013-9594-3","ISBN":"1223701395","ISSN":"15592723","abstract":"Ocean acidification due to anthropogenic CO2 emissions is a dominant driver of long-term changes in pH in the open ocean, raising concern for the future of calcifying organisms, many of which are present in coastal habitats. However, changes in pH in coastal ecosystems result from a multitude of drivers, including impacts from watershed processes, nutrient inputs, and changes in ecosystem structure and metabolism. Interaction between ocean acidification due to anthropogenic CO2 emissions and the dynamic regional to local drivers of coastal ecosystems have resulted in complex regulation of pH in coastal waters. Changes in the watershed can, for example, lead to changes in alkalinity and CO2 fluxes that, together with metabolic processes and oceanic dynamics, yield high-magnitude decadal changes of up to 0.5 units in coastal pH. Metabolism results in strong diel to seasonal fluctuations in pH, with characteristic ranges of 0.3 pH units, with metabolically intense habitats exceeding this range on a daily basis. The intense variability and multiple, complex controls on pH implies that the concept of ocean acidification due to anthropogenic CO2 emissions cannot be transposed to coastal ecosystems directly. Furthermore, in coastal ecosystems, the detection of trends towards acidification is not trivial and the attribution of these changes to anthropogenic CO2 emissions is even more problematic. Coastal ecosystems may show acidification or basification, depending on the balance between the invasion of coastal waters by anthropogenic CO2, watershed export of alkalinity, organic matter and CO2, and changes in the balance between primary production, respiration and calcification rates in response to changes in nutrient inputs and losses of ecosystem components. Hence, we contend that ocean acidification from anthropogenic CO2 is largely an open-ocean syndrome and that a concept of anthropogenic impacts on marine pH, which is applicable across the entire ocean, from coastal to open-ocean environments, provides a superior framework to consider the multiple components of the anthropogenic perturbation of marine pH trajectories. The concept of anthropogenic impacts on seawater pH acknowledges that a regional focus is necessary to predict future trajectories in the pH of coastal waters and points at opportunities to manage these trajectories locally to conserve coastal organisms vulnerable to ocean acidification. © 2013 Coastal and Estuarine Research Federation.","author":[{"dropping-particle":"","family":"Duarte","given":"Carlos M.","non-dropping-particle":"","parse-names":false,"suffix":""},{"dropping-particle":"","family":"Hendriks","given":"Iris E.","non-dropping-particle":"","parse-names":false,"suffix":""},{"dropping-particle":"","family":"Moore","given":"Tommy S.","non-dropping-particle":"","parse-names":false,"suffix":""},{"dropping-particle":"","family":"Olsen","given":"Ylva S.","non-dropping-particle":"","parse-names":false,"suffix":""},{"dropping-particle":"","family":"Steckbauer","given":"Alexandra","non-dropping-particle":"","parse-names":false,"suffix":""},{"dropping-particle":"","family":"Ramajo","given":"Laura","non-dropping-particle":"","parse-names":false,"suffix":""},{"dropping-particle":"","family":"Carstensen","given":"Jacob","non-dropping-particle":"","parse-names":false,"suffix":""},{"dropping-particle":"","family":"Trotter","given":"Julie A.","non-dropping-particle":"","parse-names":false,"suffix":""},{"dropping-particle":"","family":"McCulloch","given":"Malcolm","non-dropping-particle":"","parse-names":false,"suffix":""}],"container-title":"Estuaries and Coasts","id":"ITEM-1","issue":"2","issued":{"date-parts":[["2013"]]},"page":"221-236","title":"Is Ocean Acidification an Open-Ocean Syndrome? Understanding Anthropogenic Impacts on Seawater pH","type":"article-journal","volume":"36"},"uris":["http://www.mendeley.com/documents/?uuid=3ac3cb62-4b9d-45ab-bd85-b5aaf6764482"]},{"id":"ITEM-2","itemData":{"DOI":"10.1038/s41559-017-0084","ISBN":"2397-334X","ISSN":"2397334X","abstract":"&lt;p&gt;Marine species distributed along environmental gradients may experience large-scale heterogeneity in ocean physicochemical conditions. Here, the authors develop an index to account for this variability in studies of responses to ocean acidification.&lt;/p&gt;","author":[{"dropping-particle":"","family":"Vargas","given":"Cristian A.","non-dropping-particle":"","parse-names":false,"suffix":""},{"dropping-particle":"","family":"Lagos","given":"Nelson A.","non-dropping-particle":"","parse-names":false,"suffix":""},{"dropping-particle":"","family":"Lardies","given":"Marco A.","non-dropping-particle":"","parse-names":false,"suffix":""},{"dropping-particle":"","family":"Duarte","given":"Cristian","non-dropping-particle":"","parse-names":false,"suffix":""},{"dropping-particle":"","family":"Manríquez","given":"Patricio H.","non-dropping-particle":"","parse-names":false,"suffix":""},{"dropping-particle":"","family":"Aguilera","given":"Victor M.","non-dropping-particle":"","parse-names":false,"suffix":""},{"dropping-particle":"","family":"Broitman","given":"Bernardo","non-dropping-particle":"","parse-names":false,"suffix":""},{"dropping-particle":"","family":"Widdicombe","given":"Steve","non-dropping-particle":"","parse-names":false,"suffix":""},{"dropping-particle":"","family":"Dupont","given":"Sam","non-dropping-particle":"","parse-names":false,"suffix":""}],"container-title":"Nature Ecology and Evolution","id":"ITEM-2","issue":"4","issued":{"date-parts":[["2017"]]},"note":"6\n12\n17\n35","publisher":"Macmillan Publishers Limited, part of Springer Nature.","title":"Species-specific responses to ocean acidification should account for local adaptation and adaptive plasticity","type":"article-journal","volume":"1"},"uris":["http://www.mendeley.com/documents/?uuid=43e34419-61b4-4986-80dc-2a925bc94a14"]},{"id":"ITEM-3","itemData":{"DOI":"10.1080/00318884.2019.1628576","ISSN":"23302968","abstract":"With ongoing climate change, aquaculture faces environmental challenges similar to those of natural ecosystems. These include increasing stress for calcifying species, e.g. macroalgae and shellfish. In this context, ocean acidification (OA) has the potential to affect important socioeconomic activities, including shellfish aquaculture, due to changes in the seawater carbonate system. However, coastal environments are characterised by strong diurnal pH fluctuations associated with the metabolic activity of macroalgae; that is, photosynthesis and respiration. This suggests that calcifying organisms that inhabit these ecosystems are adapted to this fluctuating pH environment. Macrophyte-dominated environments may have the potential to act as an OA buffering system in the form of a photosynthetic footprint, by reducing excess of CO2 and increasing the seawater pH and Ωarg. This can support calcification and other threatened physiological processes of calcifying organisms under a reduced pH environment. Because this footprint is supportive beyond the macroalgal canopy spatial area, this chemical refuge mechanism can be applied to support shellfish aquaculture, e.g. mussels. However, this approach should be tested in commercial shellfish farms to determine critical aspects of implementation. This includes critical factors such as target species and productivity rates. The degree of OA buffering capacity caused by the metabolic activity of macroalgae might depend on community structure and hydrodynamic conditions, creating site-specific responses. This concept might aid the development of future adaptive strategies, supporting marine ecological planning for the mussel aquaculture industry in Chile.","author":[{"dropping-particle":"","family":"Fernández","given":"Pamela A.","non-dropping-particle":"","parse-names":false,"suffix":""},{"dropping-particle":"","family":"Leal","given":"Pablo P.","non-dropping-particle":"","parse-names":false,"suffix":""},{"dropping-particle":"","family":"Henríquez","given":"Luis A.","non-dropping-particle":"","parse-names":false,"suffix":""}],"container-title":"Phycologia","id":"ITEM-3","issue":"5","issued":{"date-parts":[["2019"]]},"page":"542-551","publisher":"Taylor &amp; Francis","title":"Co-culture in marine farms: macroalgae can act as chemical refuge for shell-forming molluscs under an ocean acidification scenario","type":"article-journal","volume":"58"},"uris":["http://www.mendeley.com/documents/?uuid=a1c74165-8e79-4acc-98e6-899416f323f0"]},{"id":"ITEM-4","itemData":{"DOI":"10.1111/gcb.16101","ISSN":"13652486","PMID":"35092108","abstract":"Studies on the impact of ocean acidification on marine organisms involve exposing organisms to future acidification scenarios, which has limited relevance for coastal calcifiers living in a mosaic of habitats. Identification of tipping points beyond which detrimental effects are observed is a widely generalizable proxy of acidification susceptibility at the population level. This approach is limited to a handful of studies that focus on only a few macro-physiological traits, thus overlooking the whole organism response. Here we develop a framework to analyze the broad macro-physiological and molecular responses over a wide pH range in juvenile oyster. We identify low tipping points for physiological traits at pH 7.3–6.9 that coincide with a major reshuffling in membrane lipids and transcriptome. In contrast, a drop in pH affects shell parameters above tipping points, likely impacting animal fitness. These findings were made possible by the development of an innovative methodology to synthesize and identify the main patterns of variations in large -omic data sets, fitting them to pH and identifying molecular tipping points. We propose the broad application of our framework to the assessment of effects of global change on other organisms.","author":[{"dropping-particle":"","family":"Lutier","given":"Mathieu","non-dropping-particle":"","parse-names":false,"suffix":""},{"dropping-particle":"","family":"Poi","given":"Carole","non-dropping-particle":"Di","parse-names":false,"suffix":""},{"dropping-particle":"","family":"Gazeau","given":"Frédéric","non-dropping-particle":"","parse-names":false,"suffix":""},{"dropping-particle":"","family":"Appolis","given":"Alexis","non-dropping-particle":"","parse-names":false,"suffix":""},{"dropping-particle":"","family":"Luyer","given":"Jérémy","non-dropping-particle":"Le","parse-names":false,"suffix":""},{"dropping-particle":"","family":"Pernet","given":"Fabrice","non-dropping-particle":"","parse-names":false,"suffix":""}],"container-title":"Global Change Biology","id":"ITEM-4","issue":"10","issued":{"date-parts":[["2022"]]},"page":"3333-3348","title":"Revisiting tolerance to ocean acidification: Insights from a new framework combining physiological and molecular tipping points of Pacific oyster","type":"article-journal","volume":"28"},"uris":["http://www.mendeley.com/documents/?uuid=c3bd9756-90d2-4a4f-963d-afff6e318f7e"]}],"mendeley":{"formattedCitation":"(Duarte et al., 2013; Fernández et al., 2019; Lutier et al., 2022; Vargas et al., 2017)","plainTextFormattedCitation":"(Duarte et al., 2013; Fernández et al., 2019; Lutier et al., 2022; Vargas et al., 2017)","previouslyFormattedCitation":"(Duarte et al., 2013; Fernández et al., 2019; Lutier et al., 2022; Vargas et al., 2017)"},"properties":{"noteIndex":0},"schema":"https://github.com/citation-style-language/schema/raw/master/csl-citation.json"}</w:instrText>
      </w:r>
      <w:r w:rsidR="00AD4D65">
        <w:fldChar w:fldCharType="separate"/>
      </w:r>
      <w:r w:rsidR="00F3362A" w:rsidRPr="00F3362A">
        <w:rPr>
          <w:noProof/>
        </w:rPr>
        <w:t>(Duarte et al., 2013; Fernández et al., 2019; Lutier et al., 2022; Vargas et al., 2017)</w:t>
      </w:r>
      <w:r w:rsidR="00AD4D65">
        <w:fldChar w:fldCharType="end"/>
      </w:r>
      <w:r>
        <w:t xml:space="preserve">. </w:t>
      </w:r>
      <w:r w:rsidR="00A934AF">
        <w:t>When the mussel spat used in our experiment was collected</w:t>
      </w:r>
      <w:r w:rsidR="00F040C6">
        <w:t xml:space="preserve"> in October 2020</w:t>
      </w:r>
      <w:r w:rsidR="00A934AF">
        <w:t xml:space="preserve">, a snapshot measurement of in-situ pH of 8.24 was taken, i.e. 0.15 logarithmic units higher than in the ambient treatment in the presented experiment, which is a greater interval than between the ambient and </w:t>
      </w:r>
      <w:r w:rsidR="001D3E05">
        <w:t>elevated</w:t>
      </w:r>
      <w:r w:rsidR="00A934AF">
        <w:t xml:space="preserve"> </w:t>
      </w:r>
      <w:r w:rsidR="00A934AF" w:rsidRPr="00D50D49">
        <w:t>pCO</w:t>
      </w:r>
      <w:r w:rsidR="00A934AF" w:rsidRPr="00D50D49">
        <w:rPr>
          <w:vertAlign w:val="subscript"/>
        </w:rPr>
        <w:t>2</w:t>
      </w:r>
      <w:r w:rsidR="00A934AF">
        <w:t xml:space="preserve"> level applied. Long-term</w:t>
      </w:r>
      <w:r w:rsidR="00DD6325">
        <w:t>, continuous</w:t>
      </w:r>
      <w:r w:rsidR="00A934AF">
        <w:t xml:space="preserve"> seasonal monitoring data of pH </w:t>
      </w:r>
      <w:r w:rsidR="00DD6325">
        <w:t xml:space="preserve">of Killary Fjord is not </w:t>
      </w:r>
      <w:r w:rsidR="00DD6325">
        <w:lastRenderedPageBreak/>
        <w:t>available. Between 2007 and 2009, however, summer pH ranged from 7.87 to 8.30</w:t>
      </w:r>
      <w:r w:rsidR="00396762">
        <w:t xml:space="preserve"> </w:t>
      </w:r>
      <w:r w:rsidR="00396762">
        <w:fldChar w:fldCharType="begin" w:fldLock="1"/>
      </w:r>
      <w:r w:rsidR="00396762">
        <w:instrText>ADDIN CSL_CITATION {"citationItems":[{"id":"ITEM-1","itemData":{"DOI":"10.1007/s12237-012-9553-4","ISSN":"15592731","abstract":"Measurements of pH and dissolved oxygen saturation in summer from 90 Irish estuaries and coastal bays were used to develop a simple index of trophic state. The index is based on the assumption that large fluctuations in both these variables are likely to be a characteristic feature of eutrophication. In this paper, we use a simple index to capture the relative variation in both pH and dissolved oxygen saturation in each water body during a period of 3 years. We show that the index is in good agreement with other trophic status schemes and strongly correlated with parameters indicative of trophic state such as chlorophyll a and biochemical oxygen demand. We conclude that the index could be used as a simple screening tool to group individual water bodies into broad categories that reflect their trophic state. © 2012 Coastal and Estuarine Research Federation.","author":[{"dropping-particle":"","family":"O'Boyle","given":"Shane","non-dropping-particle":"","parse-names":false,"suffix":""},{"dropping-particle":"","family":"McDermott","given":"Georgina","non-dropping-particle":"","parse-names":false,"suffix":""},{"dropping-particle":"","family":"Noklegaard","given":"Tone","non-dropping-particle":"","parse-names":false,"suffix":""},{"dropping-particle":"","family":"Wilkes","given":"Robert","non-dropping-particle":"","parse-names":false,"suffix":""}],"container-title":"Estuaries and Coasts","id":"ITEM-1","issue":"1","issued":{"date-parts":[["2013"]]},"page":"158-173","title":"A Simple Index of Trophic Status in Estuaries and Coastal Bays Based on Measurements of pH and Dissolved Oxygen","type":"article-journal","volume":"36"},"uris":["http://www.mendeley.com/documents/?uuid=04bd4187-5199-42d5-88d3-6ff096faa614"]}],"mendeley":{"formattedCitation":"(O’Boyle et al., 2013)","plainTextFormattedCitation":"(O’Boyle et al., 2013)","previouslyFormattedCitation":"(O’Boyle et al., 2013)"},"properties":{"noteIndex":0},"schema":"https://github.com/citation-style-language/schema/raw/master/csl-citation.json"}</w:instrText>
      </w:r>
      <w:r w:rsidR="00396762">
        <w:fldChar w:fldCharType="separate"/>
      </w:r>
      <w:r w:rsidR="00396762" w:rsidRPr="00396762">
        <w:rPr>
          <w:noProof/>
        </w:rPr>
        <w:t>(O’Boyle et al., 2013)</w:t>
      </w:r>
      <w:r w:rsidR="00396762">
        <w:fldChar w:fldCharType="end"/>
      </w:r>
      <w:r w:rsidR="00F040C6">
        <w:rPr>
          <w:noProof/>
        </w:rPr>
        <w:t>, reflecting the influences of groundwater from surrounding calcerous limestone</w:t>
      </w:r>
      <w:r w:rsidR="0070137B">
        <w:rPr>
          <w:noProof/>
        </w:rPr>
        <w:t>, nutrient inputs and biological activity</w:t>
      </w:r>
      <w:r w:rsidR="00396762">
        <w:rPr>
          <w:noProof/>
        </w:rPr>
        <w:t xml:space="preserve"> </w:t>
      </w:r>
      <w:r w:rsidR="00396762">
        <w:rPr>
          <w:noProof/>
        </w:rPr>
        <w:fldChar w:fldCharType="begin" w:fldLock="1"/>
      </w:r>
      <w:r w:rsidR="00396762">
        <w:rPr>
          <w:noProof/>
        </w:rPr>
        <w:instrText>ADDIN CSL_CITATION {"citationItems":[{"id":"ITEM-1","itemData":{"DOI":"10.1007/s12237-013-9594-3","ISBN":"1223701395","ISSN":"15592723","abstract":"Ocean acidification due to anthropogenic CO2 emissions is a dominant driver of long-term changes in pH in the open ocean, raising concern for the future of calcifying organisms, many of which are present in coastal habitats. However, changes in pH in coastal ecosystems result from a multitude of drivers, including impacts from watershed processes, nutrient inputs, and changes in ecosystem structure and metabolism. Interaction between ocean acidification due to anthropogenic CO2 emissions and the dynamic regional to local drivers of coastal ecosystems have resulted in complex regulation of pH in coastal waters. Changes in the watershed can, for example, lead to changes in alkalinity and CO2 fluxes that, together with metabolic processes and oceanic dynamics, yield high-magnitude decadal changes of up to 0.5 units in coastal pH. Metabolism results in strong diel to seasonal fluctuations in pH, with characteristic ranges of 0.3 pH units, with metabolically intense habitats exceeding this range on a daily basis. The intense variability and multiple, complex controls on pH implies that the concept of ocean acidification due to anthropogenic CO2 emissions cannot be transposed to coastal ecosystems directly. Furthermore, in coastal ecosystems, the detection of trends towards acidification is not trivial and the attribution of these changes to anthropogenic CO2 emissions is even more problematic. Coastal ecosystems may show acidification or basification, depending on the balance between the invasion of coastal waters by anthropogenic CO2, watershed export of alkalinity, organic matter and CO2, and changes in the balance between primary production, respiration and calcification rates in response to changes in nutrient inputs and losses of ecosystem components. Hence, we contend that ocean acidification from anthropogenic CO2 is largely an open-ocean syndrome and that a concept of anthropogenic impacts on marine pH, which is applicable across the entire ocean, from coastal to open-ocean environments, provides a superior framework to consider the multiple components of the anthropogenic perturbation of marine pH trajectories. The concept of anthropogenic impacts on seawater pH acknowledges that a regional focus is necessary to predict future trajectories in the pH of coastal waters and points at opportunities to manage these trajectories locally to conserve coastal organisms vulnerable to ocean acidification. © 2013 Coastal and Estuarine Research Federation.","author":[{"dropping-particle":"","family":"Duarte","given":"Carlos M.","non-dropping-particle":"","parse-names":false,"suffix":""},{"dropping-particle":"","family":"Hendriks","given":"Iris E.","non-dropping-particle":"","parse-names":false,"suffix":""},{"dropping-particle":"","family":"Moore","given":"Tommy S.","non-dropping-particle":"","parse-names":false,"suffix":""},{"dropping-particle":"","family":"Olsen","given":"Ylva S.","non-dropping-particle":"","parse-names":false,"suffix":""},{"dropping-particle":"","family":"Steckbauer","given":"Alexandra","non-dropping-particle":"","parse-names":false,"suffix":""},{"dropping-particle":"","family":"Ramajo","given":"Laura","non-dropping-particle":"","parse-names":false,"suffix":""},{"dropping-particle":"","family":"Carstensen","given":"Jacob","non-dropping-particle":"","parse-names":false,"suffix":""},{"dropping-particle":"","family":"Trotter","given":"Julie A.","non-dropping-particle":"","parse-names":false,"suffix":""},{"dropping-particle":"","family":"McCulloch","given":"Malcolm","non-dropping-particle":"","parse-names":false,"suffix":""}],"container-title":"Estuaries and Coasts","id":"ITEM-1","issue":"2","issued":{"date-parts":[["2013"]]},"page":"221-236","title":"Is Ocean Acidification an Open-Ocean Syndrome? Understanding Anthropogenic Impacts on Seawater pH","type":"article-journal","volume":"36"},"uris":["http://www.mendeley.com/documents/?uuid=3ac3cb62-4b9d-45ab-bd85-b5aaf6764482"]},{"id":"ITEM-2","itemData":{"DOI":"10.1007/s12237-015-9950-6","ISBN":"1559-2723","ISSN":"15592731","abstract":"The wintertime spatial distribution of carbonate parameters in outer estuarine and coastal waters around Ireland is described from total alkalinity (TA) and dissolved inorganic carbon (DIC) data collected between 2010 and 2013. Due to predominantly limestone bedrock of their river catchments, the River Shannon and Barrow, Nore and Suir River system export high concentrations (&gt;3800 μmol kg−1) of TA to their estuarine and inshore coastal waters where estuarine alkalinity decreases with increasing salinity. TA is lower in rivers with a non-calcareous bedrock, with positively correlated alkalinity-salinity relationships in both the Lee and Foyle outer estuaries. Winter pCO2 in the Shannon, Barrow/Nore/Suir and Lee estuaries is supersaturated relative to atmospheric CO2, while pCO2 in the outer Liffey estuary is slightly lower than atmospheric CO2 in three consecutive winters, indicative of a CO2 sink. Winter pCO2 is close to atmospheric equilibrium along the western shelf and through the centre of the Irish Sea, while it is a CO2 sink across the North Channel. While aragonite was supersaturated in most Irish waters, it was close to undersaturation in both the Lee estuary, attributed to its low alkalinity freshwater source, and Barrow/Nore/Suir estuary related to the flux of high concentrations of DIC from this river system. The seasonal impacts on inorganic carbon chemistry was also investigated by comparing winter and summer data collected between 2009 and 2013 along two transects in western coastal waters and along the western shelf edge. DIC was ~60 μmol kg−1 lower in summer relative to winter in the coastal transects and 39 μmol kg−1 lower along the shelf edge, accompanied by depleted nutrients and supersaturation of dissolved oxygen during summer, indicative of primary production. TA was generally higher in summer relative to winter corresponding with a decrease in nitrate, indicating that primary production dominated the TA distribution over calcification. An exception to this was at two stations along the shelf edge where TA was lower in summer relative to winter (51 μmol kg−1) and coincides with high reflectance in satellite images from a coccolithophore bloom at the time of sampling. While pCO2 was close to atmospheric equilibrium along the shelf edge during winter, this area was a CO2 sink during summer, apart from the stations where calcification was likely occurring resulting in elevated CO2 relative to atmospheric concentrations.","author":[{"dropping-particle":"","family":"McGrath","given":"Triona","non-dropping-particle":"","parse-names":false,"suffix":""},{"dropping-particle":"","family":"McGovern","given":"Evin","non-dropping-particle":"","parse-names":false,"suffix":""},{"dropping-particle":"","family":"Cave","given":"Rachel R.","non-dropping-particle":"","parse-names":false,"suffix":""},{"dropping-particle":"","family":"Kivimäe","given":"Caroline","non-dropping-particle":"","parse-names":false,"suffix":""}],"container-title":"Estuaries and Coasts","id":"ITEM-2","issue":"1","issued":{"date-parts":[["2016"]]},"page":"27-39","title":"The Inorganic Carbon Chemistry in Coastal and Shelf Waters Around Ireland","type":"article-journal","volume":"39"},"uris":["http://www.mendeley.com/documents/?uuid=bffdb5f7-8923-40f6-a1ca-6b0a49fad7ed"]}],"mendeley":{"formattedCitation":"(Duarte et al., 2013; McGrath et al., 2016)","plainTextFormattedCitation":"(Duarte et al., 2013; McGrath et al., 2016)","previouslyFormattedCitation":"(Duarte et al., 2013; McGrath et al., 2016)"},"properties":{"noteIndex":0},"schema":"https://github.com/citation-style-language/schema/raw/master/csl-citation.json"}</w:instrText>
      </w:r>
      <w:r w:rsidR="00396762">
        <w:rPr>
          <w:noProof/>
        </w:rPr>
        <w:fldChar w:fldCharType="separate"/>
      </w:r>
      <w:r w:rsidR="00396762" w:rsidRPr="00396762">
        <w:rPr>
          <w:noProof/>
        </w:rPr>
        <w:t>(Duarte et al., 2013; McGrath et al., 2016)</w:t>
      </w:r>
      <w:r w:rsidR="00396762">
        <w:rPr>
          <w:noProof/>
        </w:rPr>
        <w:fldChar w:fldCharType="end"/>
      </w:r>
      <w:r w:rsidR="00396762">
        <w:rPr>
          <w:noProof/>
        </w:rPr>
        <w:t>.</w:t>
      </w:r>
      <w:r w:rsidR="00DD6325">
        <w:t xml:space="preserve"> </w:t>
      </w:r>
      <w:r>
        <w:t>T</w:t>
      </w:r>
      <w:r w:rsidR="00DD6325">
        <w:t>herefore, t</w:t>
      </w:r>
      <w:r>
        <w:t xml:space="preserve">he experimental </w:t>
      </w:r>
      <w:r w:rsidR="00DD6325" w:rsidRPr="00D50D49">
        <w:t>pCO</w:t>
      </w:r>
      <w:r w:rsidR="00DD6325" w:rsidRPr="00D50D49">
        <w:rPr>
          <w:vertAlign w:val="subscript"/>
        </w:rPr>
        <w:t>2</w:t>
      </w:r>
      <w:r w:rsidR="00DD6325">
        <w:t xml:space="preserve"> level </w:t>
      </w:r>
      <w:r>
        <w:t>of 6</w:t>
      </w:r>
      <w:r w:rsidR="00031801">
        <w:t>45</w:t>
      </w:r>
      <w:r>
        <w:t xml:space="preserve"> ppm with an associated decrease in pH of 0.1 units </w:t>
      </w:r>
      <w:r w:rsidR="00DD6325">
        <w:t xml:space="preserve">compared to the ambient level of 450 ppm, or pH 8.09, respectively, </w:t>
      </w:r>
      <w:r>
        <w:t xml:space="preserve">lies within the range that </w:t>
      </w:r>
      <w:r w:rsidR="00DD6325">
        <w:t xml:space="preserve">the </w:t>
      </w:r>
      <w:r>
        <w:t>mussels experience</w:t>
      </w:r>
      <w:r w:rsidR="00F040C6">
        <w:t xml:space="preserve"> and are likely adapted to</w:t>
      </w:r>
      <w:r>
        <w:t xml:space="preserve"> in their natural habitats </w:t>
      </w:r>
      <w:r>
        <w:fldChar w:fldCharType="begin" w:fldLock="1"/>
      </w:r>
      <w:r w:rsidR="00702A3A">
        <w:instrText>ADDIN CSL_CITATION {"citationItems":[{"id":"ITEM-1","itemData":{"DOI":"10.1111/gcb.12109","ISBN":"1365-2486","ISSN":"13541013","PMID":"23504880","abstract":"Ocean acidification is expected to decrease calcification rates of bivalves. Nevertheless, in many coastal areas high pCO2 variability is encountered already today. Kiel Fjord (Western Baltic Sea) is a brackish (12-20 g kg(-1) ) and CO2 enriched habitat, but the blue mussel Mytilus edulis dominates the benthic community. In a coupled field and laboratory study we examined the annual pCO2 variability in this habitat and the combined effects of elevated pCO2 and food availability on juvenile M. edulis growth and calcification. In the laboratory experiment, mussel growth and calcification were found to chiefly depend on food supply, with only minor impacts of pCO2 up to 3350 μatm. Kiel Fjord was characterized by strong seasonal pCO2 variability. During summer, maximal pCO2 values of 2500 μatm were observed at the surface and &gt;3000 μatm at the bottom. However, the field growth experiment revealed seven times higher growth and calcification rates of M. edulis at a high pCO2 inner fjord field station (mean pCO2 ca. 1000 μatm) in comparison to a low pCO2 outer fjord station (ca. 600 μatm). In addition, mussels were able to out-compete the barnacle Amphibalanus improvisus at the high pCO2 site. High mussel productivity at the inner fjord site was enabled by higher particulate organic carbon concentrations. Kiel Fjord is highly impacted by eutrophication, which causes bottom water hypoxia and consequently high seawater pCO2 . At the same time, elevated nutrient concentrations increase the energy availability for filter feeding organisms such as mussels. Thus, M. edulis can dominate over a seemingly more acidification resistant species such as A. improvisus. We conclude that benthic stages of M. edulis tolerate high ambient pCO2 when food supply is abundant and that important habitat characteristics such as species interactions and energy availability need to be considered to predict species vulnerability to ocean acidification.","author":[{"dropping-particle":"","family":"Thomsen","given":"Jörn","non-dropping-particle":"","parse-names":false,"suffix":""},{"dropping-particle":"","family":"Casties","given":"Isabel","non-dropping-particle":"","parse-names":false,"suffix":""},{"dropping-particle":"","family":"Pansch","given":"Christian","non-dropping-particle":"","parse-names":false,"suffix":""},{"dropping-particle":"","family":"Körtzinger","given":"Arne","non-dropping-particle":"","parse-names":false,"suffix":""},{"dropping-particle":"","family":"Melzner","given":"Frank","non-dropping-particle":"","parse-names":false,"suffix":""}],"container-title":"Global Change Biology","id":"ITEM-1","issue":"4","issued":{"date-parts":[["2013"]]},"note":"(Feely et al., 2010; Cai et al., 2011; Melzner et al., 2012; Hofmann et al., 2011).\n\nPopulation specific differences in vulnera- bility to ocean acidification were already observed in oysters and emphasize the need to compare the responses of Kiel Fjord mussels with other populations from less CO2 enriched areas (Parker et al., 2012).\n\ncontinuous feeding?","page":"1017-1027","title":"Food availability outweighs ocean acidification effects in juvenile Mytilus edulis: Laboratory and field experiments","type":"article-journal","volume":"19"},"uris":["http://www.mendeley.com/documents/?uuid=81e829e4-597d-467f-bd48-ba46848c79fd"]},{"id":"ITEM-2","itemData":{"DOI":"10.1007/s00227-012-1954-1","ISSN":"00253162","abstract":"Ocean acidification is elicited by anthropogenic carbon dioxide emissions and resulting oceanic uptake of excess CO2 and might constitute an abiotic stressor powerful enough to alter marine ecosystem structures. For surface waters in gas-exchange equilibrium with the atmosphere, models suggest increases in CO2 partial pressure (pCO(2)) from current values of ca. 390 mu atm to ca. 700-1,000 mu atm by the end of the century. However, in typically unequilibrated coastal hypoxic regions, much higher pCO(2) values can be expected, as heterotrophic degradation of organic material is necessarily related to the production of CO2 (i.e., dissolved inorganic carbon). Here, we provide data and estimates that, even under current conditions, maximum pCO(2) values of 1,700-3,200 mu atm can easily be reached when all oxygen is consumed at salinities between 35 and 20, respectively. Due to the nonlinear nature of the carbonate system, the approximate doubling of seawater pCO(2) in surface waters due to ocean acidification will most strongly affect coastal hypoxic zones as pCO(2) during hypoxia will increase proportionally: we calculate maximum pCO(2) values of ca. 4,500 mu atm at a salinity of 20 (T = 10 A degrees C) and ca. 3,400 mu atm at a salinity of 35 (T = 10 A degrees C) when all oxygen is consumed. Upwelling processes can bring these CO2-enriched waters in contact with shallow water ecosystems and may then affect species performance there as well. We conclude that (1) combined stressor experiments (pCO(2) and pO(2)) are largely missing at the moment and that (2) coastal ocean acidification experimental designs need to be closely adjusted to carbonate system variability within the specific habitat. In general, the worldwide spread of coastal hypoxic zones also simultaneously is a spread of CO2-enriched zones. The magnitude of expected changes in pCO(2) in these regions indicates that coastal systems may be more endangered by future global climate change than previously thought.","author":[{"dropping-particle":"","family":"Melzner","given":"Frank","non-dropping-particle":"","parse-names":false,"suffix":""},{"dropping-particle":"","family":"Thomsen","given":"Jörn","non-dropping-particle":"","parse-names":false,"suffix":""},{"dropping-particle":"","family":"Koeve","given":"Wolfgang","non-dropping-particle":"","parse-names":false,"suffix":""},{"dropping-particle":"","family":"Oschlies","given":"Andreas","non-dropping-particle":"","parse-names":false,"suffix":""},{"dropping-particle":"","family":"Gutowska","given":"Magdalena A.","non-dropping-particle":"","parse-names":false,"suffix":""},{"dropping-particle":"","family":"Bange","given":"Hermann W.","non-dropping-particle":"","parse-names":false,"suffix":""},{"dropping-particle":"","family":"Hansen","given":"Hans Peter","non-dropping-particle":"","parse-names":false,"suffix":""},{"dropping-particle":"","family":"Körtzinger","given":"Arne","non-dropping-particle":"","parse-names":false,"suffix":""}],"container-title":"Marine Biology","id":"ITEM-2","issue":"8","issued":{"date-parts":[["2013"]]},"page":"1875-1888","title":"Future ocean acidification will be amplified by hypoxia in coastal habitats","type":"article-journal","volume":"160"},"uris":["http://www.mendeley.com/documents/?uuid=9a1a4bc4-3cc3-4822-b0c2-28192fccbec3"]},{"id":"ITEM-3","itemData":{"DOI":"10.1007/s12237-012-9553-4","ISSN":"15592731","abstract":"Measurements of pH and dissolved oxygen saturation in summer from 90 Irish estuaries and coastal bays were used to develop a simple index of trophic state. The index is based on the assumption that large fluctuations in both these variables are likely to be a characteristic feature of eutrophication. In this paper, we use a simple index to capture the relative variation in both pH and dissolved oxygen saturation in each water body during a period of 3 years. We show that the index is in good agreement with other trophic status schemes and strongly correlated with parameters indicative of trophic state such as chlorophyll a and biochemical oxygen demand. We conclude that the index could be used as a simple screening tool to group individual water bodies into broad categories that reflect their trophic state. © 2012 Coastal and Estuarine Research Federation.","author":[{"dropping-particle":"","family":"O'Boyle","given":"Shane","non-dropping-particle":"","parse-names":false,"suffix":""},{"dropping-particle":"","family":"McDermott","given":"Georgina","non-dropping-particle":"","parse-names":false,"suffix":""},{"dropping-particle":"","family":"Noklegaard","given":"Tone","non-dropping-particle":"","parse-names":false,"suffix":""},{"dropping-particle":"","family":"Wilkes","given":"Robert","non-dropping-particle":"","parse-names":false,"suffix":""}],"container-title":"Estuaries and Coasts","id":"ITEM-3","issue":"1","issued":{"date-parts":[["2013"]]},"page":"158-173","title":"A Simple Index of Trophic Status in Estuaries and Coastal Bays Based on Measurements of pH and Dissolved Oxygen","type":"article-journal","volume":"36"},"uris":["http://www.mendeley.com/documents/?uuid=04bd4187-5199-42d5-88d3-6ff096faa614"]}],"mendeley":{"formattedCitation":"(Melzner et al., 2013; O’Boyle et al., 2013; Thomsen et al., 2013)","plainTextFormattedCitation":"(Melzner et al., 2013; O’Boyle et al., 2013; Thomsen et al., 2013)","previouslyFormattedCitation":"(Melzner et al., 2013; O’Boyle et al., 2013; Thomsen et al., 2013)"},"properties":{"noteIndex":0},"schema":"https://github.com/citation-style-language/schema/raw/master/csl-citation.json"}</w:instrText>
      </w:r>
      <w:r>
        <w:fldChar w:fldCharType="separate"/>
      </w:r>
      <w:r w:rsidR="00702A3A" w:rsidRPr="00702A3A">
        <w:rPr>
          <w:noProof/>
        </w:rPr>
        <w:t>(Melzner et al., 2013; O’Boyle et al., 2013; Thomsen et al., 2013)</w:t>
      </w:r>
      <w:r>
        <w:fldChar w:fldCharType="end"/>
      </w:r>
      <w:r>
        <w:t xml:space="preserve">. It is currently unknown if natural carbon chemistry fluctuations will simply shift according to future mean background acidification, or if fluctuations will become more extreme. The effects of both possibilities should be included in future acidification research, given that increased temperature variation may be more harmful to ectotherms than increased mean temperature </w:t>
      </w:r>
      <w:r>
        <w:fldChar w:fldCharType="begin" w:fldLock="1"/>
      </w:r>
      <w:r w:rsidR="00552EDF">
        <w:instrText>ADDIN CSL_CITATION {"citationItems":[{"id":"ITEM-1","itemData":{"DOI":"10.1098/rspb.2013.2612","ISSN":"0962-8452","author":[{"dropping-particle":"","family":"Vasseur","given":"David A.","non-dropping-particle":"","parse-names":false,"suffix":""},{"dropping-particle":"","family":"DeLong","given":"John P.","non-dropping-particle":"","parse-names":false,"suffix":""},{"dropping-particle":"","family":"Gilbert","given":"Benjamin","non-dropping-particle":"","parse-names":false,"suffix":""},{"dropping-particle":"","family":"Greig","given":"Hamish S.","non-dropping-particle":"","parse-names":false,"suffix":""},{"dropping-particle":"","family":"Harley","given":"Christopher D.G.","non-dropping-particle":"","parse-names":false,"suffix":""},{"dropping-particle":"","family":"McCann","given":"Kevin S.","non-dropping-particle":"","parse-names":false,"suffix":""},{"dropping-particle":"","family":"Savage","given":"Van","non-dropping-particle":"","parse-names":false,"suffix":""},{"dropping-particle":"","family":"Tunney","given":"Tyler D.","non-dropping-particle":"","parse-names":false,"suffix":""},{"dropping-particle":"","family":"O'Connor","given":"Mary I.","non-dropping-particle":"","parse-names":false,"suffix":""}],"container-title":"Proceedings of the Royal Society B: Biological Sciences","id":"ITEM-1","issue":"1779","issued":{"date-parts":[["2014"]]},"note":"1","page":"20132612","title":"Increased temperature variation poses a greater risk to species than climate warming","type":"article-journal","volume":"281"},"uris":["http://www.mendeley.com/documents/?uuid=640b9102-54d7-478a-85aa-2bd8d6ecdb6a"]},{"id":"ITEM-2","itemData":{"DOI":"10.1002/lom3.10306","ISSN":"15415856","abstract":"Climate change will shift mean environmental conditions and also increase the frequency and intensity of extreme events, exerting additional stress on ecosystems. While field observations on extremes are emerging, experimental evidence of their biological consequences is rare. Here, we introduce a mesocosm system that was developed to study the effects of environmental variability of multiple drivers (temperature, salinity, pH, light) on single species and communities at various temporal scales (diurnal - seasonal): the Kiel Indoor Benthocosms (KIBs). Both, real-time offsets from field measurements or various dynamic regimes of environmental scenarios, can be implemented, including sinusoidal curve functions at any chosen amplitude or frequency, stochastic regimes matching in situ dynamics of previous years and modeled extreme events. With temperature as the driver in focus, we highlight the strengths and discuss limitations of the system. In addition, we examined the effects of different sinusoidal temperature fluctuation frequencies on mytilid mussel performance. High- frequency fluctuations around a warming mean (+2?C warming, ? 2?C fluctuations, wavelength = 1.5 d) wavelength = 4.5 d), however, reduced the mussels’ growth. This shows that environmental fluctuations, and increased mussel growth as did a constant warming of 2?C. Fluctuations at a lower frequency (+2 and ? 2?C, importantly their associated characteristics (such as frequency), can mediate the strength of global change impacts on a key marine species. The here presented mesocosm system can help to overcome a major short- coming of marine experimental ecology and will provide more robust data for the prediction of shifts in ecosys- tem structure and services in a changing and fluctuating world.","author":[{"dropping-particle":"","family":"Pansch","given":"Christian","non-dropping-particle":"","parse-names":false,"suffix":""},{"dropping-particle":"","family":"Hiebenthal","given":"Claas","non-dropping-particle":"","parse-names":false,"suffix":""}],"container-title":"Limnology and Oceanography: Methods","id":"ITEM-2","issue":"2","issued":{"date-parts":[["2019"]]},"page":"145-162","title":"A new mesocosm system to study the effects of environmental variability on marine species and communities","type":"article-journal","volume":"17"},"uris":["http://www.mendeley.com/documents/?uuid=dd1dc4b7-f5e3-4c43-8505-eab0cfbb588f"]}],"mendeley":{"formattedCitation":"(Pansch and Hiebenthal, 2019; Vasseur et al., 2014)","plainTextFormattedCitation":"(Pansch and Hiebenthal, 2019; Vasseur et al., 2014)","previouslyFormattedCitation":"(Pansch and Hiebenthal, 2019; Vasseur et al., 2014)"},"properties":{"noteIndex":0},"schema":"https://github.com/citation-style-language/schema/raw/master/csl-citation.json"}</w:instrText>
      </w:r>
      <w:r>
        <w:fldChar w:fldCharType="separate"/>
      </w:r>
      <w:r w:rsidR="009E7647" w:rsidRPr="009E7647">
        <w:rPr>
          <w:noProof/>
        </w:rPr>
        <w:t>(Pansch and Hiebenthal, 2019; Vasseur et al., 2014)</w:t>
      </w:r>
      <w:r>
        <w:fldChar w:fldCharType="end"/>
      </w:r>
      <w:r>
        <w:t xml:space="preserve">. Furthermore, biological processes, such as growth and calcification, in juvenile </w:t>
      </w:r>
      <w:r w:rsidRPr="003C4412">
        <w:rPr>
          <w:i/>
          <w:iCs/>
        </w:rPr>
        <w:t>M. edulis</w:t>
      </w:r>
      <w:r>
        <w:t xml:space="preserve"> are mainly driven by food abundance, and are not impacted by </w:t>
      </w:r>
      <w:r w:rsidRPr="00D50D49">
        <w:t>pCO</w:t>
      </w:r>
      <w:r w:rsidRPr="00D50D49">
        <w:rPr>
          <w:vertAlign w:val="subscript"/>
        </w:rPr>
        <w:t>2</w:t>
      </w:r>
      <w:r>
        <w:t xml:space="preserve"> levels of up to 3350 ppm when food supply is high </w:t>
      </w:r>
      <w:r>
        <w:fldChar w:fldCharType="begin" w:fldLock="1"/>
      </w:r>
      <w:r w:rsidR="00082159">
        <w:instrText>ADDIN CSL_CITATION {"citationItems":[{"id":"ITEM-1","itemData":{"DOI":"10.1111/gcb.12109","ISBN":"1365-2486","ISSN":"13541013","PMID":"23504880","abstract":"Ocean acidification is expected to decrease calcification rates of bivalves. Nevertheless, in many coastal areas high pCO2 variability is encountered already today. Kiel Fjord (Western Baltic Sea) is a brackish (12-20 g kg(-1) ) and CO2 enriched habitat, but the blue mussel Mytilus edulis dominates the benthic community. In a coupled field and laboratory study we examined the annual pCO2 variability in this habitat and the combined effects of elevated pCO2 and food availability on juvenile M. edulis growth and calcification. In the laboratory experiment, mussel growth and calcification were found to chiefly depend on food supply, with only minor impacts of pCO2 up to 3350 μatm. Kiel Fjord was characterized by strong seasonal pCO2 variability. During summer, maximal pCO2 values of 2500 μatm were observed at the surface and &gt;3000 μatm at the bottom. However, the field growth experiment revealed seven times higher growth and calcification rates of M. edulis at a high pCO2 inner fjord field station (mean pCO2 ca. 1000 μatm) in comparison to a low pCO2 outer fjord station (ca. 600 μatm). In addition, mussels were able to out-compete the barnacle Amphibalanus improvisus at the high pCO2 site. High mussel productivity at the inner fjord site was enabled by higher particulate organic carbon concentrations. Kiel Fjord is highly impacted by eutrophication, which causes bottom water hypoxia and consequently high seawater pCO2 . At the same time, elevated nutrient concentrations increase the energy availability for filter feeding organisms such as mussels. Thus, M. edulis can dominate over a seemingly more acidification resistant species such as A. improvisus. We conclude that benthic stages of M. edulis tolerate high ambient pCO2 when food supply is abundant and that important habitat characteristics such as species interactions and energy availability need to be considered to predict species vulnerability to ocean acidification.","author":[{"dropping-particle":"","family":"Thomsen","given":"Jörn","non-dropping-particle":"","parse-names":false,"suffix":""},{"dropping-particle":"","family":"Casties","given":"Isabel","non-dropping-particle":"","parse-names":false,"suffix":""},{"dropping-particle":"","family":"Pansch","given":"Christian","non-dropping-particle":"","parse-names":false,"suffix":""},{"dropping-particle":"","family":"Körtzinger","given":"Arne","non-dropping-particle":"","parse-names":false,"suffix":""},{"dropping-particle":"","family":"Melzner","given":"Frank","non-dropping-particle":"","parse-names":false,"suffix":""}],"container-title":"Global Change Biology","id":"ITEM-1","issue":"4","issued":{"date-parts":[["2013"]]},"note":"(Feely et al., 2010; Cai et al., 2011; Melzner et al., 2012; Hofmann et al., 2011).\n\nPopulation specific differences in vulnera- bility to ocean acidification were already observed in oysters and emphasize the need to compare the responses of Kiel Fjord mussels with other populations from less CO2 enriched areas (Parker et al., 2012).\n\ncontinuous feeding?","page":"1017-1027","title":"Food availability outweighs ocean acidification effects in juvenile Mytilus edulis: Laboratory and field experiments","type":"article-journal","volume":"19"},"uris":["http://www.mendeley.com/documents/?uuid=81e829e4-597d-467f-bd48-ba46848c79fd"]},{"id":"ITEM-2","itemData":{"DOI":"10.1371/journal.pone.0024223","ISSN":"19326203","PMID":"21949698","abstract":"Progressive ocean acidification due to anthropogenic CO 2 emissions will alter marine ecosytem processes. Calcifying organisms might be particularly vulnerable to these alterations in the speciation of the marine carbonate system. While previous research efforts have mainly focused on external dissolution of shells in seawater under saturated with respect to calcium carbonate, the internal shell interface might be more vulnerable to acidification. In the case of the blue mussel Mytilus edulis, high body fluid pCO 2 causes low pH and low carbonate concentrations in the extrapallial fluid, which is in direct contact with the inner shell surface. In order to test whether elevated seawater pCO 2 impacts calcification and inner shell surface integrity we exposed Baltic M. edulis to four different seawater pCO 2 (39, 142, 240, 405 Pa) and two food algae (310-350 cells mL -1 vs. 1600-2000 cells mL -1) concentrations for a period of seven weeks during winter (5°C). We found that low food algae concentrations and high pCO 2 values each significantly decreased shell length growth. Internal shell surface corrosion of nacreous (= aragonite) layers was documented via stereomicroscopy and SEM at the two highest pCO 2 treatments in the high food group, while it was found in all treatments in the low food group. Both factors, food and pCO 2, significantly influenced the magnitude of inner shell surface dissolution. Our findings illustrate for the first time that integrity of inner shell surfaces is tightly coupled to the animals' energy budget under conditions of CO 2 stress. It is likely that under food limited conditions, energy is allocated to more vital processes (e.g. somatic mass maintenance) instead of shell conservation. It is evident from our results that mussels exert significant biological control over the structural integrity of their inner shell surfaces. © 2011 Melzner et al.","author":[{"dropping-particle":"","family":"Melzner","given":"Frank","non-dropping-particle":"","parse-names":false,"suffix":""},{"dropping-particle":"","family":"Stange","given":"Paul","non-dropping-particle":"","parse-names":false,"suffix":""},{"dropping-particle":"","family":"Trübenbach","given":"Katja","non-dropping-particle":"","parse-names":false,"suffix":""},{"dropping-particle":"","family":"Thomsen","given":"Jörn","non-dropping-particle":"","parse-names":false,"suffix":""},{"dropping-particle":"","family":"Casties","given":"Isabel","non-dropping-particle":"","parse-names":false,"suffix":""},{"dropping-particle":"","family":"Panknin","given":"Ulrike","non-dropping-particle":"","parse-names":false,"suffix":""},{"dropping-particle":"","family":"Gorb","given":"Stanislav N.","non-dropping-particle":"","parse-names":false,"suffix":""},{"dropping-particle":"","family":"Gutowska","given":"Magdalena A.","non-dropping-particle":"","parse-names":false,"suffix":""}],"container-title":"PLoS ONE","id":"ITEM-2","issue":"9","issued":{"date-parts":[["2011"]]},"note":"7 weeks exposure, mussels 13-23 mm long, continuous feeding, 390 ppmv, 1120 ppmv, 2400 ppmv, 4000 ppmv","title":"Food supply and seawater pCO2 impact calcification and internal shell dissolution in the blue mussel Mytilus edulis","type":"article-journal","volume":"6"},"uris":["http://www.mendeley.com/documents/?uuid=e4f4f009-a4e1-4190-a06f-cbc38d6cc228"]}],"mendeley":{"formattedCitation":"(Melzner et al., 2011; Thomsen et al., 2013)","plainTextFormattedCitation":"(Melzner et al., 2011; Thomsen et al., 2013)","previouslyFormattedCitation":"(Melzner et al., 2011; Thomsen et al., 2013)"},"properties":{"noteIndex":0},"schema":"https://github.com/citation-style-language/schema/raw/master/csl-citation.json"}</w:instrText>
      </w:r>
      <w:r>
        <w:fldChar w:fldCharType="separate"/>
      </w:r>
      <w:r w:rsidRPr="00082159">
        <w:rPr>
          <w:noProof/>
        </w:rPr>
        <w:t>(Melzner et al., 2011; Thomsen et al., 2013)</w:t>
      </w:r>
      <w:r>
        <w:fldChar w:fldCharType="end"/>
      </w:r>
      <w:r>
        <w:t>. S</w:t>
      </w:r>
      <w:r w:rsidRPr="00AD5EB5">
        <w:t xml:space="preserve">imilar </w:t>
      </w:r>
      <w:r>
        <w:t xml:space="preserve">to our results, increased clearance rates were found in </w:t>
      </w:r>
      <w:r w:rsidR="00721954">
        <w:t xml:space="preserve">individual </w:t>
      </w:r>
      <w:r>
        <w:t xml:space="preserve">juvenile </w:t>
      </w:r>
      <w:r w:rsidRPr="00F61602">
        <w:rPr>
          <w:i/>
          <w:iCs/>
        </w:rPr>
        <w:t>Mytilus chilensis</w:t>
      </w:r>
      <w:r>
        <w:t xml:space="preserve"> at +4 °C of warming, whereas acidified conditions of 700 ppm did not have any effects compared to ambient (380 ppm) conditions (only highly acidified conditions at 1000 ppm reduced the clearance rates independent of temperature; </w:t>
      </w:r>
      <w:r>
        <w:fldChar w:fldCharType="begin" w:fldLock="1"/>
      </w:r>
      <w:r w:rsidR="00082159">
        <w:instrText>ADDIN CSL_CITATION {"citationItems":[{"id":"ITEM-1","itemData":{"DOI":"doi:10.1093/icesjms/fsv249","author":[{"dropping-particle":"","family":"Navarro","given":"Jorge M","non-dropping-particle":"","parse-names":false,"suffix":""},{"dropping-particle":"","family":"Duarte","given":"Cristian","non-dropping-particle":"","parse-names":false,"suffix":""},{"dropping-particle":"","family":"Manrıquez","given":"Patricio H.","non-dropping-particle":"","parse-names":false,"suffix":""},{"dropping-particle":"","family":"Lardies","given":"Marco A.","non-dropping-particle":"","parse-names":false,"suffix":""},{"dropping-particle":"","family":"Torres","given":"Rodrigo","non-dropping-particle":"","parse-names":false,"suffix":""},{"dropping-particle":"","family":"Acuna","given":"Karin","non-dropping-particle":"","parse-names":false,"suffix":""},{"dropping-particle":"","family":"Vargas","given":"Cristian A.","non-dropping-particle":"","parse-names":false,"suffix":""},{"dropping-particle":"","family":"Lagos","given":"Nelson A.","non-dropping-particle":"","parse-names":false,"suffix":""}],"container-title":"ICES Journal of Marine Science","id":"ITEM-1","issue":"3","issued":{"date-parts":[["2016"]]},"note":"(Navarro etal., 2002; Peck et al., 2009) . Wang et al. (2015)\nNavarro et al. (2013)","page":"764-771","title":"Ocean warming and elevated carbon dioxide: multiple stressor impacts on juvenile mussels from southern Chile","type":"article-journal","volume":"73"},"uris":["http://www.mendeley.com/documents/?uuid=fb379cf4-1297-444a-bf74-c3f54aee3345"]}],"mendeley":{"formattedCitation":"(Navarro et al., 2016)","manualFormatting":"Navarro et al., 2016)","plainTextFormattedCitation":"(Navarro et al., 2016)","previouslyFormattedCitation":"(Navarro et al., 2016)"},"properties":{"noteIndex":0},"schema":"https://github.com/citation-style-language/schema/raw/master/csl-citation.json"}</w:instrText>
      </w:r>
      <w:r>
        <w:fldChar w:fldCharType="separate"/>
      </w:r>
      <w:r w:rsidRPr="00684C4F">
        <w:rPr>
          <w:noProof/>
        </w:rPr>
        <w:t xml:space="preserve">Navarro </w:t>
      </w:r>
      <w:r w:rsidRPr="00684C4F">
        <w:rPr>
          <w:i/>
          <w:noProof/>
        </w:rPr>
        <w:t>et al.</w:t>
      </w:r>
      <w:r w:rsidRPr="00684C4F">
        <w:rPr>
          <w:noProof/>
        </w:rPr>
        <w:t>, 2016)</w:t>
      </w:r>
      <w:r>
        <w:fldChar w:fldCharType="end"/>
      </w:r>
      <w:r>
        <w:t>.</w:t>
      </w:r>
    </w:p>
    <w:p w14:paraId="632FE297" w14:textId="124EA80B" w:rsidR="000337CD" w:rsidRDefault="00334A4C" w:rsidP="006733CF">
      <w:pPr>
        <w:spacing w:line="480" w:lineRule="auto"/>
      </w:pPr>
      <w:r>
        <w:t>We found</w:t>
      </w:r>
      <w:r w:rsidR="000337CD">
        <w:t xml:space="preserve"> no effect of any of the experimental treatments on shell strength. Other studies found evidence of shell dissolution in morphometric analyses and/or weakened shell strength in crushing tests after 6 – 9 months of exposure to strong acidification (&gt; 2400 ppm or &gt; -0.4 pH units) when mussels were kept at poor food supply </w:t>
      </w:r>
      <w:r w:rsidR="000337CD">
        <w:fldChar w:fldCharType="begin" w:fldLock="1"/>
      </w:r>
      <w:r w:rsidR="00082159">
        <w:instrText>ADDIN CSL_CITATION {"citationItems":[{"id":"ITEM-1","itemData":{"DOI":"10.1371/journal.pone.0086764","author":[{"dropping-particle":"","family":"Mackenzie","given":"Clara L","non-dropping-particle":"","parse-names":false,"suffix":""},{"dropping-particle":"","family":"Ormondroyd","given":"Graham A","non-dropping-particle":"","parse-names":false,"suffix":""},{"dropping-particle":"","family":"Curling","given":"Simon F","non-dropping-particle":"","parse-names":false,"suffix":""},{"dropping-particle":"","family":"Ball","given":"Richard J","non-dropping-particle":"","parse-names":false,"suffix":""},{"dropping-particle":"","family":"Whiteley","given":"Nia M","non-dropping-particle":"","parse-names":false,"suffix":""},{"dropping-particle":"","family":"Malham","given":"Shelagh K","non-dropping-particle":"","parse-names":false,"suffix":""}],"container-title":"PLoS ONE","id":"ITEM-1","issue":"1","issued":{"date-parts":[["2014"]]},"page":"1-9","title":"Ocean Warming, More than Acidification, Reduces Shell Strength in a Commercial Shellfish Species during Food Limitation","type":"article-journal","volume":"9"},"uris":["http://www.mendeley.com/documents/?uuid=912294b9-5331-4518-b3f3-05076133114e"]},{"id":"ITEM-2","itemData":{"DOI":"10.1371/journal.pone.0024223","ISSN":"19326203","PMID":"21949698","abstract":"Progressive ocean acidification due to anthropogenic CO 2 emissions will alter marine ecosytem processes. Calcifying organisms might be particularly vulnerable to these alterations in the speciation of the marine carbonate system. While previous research efforts have mainly focused on external dissolution of shells in seawater under saturated with respect to calcium carbonate, the internal shell interface might be more vulnerable to acidification. In the case of the blue mussel Mytilus edulis, high body fluid pCO 2 causes low pH and low carbonate concentrations in the extrapallial fluid, which is in direct contact with the inner shell surface. In order to test whether elevated seawater pCO 2 impacts calcification and inner shell surface integrity we exposed Baltic M. edulis to four different seawater pCO 2 (39, 142, 240, 405 Pa) and two food algae (310-350 cells mL -1 vs. 1600-2000 cells mL -1) concentrations for a period of seven weeks during winter (5°C). We found that low food algae concentrations and high pCO 2 values each significantly decreased shell length growth. Internal shell surface corrosion of nacreous (= aragonite) layers was documented via stereomicroscopy and SEM at the two highest pCO 2 treatments in the high food group, while it was found in all treatments in the low food group. Both factors, food and pCO 2, significantly influenced the magnitude of inner shell surface dissolution. Our findings illustrate for the first time that integrity of inner shell surfaces is tightly coupled to the animals' energy budget under conditions of CO 2 stress. It is likely that under food limited conditions, energy is allocated to more vital processes (e.g. somatic mass maintenance) instead of shell conservation. It is evident from our results that mussels exert significant biological control over the structural integrity of their inner shell surfaces. © 2011 Melzner et al.","author":[{"dropping-particle":"","family":"Melzner","given":"Frank","non-dropping-particle":"","parse-names":false,"suffix":""},{"dropping-particle":"","family":"Stange","given":"Paul","non-dropping-particle":"","parse-names":false,"suffix":""},{"dropping-particle":"","family":"Trübenbach","given":"Katja","non-dropping-particle":"","parse-names":false,"suffix":""},{"dropping-particle":"","family":"Thomsen","given":"Jörn","non-dropping-particle":"","parse-names":false,"suffix":""},{"dropping-particle":"","family":"Casties","given":"Isabel","non-dropping-particle":"","parse-names":false,"suffix":""},{"dropping-particle":"","family":"Panknin","given":"Ulrike","non-dropping-particle":"","parse-names":false,"suffix":""},{"dropping-particle":"","family":"Gorb","given":"Stanislav N.","non-dropping-particle":"","parse-names":false,"suffix":""},{"dropping-particle":"","family":"Gutowska","given":"Magdalena A.","non-dropping-particle":"","parse-names":false,"suffix":""}],"container-title":"PLoS ONE","id":"ITEM-2","issue":"9","issued":{"date-parts":[["2011"]]},"note":"7 weeks exposure, mussels 13-23 mm long, continuous feeding, 390 ppmv, 1120 ppmv, 2400 ppmv, 4000 ppmv","title":"Food supply and seawater pCO2 impact calcification and internal shell dissolution in the blue mussel Mytilus edulis","type":"article-journal","volume":"6"},"uris":["http://www.mendeley.com/documents/?uuid=e4f4f009-a4e1-4190-a06f-cbc38d6cc228"]}],"mendeley":{"formattedCitation":"(Mackenzie et al., 2014; Melzner et al., 2011)","plainTextFormattedCitation":"(Mackenzie et al., 2014; Melzner et al., 2011)","previouslyFormattedCitation":"(Mackenzie et al., 2014; Melzner et al., 2011)"},"properties":{"noteIndex":0},"schema":"https://github.com/citation-style-language/schema/raw/master/csl-citation.json"}</w:instrText>
      </w:r>
      <w:r w:rsidR="000337CD">
        <w:fldChar w:fldCharType="separate"/>
      </w:r>
      <w:r w:rsidR="00082159" w:rsidRPr="00082159">
        <w:rPr>
          <w:noProof/>
        </w:rPr>
        <w:t>(Mackenzie et al., 2014; Melzner et al., 2011)</w:t>
      </w:r>
      <w:r w:rsidR="000337CD">
        <w:fldChar w:fldCharType="end"/>
      </w:r>
      <w:r w:rsidR="000337CD">
        <w:t xml:space="preserve">. New shell material grown under acidified conditions has repeatedly proven to be more brittle in its microstructure, thus mechanically weaker than shells grown in ambient conditions </w:t>
      </w:r>
      <w:r w:rsidR="000337CD">
        <w:fldChar w:fldCharType="begin" w:fldLock="1"/>
      </w:r>
      <w:r w:rsidR="00702A3A">
        <w:instrText>ADDIN CSL_CITATION {"citationItems":[{"id":"ITEM-1","itemData":{"DOI":"10.1002/ece3.1756","ISSN":"20457758","abstract":"Ocean acidification threatens organisms that produce calcium carbonate shells by potentially generating an under-saturated carbonate environment. Resultant reduced calcification and growth, and subsequent dissolution of exoskeletons, would raise concerns over the ability of the shell to provide protection for the marine organism under ocean acidification and increased temperatures. We examined the impact of combined ocean acidification and temperature increase on shell formation of the economically important edible mussel Mytilus edulis. Shell growth and thickness along with a shell thickness index and shape analysis were determined. The ability of M. edulis to produce a functional protective shell after 9 months of experimental culture under ocean acidification and increasing temperatures (380, 550, 750, 1000 μatm pCO2, and 750, 1000 μatm pCO2 + 2°C) was assessed. Mussel shells grown under ocean acidification conditions displayed significant reductions in shell aragonite thickness, shell thickness index, and changes to shell shape (750, 1000 μatm pCO2) compared to those shells grown under ambient conditions (380 μatm pCO2). Ocean acidification resulted in rounder, flatter mussel shells with thinner aragonite layers likely to be more vulnerable to fracture under changing environments and predation. The changes in shape presented here could present a compensatory mechanism to enhance protection against predators and changing environments under ocean acidification when mussels are unable to grow thicker shells. Here, we present the first assessment of mussel shell shape to determine implications for functional protection under ocean acidification. © 2015 Published by John Wiley","author":[{"dropping-particle":"","family":"Fitzer","given":"Susan C.","non-dropping-particle":"","parse-names":false,"suffix":""},{"dropping-particle":"","family":"Vittert","given":"Liberty","non-dropping-particle":"","parse-names":false,"suffix":""},{"dropping-particle":"","family":"Bowman","given":"Adrian","non-dropping-particle":"","parse-names":false,"suffix":""},{"dropping-particle":"","family":"Kamenos","given":"Nicholas A.","non-dropping-particle":"","parse-names":false,"suffix":""},{"dropping-particle":"","family":"Phoenix","given":"Vernon R.","non-dropping-particle":"","parse-names":false,"suffix":""},{"dropping-particle":"","family":"Cusack","given":"Maggie","non-dropping-particle":"","parse-names":false,"suffix":""}],"container-title":"Ecology and Evolution","id":"ITEM-1","issue":"21","issued":{"date-parts":[["2015"]]},"note":"Fitzer et al. 2015, 2014\n\nThomsen 2013\n\n9 months of exposure, only newly grown shell material assessed","page":"4875-4884","title":"Ocean acidification and temperature increase impact mussel shell shape and thickness: Problematic for protection?","type":"article-journal","volume":"5"},"uris":["http://www.mendeley.com/documents/?uuid=4f108cf5-a9b5-408c-ae89-e2b88ce268e9"]},{"id":"ITEM-2","itemData":{"DOI":"10.1098/rsif.2014.1227","ISSN":"17425662","PMID":"25540244","abstract":"Ocean acidification (OA) and the resultant changing carbonate saturation states is threatening the formation of calcium carbonate shells and exoskeletons of marine organisms. The production of biominerals in such organisms relies on the availability of carbonate and the ability of the organism to biomineralize in changing environments. To understand how biomineralizers will respond to OA the common blue mussel, Mytilus edulis, was cultured at projected levels of pCO2 (380, 550, 750, 1000 matm) and increased temperatures (ambient, ambient plus 28C). Nanoindentation (a single mussel shell) and microhardness testing were used to assess the material properties of the shells. Young's modulus (E), hardness (H) and toughness (KIC) were measured in mussel shells grown in multiple stressor conditions. OA caused mussels to produce shell calcite that is stiffer (higher modulus of elasticity) and harder than shells grown in control conditions. The outer shell (calcite) is more brittle in OA conditions while the inner shell (aragonite) is softer and less stiff in shells grown under OA conditions. Combining increasing ocean pCO2 and temperatures as projected for future global ocean appears to reduce the impact of increasing pCO2 on the material properties of the mussel shell. OA may cause changes in shell material properties that could prove problematic under predation scenarios for the mussels; however, this may be partially mitigated by increasing temperature.","author":[{"dropping-particle":"","family":"Fitzer","given":"Susan C.","non-dropping-particle":"","parse-names":false,"suffix":""},{"dropping-particle":"","family":"Zhu","given":"Wenzhong","non-dropping-particle":"","parse-names":false,"suffix":""},{"dropping-particle":"","family":"Tanner","given":"K. Elizabeth","non-dropping-particle":"","parse-names":false,"suffix":""},{"dropping-particle":"","family":"Phoenix","given":"Vernon R.","non-dropping-particle":"","parse-names":false,"suffix":""},{"dropping-particle":"","family":"Kamenos","given":"Nicholas A.","non-dropping-particle":"","parse-names":false,"suffix":""},{"dropping-particle":"","family":"Cusack","given":"Maggie","non-dropping-particle":"","parse-names":false,"suffix":""}],"container-title":"Journal of the Royal Society Interface","id":"ITEM-2","issue":"103","issued":{"date-parts":[["2015"]]},"note":"6 months of culture; only new growth was assessed","title":"Ocean acidification alters the material properties of Mytilus edulis shells","type":"article-journal","volume":"12"},"uris":["http://www.mendeley.com/documents/?uuid=961dfd86-0da7-4199-951f-4416056b176f"]}],"mendeley":{"formattedCitation":"(Fitzer et al., 2015a, 2015b)","plainTextFormattedCitation":"(Fitzer et al., 2015a, 2015b)","previouslyFormattedCitation":"(Fitzer et al., 2015a, 2015b)"},"properties":{"noteIndex":0},"schema":"https://github.com/citation-style-language/schema/raw/master/csl-citation.json"}</w:instrText>
      </w:r>
      <w:r w:rsidR="000337CD">
        <w:fldChar w:fldCharType="separate"/>
      </w:r>
      <w:r w:rsidR="00702A3A" w:rsidRPr="00702A3A">
        <w:rPr>
          <w:noProof/>
        </w:rPr>
        <w:t>(Fitzer et al., 2015a, 2015b)</w:t>
      </w:r>
      <w:r w:rsidR="000337CD">
        <w:fldChar w:fldCharType="end"/>
      </w:r>
      <w:r w:rsidR="000337CD">
        <w:t xml:space="preserve">, especially when food supply was low </w:t>
      </w:r>
      <w:r w:rsidR="000337CD">
        <w:fldChar w:fldCharType="begin" w:fldLock="1"/>
      </w:r>
      <w:r w:rsidR="00082159">
        <w:instrText>ADDIN CSL_CITATION {"citationItems":[{"id":"ITEM-1","itemData":{"DOI":"10.1371/journal.pone.0024223","ISSN":"19326203","PMID":"21949698","abstract":"Progressive ocean acidification due to anthropogenic CO 2 emissions will alter marine ecosytem processes. Calcifying organisms might be particularly vulnerable to these alterations in the speciation of the marine carbonate system. While previous research efforts have mainly focused on external dissolution of shells in seawater under saturated with respect to calcium carbonate, the internal shell interface might be more vulnerable to acidification. In the case of the blue mussel Mytilus edulis, high body fluid pCO 2 causes low pH and low carbonate concentrations in the extrapallial fluid, which is in direct contact with the inner shell surface. In order to test whether elevated seawater pCO 2 impacts calcification and inner shell surface integrity we exposed Baltic M. edulis to four different seawater pCO 2 (39, 142, 240, 405 Pa) and two food algae (310-350 cells mL -1 vs. 1600-2000 cells mL -1) concentrations for a period of seven weeks during winter (5°C). We found that low food algae concentrations and high pCO 2 values each significantly decreased shell length growth. Internal shell surface corrosion of nacreous (= aragonite) layers was documented via stereomicroscopy and SEM at the two highest pCO 2 treatments in the high food group, while it was found in all treatments in the low food group. Both factors, food and pCO 2, significantly influenced the magnitude of inner shell surface dissolution. Our findings illustrate for the first time that integrity of inner shell surfaces is tightly coupled to the animals' energy budget under conditions of CO 2 stress. It is likely that under food limited conditions, energy is allocated to more vital processes (e.g. somatic mass maintenance) instead of shell conservation. It is evident from our results that mussels exert significant biological control over the structural integrity of their inner shell surfaces. © 2011 Melzner et al.","author":[{"dropping-particle":"","family":"Melzner","given":"Frank","non-dropping-particle":"","parse-names":false,"suffix":""},{"dropping-particle":"","family":"Stange","given":"Paul","non-dropping-particle":"","parse-names":false,"suffix":""},{"dropping-particle":"","family":"Trübenbach","given":"Katja","non-dropping-particle":"","parse-names":false,"suffix":""},{"dropping-particle":"","family":"Thomsen","given":"Jörn","non-dropping-particle":"","parse-names":false,"suffix":""},{"dropping-particle":"","family":"Casties","given":"Isabel","non-dropping-particle":"","parse-names":false,"suffix":""},{"dropping-particle":"","family":"Panknin","given":"Ulrike","non-dropping-particle":"","parse-names":false,"suffix":""},{"dropping-particle":"","family":"Gorb","given":"Stanislav N.","non-dropping-particle":"","parse-names":false,"suffix":""},{"dropping-particle":"","family":"Gutowska","given":"Magdalena A.","non-dropping-particle":"","parse-names":false,"suffix":""}],"container-title":"PLoS ONE","id":"ITEM-1","issue":"9","issued":{"date-parts":[["2011"]]},"note":"7 weeks exposure, mussels 13-23 mm long, continuous feeding, 390 ppmv, 1120 ppmv, 2400 ppmv, 4000 ppmv","title":"Food supply and seawater pCO2 impact calcification and internal shell dissolution in the blue mussel Mytilus edulis","type":"article-journal","volume":"6"},"uris":["http://www.mendeley.com/documents/?uuid=e4f4f009-a4e1-4190-a06f-cbc38d6cc228"]}],"mendeley":{"formattedCitation":"(Melzner et al., 2011)","plainTextFormattedCitation":"(Melzner et al., 2011)","previouslyFormattedCitation":"(Melzner et al., 2011)"},"properties":{"noteIndex":0},"schema":"https://github.com/citation-style-language/schema/raw/master/csl-citation.json"}</w:instrText>
      </w:r>
      <w:r w:rsidR="000337CD">
        <w:fldChar w:fldCharType="separate"/>
      </w:r>
      <w:r w:rsidR="000337CD" w:rsidRPr="00082159">
        <w:rPr>
          <w:noProof/>
        </w:rPr>
        <w:t>(Melzner et al., 2011)</w:t>
      </w:r>
      <w:r w:rsidR="000337CD">
        <w:fldChar w:fldCharType="end"/>
      </w:r>
      <w:r w:rsidR="000337CD">
        <w:t xml:space="preserve">. Our results show that 1-year-old spat can resist shell degradation under moderate ocean acidification for at least 6 weeks when kept at a favourable food supply. </w:t>
      </w:r>
    </w:p>
    <w:p w14:paraId="3F14B8BC" w14:textId="5722860E" w:rsidR="000337CD" w:rsidRPr="00E90A73" w:rsidRDefault="000337CD" w:rsidP="006733CF">
      <w:pPr>
        <w:spacing w:line="480" w:lineRule="auto"/>
      </w:pPr>
      <w:r>
        <w:t xml:space="preserve">During this study, byssal thread production was not affected by any of the experimental treatments. Previous studies suggested that byssus strength is highly size-dependent and that the attachment strength of juvenile life stages may be less affected by ocean acidification than that of larger adults </w:t>
      </w:r>
      <w:r>
        <w:fldChar w:fldCharType="begin" w:fldLock="1"/>
      </w:r>
      <w:r w:rsidR="00702A3A">
        <w:instrText>ADDIN CSL_CITATION {"citationItems":[{"id":"ITEM-1","itemData":{"DOI":"10.3354/meps14101","ISSN":"16161599","abstract":"Numerous studies have documented weakened byssal attachment strength under ocean acidification (OA); however, a comparable number have reported no effect, even within the same species. We used meta-analysis to explore factors that could potentially explain observed effect size variation in byssal attachment strength following OA exposure. A systematic literature search uncovered 20 studies experimentally testing the impact of OA on byssal attachment strength (or some proxy thereof). Meta-analysis revealed body size (mean shell length) to be the strongest predictor of effect size variation, with a negative linear relationship observed between body size and effect size. Despite this relationship, no single study or experiment included body size as a moderating factor. Our finding that the byssal strength of larger bivalves is more susceptible to negative OA effects runs counter to prevailing wisdom that larger, older animals of a given species are more robust to OA than earlier life history stages. This result highlights that body size may be an important factor in moderating OA sensitivity in adult calcifiers; however, in stress response studies, variation in animal size is typically standardized methodologically rather than embraced and warrants further investigation for other taxa and biological traits. In addition to body size, our analysis also identified a suite of previously unconsidered factors that could influence byssal thread attachment strength, including aspects of thread morphology, animal nutritional status, and the impact of seasonality, which we highlight to provide suggestions for future research.","author":[{"dropping-particle":"","family":"Clements","given":"Jeff C.","non-dropping-particle":"","parse-names":false,"suffix":""},{"dropping-particle":"","family":"George","given":"Matthew N.","non-dropping-particle":"","parse-names":false,"suffix":""}],"container-title":"Marine Ecology Progress Series","id":"ITEM-1","issue":"August","issued":{"date-parts":[["2022"]]},"note":"zhao 2020\njahnsenn guz 2021\nmanriquez 2021","page":"89-103","publisher":"Inter-Research Science Center","title":"Ocean acidification and bivalve byssus: explaining variable responses using meta-analysis","type":"article-journal","volume":"694"},"uris":["http://www.mendeley.com/documents/?uuid=45f1544e-66aa-479e-a2dc-8ef429742ac6"]}],"mendeley":{"formattedCitation":"(Clements and George, 2022)","plainTextFormattedCitation":"(Clements and George, 2022)","previouslyFormattedCitation":"(Clements and George, 2022)"},"properties":{"noteIndex":0},"schema":"https://github.com/citation-style-language/schema/raw/master/csl-citation.json"}</w:instrText>
      </w:r>
      <w:r>
        <w:fldChar w:fldCharType="separate"/>
      </w:r>
      <w:r w:rsidR="00702A3A" w:rsidRPr="00702A3A">
        <w:rPr>
          <w:noProof/>
        </w:rPr>
        <w:t>(Clements and George, 2022)</w:t>
      </w:r>
      <w:r>
        <w:fldChar w:fldCharType="end"/>
      </w:r>
      <w:r>
        <w:t xml:space="preserve">. </w:t>
      </w:r>
      <w:r w:rsidR="00DD5F64">
        <w:t>T</w:t>
      </w:r>
      <w:r>
        <w:t xml:space="preserve">he absence of any effects of all applied treatments aligns with </w:t>
      </w:r>
      <w:r w:rsidR="007B247A">
        <w:t xml:space="preserve">other recent conclusions </w:t>
      </w:r>
      <w:r>
        <w:t xml:space="preserve">that byssus production is </w:t>
      </w:r>
      <w:r>
        <w:lastRenderedPageBreak/>
        <w:t xml:space="preserve">generally prioritised over other energy expenditure, such as growth, in mussels in stressful conditions </w:t>
      </w:r>
      <w:r>
        <w:fldChar w:fldCharType="begin" w:fldLock="1"/>
      </w:r>
      <w:r w:rsidR="00702A3A">
        <w:instrText>ADDIN CSL_CITATION {"citationItems":[{"id":"ITEM-1","itemData":{"author":[{"dropping-particle":"","family":"Roberts","given":"Emily A","non-dropping-particle":"","parse-names":false,"suffix":""},{"dropping-particle":"","family":"Carrington","given":"Emily","non-dropping-particle":"","parse-names":false,"suffix":""}],"container-title":"Marine Ecology Progress Series","id":"ITEM-1","issued":{"date-parts":[["2023"]]},"page":"35-54","publisher":"Inter-Research Science Center","title":"Byssal thread attachment and growth are not correlated across gradients of temperature and food availability for two congeneric mussel species","type":"article-journal","volume":"704"},"uris":["http://www.mendeley.com/documents/?uuid=a966763a-6d38-45bd-b213-2f80b114e176"]}],"mendeley":{"formattedCitation":"(Roberts and Carrington, 2023)","plainTextFormattedCitation":"(Roberts and Carrington, 2023)","previouslyFormattedCitation":"(Roberts and Carrington, 2023)"},"properties":{"noteIndex":0},"schema":"https://github.com/citation-style-language/schema/raw/master/csl-citation.json"}</w:instrText>
      </w:r>
      <w:r>
        <w:fldChar w:fldCharType="separate"/>
      </w:r>
      <w:r w:rsidR="00702A3A" w:rsidRPr="00702A3A">
        <w:rPr>
          <w:noProof/>
        </w:rPr>
        <w:t>(Roberts and Carrington, 2023)</w:t>
      </w:r>
      <w:r>
        <w:fldChar w:fldCharType="end"/>
      </w:r>
      <w:r>
        <w:t xml:space="preserve">. </w:t>
      </w:r>
    </w:p>
    <w:p w14:paraId="18FFE422" w14:textId="77777777" w:rsidR="000337CD" w:rsidRDefault="000337CD" w:rsidP="006733CF">
      <w:pPr>
        <w:spacing w:line="480" w:lineRule="auto"/>
      </w:pPr>
      <w:r>
        <w:t xml:space="preserve">Similar to the pattern found in mussels, algal </w:t>
      </w:r>
      <w:r w:rsidRPr="00E90A73">
        <w:t xml:space="preserve">energy uptake </w:t>
      </w:r>
      <w:r>
        <w:t xml:space="preserve">as </w:t>
      </w:r>
      <w:proofErr w:type="spellStart"/>
      <w:r>
        <w:t>F</w:t>
      </w:r>
      <w:r w:rsidRPr="00F73DCE">
        <w:rPr>
          <w:vertAlign w:val="subscript"/>
        </w:rPr>
        <w:t>v</w:t>
      </w:r>
      <w:proofErr w:type="spellEnd"/>
      <w:r>
        <w:t>/F</w:t>
      </w:r>
      <w:r w:rsidRPr="00994B09">
        <w:rPr>
          <w:vertAlign w:val="subscript"/>
        </w:rPr>
        <w:t>m</w:t>
      </w:r>
      <w:r>
        <w:t xml:space="preserve"> </w:t>
      </w:r>
      <w:r w:rsidRPr="00E90A73">
        <w:t>depende</w:t>
      </w:r>
      <w:r>
        <w:t xml:space="preserve">d on temperature but not </w:t>
      </w:r>
      <w:r w:rsidRPr="00D50D49">
        <w:t>pCO</w:t>
      </w:r>
      <w:r w:rsidRPr="00D50D49">
        <w:rPr>
          <w:vertAlign w:val="subscript"/>
        </w:rPr>
        <w:t>2</w:t>
      </w:r>
      <w:r>
        <w:t xml:space="preserve">, and </w:t>
      </w:r>
      <w:r w:rsidRPr="00E90A73">
        <w:t xml:space="preserve">there was no temperature effect on </w:t>
      </w:r>
      <w:r>
        <w:t xml:space="preserve">accumulated algal biomass. This may </w:t>
      </w:r>
      <w:r w:rsidRPr="00E90A73">
        <w:t>indicat</w:t>
      </w:r>
      <w:r>
        <w:t>e</w:t>
      </w:r>
      <w:r w:rsidRPr="00E90A73">
        <w:t xml:space="preserve"> that either the maximum quantum yield potential was not fully exploited, or </w:t>
      </w:r>
      <w:r>
        <w:t xml:space="preserve">that </w:t>
      </w:r>
      <w:r w:rsidRPr="00E90A73">
        <w:t xml:space="preserve">other cellular maintenance was prioritised over biomass </w:t>
      </w:r>
      <w:r>
        <w:t xml:space="preserve">and </w:t>
      </w:r>
      <w:r w:rsidRPr="00E90A73">
        <w:t>growth</w:t>
      </w:r>
      <w:r>
        <w:t xml:space="preserve"> despite favourable temperatures.</w:t>
      </w:r>
      <w:r w:rsidRPr="00E90A73">
        <w:t xml:space="preserve"> </w:t>
      </w:r>
    </w:p>
    <w:p w14:paraId="7744A02C" w14:textId="051C1F11" w:rsidR="00185986" w:rsidRPr="00E90A73" w:rsidRDefault="00810D63" w:rsidP="006733CF">
      <w:pPr>
        <w:spacing w:line="480" w:lineRule="auto"/>
      </w:pPr>
      <w:r>
        <w:t xml:space="preserve">Total accumulated biomass of mussels and algae combined was significantly higher at +0.8 °C than at ambient or the warmest (+2 °C) temperature. The proportional contributions of mussels to total accumulated biomass and the absence of a temperature effect on accumulated algal biomass suggest that differences in total accumulated biomass were driven by the mussels. </w:t>
      </w:r>
      <w:r w:rsidR="00542FF0" w:rsidRPr="00542FF0">
        <w:t>Mussel clearance rate</w:t>
      </w:r>
      <w:r w:rsidR="00542FF0">
        <w:t>s</w:t>
      </w:r>
      <w:r w:rsidR="00542FF0" w:rsidRPr="00542FF0">
        <w:t xml:space="preserve"> </w:t>
      </w:r>
      <w:r w:rsidR="00DD5F64">
        <w:t xml:space="preserve">and </w:t>
      </w:r>
      <w:r w:rsidR="00542FF0" w:rsidRPr="00542FF0">
        <w:t>mortality were significantly higher at +2 °C than at ambient temperature, indicating an increase with temperature</w:t>
      </w:r>
      <w:r w:rsidR="00542FF0">
        <w:t xml:space="preserve">. </w:t>
      </w:r>
      <w:r>
        <w:t>A</w:t>
      </w:r>
      <w:r w:rsidRPr="00DA4E65">
        <w:t xml:space="preserve">t the medium temperature level of </w:t>
      </w:r>
      <w:r>
        <w:t>+</w:t>
      </w:r>
      <w:r w:rsidRPr="00DA4E65">
        <w:t xml:space="preserve">0.8 </w:t>
      </w:r>
      <w:r>
        <w:t>°C</w:t>
      </w:r>
      <w:r w:rsidRPr="00DA4E65">
        <w:t xml:space="preserve"> warming</w:t>
      </w:r>
      <w:r>
        <w:t xml:space="preserve">, </w:t>
      </w:r>
      <w:r w:rsidRPr="00DA4E65">
        <w:t xml:space="preserve">mussels </w:t>
      </w:r>
      <w:r>
        <w:t>apparently</w:t>
      </w:r>
      <w:r w:rsidR="00542FF0">
        <w:t xml:space="preserve"> still</w:t>
      </w:r>
      <w:r>
        <w:t xml:space="preserve"> managed to </w:t>
      </w:r>
      <w:r w:rsidR="007B247A">
        <w:t xml:space="preserve">fulfil </w:t>
      </w:r>
      <w:r>
        <w:t>their increased energy demand</w:t>
      </w:r>
      <w:r w:rsidRPr="00DA4E65">
        <w:t xml:space="preserve"> and</w:t>
      </w:r>
      <w:r>
        <w:t>, therefore,</w:t>
      </w:r>
      <w:r w:rsidRPr="00DA4E65">
        <w:t xml:space="preserve"> died less often than at the highest temperature level of </w:t>
      </w:r>
      <w:r>
        <w:t>+</w:t>
      </w:r>
      <w:r w:rsidRPr="00DA4E65">
        <w:t xml:space="preserve">2 </w:t>
      </w:r>
      <w:r>
        <w:t>°C</w:t>
      </w:r>
      <w:r w:rsidRPr="00DA4E65">
        <w:t xml:space="preserve"> warming</w:t>
      </w:r>
      <w:r>
        <w:t xml:space="preserve">, </w:t>
      </w:r>
      <w:r w:rsidRPr="00DA4E65">
        <w:t xml:space="preserve">resulting in </w:t>
      </w:r>
      <w:r>
        <w:t xml:space="preserve">the </w:t>
      </w:r>
      <w:r w:rsidRPr="00DA4E65">
        <w:t xml:space="preserve">highest </w:t>
      </w:r>
      <w:r>
        <w:t>total</w:t>
      </w:r>
      <w:r w:rsidRPr="00DA4E65">
        <w:t xml:space="preserve"> accumulated biomass.</w:t>
      </w:r>
      <w:r w:rsidR="00542FF0">
        <w:t xml:space="preserve"> While total accumulated biomass at +2 °C resembled that of ambient temperature, the underlying mussel population contained fewer individuals. This </w:t>
      </w:r>
      <w:r w:rsidR="007B247A">
        <w:t xml:space="preserve">shows </w:t>
      </w:r>
      <w:r w:rsidR="00542FF0">
        <w:t xml:space="preserve">that </w:t>
      </w:r>
      <w:r w:rsidR="00542FF0" w:rsidRPr="00542FF0">
        <w:t>small intervals of warming between 0.8</w:t>
      </w:r>
      <w:r w:rsidR="00542FF0">
        <w:t xml:space="preserve"> and </w:t>
      </w:r>
      <w:r w:rsidR="00542FF0" w:rsidRPr="00542FF0">
        <w:t>2 °C, even at the lower end of seasonally experienced temperatures</w:t>
      </w:r>
      <w:r w:rsidR="00542FF0">
        <w:t xml:space="preserve">, can have </w:t>
      </w:r>
      <w:r w:rsidR="007B247A">
        <w:t xml:space="preserve">significant </w:t>
      </w:r>
      <w:r w:rsidR="000E4765">
        <w:t xml:space="preserve">effects on community composition, which may have profound </w:t>
      </w:r>
      <w:r w:rsidR="00542FF0">
        <w:t>ecological consequences.</w:t>
      </w:r>
    </w:p>
    <w:p w14:paraId="7B7D99C1" w14:textId="529463AA" w:rsidR="00810D63" w:rsidRDefault="000337CD" w:rsidP="006733CF">
      <w:pPr>
        <w:spacing w:line="480" w:lineRule="auto"/>
      </w:pPr>
      <w:r>
        <w:t xml:space="preserve">A key finding of this study was that the presence of algae enhanced mussel performance by decreasing mussel mortality and increasing mussel biomass and condition index. Concurrently, the presence of mussels also enhanced algal performance by increasing algal biomass and strengthening photosynthetic adaptation (relative maximum electron transport rate </w:t>
      </w:r>
      <w:proofErr w:type="spellStart"/>
      <w:r>
        <w:t>rETRmax</w:t>
      </w:r>
      <w:proofErr w:type="spellEnd"/>
      <w:r>
        <w:t xml:space="preserve"> and the saturating light intensity </w:t>
      </w:r>
      <w:proofErr w:type="spellStart"/>
      <w:r>
        <w:t>I</w:t>
      </w:r>
      <w:r w:rsidRPr="00275A79">
        <w:rPr>
          <w:vertAlign w:val="subscript"/>
        </w:rPr>
        <w:t>k</w:t>
      </w:r>
      <w:proofErr w:type="spellEnd"/>
      <w:r>
        <w:t xml:space="preserve">). This mutual facilitation is exemplified in particular by comparing the total accumulated biomass </w:t>
      </w:r>
      <w:r w:rsidR="007B247A">
        <w:t>in</w:t>
      </w:r>
      <w:r>
        <w:t xml:space="preserve"> treatments where both mussels and algae were present to the sums of biomass </w:t>
      </w:r>
      <w:r w:rsidR="007B247A">
        <w:t>in</w:t>
      </w:r>
      <w:r>
        <w:t xml:space="preserve"> treatments </w:t>
      </w:r>
      <w:r w:rsidR="007B247A">
        <w:t xml:space="preserve">comprised of </w:t>
      </w:r>
      <w:r>
        <w:t>only mussels and only algae</w:t>
      </w:r>
      <w:r w:rsidR="007B247A">
        <w:t>.</w:t>
      </w:r>
      <w:r>
        <w:t xml:space="preserve"> </w:t>
      </w:r>
      <w:r w:rsidR="000B777B">
        <w:t>We have identified a synergistic interaction here where t</w:t>
      </w:r>
      <w:r>
        <w:t>he total biomass of mussels and algae grown together exceeded the sums of biomass from treatments in which only mussels and only algae were grown by up to 54 %</w:t>
      </w:r>
      <w:r w:rsidR="000B777B">
        <w:t xml:space="preserve">, which could be considered a form of complementarity or transgressive overyielding </w:t>
      </w:r>
      <w:r w:rsidR="005D5C6F">
        <w:fldChar w:fldCharType="begin" w:fldLock="1"/>
      </w:r>
      <w:r w:rsidR="003C7282">
        <w:instrText>ADDIN CSL_CITATION {"citationItems":[{"id":"ITEM-1","itemData":{"DOI":"10.1093/jpe/rtn011","ISSN":"1752-9921","abstract":"Aims The potential for mixtures of plant species to produce more biomass than every one of their constituent species in monoculture is still controversially discussed in the literature. Here we tested how this so-called transgressive overyielding is affected by variation between and within species in monoculture yields in biodiversity experiments. Methods We use basic statistical principles to calculate expected maximum monoculture yield in a species pool used for a biodiversity experiment. Using a real example we show how between- and within-species variance components in monoculture yields can be obtained. Combining the two components we estimate the importance of sampling bias in transgressive overyielding analysis. Important Findings The net biodiversity effect (difference between mixture and average monoculture yield) needed to achieve transgressive overyielding increases with the number of species in a mixture and with the variation between constituent species in monoculture yields. If their is no significant variation between species, transgressive overyielding should not be calculated using the best monoculture, because in this case the difference between this species and the other species could exclusively reflect a sampling bias. The sampling Has decreases with increasing variation between species. Tests for transgressive overyielding require replicated species' monocultures. However, it call be doubted whether such an emphasis on monocultures in biodiversity experiments is justified if an analysis of transgressive overyielding is not the major goal.","author":[{"dropping-particle":"","family":"Schmid","given":"Bernhard","non-dropping-particle":"","parse-names":false,"suffix":""},{"dropping-particle":"","family":"Hector","given":"Andy","non-dropping-particle":"","parse-names":false,"suffix":""},{"dropping-particle":"","family":"Saha","given":"Prasenjit","non-dropping-particle":"","parse-names":false,"suffix":""},{"dropping-particle":"","family":"Loreau","given":"Michel","non-dropping-particle":"","parse-names":false,"suffix":""}],"container-title":"Journal of Plant Ecology","id":"ITEM-1","issue":"2","issued":{"date-parts":[["2008"]]},"page":"95-102","title":"Biodiversity effects and transgressive overyielding","type":"article-journal","volume":"1"},"uris":["http://www.mendeley.com/documents/?uuid=c00cec6b-3448-4dd7-8a72-8e6978b8193c"]}],"mendeley":{"formattedCitation":"(Schmid et al., 2008)","plainTextFormattedCitation":"(Schmid et al., 2008)","previouslyFormattedCitation":"(Schmid et al., 2008)"},"properties":{"noteIndex":0},"schema":"https://github.com/citation-style-language/schema/raw/master/csl-citation.json"}</w:instrText>
      </w:r>
      <w:r w:rsidR="005D5C6F">
        <w:fldChar w:fldCharType="separate"/>
      </w:r>
      <w:r w:rsidR="005D5C6F" w:rsidRPr="005D5C6F">
        <w:rPr>
          <w:noProof/>
        </w:rPr>
        <w:t>(Schmid et al., 2008)</w:t>
      </w:r>
      <w:r w:rsidR="005D5C6F">
        <w:fldChar w:fldCharType="end"/>
      </w:r>
      <w:r>
        <w:t>.</w:t>
      </w:r>
      <w:r w:rsidR="00EC4F91">
        <w:t xml:space="preserve"> </w:t>
      </w:r>
      <w:r w:rsidR="00D91331">
        <w:t>We know</w:t>
      </w:r>
      <w:r w:rsidR="00EC4F91">
        <w:t xml:space="preserve"> that b</w:t>
      </w:r>
      <w:r>
        <w:t xml:space="preserve">enthic diatoms dominate </w:t>
      </w:r>
      <w:r w:rsidR="00EC4F91">
        <w:t xml:space="preserve">the </w:t>
      </w:r>
      <w:r>
        <w:t>biofilms</w:t>
      </w:r>
      <w:r w:rsidR="00EC4F91">
        <w:t xml:space="preserve"> that produce</w:t>
      </w:r>
      <w:r>
        <w:t xml:space="preserve"> extracellular polymeric substances bind</w:t>
      </w:r>
      <w:r w:rsidR="00D91331">
        <w:t>ing</w:t>
      </w:r>
      <w:r>
        <w:t xml:space="preserve"> particles together</w:t>
      </w:r>
      <w:r w:rsidR="005556CB">
        <w:t>,</w:t>
      </w:r>
      <w:r w:rsidR="00EC4F91">
        <w:t xml:space="preserve"> and</w:t>
      </w:r>
      <w:r>
        <w:t xml:space="preserve"> play an important role as </w:t>
      </w:r>
      <w:r w:rsidR="00D91331">
        <w:t xml:space="preserve">a </w:t>
      </w:r>
      <w:r>
        <w:t>resuspended food source</w:t>
      </w:r>
      <w:r w:rsidR="00D91331">
        <w:t xml:space="preserve"> for filter feeders including </w:t>
      </w:r>
      <w:r>
        <w:t xml:space="preserve">mussels </w:t>
      </w:r>
      <w:r>
        <w:fldChar w:fldCharType="begin" w:fldLock="1"/>
      </w:r>
      <w:r w:rsidR="00702A3A">
        <w:instrText>ADDIN CSL_CITATION {"citationItems":[{"id":"ITEM-1","itemData":{"DOI":"10.1007/s00227-020-03819-2","ISBN":"0123456789","ISSN":"14321793","abstract":"Migrating diatoms are microscopic ecosystem engineering organisms that have functional consequences on the seascape scale by significantly contributing to the microphytobenthos biofilm. The microphytobenthos biofilm is a thin photosynthesising layer that covers the sediment on intertidal flats. It fuels the food web, increases sediment stability, and enhances the deposition of particles, providing ecosystem services to coastal communities. Here we tested the effect of another ecosystem engineering habitat, intertidal blue mussel reefs, on the composition and properties of migrating diatom communities. Small-scale reefs constructed in the intertidal mimicked and reinforced the natural pattern in diatom community composition and function that we documented in the field. The field experiment adding small reefs to the intertidal ran from 30 April to 10 June 2015 and the field samples were collected around a natural blue mussel bed on the same tidal flat on 7 October 2015 (N 53.489°, E 6.230°). Both the constructed small-scale reefs and the natural reef changed the community composition of diatoms in the biofilm by promoting higher numbers of smaller-sized cells and species. Small diatoms have higher growth and gross photosynthesis rates, indicating that this explains the higher production and chlorophyll-a concentration of the biofilm measured on natural intertidal shellfish reefs. Our results showed that shellfish reefs have a large impact on biofilm functioning. However, biofilms are also fuel for the shellfish, indicating that the two very different ecosystem engineers may facilitate coexistence on tidal flats through a positive feedback loop.","author":[{"dropping-particle":"","family":"Andriana","given":"Rosyta","non-dropping-particle":"","parse-names":false,"suffix":""},{"dropping-particle":"","family":"Engel","given":"Friederike G.","non-dropping-particle":"","parse-names":false,"suffix":""},{"dropping-particle":"","family":"Gusmao","given":"Joao B.","non-dropping-particle":"","parse-names":false,"suffix":""},{"dropping-particle":"","family":"Eriksson","given":"Britas Klemens","non-dropping-particle":"","parse-names":false,"suffix":""}],"container-title":"Marine Biology","id":"ITEM-1","issue":"3","issued":{"date-parts":[["2021"]]},"note":"(Admiraal 1984; Underwood and Kromkamp 1999; Christianen et al. 2017\n\nGiles and Pilditch 2006; Donadi et al. 2013b\n\nEriksson 2010!!\nUnderwood and Kromkamp 1999\n\nPositive feedbacks between microphytobenthos and blue mussels have been comprehensively reviewed by \n\nBenthic diatoms usually dominate photosynthetically active biofilms and not only contribute substantially to producing extracellular polymeric substances that surround the biofilms and help to bind particles together, but also play an important role as resuspended food source for higher trophic levels.\n\nThe mussels enrich the biofilms with nutrients by depositing faeces and pseudofaeces, which fuels benthic primary production and diatom growth, and eventually benefits mussels in sandy habitats by, e.g., increasing sediment surface stability and sedimentation.","title":"Intertidal mussel reefs change the composition and size distribution of diatoms in the biofilm","type":"article-journal","volume":"168"},"uris":["http://www.mendeley.com/documents/?uuid=60a60f85-7ac5-4574-a612-d465adfdd71b"]},{"id":"ITEM-2","itemData":{"DOI":"10.3354/meps315113","ISSN":"01718630","abstract":"The annual cycles of phytoplanktonic and microphytobenthic biomasses as food sources for intertidal bivalves were investigated in a temperate estuarine muddy sandflat of Kwangyang Bay (Korea) from January to December 2002. Seasonal patterns in growth and reproductive activity of a suspension-feeder Laternula marilina and a deposit-feeder Moerella rutila were examined in order to assess their relationship with the annual cycles of pelagic and benthic microalgae, and were combined with analyses of δ13C and δ15N of bivalve tissues and their potential food resources. Biomasses of phytoplankton and microphytobenthos peaked in late spring-summer, and demonstrated a unimodal pattern of seasonal variation. Photosynthetic pigment composition showed a predominance of diatom marker pigment, fucoxanthin, in the water and the sediments throughout the year. Similar patterns of annual cycles in pelagic and benthic microalgal biomasses and similarities in taxonomic composition indicated that resuspended microphytobenthos is an important contributor to the bay's phytoplankton component. This was supported by the δ13C values of suspended particulate organic matter (POM) and physical characteristics of the bay. Synchrony in growth and reproductive activity was observed for both bivalves: their shell and tissue growth and gonadal development were achieved together during late spring and summer when chlorophyll a (chl a) concentrations were highest. This temporal coupling of macrofaunal and microalgal processes indicated that the activities of intertidal bivalves might depend largely on microphytobenthos seasonality. The isotopic signatures of the bivalve tissues demonstrated their dependence on organic matter of microphytobenthic source irrespective of season, despite a comparable contribution of phytoplankton to the diet of the suspension-feeding bivalve. These results highlight the importance of seasonal development of microphytobenthos as an available food source during the critical period of gamete production and growth for both suspension- and deposit-feeding bivalves. © Inter-Research 2006.","author":[{"dropping-particle":"","family":"Kang","given":"Chang Keun","non-dropping-particle":"","parse-names":false,"suffix":""},{"dropping-particle":"","family":"Lee","given":"Yong Woo","non-dropping-particle":"","parse-names":false,"suffix":""},{"dropping-particle":"","family":"Eun","given":"Jung Choy","non-dropping-particle":"","parse-names":false,"suffix":""},{"dropping-particle":"","family":"Shin","given":"Jae Ki","non-dropping-particle":"","parse-names":false,"suffix":""},{"dropping-particle":"","family":"Seo","given":"In Soo","non-dropping-particle":"","parse-names":false,"suffix":""},{"dropping-particle":"","family":"Hong","given":"Jae Sang","non-dropping-particle":"","parse-names":false,"suffix":""}],"container-title":"Marine Ecology Progress Series","id":"ITEM-2","issued":{"date-parts":[["2006"]]},"note":"Riera &amp;amp; Richard 1996, Deegan &amp;amp; Garritt 1997, Kang et al. 2003","page":"113-127","title":"Microphytobenthos seasonality determines growth and reproduction in intertidal bivalves","type":"article-journal","volume":"315"},"uris":["http://www.mendeley.com/documents/?uuid=df5f13d0-7c80-442d-8295-fa5644d2902e"]},{"id":"ITEM-3","itemData":{"DOI":"10.3354/meps09676","ISSN":"01718630","abstract":"The relative importance of allochthonous phytodetritus deposition and autochthonous microphytobenthos (MPB) production for benthic consumers in an organic carbon (Corg)-poor sandy sediment was assessed using a 13C-stable isotope natural abundance study combined with a dual 13C-tracer addition approach. In a first experiment (Expt 1), a set of sediment cores received a pulse of 13C-labelled phytodetritus and the fate of that organic matter was followed in the benthic food web (bacteria, meiofauna and macrofauna) over a period of 72 h. In a second experiment (Expt 2), the MPB present in a set of sediment cores was labelled with 13C-bicarbonate and the fate of labelled MPB was followed the same way over a period of 96 h. Natural 13C abundances of sources and consumers revealed that the benthic food web likely relied primarily on MPB. In particular, diatoms contributed at least 40% to the diet of 12 out of the 16 taxonomic groups identified. The dual approach revealed the complexity of the trophic interactions and gave evidence for resource partitioning between 2 species of harpacticoid copepods. Both 13C-tracer addition experiments showed a fast transfer of label to most heterotrophs. Bacteria, which comprised the largest fraction of the heterotroph biomass, incorporated more 13C than other consumers. Meiofauna had similar relative incorporations in both experiments and likely relied equally on benthic and pelagic inputs. Macrofauna relied significantly more on MPB. In both experiments, most of the 13C-label that was incorporated by heterotrophs was respired. While phytodetritus-derived Corg consumed by heterotrophs was 41 mg C m-2, MPB-derived was at least one order of magnitude higher. The benthic community growth efficiency in Expt 2 (40%) was higher than that of Expt 1 (25%), confirming the pivotal role of MPB. © Inter-Research 2012.","author":[{"dropping-particle":"","family":"Evrard","given":"Victor","non-dropping-particle":"","parse-names":false,"suffix":""},{"dropping-particle":"","family":"Huettel","given":"Markus","non-dropping-particle":"","parse-names":false,"suffix":""},{"dropping-particle":"","family":"Cook","given":"Perran L.M.","non-dropping-particle":"","parse-names":false,"suffix":""},{"dropping-particle":"","family":"Soetaert","given":"Karline","non-dropping-particle":"","parse-names":false,"suffix":""},{"dropping-particle":"","family":"Heip","given":"Carlo H.R.","non-dropping-particle":"","parse-names":false,"suffix":""},{"dropping-particle":"","family":"Middelburg","given":"Jack J.","non-dropping-particle":"","parse-names":false,"suffix":""}],"container-title":"Marine Ecology Progress Series","id":"ITEM-3","issued":{"date-parts":[["2012"]]},"page":"13-31","title":"Importance of phytodetritus and microphytobenthos for heterotrophs in a shallow subtidal sandy sediment","type":"article-journal","volume":"455"},"uris":["http://www.mendeley.com/documents/?uuid=27cc86c1-417e-48d4-8a8a-711b72063be6"]}],"mendeley":{"formattedCitation":"(Andriana et al., 2021; Evrard et al., 2012; Kang et al., 2006)","manualFormatting":"(Kang et al., 2006; Evrard et al., 2012; Andriana et al., 2021)","plainTextFormattedCitation":"(Andriana et al., 2021; Evrard et al., 2012; Kang et al., 2006)","previouslyFormattedCitation":"(Andriana et al., 2021; Evrard et al., 2012; Kang et al., 2006)"},"properties":{"noteIndex":0},"schema":"https://github.com/citation-style-language/schema/raw/master/csl-citation.json"}</w:instrText>
      </w:r>
      <w:r>
        <w:fldChar w:fldCharType="separate"/>
      </w:r>
      <w:r w:rsidRPr="008A55EF">
        <w:rPr>
          <w:noProof/>
        </w:rPr>
        <w:t xml:space="preserve">(Kang </w:t>
      </w:r>
      <w:r w:rsidRPr="00994B09">
        <w:rPr>
          <w:i/>
          <w:iCs/>
          <w:noProof/>
        </w:rPr>
        <w:lastRenderedPageBreak/>
        <w:t>et al.</w:t>
      </w:r>
      <w:r w:rsidRPr="008A55EF">
        <w:rPr>
          <w:noProof/>
        </w:rPr>
        <w:t xml:space="preserve">, 2006; Evrard </w:t>
      </w:r>
      <w:r w:rsidRPr="00994B09">
        <w:rPr>
          <w:i/>
          <w:iCs/>
          <w:noProof/>
        </w:rPr>
        <w:t>et al.</w:t>
      </w:r>
      <w:r w:rsidRPr="008A55EF">
        <w:rPr>
          <w:noProof/>
        </w:rPr>
        <w:t>, 2012;</w:t>
      </w:r>
      <w:r>
        <w:rPr>
          <w:noProof/>
        </w:rPr>
        <w:t xml:space="preserve"> </w:t>
      </w:r>
      <w:r w:rsidRPr="008A55EF">
        <w:rPr>
          <w:noProof/>
        </w:rPr>
        <w:t xml:space="preserve">Andriana </w:t>
      </w:r>
      <w:r w:rsidRPr="00994B09">
        <w:rPr>
          <w:i/>
          <w:iCs/>
          <w:noProof/>
        </w:rPr>
        <w:t>et al.</w:t>
      </w:r>
      <w:r w:rsidRPr="008A55EF">
        <w:rPr>
          <w:noProof/>
        </w:rPr>
        <w:t>, 2021)</w:t>
      </w:r>
      <w:r>
        <w:fldChar w:fldCharType="end"/>
      </w:r>
      <w:r>
        <w:t xml:space="preserve">. In turn, the mussels enrich the biofilms with nutrients by depositing ammonium, faeces and </w:t>
      </w:r>
      <w:proofErr w:type="spellStart"/>
      <w:r>
        <w:t>pseudofaeces</w:t>
      </w:r>
      <w:proofErr w:type="spellEnd"/>
      <w:r>
        <w:t>, which fuels benthic primary production and diatom growth, and eventually benefits mussels e.g.,</w:t>
      </w:r>
      <w:r w:rsidR="00AE03C4">
        <w:t xml:space="preserve"> by</w:t>
      </w:r>
      <w:r>
        <w:t xml:space="preserve"> increasing sediment surface stability and sedimentation </w:t>
      </w:r>
      <w:r>
        <w:fldChar w:fldCharType="begin" w:fldLock="1"/>
      </w:r>
      <w:r w:rsidR="00082159">
        <w:instrText>ADDIN CSL_CITATION {"citationItems":[{"id":"ITEM-1","itemData":{"DOI":"10.1007/s00227-020-03819-2","ISBN":"0123456789","ISSN":"14321793","abstract":"Migrating diatoms are microscopic ecosystem engineering organisms that have functional consequences on the seascape scale by significantly contributing to the microphytobenthos biofilm. The microphytobenthos biofilm is a thin photosynthesising layer that covers the sediment on intertidal flats. It fuels the food web, increases sediment stability, and enhances the deposition of particles, providing ecosystem services to coastal communities. Here we tested the effect of another ecosystem engineering habitat, intertidal blue mussel reefs, on the composition and properties of migrating diatom communities. Small-scale reefs constructed in the intertidal mimicked and reinforced the natural pattern in diatom community composition and function that we documented in the field. The field experiment adding small reefs to the intertidal ran from 30 April to 10 June 2015 and the field samples were collected around a natural blue mussel bed on the same tidal flat on 7 October 2015 (N 53.489°, E 6.230°). Both the constructed small-scale reefs and the natural reef changed the community composition of diatoms in the biofilm by promoting higher numbers of smaller-sized cells and species. Small diatoms have higher growth and gross photosynthesis rates, indicating that this explains the higher production and chlorophyll-a concentration of the biofilm measured on natural intertidal shellfish reefs. Our results showed that shellfish reefs have a large impact on biofilm functioning. However, biofilms are also fuel for the shellfish, indicating that the two very different ecosystem engineers may facilitate coexistence on tidal flats through a positive feedback loop.","author":[{"dropping-particle":"","family":"Andriana","given":"Rosyta","non-dropping-particle":"","parse-names":false,"suffix":""},{"dropping-particle":"","family":"Engel","given":"Friederike G.","non-dropping-particle":"","parse-names":false,"suffix":""},{"dropping-particle":"","family":"Gusmao","given":"Joao B.","non-dropping-particle":"","parse-names":false,"suffix":""},{"dropping-particle":"","family":"Eriksson","given":"Britas Klemens","non-dropping-particle":"","parse-names":false,"suffix":""}],"container-title":"Marine Biology","id":"ITEM-1","issue":"3","issued":{"date-parts":[["2021"]]},"note":"(Admiraal 1984; Underwood and Kromkamp 1999; Christianen et al. 2017\n\nGiles and Pilditch 2006; Donadi et al. 2013b\n\nEriksson 2010!!\nUnderwood and Kromkamp 1999\n\nPositive feedbacks between microphytobenthos and blue mussels have been comprehensively reviewed by \n\nBenthic diatoms usually dominate photosynthetically active biofilms and not only contribute substantially to producing extracellular polymeric substances that surround the biofilms and help to bind particles together, but also play an important role as resuspended food source for higher trophic levels.\n\nThe mussels enrich the biofilms with nutrients by depositing faeces and pseudofaeces, which fuels benthic primary production and diatom growth, and eventually benefits mussels in sandy habitats by, e.g., increasing sediment surface stability and sedimentation.","title":"Intertidal mussel reefs change the composition and size distribution of diatoms in the biofilm","type":"article-journal","volume":"168"},"uris":["http://www.mendeley.com/documents/?uuid=60a60f85-7ac5-4574-a612-d465adfdd71b"]},{"id":"ITEM-2","itemData":{"DOI":"10.1016/0022-0981(91)90018-R","ISSN":"00220981","abstract":"The effect of the filter-feeding bivalve Cerastoderma edule L. on microphytobenthos was investigated in three laboratory experiments. In the first experiment adult specimens of C. edule placed in flow-through aquaria containing sieved sediment were compared to aquaria without C. edule. The aquaria were incubated for 40 days, and sampled weekly for inorganic nutrient concentrations in the overlying water, sediment pigment concentrations and determination of benthic primary production. The presence of C. edule significantly increased the release of NH4+ and PO43- to the overlying water. The chlorophyll α concentration in C. edule treatments increased, and was significantly higher than in controls. The benthic primary production in C. edule treatments increased, reaching a mean maximum of 27.9 mg C·M-2·h-1, while the controls stayed at the initial mean level of 14.7 mg C·m-2·h-1 throughout the experiment. When the possible effect of fertilizing with faecal pellets from C. edule was tested in a second experiment, no differences were observed in nutrient fluxes, chlorophyll α concentration or primary production. In a third experiment, the effect of nutrients released by C. edule was investigated. Water from an aquarium containing a number of C. edule equivalent to the high natural density of cockles at the site of collection of the sediment was directed to four of the aquaria. The primary production was significantly higher in C. edule treatments than in controls. Thus the stimulating effect of C. edule on the microphytobenthos seems to be mediated by the release of nutrients, mainly NH4+, by the cockles themselves rather than through the deposition of faecal pellets. © 1991.","author":[{"dropping-particle":"","family":"Lindström Swanberg","given":"Inger","non-dropping-particle":"","parse-names":false,"suffix":""}],"container-title":"Journal of Experimental Marine Biology and Ecology","id":"ITEM-2","issue":"1","issued":{"date-parts":[["1991"]]},"page":"93-111","title":"The influence of the filter-feeding bivalve Cerastoderma edule L. on microphytobenthos: a laboratory study","type":"article-journal","volume":"151"},"uris":["http://www.mendeley.com/documents/?uuid=14f81c62-560e-40d4-948a-3a8fb18db136"]}],"mendeley":{"formattedCitation":"(Andriana et al., 2021; Lindström Swanberg, 1991)","manualFormatting":"(Lindström Swanberg, 1991; Andriana et al., 2021)","plainTextFormattedCitation":"(Andriana et al., 2021; Lindström Swanberg, 1991)","previouslyFormattedCitation":"(Andriana et al., 2021; Lindström Swanberg, 1991)"},"properties":{"noteIndex":0},"schema":"https://github.com/citation-style-language/schema/raw/master/csl-citation.json"}</w:instrText>
      </w:r>
      <w:r>
        <w:fldChar w:fldCharType="separate"/>
      </w:r>
      <w:r w:rsidRPr="007B737E">
        <w:rPr>
          <w:noProof/>
        </w:rPr>
        <w:t>(Lindström Swanberg, 1991</w:t>
      </w:r>
      <w:r>
        <w:rPr>
          <w:noProof/>
        </w:rPr>
        <w:t xml:space="preserve">; </w:t>
      </w:r>
      <w:r w:rsidRPr="007B737E">
        <w:rPr>
          <w:noProof/>
        </w:rPr>
        <w:t xml:space="preserve">Andriana </w:t>
      </w:r>
      <w:r w:rsidRPr="00994B09">
        <w:rPr>
          <w:i/>
          <w:iCs/>
          <w:noProof/>
        </w:rPr>
        <w:t>et al.</w:t>
      </w:r>
      <w:r w:rsidRPr="007B737E">
        <w:rPr>
          <w:noProof/>
        </w:rPr>
        <w:t>, 2021)</w:t>
      </w:r>
      <w:r>
        <w:fldChar w:fldCharType="end"/>
      </w:r>
      <w:r>
        <w:t xml:space="preserve">. In the present study, it remains unclear if mussel mortality decreased in the presence of algae because of additional food </w:t>
      </w:r>
      <w:r w:rsidR="005556CB">
        <w:t xml:space="preserve">available </w:t>
      </w:r>
      <w:r>
        <w:t>through re</w:t>
      </w:r>
      <w:r w:rsidR="00AE03C4">
        <w:t>-</w:t>
      </w:r>
      <w:r>
        <w:t>suspended microphytobenthos, or by an improved environment for decomposing microorganisms that metabolised waste products</w:t>
      </w:r>
      <w:r w:rsidR="005556CB">
        <w:t>,</w:t>
      </w:r>
      <w:r>
        <w:t xml:space="preserve"> </w:t>
      </w:r>
      <w:r w:rsidR="00D91331">
        <w:t>such as</w:t>
      </w:r>
      <w:r>
        <w:t xml:space="preserve"> ammonia</w:t>
      </w:r>
      <w:r w:rsidR="00997638">
        <w:t>,</w:t>
      </w:r>
      <w:r>
        <w:t xml:space="preserve"> and, therefore, </w:t>
      </w:r>
      <w:r w:rsidR="00997638">
        <w:t>increased</w:t>
      </w:r>
      <w:r>
        <w:t xml:space="preserve"> water quality. The microalgae in the treatments with mussels and algae were fed both with f2 medium and through mussel faeces and </w:t>
      </w:r>
      <w:proofErr w:type="spellStart"/>
      <w:r>
        <w:t>pseudofaeces</w:t>
      </w:r>
      <w:proofErr w:type="spellEnd"/>
      <w:r>
        <w:t xml:space="preserve">, which </w:t>
      </w:r>
      <w:r w:rsidR="00D91331">
        <w:t xml:space="preserve">led to </w:t>
      </w:r>
      <w:r>
        <w:t>increased</w:t>
      </w:r>
      <w:r w:rsidR="00D91331">
        <w:t xml:space="preserve"> </w:t>
      </w:r>
      <w:r w:rsidR="00997638">
        <w:t>algal</w:t>
      </w:r>
      <w:r>
        <w:t xml:space="preserve"> biomass accumulation compared to treatments in which mussels were absent. Simultaneously, however, the microalgae in these treatments seem to have outcompeted the juvenile kelp sporophytes, presumably owing to </w:t>
      </w:r>
      <w:r w:rsidR="00D91331">
        <w:t>their ability for faster</w:t>
      </w:r>
      <w:r>
        <w:t xml:space="preserve"> growth. Our results of algal photo physiology align with </w:t>
      </w:r>
      <w:r>
        <w:fldChar w:fldCharType="begin" w:fldLock="1"/>
      </w:r>
      <w:r w:rsidR="00082159">
        <w:instrText>ADDIN CSL_CITATION {"citationItems":[{"id":"ITEM-1","itemData":{"DOI":"10.1007/s10811-020-02333-8","ISSN":"15735176","abstract":"Kelps can be included in integrated multitrophic aquaculture (IMTA) where their growth and quality might benefit from the nutrient load released by other species like finfish and mussels transforming effluents from the cultured animals into valuable products. We studied how different nutrient concentrations affect growth, photosynthesis, chemical composition and pigment content of the kelp Saccharina latissima. We exposed kelps to natural seawater, water enriched to levels of ammonium and nitrate simulating finfish cage waste (IMTA1) and a combination of such enrichment with natural effluents coming from mussels (IMTA2). The algal biomass was higher and produced elevated total organic content when exposed to both IMTA1 and IMTA2. The photosynthetic responses in terms of relative electron transfer rate (rETRmax), PSII saturation irradiance (Ek) and total nitrogen content were also positively affected by both IMTA1 and IMTA2. We found a significant enhancement in pigment content only when algae were exposed to the strongest enrichment of our study (IMTA2). Finally, we found a positive relationship between rETRmax and growth, and the content of chlorophyll a and fucoxanthin. Our results show significant physiological responses of S. latissima to nutrient enrichment mimicking IMTA settings, as well as the benefit of added nutrients through a boost in photosynthetic activity that leads to higher kelp biomass and pigment production. This study suggests that modest nitrogen enrichment such as the one in our IMTA2 setup is enough to generate not only higher kelp biomass, but also an increased biomass quality with potentially higher market value.","author":[{"dropping-particle":"","family":"Rugiu","given":"L.","non-dropping-particle":"","parse-names":false,"suffix":""},{"dropping-particle":"","family":"Hargrave","given":"M. S.","non-dropping-particle":"","parse-names":false,"suffix":""},{"dropping-particle":"","family":"Enge","given":"S.","non-dropping-particle":"","parse-names":false,"suffix":""},{"dropping-particle":"","family":"Sterner","given":"M.","non-dropping-particle":"","parse-names":false,"suffix":""},{"dropping-particle":"","family":"Nylund","given":"G. M.","non-dropping-particle":"","parse-names":false,"suffix":""},{"dropping-particle":"","family":"Pavia","given":"H.","non-dropping-particle":"","parse-names":false,"suffix":""}],"container-title":"Journal of Applied Phycology","id":"ITEM-1","issued":{"date-parts":[["2020"]]},"publisher":"Journal of Applied Phycology","title":"Kelp in IMTAs: small variations in inorganic nitrogen concentrations drive different physiological responses of Saccharina latissima","type":"article-journal"},"uris":["http://www.mendeley.com/documents/?uuid=483496da-43a0-49b6-962d-4cdefe1f3d75"]}],"mendeley":{"formattedCitation":"(Rugiu et al., 2020)","manualFormatting":"Rugiu et al. (2020)","plainTextFormattedCitation":"(Rugiu et al., 2020)","previouslyFormattedCitation":"(Rugiu et al., 2020)"},"properties":{"noteIndex":0},"schema":"https://github.com/citation-style-language/schema/raw/master/csl-citation.json"}</w:instrText>
      </w:r>
      <w:r>
        <w:fldChar w:fldCharType="separate"/>
      </w:r>
      <w:r w:rsidRPr="006A2341">
        <w:rPr>
          <w:noProof/>
        </w:rPr>
        <w:t xml:space="preserve">Rugiu </w:t>
      </w:r>
      <w:r w:rsidRPr="00994B09">
        <w:rPr>
          <w:i/>
          <w:iCs/>
          <w:noProof/>
        </w:rPr>
        <w:t>et al</w:t>
      </w:r>
      <w:r w:rsidRPr="006A2341">
        <w:rPr>
          <w:noProof/>
        </w:rPr>
        <w:t>.</w:t>
      </w:r>
      <w:r>
        <w:rPr>
          <w:noProof/>
        </w:rPr>
        <w:t xml:space="preserve"> (</w:t>
      </w:r>
      <w:r w:rsidRPr="006A2341">
        <w:rPr>
          <w:noProof/>
        </w:rPr>
        <w:t>2020)</w:t>
      </w:r>
      <w:r>
        <w:fldChar w:fldCharType="end"/>
      </w:r>
      <w:r>
        <w:t xml:space="preserve"> who exposed 1-year-old </w:t>
      </w:r>
      <w:r w:rsidRPr="005F55D5">
        <w:rPr>
          <w:i/>
          <w:iCs/>
        </w:rPr>
        <w:t xml:space="preserve">Saccharina </w:t>
      </w:r>
      <w:proofErr w:type="spellStart"/>
      <w:r w:rsidRPr="005F55D5">
        <w:rPr>
          <w:i/>
          <w:iCs/>
        </w:rPr>
        <w:t>latissima</w:t>
      </w:r>
      <w:proofErr w:type="spellEnd"/>
      <w:r>
        <w:t xml:space="preserve"> to mussel farm effluent and found increased </w:t>
      </w:r>
      <w:proofErr w:type="spellStart"/>
      <w:r>
        <w:t>rETRmax</w:t>
      </w:r>
      <w:proofErr w:type="spellEnd"/>
      <w:r>
        <w:t xml:space="preserve"> and </w:t>
      </w:r>
      <w:proofErr w:type="spellStart"/>
      <w:r>
        <w:t>I</w:t>
      </w:r>
      <w:r w:rsidRPr="00275A79">
        <w:rPr>
          <w:vertAlign w:val="subscript"/>
        </w:rPr>
        <w:t>k</w:t>
      </w:r>
      <w:proofErr w:type="spellEnd"/>
      <w:r w:rsidDel="003C2E4F">
        <w:t xml:space="preserve"> </w:t>
      </w:r>
      <w:r>
        <w:t xml:space="preserve">(but no effect on the light harvesting efficiency α) compared to control treatments. </w:t>
      </w:r>
    </w:p>
    <w:p w14:paraId="3ED7E49C" w14:textId="77777777" w:rsidR="000337CD" w:rsidRDefault="000337CD" w:rsidP="006733CF">
      <w:pPr>
        <w:pStyle w:val="Heading4"/>
        <w:spacing w:line="480" w:lineRule="auto"/>
      </w:pPr>
      <w:r>
        <w:t>Conclusion</w:t>
      </w:r>
    </w:p>
    <w:p w14:paraId="7B69FA80" w14:textId="55029066" w:rsidR="000337CD" w:rsidRPr="00A615B4" w:rsidRDefault="000337CD" w:rsidP="006733CF">
      <w:pPr>
        <w:spacing w:line="480" w:lineRule="auto"/>
      </w:pPr>
      <w:r w:rsidRPr="00A615B4">
        <w:t>Our study showed that short-term metabolic processes related to energy intake (mussel clearance rates or alga</w:t>
      </w:r>
      <w:r>
        <w:t>l</w:t>
      </w:r>
      <w:r w:rsidRPr="00A615B4">
        <w:t xml:space="preserve"> maximum quantum yield) increased with moderately elevated temperature, while moderately elevated pCO</w:t>
      </w:r>
      <w:r w:rsidRPr="00A615B4">
        <w:rPr>
          <w:vertAlign w:val="subscript"/>
        </w:rPr>
        <w:t>2</w:t>
      </w:r>
      <w:r w:rsidRPr="00A615B4">
        <w:t xml:space="preserve"> did not have any effect</w:t>
      </w:r>
      <w:r w:rsidR="005556CB">
        <w:t xml:space="preserve"> on the response variables</w:t>
      </w:r>
      <w:r w:rsidRPr="00A615B4">
        <w:t xml:space="preserve">. </w:t>
      </w:r>
      <w:r>
        <w:t>Simultaneously, mussel mortality increased with warming</w:t>
      </w:r>
      <w:r w:rsidR="00B94149">
        <w:t>, resulting in highest total accumulated biomass</w:t>
      </w:r>
      <w:r w:rsidR="005556CB">
        <w:t xml:space="preserve"> (of mussels and algae</w:t>
      </w:r>
      <w:r w:rsidR="00997638">
        <w:t xml:space="preserve"> combined</w:t>
      </w:r>
      <w:r w:rsidR="005556CB">
        <w:t>)</w:t>
      </w:r>
      <w:r w:rsidR="00B94149">
        <w:t xml:space="preserve"> at the medium temperature level of </w:t>
      </w:r>
      <w:r w:rsidR="005556CB">
        <w:t xml:space="preserve">ambient </w:t>
      </w:r>
      <w:r w:rsidR="00B94149">
        <w:t>+0.8 °C</w:t>
      </w:r>
      <w:r>
        <w:t xml:space="preserve">. </w:t>
      </w:r>
      <w:r w:rsidRPr="00A615B4">
        <w:t xml:space="preserve">We </w:t>
      </w:r>
      <w:r>
        <w:t>show</w:t>
      </w:r>
      <w:r w:rsidRPr="00A615B4">
        <w:t xml:space="preserve"> that, depending on species</w:t>
      </w:r>
      <w:r>
        <w:t>’</w:t>
      </w:r>
      <w:r w:rsidRPr="00A615B4">
        <w:t xml:space="preserve"> position</w:t>
      </w:r>
      <w:r w:rsidR="00B94149">
        <w:t>s</w:t>
      </w:r>
      <w:r w:rsidRPr="00A615B4">
        <w:t xml:space="preserve"> on </w:t>
      </w:r>
      <w:r w:rsidR="00B94149">
        <w:t>their</w:t>
      </w:r>
      <w:r w:rsidR="00B94149" w:rsidRPr="00A615B4">
        <w:t xml:space="preserve"> </w:t>
      </w:r>
      <w:r w:rsidRPr="00A615B4">
        <w:t>thermal performance curve</w:t>
      </w:r>
      <w:r w:rsidR="00B94149">
        <w:t>s</w:t>
      </w:r>
      <w:r w:rsidRPr="00A615B4">
        <w:t xml:space="preserve"> and in </w:t>
      </w:r>
      <w:r w:rsidR="00B94149">
        <w:t>their</w:t>
      </w:r>
      <w:r w:rsidR="00B94149" w:rsidRPr="00A615B4">
        <w:t xml:space="preserve"> </w:t>
      </w:r>
      <w:r w:rsidRPr="00A615B4">
        <w:t>thermal range</w:t>
      </w:r>
      <w:r w:rsidR="00B94149">
        <w:t>s</w:t>
      </w:r>
      <w:r w:rsidRPr="00A615B4">
        <w:t>, future marine communities in a warmed ocean are likely to undergo severe changes</w:t>
      </w:r>
      <w:r>
        <w:t xml:space="preserve"> in their structure and functioning</w:t>
      </w:r>
      <w:r w:rsidR="00B94149">
        <w:t xml:space="preserve">, even if changes in temperature are </w:t>
      </w:r>
      <w:r w:rsidR="002821A8">
        <w:t>0.8 – 2</w:t>
      </w:r>
      <w:r w:rsidR="00B94149">
        <w:t xml:space="preserve"> °C and may seem small</w:t>
      </w:r>
      <w:r w:rsidRPr="00A615B4">
        <w:t xml:space="preserve">. The tolerance of mussels towards </w:t>
      </w:r>
      <w:r>
        <w:t>elevated</w:t>
      </w:r>
      <w:r w:rsidRPr="00A615B4">
        <w:t xml:space="preserve"> pCO</w:t>
      </w:r>
      <w:r w:rsidRPr="00A615B4">
        <w:rPr>
          <w:vertAlign w:val="subscript"/>
        </w:rPr>
        <w:t>2</w:t>
      </w:r>
      <w:r w:rsidRPr="00A615B4">
        <w:t xml:space="preserve"> and low</w:t>
      </w:r>
      <w:r>
        <w:t>ered</w:t>
      </w:r>
      <w:r w:rsidRPr="00A615B4">
        <w:t xml:space="preserve"> pH when food is abundant highlights the importance of considering ecosystem dynamics and trophic interactions under global change. Furthermore, considering that 6</w:t>
      </w:r>
      <w:r w:rsidR="00031801">
        <w:t>4</w:t>
      </w:r>
      <w:r w:rsidRPr="00A615B4">
        <w:t>5 ppm CO</w:t>
      </w:r>
      <w:r w:rsidRPr="00A615B4">
        <w:rPr>
          <w:vertAlign w:val="subscript"/>
        </w:rPr>
        <w:t>2</w:t>
      </w:r>
      <w:r w:rsidRPr="00A615B4">
        <w:t xml:space="preserve"> did not impact</w:t>
      </w:r>
      <w:r w:rsidR="000F4ABC">
        <w:t xml:space="preserve"> the </w:t>
      </w:r>
      <w:r w:rsidRPr="00A615B4">
        <w:t>performance</w:t>
      </w:r>
      <w:r w:rsidR="00AA255B">
        <w:t xml:space="preserve"> of juvenile mussels</w:t>
      </w:r>
      <w:r w:rsidRPr="00A615B4">
        <w:t xml:space="preserve"> negatively</w:t>
      </w:r>
      <w:r w:rsidR="005556CB">
        <w:t>,</w:t>
      </w:r>
      <w:r w:rsidRPr="00A615B4">
        <w:t xml:space="preserve"> and that marine organisms will be exposed to more frequent and more intense environmental fluctuation extremes</w:t>
      </w:r>
      <w:r w:rsidR="005556CB">
        <w:t>, there is</w:t>
      </w:r>
      <w:r w:rsidRPr="00A615B4">
        <w:t xml:space="preserve"> potential for cross-generational adaptation to more acidic conditions in the future.</w:t>
      </w:r>
    </w:p>
    <w:p w14:paraId="1699ABBD" w14:textId="76286588" w:rsidR="00563153" w:rsidRDefault="000337CD" w:rsidP="006733CF">
      <w:pPr>
        <w:spacing w:line="480" w:lineRule="auto"/>
      </w:pPr>
      <w:r>
        <w:t xml:space="preserve">Mussels and algae mutually facilitated their performance, </w:t>
      </w:r>
      <w:r w:rsidR="005556CB">
        <w:t xml:space="preserve">including </w:t>
      </w:r>
      <w:r>
        <w:t xml:space="preserve">overall productivity and </w:t>
      </w:r>
      <w:r w:rsidRPr="00A615B4">
        <w:t xml:space="preserve">energy </w:t>
      </w:r>
      <w:r w:rsidR="005556CB">
        <w:t>budgets</w:t>
      </w:r>
      <w:r w:rsidR="005556CB" w:rsidRPr="00A615B4">
        <w:t xml:space="preserve"> </w:t>
      </w:r>
      <w:r w:rsidRPr="00A615B4">
        <w:t>(mussel condition index, both mussel and alga</w:t>
      </w:r>
      <w:r>
        <w:t>l biomass</w:t>
      </w:r>
      <w:r w:rsidRPr="00A615B4">
        <w:t>, alga</w:t>
      </w:r>
      <w:r>
        <w:t>l</w:t>
      </w:r>
      <w:r w:rsidRPr="00A615B4">
        <w:t xml:space="preserve"> electron transport rate and light sensitivity). </w:t>
      </w:r>
      <w:r w:rsidRPr="00A615B4">
        <w:lastRenderedPageBreak/>
        <w:t xml:space="preserve">Considering that the total biomass of </w:t>
      </w:r>
      <w:r>
        <w:t>mussels and algae grown together substantially exceeded</w:t>
      </w:r>
      <w:r w:rsidRPr="00A615B4">
        <w:t xml:space="preserve"> the </w:t>
      </w:r>
      <w:r>
        <w:t xml:space="preserve">biomass </w:t>
      </w:r>
      <w:r w:rsidR="005556CB">
        <w:t xml:space="preserve">of </w:t>
      </w:r>
      <w:r w:rsidRPr="00A615B4">
        <w:t>sum</w:t>
      </w:r>
      <w:r>
        <w:t>s</w:t>
      </w:r>
      <w:r w:rsidRPr="00A615B4">
        <w:t xml:space="preserve"> of </w:t>
      </w:r>
      <w:r>
        <w:t xml:space="preserve">treatments </w:t>
      </w:r>
      <w:r w:rsidR="005556CB">
        <w:t>with</w:t>
      </w:r>
      <w:r>
        <w:t xml:space="preserve"> only mussels and only algae </w:t>
      </w:r>
      <w:r w:rsidR="005556CB">
        <w:t>present,</w:t>
      </w:r>
      <w:r w:rsidRPr="00A615B4">
        <w:t xml:space="preserve"> and that mussel mortality was significantly reduced</w:t>
      </w:r>
      <w:r>
        <w:t xml:space="preserve"> whe</w:t>
      </w:r>
      <w:r w:rsidR="005556CB">
        <w:t>re</w:t>
      </w:r>
      <w:r>
        <w:t xml:space="preserve"> algae were present, </w:t>
      </w:r>
      <w:r w:rsidR="005556CB">
        <w:t xml:space="preserve">efforts to </w:t>
      </w:r>
      <w:r>
        <w:t>increas</w:t>
      </w:r>
      <w:r w:rsidR="005556CB">
        <w:t>e</w:t>
      </w:r>
      <w:r>
        <w:t xml:space="preserve"> and conserv</w:t>
      </w:r>
      <w:r w:rsidR="00291804">
        <w:t>e</w:t>
      </w:r>
      <w:r>
        <w:t xml:space="preserve"> biodiversity in marine ecosystems</w:t>
      </w:r>
      <w:r w:rsidR="00163B02">
        <w:t xml:space="preserve"> </w:t>
      </w:r>
      <w:r w:rsidR="00FD0641">
        <w:t xml:space="preserve">may provide noticeable ecological </w:t>
      </w:r>
      <w:r w:rsidR="00291804">
        <w:t>and</w:t>
      </w:r>
      <w:r w:rsidR="00FD0641">
        <w:t xml:space="preserve"> economic benefits</w:t>
      </w:r>
      <w:r>
        <w:t xml:space="preserve">. </w:t>
      </w:r>
      <w:bookmarkEnd w:id="35"/>
    </w:p>
    <w:p w14:paraId="67CAE60D" w14:textId="77777777" w:rsidR="00FC2E36" w:rsidRDefault="00FC2E36" w:rsidP="006733CF">
      <w:pPr>
        <w:spacing w:line="480" w:lineRule="auto"/>
      </w:pPr>
    </w:p>
    <w:p w14:paraId="4B7F5666" w14:textId="77777777" w:rsidR="0058411B" w:rsidRDefault="0058411B" w:rsidP="006733CF">
      <w:pPr>
        <w:pStyle w:val="Heading2"/>
        <w:spacing w:line="480" w:lineRule="auto"/>
      </w:pPr>
      <w:r>
        <w:t>Acknowledgements</w:t>
      </w:r>
    </w:p>
    <w:p w14:paraId="1FD253BF" w14:textId="0F722530" w:rsidR="0058411B" w:rsidRDefault="0058411B" w:rsidP="006733CF">
      <w:pPr>
        <w:spacing w:line="480" w:lineRule="auto"/>
      </w:pPr>
      <w:r>
        <w:t xml:space="preserve">We thank Alison Boyce for </w:t>
      </w:r>
      <w:r w:rsidR="006E2FBE">
        <w:t xml:space="preserve">lab </w:t>
      </w:r>
      <w:r>
        <w:t>assistance</w:t>
      </w:r>
      <w:r w:rsidR="006E2FBE">
        <w:t>,</w:t>
      </w:r>
      <w:r>
        <w:t xml:space="preserve"> Martyn Linnie, Sinead Kelly and Robert Fitzpatrick for technical support. </w:t>
      </w:r>
      <w:r w:rsidRPr="00453524">
        <w:t xml:space="preserve">This research </w:t>
      </w:r>
      <w:r>
        <w:t>was</w:t>
      </w:r>
      <w:r w:rsidRPr="00453524">
        <w:t xml:space="preserve"> </w:t>
      </w:r>
      <w:r>
        <w:t xml:space="preserve">funded by a </w:t>
      </w:r>
      <w:r w:rsidRPr="00453524">
        <w:t>Trinity College Dublin Provost's PhD Project Award</w:t>
      </w:r>
      <w:r>
        <w:t>, supported by the Discipline of Zoology within the School of Natural Sciences, a</w:t>
      </w:r>
      <w:r w:rsidRPr="00453524">
        <w:t xml:space="preserve"> Marine Institute</w:t>
      </w:r>
      <w:r>
        <w:t xml:space="preserve"> </w:t>
      </w:r>
      <w:r w:rsidRPr="00453524">
        <w:t>Specialist Marine Research Equipment and Small Infrastructure Award (Grant-Aid Agreement INF/17/008), funded under the Marine Research Programme 2014-2020</w:t>
      </w:r>
      <w:r>
        <w:t xml:space="preserve"> </w:t>
      </w:r>
      <w:r w:rsidRPr="00453524">
        <w:t>by the Irish Government</w:t>
      </w:r>
      <w:r>
        <w:t xml:space="preserve">, and the </w:t>
      </w:r>
      <w:r w:rsidRPr="00453524">
        <w:t>SFI President of Ireland Future Research Leaders Programme</w:t>
      </w:r>
      <w:r w:rsidR="00E02D5E">
        <w:t xml:space="preserve">, </w:t>
      </w:r>
      <w:r>
        <w:t>Beyond biofuel: Advanced seaweed cultivation for biodiscovery and climate change mitigation</w:t>
      </w:r>
      <w:r w:rsidR="00E02D5E">
        <w:t xml:space="preserve"> (18/FR/6198)</w:t>
      </w:r>
      <w:r>
        <w:t>.</w:t>
      </w:r>
    </w:p>
    <w:p w14:paraId="26E108A3" w14:textId="77777777" w:rsidR="0058411B" w:rsidRDefault="0058411B" w:rsidP="006733CF">
      <w:pPr>
        <w:spacing w:line="480" w:lineRule="auto"/>
      </w:pPr>
    </w:p>
    <w:p w14:paraId="6FE93222" w14:textId="70FFD082" w:rsidR="00D66EB8" w:rsidRDefault="00B02807" w:rsidP="006733CF">
      <w:pPr>
        <w:pStyle w:val="Heading2"/>
        <w:spacing w:line="480" w:lineRule="auto"/>
      </w:pPr>
      <w:bookmarkStart w:id="39" w:name="_Toc157356564"/>
      <w:r>
        <w:t>References</w:t>
      </w:r>
      <w:bookmarkEnd w:id="39"/>
    </w:p>
    <w:p w14:paraId="1C378D67" w14:textId="359ED588" w:rsidR="00A661A4" w:rsidRPr="00A661A4" w:rsidRDefault="00991DC1" w:rsidP="00A661A4">
      <w:pPr>
        <w:widowControl w:val="0"/>
        <w:autoSpaceDE w:val="0"/>
        <w:autoSpaceDN w:val="0"/>
        <w:adjustRightInd w:val="0"/>
        <w:spacing w:line="480" w:lineRule="auto"/>
        <w:ind w:left="480" w:hanging="480"/>
        <w:rPr>
          <w:noProof/>
          <w:szCs w:val="24"/>
        </w:rPr>
      </w:pPr>
      <w:r>
        <w:fldChar w:fldCharType="begin" w:fldLock="1"/>
      </w:r>
      <w:r>
        <w:instrText xml:space="preserve">ADDIN Mendeley Bibliography CSL_BIBLIOGRAPHY </w:instrText>
      </w:r>
      <w:r>
        <w:fldChar w:fldCharType="separate"/>
      </w:r>
      <w:r w:rsidR="00A661A4" w:rsidRPr="00A661A4">
        <w:rPr>
          <w:noProof/>
          <w:szCs w:val="24"/>
        </w:rPr>
        <w:t>Andriana, R., Engel, F.G., Gusmao, J.B., Eriksson, B.K., 2021. Intertidal mussel reefs change the composition and size distribution of diatoms in the biofilm. Mar. Biol. 168. https://doi.org/10.1007/s00227-020-03819-2</w:t>
      </w:r>
    </w:p>
    <w:p w14:paraId="1A387AFE"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Armstrong, E.J., Watson, S.-A., Stillman, J.H., Calosi, P., 2022. Elevated temperature and carbon dioxide levels alter growth rates and shell composition in the fluted giant clam, Tridacna squamosa. Sci. Rep. 12, 1–17. https://doi.org/https://doi.org/10.1038/s41598-022-14503-4</w:t>
      </w:r>
    </w:p>
    <w:p w14:paraId="03D31C3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Bell, E.C., Gosline, J.M., 1996. Mechanical design of mussel byssus: material yield enhances attachment strength. J. Exp. Biol. 199, 1005–1017. https://doi.org/doi: 10.1242/jeb.199.4.1005</w:t>
      </w:r>
    </w:p>
    <w:p w14:paraId="54ED6D4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Bilger, W., Schreiber, U., Bock, M., 1995. Determination of the Quantum Efficiency of Photosystem II and of Non-Photochemical Quenching of Chlorophyll Fluorescence in the Field. Oecologia 102, 425–432.</w:t>
      </w:r>
    </w:p>
    <w:p w14:paraId="3386F33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lastRenderedPageBreak/>
        <w:t>Bouhlel, Z., Genard, B., Ibrahim, N., Carrington, E., Babarro, J.M.F., Lok, A., Flores, A.A.V., Pellerin, C., Tremblay, R., Marcotte, I., 2017. Interspecies comparison of the mechanical properties and biochemical composition of byssal threads. J. Exp. Biol. 220, 984–994. https://doi.org/10.1242/jeb.141440</w:t>
      </w:r>
    </w:p>
    <w:p w14:paraId="5B2D99C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Bowler, D.E., Bjorkman, A.D., Dornelas, M., Myers-Smith, I.H., Navarro, L.M., Niamir, A., Supp, S.R., Waldock, C., Winter, M., Vellend, M., Blowes, S.A., Böhning-Gaese, K., Bruelheide, H., Elahi, R., Antão, L.H., Hines, J., Isbell, F., Jones, H.P., Magurran, A.E., Cabral, J.S., Bates, A.E., 2020. Mapping human pressures on biodiversity across the planet uncovers anthropogenic threat complexes. People Nat. 2, 380–394. https://doi.org/10.1002/pan3.10071</w:t>
      </w:r>
    </w:p>
    <w:p w14:paraId="7F71AA2E"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Brooks, P.R., Crowe, T.P., 2018. Density and biotic interactions modify the combined effects of global and local stressors. Oikos 127, 1746–1758. https://doi.org/10.1111/oik.04459</w:t>
      </w:r>
    </w:p>
    <w:p w14:paraId="469A91B5"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Clarke, A., Gaston, K.J., 2006. Climate, energy and diversity. Proc. R. Soc. B Biol. Sci. 273, 2257–2266. https://doi.org/10.1098/rspb.2006.3545</w:t>
      </w:r>
    </w:p>
    <w:p w14:paraId="32D4B54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Clements, J.C., George, M.N., 2022. Ocean acidification and bivalve byssus: explaining variable responses using meta-analysis. Mar. Ecol. Prog. Ser. 694, 89–103. https://doi.org/10.3354/meps14101</w:t>
      </w:r>
    </w:p>
    <w:p w14:paraId="253B4D8B"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Cooley, S., Schoeman, D., Bopp, L., Boyd, P., Donner, S., Ghebrehiwet, D.Y., Ito, S.-I., Kiessling, W., Martinetto, P., Ojea, E., Racault, M.-F., Rost, B., Skern-Mauritzen, M., 2022. Oceans and Coastal Ecosystems and their Services, in: Pörtner, H.-O., Roberts, D.C., Tignor, M., Poloczanska, E.S., Mintenbeck, K., Alegría, A. (Eds.), Climate Change 2022: Impacts, Adaptation and Vulnerability. Contribution of Working Group II to the Sixth Assessment Report of the Intergovernmental Panel on Climate Change. Cambridge University Press, Cambridge, UK and New York, NY, USA, pp. 379–550. https://doi.org/10.1017/9781009325844.005.379</w:t>
      </w:r>
    </w:p>
    <w:p w14:paraId="6F1AA4C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Coughlan, J., 1969. The estimation of filtering rate from the clearance of suspensions. Mar. Biol. 2, 356–358. https://doi.org/10.1007/BF00355716</w:t>
      </w:r>
    </w:p>
    <w:p w14:paraId="6C30A44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Dell, A.I., Pawar, S., Savage, V.M., 2011. Systematic variation in the temperature dependence of physiological and ecological traits. Proc. Natl. Acad. Sci. U. S. A. 108, 10591–10596. https://doi.org/10.1073/pnas.1015178108</w:t>
      </w:r>
    </w:p>
    <w:p w14:paraId="211C5D1E"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lastRenderedPageBreak/>
        <w:t>Doney, S.C., Busch, D.S., Cooley, S.R., Kroeker, K.J., 2020. The impacts of ocean acidification on marine ecosystems and reliant human communities. Annu. Rev. Environ. Resour. 45, 83–112. https://doi.org/10.1146/annurev-environ-012320-083019</w:t>
      </w:r>
    </w:p>
    <w:p w14:paraId="582D0976"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Doo, S.S., Kealoha, A., Andersson, A., Cohen, A.L., Hicks, T.L., Johnson, Z.I., Long, M.H., McElhany, P., Mollica, N., Shamberger, K.E.F., Silbiger, N.J., Takeshita, Y., Busch, D.S., 2020a. The challenges of detecting and attributing ocean acidification impacts on marine ecosystems. ICES J. Mar. Sci. https://doi.org/10.1093/icesjms/fsaa094</w:t>
      </w:r>
    </w:p>
    <w:p w14:paraId="52D0CB3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Doo, S.S., Leplastrier, A., Graba-Landry, A., Harianto, J., Coleman, R.A., Byrne, M., 2020b. Amelioration of ocean acidification and warming effects through physiological buffering of a macroalgae. Ecol. Evol. 10, 8465–8475. https://doi.org/10.1002/ece3.6552</w:t>
      </w:r>
    </w:p>
    <w:p w14:paraId="2F118EB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Duarte, C.M., Hendriks, I.E., Moore, T.S., Olsen, Y.S., Steckbauer, A., Ramajo, L., Carstensen, J., Trotter, J.A., McCulloch, M., 2013. Is Ocean Acidification an Open-Ocean Syndrome? Understanding Anthropogenic Impacts on Seawater pH. Estuaries and Coasts 36, 221–236. https://doi.org/10.1007/s12237-013-9594-3</w:t>
      </w:r>
    </w:p>
    <w:p w14:paraId="4F9C0A9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Duarte, C.M., Wu, J., Xiao, X., Bruhn, A., Krause-Jensen, D., 2017. Can Seaweed Farming Play a Role in Climate Change Mitigation and Adaptation? Front. Mar. Sci. 4. https://doi.org/10.3389/fmars.2017.00100</w:t>
      </w:r>
    </w:p>
    <w:p w14:paraId="304F517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Edworthy, C., Steyn, P.-P., James, N.C., 2023. The role of macroalgal habitats as ocean acidification refugia within coastal seascapes. Cambridge Prism. Coast. Futur. 1. https://doi.org/10.1017/cft.2023.9</w:t>
      </w:r>
    </w:p>
    <w:p w14:paraId="6DF44F4A"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Evrard, V., Huettel, M., Cook, P.L.M., Soetaert, K., Heip, C.H.R., Middelburg, J.J., 2012. Importance of phytodetritus and microphytobenthos for heterotrophs in a shallow subtidal sandy sediment. Mar. Ecol. Prog. Ser. 455, 13–31. https://doi.org/10.3354/meps09676</w:t>
      </w:r>
    </w:p>
    <w:p w14:paraId="5092B1A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FAO, 2022. The State of World Fisheries and Aquaculture 2022. Towards Blue Transformation. Rome. https://doi.org/https://doi.org/10.4060/cc0461en</w:t>
      </w:r>
    </w:p>
    <w:p w14:paraId="26B669E7"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Fernández, P.A., Leal, P.P., Henríquez, L.A., 2019. Co-culture in marine farms: macroalgae can act as chemical refuge for shell-forming molluscs under an ocean acidification scenario. Phycologia 58, 542–</w:t>
      </w:r>
      <w:r w:rsidRPr="00A661A4">
        <w:rPr>
          <w:noProof/>
          <w:szCs w:val="24"/>
        </w:rPr>
        <w:lastRenderedPageBreak/>
        <w:t>551. https://doi.org/10.1080/00318884.2019.1628576</w:t>
      </w:r>
    </w:p>
    <w:p w14:paraId="3F097DAA"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Fitzer, S.C., Vittert, L., Bowman, A., Kamenos, N.A., Phoenix, V.R., Cusack, M., 2015a. Ocean acidification and temperature increase impact mussel shell shape and thickness: Problematic for protection? Ecol. Evol. 5, 4875–4884. https://doi.org/10.1002/ece3.1756</w:t>
      </w:r>
    </w:p>
    <w:p w14:paraId="6A26A5D1"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Fitzer, S.C., Zhu, W., Tanner, K.E., Phoenix, V.R., Kamenos, N.A., Cusack, M., 2015b. Ocean acidification alters the material properties of Mytilus edulis shells. J. R. Soc. Interface 12. https://doi.org/10.1098/rsif.2014.1227</w:t>
      </w:r>
    </w:p>
    <w:p w14:paraId="67B43291"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Forbes, H., Shelamoff, V., Visch, W., Layton, C., 2022. Farms and forests: evaluating the biodiversity benefits of kelp aquaculture. J. Appl. Phycol. https://doi.org/10.1007/s10811-022-02822-y</w:t>
      </w:r>
    </w:p>
    <w:p w14:paraId="0704D73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Fox, J., Weisberg, S., 2019. An {R} Companion to Applied Regression, 3rd ed. Sage, Thousand Oaks CA.</w:t>
      </w:r>
    </w:p>
    <w:p w14:paraId="5FC234F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Gao, X., Kim, J.H., Park, S.K., Yu, O.H., Kim, Y.S., Choi, H.G., 2019. Diverse responses of sporophytic photochemical efficiency and gametophytic growth for two edible kelps, Saccharina japonica and Undaria pinnatifida, to ocean acidification and warming. Mar. Pollut. Bull. 142, 315–320. https://doi.org/10.1016/j.marpolbul.2019.03.063</w:t>
      </w:r>
    </w:p>
    <w:p w14:paraId="3876166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Geraldi, N.R., Klein, S.G., Anton, A., Duarte, C.M., 2020. A framework for experimental scenarios of global change in marine systems using coral reefs as a case study. R. Soc. Open Sci. 7, 1–7. https://doi.org/10.1098/rsos.191118</w:t>
      </w:r>
    </w:p>
    <w:p w14:paraId="2547771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Gillooly, J.F., Brown, J.H., West, G.B., Savage, V.M., Charnov, E.L., 2001. Effects of size and temperature on metabolic rate. Science (80-. ). 293, 2248–2251. https://doi.org/10.1126/science.1061967</w:t>
      </w:r>
    </w:p>
    <w:p w14:paraId="41B0943B"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Gissi, E., Manea, E., Mazaris, A.D., Fraschetti, S., Almpanidou, V., Bevilacqua, S., Coll, M., Guarnieri, G., Lloret-Lloret, E., Pascual, M., Petza, D., Rilov, G., Schonwald, M., Stelzenmüller, V., Katsanevakis, S., 2021. A review of the combined effects of climate change and other local human stressors on the marine environment. Sci. Total Environ. 755. https://doi.org/10.1016/j.scitotenv.2020.142564</w:t>
      </w:r>
    </w:p>
    <w:p w14:paraId="2E338456"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Gorman, E., 2014. QUB SOP 2 - Spore release procedure for macroalgal kelp species and subsequent use for direct seeding or gametophyte culture standard operating procedure. Portaferry, Northern Ireland.</w:t>
      </w:r>
    </w:p>
    <w:p w14:paraId="0968961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Gubbins, M., Bricknell, I., Service, M., 2013. Impacts of climate change on Aquaculture. Mar. Clim. Chang. </w:t>
      </w:r>
      <w:r w:rsidRPr="00A661A4">
        <w:rPr>
          <w:noProof/>
          <w:szCs w:val="24"/>
        </w:rPr>
        <w:lastRenderedPageBreak/>
        <w:t>Impacts Partnersh. Sci. Rev. 318–327. https://doi.org/10.14465/2013.arc33.318-327</w:t>
      </w:r>
    </w:p>
    <w:p w14:paraId="0C5372D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Hamilton, S.L., Elliott, M.S., Maya, S., Adelaars, J., Rintoul, M.D., Graham, M.H., 2022. Integrated multi-trophic aquaculture mitigates the effects of ocean acidification: Seaweeds raise system pH and improve growth of juvenile abalone. Aquaculture 560, 738571. https://doi.org/10.1016/j.aquaculture.2022.738571</w:t>
      </w:r>
    </w:p>
    <w:p w14:paraId="786A2EB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Harrell Jr, F.E., 2022. Hmisc: Harrell Miscellaneous.</w:t>
      </w:r>
    </w:p>
    <w:p w14:paraId="1C8F5004"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Hengjie, T., Das, S.K., Zainee, N.F.A., Yana, R., Rozaimi, M., 2023. Ocean Acidification and Aquacultured Seaweeds: Progress and Knowledge Gaps. J. Mar. Sci. Eng. 11. https://doi.org/https://doi.org/ 10.3390/jmse11010078</w:t>
      </w:r>
    </w:p>
    <w:p w14:paraId="40FD7701"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Hobday, A.J., Alexander, L. V., Perkins, S.E., Smale, D.A., Straub, S.C., Oliver, E.C.J., Benthuysen, J.A., Burrows, M.T., Donat, M.G., Feng, M., Holbrook, N.J., Moore, P.J., Scannell, H.A., Sen Gupta, A., Wernberg, T., 2016. A hierarchical approach to defining marine heatwaves. Prog. Oceanogr. 141, 227–238. https://doi.org/10.1016/j.pocean.2015.12.014</w:t>
      </w:r>
    </w:p>
    <w:p w14:paraId="56CB3B20"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Hoppit, G., Schmidt, D.N., 2022. A Regional View of the Response to Climate Change: A Meta-Analysis of European Benthic Organisms’ Responses. Front. Mar. Sci. 9, 1–13. https://doi.org/10.3389/fmars.2022.896157</w:t>
      </w:r>
    </w:p>
    <w:p w14:paraId="4DA82BB1"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IPCC, 2022. Summary for Policymakers, in: Pörtner, H.O., Roberts, D.C., Poloczanska, E.S., Mintenbeck, K., Tignor, M., Alegría, A., Craig, M., Langsdorf, S., Löschke, S., Möller, V., Okem, A. (Eds.), Climate Change 2022: Impacts, Adaptation, and Vulnerability. Contribution of Working Group II to the Sixth Assessment Report of the Intergovernmental Panel on Climate Change. Cambridge University Press, Cambridge, UK and New York, NY, USA, pp. 3–33. https://doi.org/doi:10.1017/9781009325844.001</w:t>
      </w:r>
    </w:p>
    <w:p w14:paraId="47A102D0"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IPCC, 2014. Climate Change 2014: Synthesis Report. Contribution of Working Groups I, II and III to the Fifth Assessment Report of the Intergovernmental Panel on Climate Change. Geneva, Switzerland. https://doi.org/10.1256/004316502320517344</w:t>
      </w:r>
    </w:p>
    <w:p w14:paraId="06F5B36B"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IPCC, 2013. Climate Change 2013: The Physical Science Basis. Contribution of Working Group I to the Fifth Assessment Report of the Intergovernmental Panel on Climate Change. Cambridge University Press, </w:t>
      </w:r>
      <w:r w:rsidRPr="00A661A4">
        <w:rPr>
          <w:noProof/>
          <w:szCs w:val="24"/>
        </w:rPr>
        <w:lastRenderedPageBreak/>
        <w:t>Cambridge, Untited Kingom and New York, NY, USA.</w:t>
      </w:r>
    </w:p>
    <w:p w14:paraId="1AF0B8C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Jacob, D., Petersen, J., Eggert, B., Alias, A., Christensen, O.B., Bouwer, L.M., Braun, A., Colette, A., Déqué, M., Georgievski, G., Georgopoulou, E., Gobiet, A., Menut, L., Nikulin, G., Haensler, A., Hempelmann, N., Jones, C., Keuler, K., Kovats, S., Kröner, N., Kotlarski, S., Kriegsmann, A., Martin, E., van Meijgaard, E., Moseley, C., Pfeifer, S., Preuschmann, S., Radermacher, C., Radtke, K., Rechid, D., Rounsevell, M., Samuelsson, P., Somot, S., Soussana, J.F., Teichmann, C., Valentini, R., Vautard, R., Weber, B., Yiou, P., 2014. EURO-CORDEX: New high-resolution climate change projections for European impact research. Reg. Environ. Chang. 14, 563–578. https://doi.org/10.1007/s10113-013-0499-2</w:t>
      </w:r>
    </w:p>
    <w:p w14:paraId="1FEDB13E"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Jiang, W., Fang, J., 2021. Effects of mussel-kelp ratios in integrated mariculture on the carbon dioxide system in Sanggou Bay. J. Sea Res. 167, 1–6. https://doi.org/10.1016/j.seares.2020.101983</w:t>
      </w:r>
    </w:p>
    <w:p w14:paraId="7CB5502A"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Jiang, Z., Jiang, W., Rastrick, S.P.S., Wang, X., Fang, Jinghui, Du, M., Gao, Y., Mao, Y., Strand, Ø., Fang, Jianguang, 2022. The Potential of Kelp Saccharina japonica in Shielding Pacific Oyster Crassostrea gigas From Elevated Seawater pCO2 Stress. Front. Mar. Sci. 9, 1–10. https://doi.org/10.3389/fmars.2022.862172</w:t>
      </w:r>
    </w:p>
    <w:p w14:paraId="52D167B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Kang, C.K., Lee, Y.W., Eun, J.C., Shin, J.K., Seo, I.S., Hong, J.S., 2006. Microphytobenthos seasonality determines growth and reproduction in intertidal bivalves. Mar. Ecol. Prog. Ser. 315, 113–127. https://doi.org/10.3354/meps315113</w:t>
      </w:r>
    </w:p>
    <w:p w14:paraId="4685FA6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Keyes, A.A., Mclaughlin, J.P., Barner, A.K., Dee, L.E., 2021. An ecological network approach to predict ecosystem service vulnerability to species losses. Nat. Commun. 12. https://doi.org/10.1038/s41467-021-21824-x</w:t>
      </w:r>
    </w:p>
    <w:p w14:paraId="1CE43077"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Kittner, C., Riisgård, H.U., 2005. Effect of temperature on filtration rate in the mussel Mytilus edulis: No evidence for temperature compensation. Mar. Ecol. Prog. Ser. 305, 147–152. https://doi.org/10.3354/meps305147</w:t>
      </w:r>
    </w:p>
    <w:p w14:paraId="7924000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Knights, A.M., Norton, M.J., Lemasson, A.J., Stephen, N., 2020. Ocean Acidification Mitigates the Negative Effects of Increased Sea Temperatures on the Biomineralization and Crystalline Ultrastructure of Mytilus. Front. Mar. Sci. 7, 1–13. https://doi.org/10.3389/fmars.2020.567228</w:t>
      </w:r>
    </w:p>
    <w:p w14:paraId="7522BCC0"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lastRenderedPageBreak/>
        <w:t>Kong, H., Clements, J.C., Dupont, S., Wang, T., Huang, X., Shang, Y., Huang, W., Chen, J., Hu, M., Wang, Y., 2019. Seawater acidification and temperature modulate anti-predator defenses in two co-existing Mytilus species. Mar. Pollut. Bull. 145, 118–125. https://doi.org/10.1016/j.marpolbul.2019.05.040</w:t>
      </w:r>
    </w:p>
    <w:p w14:paraId="50AFFD45"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Lemasson, A.J., Fletcher, S., Hall-Spencer, J.M., Knights, A.M., 2017. Linking the biological impacts of ocean acidification on oysters to changes in ecosystem services: A review. J. Exp. Mar. Bio. Ecol. 492, 49–62. https://doi.org/10.1016/j.jembe.2017.01.019</w:t>
      </w:r>
    </w:p>
    <w:p w14:paraId="0A943316"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Lemasson, A.J., Hall-Spencer, J.M., Fletcher, S., Provstgaard-Morys, S., Knights, A.M., 2018. Indications of future performance of native and non-native adult oysters under acidification and warming. Mar. Environ. Res. 142, 178–189. https://doi.org/10.1016/j.marenvres.2018.10.003</w:t>
      </w:r>
    </w:p>
    <w:p w14:paraId="72787F7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Lemoine, N.P., Burkepile, D.E., 2012. Temperature-induced mismatches between consumption and metabolism reduce consumer fitness. Ecology 93, 2483–2489. https://doi.org/10.1890/12-0375.1</w:t>
      </w:r>
    </w:p>
    <w:p w14:paraId="13C0274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Lindström Swanberg, I., 1991. The influence of the filter-feeding bivalve Cerastoderma edule L. on microphytobenthos: a laboratory study. J. Exp. Mar. Bio. Ecol. 151, 93–111. https://doi.org/10.1016/0022-0981(91)90018-R</w:t>
      </w:r>
    </w:p>
    <w:p w14:paraId="4DB04156"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Lowe, A.T., Bos, J., Ruesink, J., 2019. Ecosystem metabolism drives pH variability and modulates long-term ocean acidification in the Northeast Pacific coastal ocean. Sci. Rep. 9, 1–11. https://doi.org/10.1038/s41598-018-37764-4</w:t>
      </w:r>
    </w:p>
    <w:p w14:paraId="7DC758F4"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Lucas, A., Beninger, P.G., 1985. The use of physiological condition indices in marine bivalve aquaculture. Aquaculture 44, 187–200. https://doi.org/10.1016/0044-8486(85)90243-1</w:t>
      </w:r>
    </w:p>
    <w:p w14:paraId="63AC8B3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Lutier, M., Di Poi, C., Gazeau, F., Appolis, A., Le Luyer, J., Pernet, F., 2022. Revisiting tolerance to ocean acidification: Insights from a new framework combining physiological and molecular tipping points of Pacific oyster. Glob. Chang. Biol. 28, 3333–3348. https://doi.org/10.1111/gcb.16101</w:t>
      </w:r>
    </w:p>
    <w:p w14:paraId="6D669413"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Mackenzie, C.L., Ormondroyd, G.A., Curling, S.F., Ball, R.J., Whiteley, N.M., Malham, S.K., 2014. Ocean Warming, More than Acidification, Reduces Shell Strength in a Commercial Shellfish Species during Food Limitation. PLoS One 9, 1–9. https://doi.org/10.1371/journal.pone.0086764</w:t>
      </w:r>
    </w:p>
    <w:p w14:paraId="134B92D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Mangiafico, S.S., 2023. rcompanion: Functions to Support Extension Education Program Evaluation.</w:t>
      </w:r>
    </w:p>
    <w:p w14:paraId="554D185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lastRenderedPageBreak/>
        <w:t>Mangiafico, S.S., 2016. Summary and Analysis of Extension Program Evaluation in R. https://doi.org/rcompanion.org/handbook/</w:t>
      </w:r>
    </w:p>
    <w:p w14:paraId="09ABEAC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McGrath, T., McGovern, E., Cave, R.R., Kivimäe, C., 2016. The Inorganic Carbon Chemistry in Coastal and Shelf Waters Around Ireland. Estuaries and Coasts 39, 27–39. https://doi.org/10.1007/s12237-015-9950-6</w:t>
      </w:r>
    </w:p>
    <w:p w14:paraId="235B4D2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Melzner, F., Stange, P., Trübenbach, K., Thomsen, J., Casties, I., Panknin, U., Gorb, S.N., Gutowska, M.A., 2011. Food supply and seawater pCO2 impact calcification and internal shell dissolution in the blue mussel Mytilus edulis. PLoS One 6. https://doi.org/10.1371/journal.pone.0024223</w:t>
      </w:r>
    </w:p>
    <w:p w14:paraId="00AACD9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Melzner, F., Thomsen, J., Koeve, W., Oschlies, A., Gutowska, M.A., Bange, H.W., Hansen, H.P., Körtzinger, A., 2013. Future ocean acidification will be amplified by hypoxia in coastal habitats. Mar. Biol. 160, 1875–1888. https://doi.org/10.1007/s00227-012-1954-1</w:t>
      </w:r>
    </w:p>
    <w:p w14:paraId="339E1B8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Miranda, R.J., Coleman, M.A., Tagliafico, A., Rangel, M.S., Mamo, L.T., Barros, F., Kelaher, B.P., 2019. Invasion-mediated effects on marine trophic interactions in a changing climate: positive feedbacks favour kelp persistence. Proceedings. Biol. Sci. 286, 20182866. https://doi.org/10.1098/rspb.2018.2866</w:t>
      </w:r>
    </w:p>
    <w:p w14:paraId="5394008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Mooney-McAuley, K.M., Edwards, M.D., Champenois, J., Gorman, E., 2016. Best Practice Guidelines for Seaweed Cultivation and Analysis, Public Output report of the EnAlgae project. Swansea.</w:t>
      </w:r>
    </w:p>
    <w:p w14:paraId="6FE566F7"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Navarro, J.M., Duarte, C., Manrıquez, P.H., Lardies, M.A., Torres, R., Acuna, K., Vargas, C.A., Lagos, N.A., 2016. Ocean warming and elevated carbon dioxide: multiple stressor impacts on juvenile mussels from southern Chile. ICES J. Mar. Sci. 73, 764–771. https://doi.org/doi:10.1093/icesjms/fsv249</w:t>
      </w:r>
    </w:p>
    <w:p w14:paraId="4EABF62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O’Boyle, S., McDermott, G., Noklegaard, T., Wilkes, R., 2013. A Simple Index of Trophic Status in Estuaries and Coastal Bays Based on Measurements of pH and Dissolved Oxygen. Estuaries and Coasts 36, 158–173. https://doi.org/10.1007/s12237-012-9553-4</w:t>
      </w:r>
    </w:p>
    <w:p w14:paraId="360E5F7A"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O’Connor, N.E., Crowe, T.P., 2007. Biodiversity among mussels: Separating the influence of sizes of mussels from the ages of patches. J. Mar. Biol. Assoc. United Kingdom 87, 551–557. https://doi.org/10.1017/S0025315407050503</w:t>
      </w:r>
    </w:p>
    <w:p w14:paraId="60719F17"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O’Hara, C.C., Frazier, M., Halpern, B.S., 2021. At-risk marine biodiversity faces extensive, expanding, and </w:t>
      </w:r>
      <w:r w:rsidRPr="00A661A4">
        <w:rPr>
          <w:noProof/>
          <w:szCs w:val="24"/>
        </w:rPr>
        <w:lastRenderedPageBreak/>
        <w:t>intensifying human impacts. Science (80-. ). 372, 84–87. https://doi.org/10.1126/science.abe6731</w:t>
      </w:r>
    </w:p>
    <w:p w14:paraId="01F1120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Ogle, D.H., Doll, J.C., Wheeler, A.P., Dinno, A., 2023. FSA: Simple Fisheries Stock Assessment Methods.</w:t>
      </w:r>
    </w:p>
    <w:p w14:paraId="184DFDE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Pansch, C., Hiebenthal, C., 2019. A new mesocosm system to study the effects of environmental variability on marine species and communities. Limnol. Oceanogr. Methods 17, 145–162. https://doi.org/10.1002/lom3.10306</w:t>
      </w:r>
    </w:p>
    <w:p w14:paraId="03131CF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Pörtner, H.O., 2010. Oxygen- And capacity-limitation of thermal tolerance: A matrix for integrating climate-related stressor effects in marine ecosystems. J. Exp. Biol. 213, 881–893. https://doi.org/10.1242/jeb.037523</w:t>
      </w:r>
    </w:p>
    <w:p w14:paraId="0F4B964A"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Pörtner, H.O., Scholes, R.J., Agard, J., Archer, E., Arneth, A., Bai, X., Barnes, D., Burrows, M., Chan, L., Cheung, W.L., Diamond, S., Donatti, C., Duarte, C., Eisenhauer, N., Foden, W., Gasalla, M.A., Handa, C., Hickler, T., Hoegh-Guldberg, O., Ichii, K., Jacob, U., Insarov, G., Kiessling, W., Leadley, P., Leemans, R., Levin, L., Lim, M., Maharaj, S., Managi, S., Marquet, P.A., McElwee, P., Midgley, G., Oberdorff, T., Obura, D., Osman, E., Pandit, R., Pascual, U., Pires, A.P.F., Popp, A., Reyes- García, V., Sankaran, M., Settele, J., Shin, Y.J., Sintayehu, D.W., Smith, P., Steiner, N., Strassburg, B., Sukumar, R., Trisos, C., Val, A.L., Wu, J., Aldrian, E., Parmesan, C., Pichs-Madruga, R., Roberts, D.C., Rogers, A.D., Díaz, S., Fischer, M., Hashimoto, S., Lavorel, S., Wu, N., Ngo, H.T., 2021. IPBES-IPCC co-sponsored workshop report on biodiversity and climate change, IPBES and IPCC. https://doi.org/DOI:10.5281/zenodo.4782538</w:t>
      </w:r>
    </w:p>
    <w:p w14:paraId="61D144D6"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Provost, E.J., Kelaher, B.P., Dworjanyn, S.A., Russell, B.D., Connell, S.D., Ghedini, G., Gillanders, B.M., Figueira, W.I., Coleman, M.A., 2017. Climate-driven disparities among ecological interactions threaten kelp forest persistence. Glob. Chang. Biol. 23, 353–361. https://doi.org/10.1111/gcb.13414</w:t>
      </w:r>
    </w:p>
    <w:p w14:paraId="344AC02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 Core Team, 2022. R: A language and environment for statistical computing.</w:t>
      </w:r>
    </w:p>
    <w:p w14:paraId="32BB508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Rall, B.Ö.C., Vucic-Pestic, O., Ehnes, R.B., EmmersoN, M., Brose, U., 2010. Temperature, predator-prey interaction strength and population stability. Glob. Chang. Biol. 16, 2145–2157. https://doi.org/10.1111/j.1365-2486.2009.02124.x</w:t>
      </w:r>
    </w:p>
    <w:p w14:paraId="570DC84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Randall, J., Wotherspoon, S., Ross, J., Hermand, J.P., Johnson, C.R., 2019. An in situ study of production from </w:t>
      </w:r>
      <w:r w:rsidRPr="00A661A4">
        <w:rPr>
          <w:noProof/>
          <w:szCs w:val="24"/>
        </w:rPr>
        <w:lastRenderedPageBreak/>
        <w:t>diel oxygen modelling, oxygen exchange, and electron transport rate in the kelp Ecklonia radiata. Mar. Ecol. Prog. Ser. 615, 51–65. https://doi.org/10.3354/meps12919</w:t>
      </w:r>
    </w:p>
    <w:p w14:paraId="46CA09B7"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Rasband, W.S., 1997. ImageJ.</w:t>
      </w:r>
    </w:p>
    <w:p w14:paraId="4FE37FDB"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Ricart, A.M., Gaylord, B., Hill, T.M., Sigwart, J.D., Shukla, P., Ward, M., Ninokawa, A., Sanford, E., 2021. Seagrass‑driven changes in carbonate chemistry enhance oyster shell growth. Oecologia. https://doi.org/https://doi.org/10.1007/s00442-021-04949-0</w:t>
      </w:r>
    </w:p>
    <w:p w14:paraId="65ACCE3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Roberts, E.A., Carrington, E., 2023. Byssal thread attachment and growth are not correlated across gradients of temperature and food availability for two congeneric mussel species. Mar. Ecol. Prog. Ser. 704, 35–54.</w:t>
      </w:r>
    </w:p>
    <w:p w14:paraId="317130F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Roma, J., Schertenleib, K., Ramalhosa, P., Gestoso, I., Canning-Clode, J., Lenz, M., 2021. Moderately elevated temperatures increase macroalgal food consumption in two sea urchin species from coastal waters of Madeira. J. Exp. Mar. Bio. Ecol. 542–543. https://doi.org/10.1016/j.jembe.2021.151603</w:t>
      </w:r>
    </w:p>
    <w:p w14:paraId="5E71152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RStudio Team, 2022. RStudio: Integrated Development Environment for R.</w:t>
      </w:r>
    </w:p>
    <w:p w14:paraId="33465330"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Rugiu, L., Hargrave, M.S., Enge, S., Sterner, M., Nylund, G.M., Pavia, H., 2020. Kelp in IMTAs: small variations in inorganic nitrogen concentrations drive different physiological responses of Saccharina latissima. J. Appl. Phycol. https://doi.org/10.1007/s10811-020-02333-8</w:t>
      </w:r>
    </w:p>
    <w:p w14:paraId="2BF22B3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Sadler, D.E., Lemasson, A.J., Knights, A.M., 2018. The effects of elevated CO2on shell properties and susceptibility to predation in mussels Mytilus edulis. Mar. Environ. Res. 139, 162–168. https://doi.org/10.1016/j.marenvres.2018.05.017</w:t>
      </w:r>
    </w:p>
    <w:p w14:paraId="04716BA0" w14:textId="67A5792B"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Schertenleib, K.S.H., 2024. Quantifying the impacts of multiple stressors on the production of marine benthic resources. PhD thesis. Trinity College Dublin, the University of Dublin.</w:t>
      </w:r>
      <w:r>
        <w:rPr>
          <w:noProof/>
          <w:szCs w:val="24"/>
        </w:rPr>
        <w:t xml:space="preserve"> </w:t>
      </w:r>
      <w:r w:rsidRPr="00A661A4">
        <w:rPr>
          <w:noProof/>
          <w:szCs w:val="24"/>
        </w:rPr>
        <w:t>http://www.tara.tcd.ie/handle/2262/104988</w:t>
      </w:r>
    </w:p>
    <w:p w14:paraId="0E3A8FE7"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Schmid, B., Hector, A., Saha, P., Loreau, M., 2008. Biodiversity effects and transgressive overyielding. J. Plant Ecol. 1, 95–102. https://doi.org/10.1093/jpe/rtn011</w:t>
      </w:r>
    </w:p>
    <w:p w14:paraId="77AF3BE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Schreiber, U., 2004. Pulse-Amplitude-Modulation (PAM) Fluorometry and Saturation Pulse Method: An Overview, in: Papageorgiou, G.C., Govindjee (Eds.), Chlorophyll a Fluorescence. Advances in </w:t>
      </w:r>
      <w:r w:rsidRPr="00A661A4">
        <w:rPr>
          <w:noProof/>
          <w:szCs w:val="24"/>
        </w:rPr>
        <w:lastRenderedPageBreak/>
        <w:t>Photosynthesis and Respiration. Springer, pp. 279–319. https://doi.org/doi.org/10.1007/978-1-4020-3218-9_11</w:t>
      </w:r>
    </w:p>
    <w:p w14:paraId="189AD6FB"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Seed, R., 1968. Factors influencing shell shape in the mussel Mytilus edulis. J. Mar. Biol. Assoc. United Kingdom 48, 561–584. https://doi.org/doi:10.1017/S0025315400019159</w:t>
      </w:r>
    </w:p>
    <w:p w14:paraId="0736139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Smale, D.A., Wernberg, T., Oliver, E.C.J., Thomsen, M., Harvey, B.P., Straub, S.C., Burrows, M.T., Alexander, L. V., Benthuysen, J.A., Donat, M.G., Feng, M., Hobday, A.J., Holbrook, N.J., Perkins-Kirkpatrick, S.E., Scannell, H.A., Sen Gupta, A., Payne, B.L., Moore, P.J., 2019. Marine heatwaves threaten global biodiversity and the provision of ecosystem services. Nat. Clim. Chang. 9, 306–312. https://doi.org/10.1038/s41558-019-0412-1</w:t>
      </w:r>
    </w:p>
    <w:p w14:paraId="409AF28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Stewart, R.I.A., Dossena, M., Bohan, D.A., Jeppesen, E., Kordas, R.L., Ledger, M.E., Meerhoff, M., Moss, B., Mulder, C., Shurin, J.B., Suttle, B., Thompson, R., Trimmer, M., Woodward, G., 2013. Mesocosm Experiments as a Tool for Ecological Climate-Change Research, 1st ed, Advances in Ecological Research. Elsevier Ltd. https://doi.org/10.1016/B978-0-12-417199-2.00002-1</w:t>
      </w:r>
    </w:p>
    <w:p w14:paraId="1357215A"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Tagliarolo, M., Porri, F., Scharler, U.M., 2018. Temperature-induced variability in metabolic activity of ecologically important estuarine macrobenthos. Mar. Biol. 165, 1–13. https://doi.org/10.1007/s00227-017-3276-9</w:t>
      </w:r>
    </w:p>
    <w:p w14:paraId="10A73A4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Theuerkauf, S.J., Barrett, L.T., Alleway, H.K., Costa-Pierce, B.A., St. Gelais, A., Jones, R.C., 2022. Habitat value of bivalve shellfish and seaweed aquaculture for fish and invertebrates: Pathways, synthesis and next steps. Rev. Aquac. 14, 54–72. https://doi.org/10.1111/raq.12584</w:t>
      </w:r>
    </w:p>
    <w:p w14:paraId="7A73CC05"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Thomsen, J., Casties, I., Pansch, C., Körtzinger, A., Melzner, F., 2013. Food availability outweighs ocean acidification effects in juvenile Mytilus edulis: Laboratory and field experiments. Glob. Chang. Biol. 19, 1017–1027. https://doi.org/10.1111/gcb.12109</w:t>
      </w:r>
    </w:p>
    <w:p w14:paraId="4766E349"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Troell, M., Henriksson, P.J.G., Buschmann, A.H., Chopin, T., Quahe, S., 2022. Farming the Ocean–Seaweeds as a Quick Fix for the Climate? Rev. Fish. Sci. Aquac. https://doi.org/10.1080/23308249.2022.2048792</w:t>
      </w:r>
    </w:p>
    <w:p w14:paraId="512A50F1"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Turschwell, M.P., Connolly, S.R., Schäfer, R.B., De Laender, F., Campbell, M.D., Mantyka-Pringle, C., Jackson, M.C., Kattwinkel, M., Sievers, M., Ashauer, R., Côté, I.M., Connolly, R.M., van den Brink, </w:t>
      </w:r>
      <w:r w:rsidRPr="00A661A4">
        <w:rPr>
          <w:noProof/>
          <w:szCs w:val="24"/>
        </w:rPr>
        <w:lastRenderedPageBreak/>
        <w:t>P.J., Brown, C.J., 2022. Interactive effects of multiple stressors vary with consumer interactions, stressor dynamics and magnitude. Ecol. Lett. 25, 1483–1496. https://doi.org/10.1111/ele.14013</w:t>
      </w:r>
    </w:p>
    <w:p w14:paraId="5F701D31"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Vargas, C.A., Lagos, N.A., Lardies, M.A., Duarte, C., Manríquez, P.H., Aguilera, V.M., Broitman, B., Widdicombe, S., Dupont, S., 2017. Species-specific responses to ocean acidification should account for local adaptation and adaptive plasticity. Nat. Ecol. Evol. 1. https://doi.org/10.1038/s41559-017-0084</w:t>
      </w:r>
    </w:p>
    <w:p w14:paraId="6B1CD35D"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Vasseur, D.A., DeLong, J.P., Gilbert, B., Greig, H.S., Harley, C.D.G., McCann, K.S., Savage, V., Tunney, T.D., O’Connor, M.I., 2014. Increased temperature variation poses a greater risk to species than climate warming. Proc. R. Soc. B Biol. Sci. 281, 20132612. https://doi.org/10.1098/rspb.2013.2612</w:t>
      </w:r>
    </w:p>
    <w:p w14:paraId="4BE58C92"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Veenhof, R.J., Champion, C., Dworjanyn, S.A., Wernberg, T., Minne, A.J.P., Layton, C., Bolton, J.J., Reed, D.C., Coleman, M.A., 2022. Kelp Gametophytes in Changing Oceans. Oceanogr. Mar. Biol. 60, 1–91. https://doi.org/10.1201/9781003288602-7</w:t>
      </w:r>
    </w:p>
    <w:p w14:paraId="404EAB8F"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Wahl, M., Schneider Covachã, S., Saderne, V., Hiebenthal, C., Müller, J.D., Pansch, C., Sawall, Y., 2018. Macroalgae may mitigate ocean acidification effects on mussel calcification by increasing pH and its fluctuations. Limnol. Oceanogr. 63, 3–21. https://doi.org/10.1002/lno.10608</w:t>
      </w:r>
    </w:p>
    <w:p w14:paraId="251863B8"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Wear, B., O’Connor, N.E., Schmid, M.J., Jackson, M.C., 2023. What does the future look like for kelp when facing multiple stressors? Ecol. Evol. 13, 1–9. https://doi.org/10.1002/ece3.10203</w:t>
      </w:r>
    </w:p>
    <w:p w14:paraId="33B64A5C"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Wernberg, T., Smale, D.A., Thomsen, M.S., 2012. A decade of climate change experiments on marine organisms: Procedures, patterns and problems. Glob. Chang. Biol. 18, 1491–1498. https://doi.org/10.1111/j.1365-2486.2012.02656.x</w:t>
      </w:r>
    </w:p>
    <w:p w14:paraId="734F6DF5"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Wickham, H., Averick, M., Bryan, J., Chang, W., McGowan, L., François, R., Grolemund, G., Hayes, A., Henry, L., Hester, J., Kuhn, M., Pedersen, T., Miller, E., Bache, S., Müller, K., Ooms, J., Robinson, D., Seidel, D., Spinu, V., Takahashi, K., Vaughan, D., Wilke, C., Woo, K., Yutani, H., 2019. Welcome to the tidyverse. J. Open Source Softw. 4, 1686. https://doi.org/doi:10.21105/joss.01686</w:t>
      </w:r>
    </w:p>
    <w:p w14:paraId="493A353B" w14:textId="77777777" w:rsidR="00A661A4" w:rsidRPr="00A661A4" w:rsidRDefault="00A661A4" w:rsidP="00A661A4">
      <w:pPr>
        <w:widowControl w:val="0"/>
        <w:autoSpaceDE w:val="0"/>
        <w:autoSpaceDN w:val="0"/>
        <w:adjustRightInd w:val="0"/>
        <w:spacing w:line="480" w:lineRule="auto"/>
        <w:ind w:left="480" w:hanging="480"/>
        <w:rPr>
          <w:noProof/>
          <w:szCs w:val="24"/>
        </w:rPr>
      </w:pPr>
      <w:r w:rsidRPr="00A661A4">
        <w:rPr>
          <w:noProof/>
          <w:szCs w:val="24"/>
        </w:rPr>
        <w:t xml:space="preserve">Young, C.S., Sylvers, L.H., Tomasetti, S.J., Lundstrom, A., Schenone, C., Doall, M.H., Gobler, C.J., 2022. Kelp (Saccharina latissima) Mitigates Coastal Ocean Acidification and Increases the Growth of North Atlantic Bivalves in Lab Experiments and on an Oyster Farm. Front. Mar. Sci. 9, 1–19. </w:t>
      </w:r>
      <w:r w:rsidRPr="00A661A4">
        <w:rPr>
          <w:noProof/>
          <w:szCs w:val="24"/>
        </w:rPr>
        <w:lastRenderedPageBreak/>
        <w:t>https://doi.org/10.3389/fmars.2022.881254</w:t>
      </w:r>
    </w:p>
    <w:p w14:paraId="5919018F" w14:textId="77777777" w:rsidR="00A661A4" w:rsidRPr="00A661A4" w:rsidRDefault="00A661A4" w:rsidP="00A661A4">
      <w:pPr>
        <w:widowControl w:val="0"/>
        <w:autoSpaceDE w:val="0"/>
        <w:autoSpaceDN w:val="0"/>
        <w:adjustRightInd w:val="0"/>
        <w:spacing w:line="480" w:lineRule="auto"/>
        <w:ind w:left="480" w:hanging="480"/>
        <w:rPr>
          <w:noProof/>
        </w:rPr>
      </w:pPr>
      <w:r w:rsidRPr="00A661A4">
        <w:rPr>
          <w:noProof/>
          <w:szCs w:val="24"/>
        </w:rPr>
        <w:t>Zhang, T., Li, X., Cao, R., Zhang, Q., Qu, Y., Wang, Q., Dong, Z., Zhao, J., 2022. Interactive effects of ocean acidification, ocean warming, and diurnal temperature cycling on antioxidant responses and energy budgets in two sea urchins Strongylocentrotus intermedius and Tripneustes gratilla from different latitudes. Sci. Total Environ. 824. https://doi.org/10.1016/j.scitotenv.2022.153780</w:t>
      </w:r>
    </w:p>
    <w:p w14:paraId="1ACC9E2E" w14:textId="10DDC108" w:rsidR="00991DC1" w:rsidRPr="00991DC1" w:rsidRDefault="00991DC1" w:rsidP="006733CF">
      <w:pPr>
        <w:spacing w:line="480" w:lineRule="auto"/>
      </w:pPr>
      <w:r>
        <w:fldChar w:fldCharType="end"/>
      </w:r>
    </w:p>
    <w:p w14:paraId="2617B6B8" w14:textId="7FA0039F" w:rsidR="00865240" w:rsidRDefault="001D1307" w:rsidP="006733CF">
      <w:pPr>
        <w:pStyle w:val="Heading1"/>
        <w:spacing w:line="480" w:lineRule="auto"/>
      </w:pPr>
      <w:bookmarkStart w:id="40" w:name="_Toc157356569"/>
      <w:r>
        <w:t xml:space="preserve">Appendix – </w:t>
      </w:r>
      <w:r w:rsidR="00865240">
        <w:t>Supplementary Material</w:t>
      </w:r>
      <w:bookmarkEnd w:id="40"/>
    </w:p>
    <w:p w14:paraId="0C082751" w14:textId="118FAE56" w:rsidR="00865240" w:rsidRDefault="004B2DBA" w:rsidP="006733CF">
      <w:pPr>
        <w:pStyle w:val="Heading2"/>
        <w:numPr>
          <w:ilvl w:val="1"/>
          <w:numId w:val="1"/>
        </w:numPr>
        <w:spacing w:line="480" w:lineRule="auto"/>
      </w:pPr>
      <w:r>
        <w:t xml:space="preserve"> </w:t>
      </w:r>
      <w:bookmarkStart w:id="41" w:name="_Ref127814959"/>
      <w:bookmarkStart w:id="42" w:name="_Toc157356570"/>
      <w:r>
        <w:t>Shell length determination</w:t>
      </w:r>
      <w:bookmarkEnd w:id="41"/>
      <w:r w:rsidR="00E63DC2">
        <w:t xml:space="preserve"> and size-independent mortality</w:t>
      </w:r>
      <w:bookmarkEnd w:id="42"/>
    </w:p>
    <w:p w14:paraId="32F6CE7B" w14:textId="2B6AB5A4" w:rsidR="00BF21BE" w:rsidRDefault="00BF21BE" w:rsidP="006733CF">
      <w:pPr>
        <w:spacing w:line="480" w:lineRule="auto"/>
      </w:pPr>
      <w:r>
        <w:t>At the start and the end of the experiment, the mussels from each mesocosm were photographed on graph paper for subsequent shell length determination. Initial and final individual mussel shell lengths were determined from a random half of the mesocosms (</w:t>
      </w:r>
      <w:r w:rsidRPr="00C4329E">
        <w:rPr>
          <w:i/>
          <w:iCs/>
        </w:rPr>
        <w:t>n</w:t>
      </w:r>
      <w:r w:rsidRPr="00B31D4E">
        <w:rPr>
          <w:i/>
          <w:iCs/>
        </w:rPr>
        <w:t xml:space="preserve"> </w:t>
      </w:r>
      <w:r>
        <w:t xml:space="preserve">= 30) by measuring the maximum anterior-posterior axes </w:t>
      </w:r>
      <w:r>
        <w:fldChar w:fldCharType="begin" w:fldLock="1"/>
      </w:r>
      <w:r w:rsidR="00082159">
        <w:instrText>ADDIN CSL_CITATION {"citationItems":[{"id":"ITEM-1","itemData":{"DOI":"doi:10.1017/S0025315400019159","author":[{"dropping-particle":"","family":"Seed","given":"R.","non-dropping-particle":"","parse-names":false,"suffix":""}],"container-title":"Journal of the Marine Biological Association of the United Kingdom","id":"ITEM-1","issue":"3","issued":{"date-parts":[["1968"]]},"page":"561-584","publisher":"Library of Trinity College Dublin","title":"Factors influencing shell shape in the mussel Mytilus edulis","type":"article-journal","volume":"48"},"uris":["http://www.mendeley.com/documents/?uuid=f9a94cb1-c4a6-486e-ba7e-47354e10561b"]}],"mendeley":{"formattedCitation":"(Seed, 1968)","plainTextFormattedCitation":"(Seed, 1968)","previouslyFormattedCitation":"(Seed, 1968)"},"properties":{"noteIndex":0},"schema":"https://github.com/citation-style-language/schema/raw/master/csl-citation.json"}</w:instrText>
      </w:r>
      <w:r>
        <w:fldChar w:fldCharType="separate"/>
      </w:r>
      <w:r w:rsidRPr="00571787">
        <w:rPr>
          <w:noProof/>
        </w:rPr>
        <w:t>(Seed, 1968)</w:t>
      </w:r>
      <w:r>
        <w:fldChar w:fldCharType="end"/>
      </w:r>
      <w:r>
        <w:t xml:space="preserve"> using image analysis (ImageJ 1.53q</w:t>
      </w:r>
      <w:r w:rsidR="00277CA1">
        <w:t>;</w:t>
      </w:r>
      <w:r>
        <w:t xml:space="preserve"> </w:t>
      </w:r>
      <w:r>
        <w:fldChar w:fldCharType="begin" w:fldLock="1"/>
      </w:r>
      <w:r w:rsidR="00277CA1">
        <w:instrText>ADDIN CSL_CITATION {"citationItems":[{"id":"ITEM-1","itemData":{"author":[{"dropping-particle":"","family":"Rasband","given":"W. S.","non-dropping-particle":"","parse-names":false,"suffix":""}],"id":"ITEM-1","issued":{"date-parts":[["1997"]]},"number":"1.53q","publisher":"U. S. National Institutes of Health, Bethesda, Maryland, USA","title":"ImageJ","type":"article"},"uris":["http://www.mendeley.com/documents/?uuid=02c07a69-ebb5-4ecf-97d2-0257f002a600"]}],"mendeley":{"formattedCitation":"(Rasband, 1997)","manualFormatting":"Rasband, 1997)","plainTextFormattedCitation":"(Rasband, 1997)","previouslyFormattedCitation":"(Rasband, 1997)"},"properties":{"noteIndex":0},"schema":"https://github.com/citation-style-language/schema/raw/master/csl-citation.json"}</w:instrText>
      </w:r>
      <w:r>
        <w:fldChar w:fldCharType="separate"/>
      </w:r>
      <w:r w:rsidRPr="00571787">
        <w:rPr>
          <w:noProof/>
        </w:rPr>
        <w:t>Rasband, 1997)</w:t>
      </w:r>
      <w:r>
        <w:fldChar w:fldCharType="end"/>
      </w:r>
      <w:r>
        <w:t xml:space="preserve">. Mussel lengths were comparable within photos but not across photos because the camera was readjusted several times when photos were taken. As a consequence, no absolute length growth rates could be determined. However, Kolmogorov Smirnov tests confirmed that in 29 of the 30 examined mesocosms the lengths distributions remained the same throughout the experiment, </w:t>
      </w:r>
      <w:proofErr w:type="gramStart"/>
      <w:r>
        <w:t>i.e.</w:t>
      </w:r>
      <w:proofErr w:type="gramEnd"/>
      <w:r>
        <w:t xml:space="preserve"> mussel mortality was independent of </w:t>
      </w:r>
      <w:r w:rsidRPr="00576AAA">
        <w:t>size</w:t>
      </w:r>
      <w:r w:rsidR="006956CF">
        <w:t xml:space="preserve"> (</w:t>
      </w:r>
      <w:r w:rsidR="006956CF">
        <w:fldChar w:fldCharType="begin"/>
      </w:r>
      <w:r w:rsidR="006956CF">
        <w:instrText xml:space="preserve"> REF _Ref127833813 \h </w:instrText>
      </w:r>
      <w:r w:rsidR="006733CF">
        <w:instrText xml:space="preserve"> \* MERGEFORMAT </w:instrText>
      </w:r>
      <w:r w:rsidR="006956CF">
        <w:fldChar w:fldCharType="separate"/>
      </w:r>
      <w:r w:rsidR="006956CF">
        <w:t xml:space="preserve">Table </w:t>
      </w:r>
      <w:r w:rsidR="006956CF">
        <w:rPr>
          <w:noProof/>
        </w:rPr>
        <w:t>A.2</w:t>
      </w:r>
      <w:r w:rsidR="006956CF">
        <w:t>.</w:t>
      </w:r>
      <w:r w:rsidR="006956CF">
        <w:rPr>
          <w:noProof/>
        </w:rPr>
        <w:t>2</w:t>
      </w:r>
      <w:r w:rsidR="006956CF">
        <w:fldChar w:fldCharType="end"/>
      </w:r>
      <w:r>
        <w:t>). Accordingly, mussel individuals of a mesocosm were treated as similar on average and clearance rate samples that were taken before mussel retrieval at the end of the experiment were standardised by the number of alive mussels per mesocosm.</w:t>
      </w:r>
    </w:p>
    <w:p w14:paraId="326A4B3E" w14:textId="42BDC7B0" w:rsidR="00DC2DB6" w:rsidRDefault="00BF21BE" w:rsidP="006733CF">
      <w:pPr>
        <w:spacing w:line="480" w:lineRule="auto"/>
      </w:pPr>
      <w:r>
        <w:t>Shell lengths of mussels used in shell strength tests were determined separately with the same methodology and without camera readjustments to ensure comparability of the lengths.</w:t>
      </w:r>
    </w:p>
    <w:p w14:paraId="56CE2F86" w14:textId="3BF5DB6B" w:rsidR="00611878" w:rsidRDefault="00611878" w:rsidP="006733CF">
      <w:pPr>
        <w:spacing w:line="480" w:lineRule="auto"/>
      </w:pPr>
      <w:r>
        <w:t>References</w:t>
      </w:r>
      <w:r w:rsidR="003C6817">
        <w:t xml:space="preserve"> A.1</w:t>
      </w:r>
      <w:r>
        <w:t>:</w:t>
      </w:r>
    </w:p>
    <w:p w14:paraId="2E1FA79A" w14:textId="02415746" w:rsidR="00611878" w:rsidRDefault="00611878" w:rsidP="006733CF">
      <w:pPr>
        <w:spacing w:line="480" w:lineRule="auto"/>
      </w:pPr>
      <w:proofErr w:type="spellStart"/>
      <w:r w:rsidRPr="00611878">
        <w:t>Rasband</w:t>
      </w:r>
      <w:proofErr w:type="spellEnd"/>
      <w:r w:rsidRPr="00611878">
        <w:t>, W. S. (1997). ImageJ. U. S. National Institutes of Health, Bethesda, Maryland, USA. Retrieved from https://imagej.nih.gov/ij/</w:t>
      </w:r>
    </w:p>
    <w:p w14:paraId="60464CCB" w14:textId="362787F7" w:rsidR="00611878" w:rsidRDefault="00611878" w:rsidP="006733CF">
      <w:pPr>
        <w:spacing w:line="480" w:lineRule="auto"/>
      </w:pPr>
      <w:r w:rsidRPr="00611878">
        <w:t>Seed, R. (1969). The ecology of Mytilus edulis L. (</w:t>
      </w:r>
      <w:proofErr w:type="spellStart"/>
      <w:r w:rsidRPr="00611878">
        <w:t>Lamellibranchiata</w:t>
      </w:r>
      <w:proofErr w:type="spellEnd"/>
      <w:r w:rsidRPr="00611878">
        <w:t xml:space="preserve">) on exposed rocky shores - I. Breeding and settlement. </w:t>
      </w:r>
      <w:proofErr w:type="spellStart"/>
      <w:r w:rsidRPr="00611878">
        <w:t>Oecologia</w:t>
      </w:r>
      <w:proofErr w:type="spellEnd"/>
      <w:r w:rsidRPr="00611878">
        <w:t xml:space="preserve">, 3(3–4), 277–316. </w:t>
      </w:r>
      <w:r w:rsidRPr="00B50E5C">
        <w:t>https://doi.org/https://doi.org/10.1007/BF00390380</w:t>
      </w:r>
    </w:p>
    <w:p w14:paraId="2C447467" w14:textId="77777777" w:rsidR="00611878" w:rsidRDefault="00611878" w:rsidP="006733CF">
      <w:pPr>
        <w:spacing w:line="480" w:lineRule="auto"/>
      </w:pPr>
    </w:p>
    <w:p w14:paraId="30F15491" w14:textId="3FD34A9C" w:rsidR="00BF21BE" w:rsidRPr="004C5A34" w:rsidRDefault="004B2DBA" w:rsidP="006733CF">
      <w:pPr>
        <w:pStyle w:val="Heading2"/>
        <w:numPr>
          <w:ilvl w:val="1"/>
          <w:numId w:val="1"/>
        </w:numPr>
        <w:spacing w:line="480" w:lineRule="auto"/>
      </w:pPr>
      <w:r>
        <w:t xml:space="preserve"> </w:t>
      </w:r>
      <w:bookmarkStart w:id="43" w:name="_Toc157356571"/>
      <w:r w:rsidR="00BF21BE">
        <w:t>Supplemental Tables</w:t>
      </w:r>
      <w:bookmarkEnd w:id="43"/>
    </w:p>
    <w:p w14:paraId="54D1DF0E" w14:textId="2C412906" w:rsidR="00531CEB" w:rsidRDefault="00BF21BE">
      <w:pPr>
        <w:pStyle w:val="Caption"/>
      </w:pPr>
      <w:bookmarkStart w:id="44" w:name="_Ref127833870"/>
      <w:bookmarkStart w:id="45" w:name="_Toc157357348"/>
      <w:r>
        <w:t xml:space="preserve">Table </w:t>
      </w:r>
      <w:fldSimple w:instr=" STYLEREF 2 \s ">
        <w:r w:rsidR="00531CEB">
          <w:rPr>
            <w:noProof/>
          </w:rPr>
          <w:t>A.2</w:t>
        </w:r>
      </w:fldSimple>
      <w:r w:rsidR="00531CEB">
        <w:t>.</w:t>
      </w:r>
      <w:fldSimple w:instr=" SEQ Table \* ARABIC \s 2 ">
        <w:r w:rsidR="00531CEB">
          <w:rPr>
            <w:noProof/>
          </w:rPr>
          <w:t>1</w:t>
        </w:r>
      </w:fldSimple>
      <w:bookmarkEnd w:id="44"/>
      <w:r w:rsidRPr="00BF21BE">
        <w:t xml:space="preserve"> </w:t>
      </w:r>
      <w:r w:rsidRPr="00037AC6">
        <w:t>TukeyHSD test on the effect of temperature (3 levels: T</w:t>
      </w:r>
      <w:r>
        <w:t>a</w:t>
      </w:r>
      <w:r w:rsidRPr="00037AC6">
        <w:t xml:space="preserve"> – ambient, T+ – ambient +</w:t>
      </w:r>
      <w:r w:rsidR="00153135">
        <w:t>0.8</w:t>
      </w:r>
      <w:r w:rsidRPr="00037AC6">
        <w:t xml:space="preserve"> °C, T++ – ambient + 2°C</w:t>
      </w:r>
      <w:r>
        <w:t>)</w:t>
      </w:r>
      <w:r w:rsidRPr="00037AC6">
        <w:t xml:space="preserve"> </w:t>
      </w:r>
      <w:r w:rsidRPr="008A3DE2">
        <w:t xml:space="preserve">on the maximum quantum yield </w:t>
      </w:r>
      <w:proofErr w:type="spellStart"/>
      <w:r w:rsidRPr="008A3DE2">
        <w:t>F</w:t>
      </w:r>
      <w:r w:rsidRPr="008A3DE2">
        <w:rPr>
          <w:vertAlign w:val="subscript"/>
        </w:rPr>
        <w:t>v</w:t>
      </w:r>
      <w:proofErr w:type="spellEnd"/>
      <w:r w:rsidRPr="008A3DE2">
        <w:t>/F</w:t>
      </w:r>
      <w:r w:rsidRPr="008A3DE2">
        <w:rPr>
          <w:vertAlign w:val="subscript"/>
        </w:rPr>
        <w:t>m</w:t>
      </w:r>
      <w:r w:rsidRPr="008A3DE2">
        <w:t>.</w:t>
      </w:r>
      <w:bookmarkEnd w:id="45"/>
      <w:r w:rsidRPr="008A3DE2">
        <w:t xml:space="preserve"> </w:t>
      </w:r>
    </w:p>
    <w:tbl>
      <w:tblPr>
        <w:tblStyle w:val="PlainTable4"/>
        <w:tblW w:w="0" w:type="auto"/>
        <w:jc w:val="center"/>
        <w:tblLook w:val="04A0" w:firstRow="1" w:lastRow="0" w:firstColumn="1" w:lastColumn="0" w:noHBand="0" w:noVBand="1"/>
      </w:tblPr>
      <w:tblGrid>
        <w:gridCol w:w="775"/>
        <w:gridCol w:w="734"/>
        <w:gridCol w:w="1328"/>
        <w:gridCol w:w="1332"/>
        <w:gridCol w:w="755"/>
      </w:tblGrid>
      <w:tr w:rsidR="00BF21BE" w:rsidRPr="00AA26BF" w14:paraId="161A13A8" w14:textId="77777777" w:rsidTr="00AA26BF">
        <w:trPr>
          <w:cnfStyle w:val="100000000000" w:firstRow="1" w:lastRow="0" w:firstColumn="0" w:lastColumn="0" w:oddVBand="0" w:evenVBand="0" w:oddHBand="0"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noWrap/>
            <w:hideMark/>
          </w:tcPr>
          <w:p w14:paraId="7E826473" w14:textId="77777777" w:rsidR="00BF21BE" w:rsidRPr="00AA26BF" w:rsidRDefault="00BF21BE" w:rsidP="006733CF">
            <w:pPr>
              <w:spacing w:line="480" w:lineRule="auto"/>
              <w:rPr>
                <w:rFonts w:asciiTheme="minorHAnsi" w:hAnsiTheme="minorHAnsi" w:cstheme="minorHAnsi"/>
                <w:b w:val="0"/>
                <w:bCs w:val="0"/>
                <w:sz w:val="20"/>
                <w:szCs w:val="20"/>
              </w:rPr>
            </w:pPr>
          </w:p>
        </w:tc>
        <w:tc>
          <w:tcPr>
            <w:tcW w:w="0" w:type="auto"/>
            <w:tcBorders>
              <w:bottom w:val="single" w:sz="4" w:space="0" w:color="auto"/>
            </w:tcBorders>
            <w:noWrap/>
            <w:hideMark/>
          </w:tcPr>
          <w:p w14:paraId="6B5479E0" w14:textId="77777777" w:rsidR="00BF21BE" w:rsidRPr="00AA26BF" w:rsidRDefault="00BF21BE" w:rsidP="006733CF">
            <w:pPr>
              <w:spacing w:line="480"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AA26BF">
              <w:rPr>
                <w:rFonts w:asciiTheme="minorHAnsi" w:hAnsiTheme="minorHAnsi" w:cstheme="minorHAnsi"/>
                <w:sz w:val="20"/>
                <w:szCs w:val="20"/>
              </w:rPr>
              <w:t>Diff</w:t>
            </w:r>
          </w:p>
        </w:tc>
        <w:tc>
          <w:tcPr>
            <w:tcW w:w="0" w:type="auto"/>
            <w:tcBorders>
              <w:bottom w:val="single" w:sz="4" w:space="0" w:color="auto"/>
            </w:tcBorders>
            <w:noWrap/>
            <w:hideMark/>
          </w:tcPr>
          <w:p w14:paraId="22D46802" w14:textId="77777777" w:rsidR="00BF21BE" w:rsidRPr="00AA26BF" w:rsidRDefault="00BF21BE" w:rsidP="006733CF">
            <w:pPr>
              <w:spacing w:line="480"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AA26BF">
              <w:rPr>
                <w:rFonts w:asciiTheme="minorHAnsi" w:hAnsiTheme="minorHAnsi" w:cstheme="minorHAnsi"/>
                <w:sz w:val="20"/>
                <w:szCs w:val="20"/>
              </w:rPr>
              <w:t>Lower 95% CI</w:t>
            </w:r>
          </w:p>
        </w:tc>
        <w:tc>
          <w:tcPr>
            <w:tcW w:w="0" w:type="auto"/>
            <w:tcBorders>
              <w:bottom w:val="single" w:sz="4" w:space="0" w:color="auto"/>
            </w:tcBorders>
            <w:noWrap/>
            <w:hideMark/>
          </w:tcPr>
          <w:p w14:paraId="49A6E247" w14:textId="77777777" w:rsidR="00BF21BE" w:rsidRPr="00AA26BF" w:rsidRDefault="00BF21BE" w:rsidP="006733CF">
            <w:pPr>
              <w:spacing w:line="480"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AA26BF">
              <w:rPr>
                <w:rFonts w:asciiTheme="minorHAnsi" w:hAnsiTheme="minorHAnsi" w:cstheme="minorHAnsi"/>
                <w:sz w:val="20"/>
                <w:szCs w:val="20"/>
              </w:rPr>
              <w:t>Upper 95% CI</w:t>
            </w:r>
          </w:p>
        </w:tc>
        <w:tc>
          <w:tcPr>
            <w:tcW w:w="0" w:type="auto"/>
            <w:tcBorders>
              <w:bottom w:val="single" w:sz="4" w:space="0" w:color="auto"/>
            </w:tcBorders>
            <w:noWrap/>
            <w:hideMark/>
          </w:tcPr>
          <w:p w14:paraId="2243978F" w14:textId="77777777" w:rsidR="00BF21BE" w:rsidRPr="00AA26BF" w:rsidRDefault="00BF21BE" w:rsidP="006733CF">
            <w:pPr>
              <w:spacing w:line="480"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
                <w:iCs/>
                <w:sz w:val="20"/>
                <w:szCs w:val="20"/>
              </w:rPr>
            </w:pPr>
            <w:r w:rsidRPr="00AA26BF">
              <w:rPr>
                <w:rFonts w:asciiTheme="minorHAnsi" w:hAnsiTheme="minorHAnsi" w:cstheme="minorHAnsi"/>
                <w:i/>
                <w:iCs/>
                <w:sz w:val="20"/>
                <w:szCs w:val="20"/>
              </w:rPr>
              <w:t>P (</w:t>
            </w:r>
            <w:proofErr w:type="spellStart"/>
            <w:r w:rsidRPr="00AA26BF">
              <w:rPr>
                <w:rFonts w:asciiTheme="minorHAnsi" w:hAnsiTheme="minorHAnsi" w:cstheme="minorHAnsi"/>
                <w:i/>
                <w:iCs/>
                <w:sz w:val="20"/>
                <w:szCs w:val="20"/>
              </w:rPr>
              <w:t>adj</w:t>
            </w:r>
            <w:proofErr w:type="spellEnd"/>
            <w:r w:rsidRPr="00AA26BF">
              <w:rPr>
                <w:rFonts w:asciiTheme="minorHAnsi" w:hAnsiTheme="minorHAnsi" w:cstheme="minorHAnsi"/>
                <w:i/>
                <w:iCs/>
                <w:sz w:val="20"/>
                <w:szCs w:val="20"/>
              </w:rPr>
              <w:t>)</w:t>
            </w:r>
          </w:p>
        </w:tc>
      </w:tr>
      <w:tr w:rsidR="00BF21BE" w:rsidRPr="00AA26BF" w14:paraId="654C380B"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noWrap/>
            <w:hideMark/>
          </w:tcPr>
          <w:p w14:paraId="0170CB2F" w14:textId="77777777" w:rsidR="00BF21BE" w:rsidRPr="00AA26BF" w:rsidRDefault="00BF21BE" w:rsidP="006733CF">
            <w:pPr>
              <w:spacing w:line="480" w:lineRule="auto"/>
              <w:jc w:val="left"/>
              <w:rPr>
                <w:rFonts w:asciiTheme="minorHAnsi" w:eastAsia="Times New Roman" w:hAnsiTheme="minorHAnsi" w:cstheme="minorHAnsi"/>
                <w:b w:val="0"/>
                <w:bCs w:val="0"/>
                <w:color w:val="000000"/>
                <w:sz w:val="20"/>
                <w:szCs w:val="20"/>
                <w:lang w:eastAsia="en-IE"/>
              </w:rPr>
            </w:pPr>
            <w:r w:rsidRPr="00AA26BF">
              <w:rPr>
                <w:rFonts w:asciiTheme="minorHAnsi" w:eastAsia="Times New Roman" w:hAnsiTheme="minorHAnsi" w:cstheme="minorHAnsi"/>
                <w:color w:val="000000"/>
                <w:sz w:val="20"/>
                <w:szCs w:val="20"/>
                <w:lang w:eastAsia="en-IE"/>
              </w:rPr>
              <w:t>T++-T+</w:t>
            </w:r>
          </w:p>
        </w:tc>
        <w:tc>
          <w:tcPr>
            <w:tcW w:w="0" w:type="auto"/>
            <w:tcBorders>
              <w:top w:val="single" w:sz="4" w:space="0" w:color="auto"/>
            </w:tcBorders>
            <w:noWrap/>
          </w:tcPr>
          <w:p w14:paraId="5F2F718F"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-0.062</w:t>
            </w:r>
          </w:p>
        </w:tc>
        <w:tc>
          <w:tcPr>
            <w:tcW w:w="0" w:type="auto"/>
            <w:tcBorders>
              <w:top w:val="single" w:sz="4" w:space="0" w:color="auto"/>
            </w:tcBorders>
            <w:noWrap/>
          </w:tcPr>
          <w:p w14:paraId="3A247097"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-0.128</w:t>
            </w:r>
          </w:p>
        </w:tc>
        <w:tc>
          <w:tcPr>
            <w:tcW w:w="0" w:type="auto"/>
            <w:tcBorders>
              <w:top w:val="single" w:sz="4" w:space="0" w:color="auto"/>
            </w:tcBorders>
            <w:noWrap/>
          </w:tcPr>
          <w:p w14:paraId="2300168A"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0.005</w:t>
            </w:r>
          </w:p>
        </w:tc>
        <w:tc>
          <w:tcPr>
            <w:tcW w:w="0" w:type="auto"/>
            <w:tcBorders>
              <w:top w:val="single" w:sz="4" w:space="0" w:color="auto"/>
            </w:tcBorders>
            <w:noWrap/>
          </w:tcPr>
          <w:p w14:paraId="556D8320"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0.074</w:t>
            </w:r>
          </w:p>
        </w:tc>
      </w:tr>
      <w:tr w:rsidR="00BF21BE" w:rsidRPr="00AA26BF" w14:paraId="617056D4"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80EDA89" w14:textId="77777777" w:rsidR="00BF21BE" w:rsidRPr="00AA26BF" w:rsidRDefault="00BF21BE" w:rsidP="006733CF">
            <w:pPr>
              <w:spacing w:line="480" w:lineRule="auto"/>
              <w:jc w:val="left"/>
              <w:rPr>
                <w:rFonts w:asciiTheme="minorHAnsi" w:eastAsia="Times New Roman" w:hAnsiTheme="minorHAnsi" w:cstheme="minorHAnsi"/>
                <w:b w:val="0"/>
                <w:bCs w:val="0"/>
                <w:color w:val="000000"/>
                <w:sz w:val="20"/>
                <w:szCs w:val="20"/>
                <w:lang w:eastAsia="en-IE"/>
              </w:rPr>
            </w:pPr>
            <w:r w:rsidRPr="00AA26BF">
              <w:rPr>
                <w:rFonts w:asciiTheme="minorHAnsi" w:eastAsia="Times New Roman" w:hAnsiTheme="minorHAnsi" w:cstheme="minorHAnsi"/>
                <w:color w:val="000000"/>
                <w:sz w:val="20"/>
                <w:szCs w:val="20"/>
                <w:lang w:eastAsia="en-IE"/>
              </w:rPr>
              <w:t>Ta-T+</w:t>
            </w:r>
          </w:p>
        </w:tc>
        <w:tc>
          <w:tcPr>
            <w:tcW w:w="0" w:type="auto"/>
            <w:noWrap/>
          </w:tcPr>
          <w:p w14:paraId="2CE279C3" w14:textId="77777777" w:rsidR="00BF21BE" w:rsidRPr="00AA26BF" w:rsidRDefault="00BF21BE" w:rsidP="006733CF">
            <w:pPr>
              <w:spacing w:line="48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-0.060</w:t>
            </w:r>
          </w:p>
        </w:tc>
        <w:tc>
          <w:tcPr>
            <w:tcW w:w="0" w:type="auto"/>
            <w:noWrap/>
          </w:tcPr>
          <w:p w14:paraId="0765E5F7" w14:textId="77777777" w:rsidR="00BF21BE" w:rsidRPr="00AA26BF" w:rsidRDefault="00BF21BE" w:rsidP="006733CF">
            <w:pPr>
              <w:spacing w:line="48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-0.126</w:t>
            </w:r>
          </w:p>
        </w:tc>
        <w:tc>
          <w:tcPr>
            <w:tcW w:w="0" w:type="auto"/>
            <w:noWrap/>
          </w:tcPr>
          <w:p w14:paraId="6B33EA14" w14:textId="77777777" w:rsidR="00BF21BE" w:rsidRPr="00AA26BF" w:rsidRDefault="00BF21BE" w:rsidP="006733CF">
            <w:pPr>
              <w:spacing w:line="48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0.007</w:t>
            </w:r>
          </w:p>
        </w:tc>
        <w:tc>
          <w:tcPr>
            <w:tcW w:w="0" w:type="auto"/>
            <w:noWrap/>
          </w:tcPr>
          <w:p w14:paraId="41A7E7B1" w14:textId="77777777" w:rsidR="00BF21BE" w:rsidRPr="00AA26BF" w:rsidRDefault="00BF21BE" w:rsidP="006733CF">
            <w:pPr>
              <w:spacing w:line="48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0.085</w:t>
            </w:r>
          </w:p>
        </w:tc>
      </w:tr>
      <w:tr w:rsidR="00BF21BE" w:rsidRPr="00AA26BF" w14:paraId="2730B6DC"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DBFE194" w14:textId="77777777" w:rsidR="00BF21BE" w:rsidRPr="00AA26BF" w:rsidRDefault="00BF21BE" w:rsidP="006733CF">
            <w:pPr>
              <w:spacing w:line="480" w:lineRule="auto"/>
              <w:jc w:val="left"/>
              <w:rPr>
                <w:rFonts w:asciiTheme="minorHAnsi" w:eastAsia="Times New Roman" w:hAnsiTheme="minorHAnsi" w:cstheme="minorHAnsi"/>
                <w:b w:val="0"/>
                <w:bCs w:val="0"/>
                <w:color w:val="000000"/>
                <w:sz w:val="20"/>
                <w:szCs w:val="20"/>
                <w:lang w:eastAsia="en-IE"/>
              </w:rPr>
            </w:pPr>
            <w:r w:rsidRPr="00AA26BF">
              <w:rPr>
                <w:rFonts w:asciiTheme="minorHAnsi" w:eastAsia="Times New Roman" w:hAnsiTheme="minorHAnsi" w:cstheme="minorHAnsi"/>
                <w:color w:val="000000"/>
                <w:sz w:val="20"/>
                <w:szCs w:val="20"/>
                <w:lang w:eastAsia="en-IE"/>
              </w:rPr>
              <w:t>Ta-T++</w:t>
            </w:r>
          </w:p>
        </w:tc>
        <w:tc>
          <w:tcPr>
            <w:tcW w:w="0" w:type="auto"/>
            <w:noWrap/>
          </w:tcPr>
          <w:p w14:paraId="353DA715"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0.002</w:t>
            </w:r>
          </w:p>
        </w:tc>
        <w:tc>
          <w:tcPr>
            <w:tcW w:w="0" w:type="auto"/>
            <w:noWrap/>
          </w:tcPr>
          <w:p w14:paraId="193FB2F0"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-0.065</w:t>
            </w:r>
          </w:p>
        </w:tc>
        <w:tc>
          <w:tcPr>
            <w:tcW w:w="0" w:type="auto"/>
            <w:noWrap/>
          </w:tcPr>
          <w:p w14:paraId="3BC060A7"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0.068</w:t>
            </w:r>
          </w:p>
        </w:tc>
        <w:tc>
          <w:tcPr>
            <w:tcW w:w="0" w:type="auto"/>
            <w:noWrap/>
          </w:tcPr>
          <w:p w14:paraId="5E48BABC" w14:textId="77777777" w:rsidR="00BF21BE" w:rsidRPr="00AA26BF" w:rsidRDefault="00BF21BE" w:rsidP="006733CF">
            <w:pPr>
              <w:spacing w:line="480"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0.998</w:t>
            </w:r>
          </w:p>
        </w:tc>
      </w:tr>
    </w:tbl>
    <w:p w14:paraId="7F022D4F" w14:textId="121788FD" w:rsidR="00BF21BE" w:rsidRDefault="00BF21BE" w:rsidP="006733CF">
      <w:pPr>
        <w:spacing w:line="480" w:lineRule="auto"/>
      </w:pPr>
    </w:p>
    <w:p w14:paraId="4287F23D" w14:textId="4A8943D6" w:rsidR="00AA26BF" w:rsidRDefault="00AA26BF">
      <w:pPr>
        <w:pStyle w:val="Caption"/>
      </w:pPr>
      <w:bookmarkStart w:id="46" w:name="_Ref127833813"/>
      <w:bookmarkStart w:id="47" w:name="_Toc157357349"/>
      <w:bookmarkStart w:id="48" w:name="_Ref157701230"/>
      <w:r>
        <w:t xml:space="preserve">Table </w:t>
      </w:r>
      <w:fldSimple w:instr=" STYLEREF 2 \s ">
        <w:r w:rsidR="00531CEB">
          <w:rPr>
            <w:noProof/>
          </w:rPr>
          <w:t>A.2</w:t>
        </w:r>
      </w:fldSimple>
      <w:r w:rsidR="00531CEB">
        <w:t>.</w:t>
      </w:r>
      <w:fldSimple w:instr=" SEQ Table \* ARABIC \s 2 ">
        <w:r w:rsidR="00A66140">
          <w:rPr>
            <w:noProof/>
          </w:rPr>
          <w:t>2</w:t>
        </w:r>
      </w:fldSimple>
      <w:bookmarkEnd w:id="46"/>
      <w:r w:rsidRPr="00BF21BE">
        <w:t xml:space="preserve"> </w:t>
      </w:r>
      <w:r w:rsidRPr="004E6F5D">
        <w:t xml:space="preserve">Two-sample Kolmogorov-Smirnov tests comparing the initial and final mussel length distributions in 30 </w:t>
      </w:r>
      <w:r w:rsidR="00AA3206">
        <w:t xml:space="preserve">of 60 </w:t>
      </w:r>
      <w:r w:rsidRPr="004E6F5D">
        <w:t>mesocosms</w:t>
      </w:r>
      <w:bookmarkEnd w:id="47"/>
      <w:bookmarkEnd w:id="48"/>
    </w:p>
    <w:tbl>
      <w:tblPr>
        <w:tblStyle w:val="PlainTable4"/>
        <w:tblW w:w="0" w:type="auto"/>
        <w:jc w:val="center"/>
        <w:tblLook w:val="04A0" w:firstRow="1" w:lastRow="0" w:firstColumn="1" w:lastColumn="0" w:noHBand="0" w:noVBand="1"/>
      </w:tblPr>
      <w:tblGrid>
        <w:gridCol w:w="1338"/>
        <w:gridCol w:w="672"/>
        <w:gridCol w:w="672"/>
      </w:tblGrid>
      <w:tr w:rsidR="00AA26BF" w:rsidRPr="00AA26BF" w14:paraId="63FAD68C" w14:textId="77777777" w:rsidTr="00AA26BF">
        <w:trPr>
          <w:cnfStyle w:val="100000000000" w:firstRow="1" w:lastRow="0" w:firstColumn="0" w:lastColumn="0" w:oddVBand="0" w:evenVBand="0" w:oddHBand="0"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noWrap/>
            <w:hideMark/>
          </w:tcPr>
          <w:p w14:paraId="7464F4F5"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Mesocosm ID</w:t>
            </w:r>
          </w:p>
        </w:tc>
        <w:tc>
          <w:tcPr>
            <w:tcW w:w="0" w:type="auto"/>
            <w:tcBorders>
              <w:bottom w:val="single" w:sz="4" w:space="0" w:color="auto"/>
            </w:tcBorders>
          </w:tcPr>
          <w:p w14:paraId="6016634C" w14:textId="77777777" w:rsidR="00AA26BF" w:rsidRPr="00AA26BF" w:rsidRDefault="00AA26BF" w:rsidP="006733CF">
            <w:pPr>
              <w:spacing w:line="48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i/>
                <w:iCs/>
                <w:color w:val="000000"/>
                <w:sz w:val="20"/>
                <w:szCs w:val="20"/>
                <w:lang w:eastAsia="en-IE"/>
              </w:rPr>
            </w:pPr>
            <w:r w:rsidRPr="00AA26BF">
              <w:rPr>
                <w:rFonts w:asciiTheme="minorHAnsi" w:hAnsiTheme="minorHAnsi" w:cstheme="minorHAnsi"/>
                <w:color w:val="000000"/>
                <w:sz w:val="20"/>
                <w:szCs w:val="20"/>
              </w:rPr>
              <w:t>D</w:t>
            </w:r>
          </w:p>
        </w:tc>
        <w:tc>
          <w:tcPr>
            <w:tcW w:w="0" w:type="auto"/>
            <w:tcBorders>
              <w:bottom w:val="single" w:sz="4" w:space="0" w:color="auto"/>
            </w:tcBorders>
            <w:noWrap/>
            <w:hideMark/>
          </w:tcPr>
          <w:p w14:paraId="55EC4408" w14:textId="77777777" w:rsidR="00AA26BF" w:rsidRPr="00AA26BF" w:rsidRDefault="00AA26BF" w:rsidP="006733CF">
            <w:pPr>
              <w:spacing w:line="48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i/>
                <w:iCs/>
                <w:color w:val="000000"/>
                <w:sz w:val="20"/>
                <w:szCs w:val="20"/>
                <w:lang w:eastAsia="en-IE"/>
              </w:rPr>
            </w:pPr>
            <w:r w:rsidRPr="00AA26BF">
              <w:rPr>
                <w:rFonts w:asciiTheme="minorHAnsi" w:eastAsia="Times New Roman" w:hAnsiTheme="minorHAnsi" w:cstheme="minorHAnsi"/>
                <w:i/>
                <w:iCs/>
                <w:color w:val="000000"/>
                <w:sz w:val="20"/>
                <w:szCs w:val="20"/>
                <w:lang w:eastAsia="en-IE"/>
              </w:rPr>
              <w:t>P</w:t>
            </w:r>
          </w:p>
        </w:tc>
      </w:tr>
      <w:tr w:rsidR="00AA26BF" w:rsidRPr="00AA26BF" w14:paraId="0BCD5403"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noWrap/>
            <w:hideMark/>
          </w:tcPr>
          <w:p w14:paraId="2905AB6D"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B1</w:t>
            </w:r>
          </w:p>
        </w:tc>
        <w:tc>
          <w:tcPr>
            <w:tcW w:w="0" w:type="auto"/>
            <w:tcBorders>
              <w:top w:val="single" w:sz="4" w:space="0" w:color="auto"/>
            </w:tcBorders>
          </w:tcPr>
          <w:p w14:paraId="598E4405"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0.200</w:t>
            </w:r>
          </w:p>
        </w:tc>
        <w:tc>
          <w:tcPr>
            <w:tcW w:w="0" w:type="auto"/>
            <w:tcBorders>
              <w:top w:val="single" w:sz="4" w:space="0" w:color="auto"/>
            </w:tcBorders>
            <w:noWrap/>
            <w:hideMark/>
          </w:tcPr>
          <w:p w14:paraId="41D46256"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0.723</w:t>
            </w:r>
          </w:p>
        </w:tc>
      </w:tr>
      <w:tr w:rsidR="00AA26BF" w:rsidRPr="00AA26BF" w14:paraId="365F5BCA"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F1CB79A"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B6</w:t>
            </w:r>
          </w:p>
        </w:tc>
        <w:tc>
          <w:tcPr>
            <w:tcW w:w="0" w:type="auto"/>
          </w:tcPr>
          <w:p w14:paraId="6BBC77D8"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0.217</w:t>
            </w:r>
          </w:p>
        </w:tc>
        <w:tc>
          <w:tcPr>
            <w:tcW w:w="0" w:type="auto"/>
            <w:noWrap/>
            <w:hideMark/>
          </w:tcPr>
          <w:p w14:paraId="384E7EB3"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0.559</w:t>
            </w:r>
          </w:p>
        </w:tc>
      </w:tr>
      <w:tr w:rsidR="00AA26BF" w:rsidRPr="00AA26BF" w14:paraId="0CB5614C"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3512828"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B9</w:t>
            </w:r>
          </w:p>
        </w:tc>
        <w:tc>
          <w:tcPr>
            <w:tcW w:w="0" w:type="auto"/>
          </w:tcPr>
          <w:p w14:paraId="5B7E3CDA"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0.179</w:t>
            </w:r>
          </w:p>
        </w:tc>
        <w:tc>
          <w:tcPr>
            <w:tcW w:w="0" w:type="auto"/>
            <w:noWrap/>
            <w:hideMark/>
          </w:tcPr>
          <w:p w14:paraId="14F16B7D"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0.812</w:t>
            </w:r>
          </w:p>
        </w:tc>
      </w:tr>
      <w:tr w:rsidR="00AA26BF" w:rsidRPr="00AA26BF" w14:paraId="1D491E98"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5624DA5"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C1</w:t>
            </w:r>
          </w:p>
        </w:tc>
        <w:tc>
          <w:tcPr>
            <w:tcW w:w="0" w:type="auto"/>
          </w:tcPr>
          <w:p w14:paraId="47496CC9"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0.400</w:t>
            </w:r>
          </w:p>
        </w:tc>
        <w:tc>
          <w:tcPr>
            <w:tcW w:w="0" w:type="auto"/>
            <w:noWrap/>
            <w:hideMark/>
          </w:tcPr>
          <w:p w14:paraId="66DF3D8C"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0.048</w:t>
            </w:r>
          </w:p>
        </w:tc>
      </w:tr>
      <w:tr w:rsidR="00AA26BF" w:rsidRPr="00AA26BF" w14:paraId="1CAFC5D3"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92774EE"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C4</w:t>
            </w:r>
          </w:p>
        </w:tc>
        <w:tc>
          <w:tcPr>
            <w:tcW w:w="0" w:type="auto"/>
          </w:tcPr>
          <w:p w14:paraId="19BD7B6C"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0.110</w:t>
            </w:r>
          </w:p>
        </w:tc>
        <w:tc>
          <w:tcPr>
            <w:tcW w:w="0" w:type="auto"/>
            <w:noWrap/>
            <w:hideMark/>
          </w:tcPr>
          <w:p w14:paraId="1534911D"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0.998</w:t>
            </w:r>
          </w:p>
        </w:tc>
      </w:tr>
      <w:tr w:rsidR="00AA26BF" w:rsidRPr="00AA26BF" w14:paraId="168A6B40"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E4503A6"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C5</w:t>
            </w:r>
          </w:p>
        </w:tc>
        <w:tc>
          <w:tcPr>
            <w:tcW w:w="0" w:type="auto"/>
          </w:tcPr>
          <w:p w14:paraId="58A9C288"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0.140</w:t>
            </w:r>
          </w:p>
        </w:tc>
        <w:tc>
          <w:tcPr>
            <w:tcW w:w="0" w:type="auto"/>
            <w:noWrap/>
            <w:hideMark/>
          </w:tcPr>
          <w:p w14:paraId="0398C356"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0.952</w:t>
            </w:r>
          </w:p>
        </w:tc>
      </w:tr>
      <w:tr w:rsidR="00AA26BF" w:rsidRPr="00AA26BF" w14:paraId="31C126D1"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74121C8"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E2</w:t>
            </w:r>
          </w:p>
        </w:tc>
        <w:tc>
          <w:tcPr>
            <w:tcW w:w="0" w:type="auto"/>
          </w:tcPr>
          <w:p w14:paraId="78B9E3F3"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0.133</w:t>
            </w:r>
          </w:p>
        </w:tc>
        <w:tc>
          <w:tcPr>
            <w:tcW w:w="0" w:type="auto"/>
            <w:noWrap/>
            <w:hideMark/>
          </w:tcPr>
          <w:p w14:paraId="0E6AC982"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0.962</w:t>
            </w:r>
          </w:p>
        </w:tc>
      </w:tr>
      <w:tr w:rsidR="00AA26BF" w:rsidRPr="00AA26BF" w14:paraId="374C3D2F"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9FAE84E"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E6</w:t>
            </w:r>
          </w:p>
        </w:tc>
        <w:tc>
          <w:tcPr>
            <w:tcW w:w="0" w:type="auto"/>
          </w:tcPr>
          <w:p w14:paraId="09AEE403"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0.125</w:t>
            </w:r>
          </w:p>
        </w:tc>
        <w:tc>
          <w:tcPr>
            <w:tcW w:w="0" w:type="auto"/>
            <w:noWrap/>
            <w:hideMark/>
          </w:tcPr>
          <w:p w14:paraId="156DFB3E"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0.970</w:t>
            </w:r>
          </w:p>
        </w:tc>
      </w:tr>
      <w:tr w:rsidR="00AA26BF" w:rsidRPr="00AA26BF" w14:paraId="2355DA68"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2D40EBE"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E9</w:t>
            </w:r>
          </w:p>
        </w:tc>
        <w:tc>
          <w:tcPr>
            <w:tcW w:w="0" w:type="auto"/>
          </w:tcPr>
          <w:p w14:paraId="1C463A42"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0.173</w:t>
            </w:r>
          </w:p>
        </w:tc>
        <w:tc>
          <w:tcPr>
            <w:tcW w:w="0" w:type="auto"/>
            <w:noWrap/>
            <w:hideMark/>
          </w:tcPr>
          <w:p w14:paraId="4D35C866"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0.807</w:t>
            </w:r>
          </w:p>
        </w:tc>
      </w:tr>
      <w:tr w:rsidR="00AA26BF" w:rsidRPr="00AA26BF" w14:paraId="212F3C1D"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FA88A18"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F3</w:t>
            </w:r>
          </w:p>
        </w:tc>
        <w:tc>
          <w:tcPr>
            <w:tcW w:w="0" w:type="auto"/>
          </w:tcPr>
          <w:p w14:paraId="6FC68B0A"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0.153</w:t>
            </w:r>
          </w:p>
        </w:tc>
        <w:tc>
          <w:tcPr>
            <w:tcW w:w="0" w:type="auto"/>
            <w:noWrap/>
            <w:hideMark/>
          </w:tcPr>
          <w:p w14:paraId="2ED0F40C"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0.906</w:t>
            </w:r>
          </w:p>
        </w:tc>
      </w:tr>
      <w:tr w:rsidR="00AA26BF" w:rsidRPr="00AA26BF" w14:paraId="088C3DF8"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C21F084"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F4</w:t>
            </w:r>
          </w:p>
        </w:tc>
        <w:tc>
          <w:tcPr>
            <w:tcW w:w="0" w:type="auto"/>
          </w:tcPr>
          <w:p w14:paraId="2D14B279"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0.242</w:t>
            </w:r>
          </w:p>
        </w:tc>
        <w:tc>
          <w:tcPr>
            <w:tcW w:w="0" w:type="auto"/>
            <w:noWrap/>
            <w:hideMark/>
          </w:tcPr>
          <w:p w14:paraId="0E0FA07B"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0.358</w:t>
            </w:r>
          </w:p>
        </w:tc>
      </w:tr>
      <w:tr w:rsidR="00AA26BF" w:rsidRPr="00AA26BF" w14:paraId="47E5B482"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731F7D0"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F6</w:t>
            </w:r>
          </w:p>
        </w:tc>
        <w:tc>
          <w:tcPr>
            <w:tcW w:w="0" w:type="auto"/>
          </w:tcPr>
          <w:p w14:paraId="22FC9A31"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0.110</w:t>
            </w:r>
          </w:p>
        </w:tc>
        <w:tc>
          <w:tcPr>
            <w:tcW w:w="0" w:type="auto"/>
            <w:noWrap/>
            <w:hideMark/>
          </w:tcPr>
          <w:p w14:paraId="4FB4030C"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0.998</w:t>
            </w:r>
          </w:p>
        </w:tc>
      </w:tr>
      <w:tr w:rsidR="00AA26BF" w:rsidRPr="00AA26BF" w14:paraId="4901B388"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24AAE33"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G1</w:t>
            </w:r>
          </w:p>
        </w:tc>
        <w:tc>
          <w:tcPr>
            <w:tcW w:w="0" w:type="auto"/>
          </w:tcPr>
          <w:p w14:paraId="1609C59A"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0.122</w:t>
            </w:r>
          </w:p>
        </w:tc>
        <w:tc>
          <w:tcPr>
            <w:tcW w:w="0" w:type="auto"/>
            <w:noWrap/>
            <w:hideMark/>
          </w:tcPr>
          <w:p w14:paraId="0FEE6E14"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0.984</w:t>
            </w:r>
          </w:p>
        </w:tc>
      </w:tr>
      <w:tr w:rsidR="00AA26BF" w:rsidRPr="00AA26BF" w14:paraId="66CCA8F3"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1514012"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G8</w:t>
            </w:r>
          </w:p>
        </w:tc>
        <w:tc>
          <w:tcPr>
            <w:tcW w:w="0" w:type="auto"/>
          </w:tcPr>
          <w:p w14:paraId="0513E050"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0.162</w:t>
            </w:r>
          </w:p>
        </w:tc>
        <w:tc>
          <w:tcPr>
            <w:tcW w:w="0" w:type="auto"/>
            <w:noWrap/>
            <w:hideMark/>
          </w:tcPr>
          <w:p w14:paraId="66911482"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0.964</w:t>
            </w:r>
          </w:p>
        </w:tc>
      </w:tr>
      <w:tr w:rsidR="00AA26BF" w:rsidRPr="00AA26BF" w14:paraId="1EC576CE"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47A576E"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G9</w:t>
            </w:r>
          </w:p>
        </w:tc>
        <w:tc>
          <w:tcPr>
            <w:tcW w:w="0" w:type="auto"/>
          </w:tcPr>
          <w:p w14:paraId="7478F90A"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0.230</w:t>
            </w:r>
          </w:p>
        </w:tc>
        <w:tc>
          <w:tcPr>
            <w:tcW w:w="0" w:type="auto"/>
            <w:noWrap/>
            <w:hideMark/>
          </w:tcPr>
          <w:p w14:paraId="5FF6EBEB"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0.571</w:t>
            </w:r>
          </w:p>
        </w:tc>
      </w:tr>
      <w:tr w:rsidR="00AA26BF" w:rsidRPr="00AA26BF" w14:paraId="28B4AD42"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86B8DE9"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lastRenderedPageBreak/>
              <w:t>H1</w:t>
            </w:r>
          </w:p>
        </w:tc>
        <w:tc>
          <w:tcPr>
            <w:tcW w:w="0" w:type="auto"/>
          </w:tcPr>
          <w:p w14:paraId="712FEBA6"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0.163</w:t>
            </w:r>
          </w:p>
        </w:tc>
        <w:tc>
          <w:tcPr>
            <w:tcW w:w="0" w:type="auto"/>
            <w:noWrap/>
            <w:hideMark/>
          </w:tcPr>
          <w:p w14:paraId="56702E7F"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0.736</w:t>
            </w:r>
          </w:p>
        </w:tc>
      </w:tr>
      <w:tr w:rsidR="00AA26BF" w:rsidRPr="00AA26BF" w14:paraId="4B98E498"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6677EC4"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H3</w:t>
            </w:r>
          </w:p>
        </w:tc>
        <w:tc>
          <w:tcPr>
            <w:tcW w:w="0" w:type="auto"/>
          </w:tcPr>
          <w:p w14:paraId="3B76EB1D"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0.259</w:t>
            </w:r>
          </w:p>
        </w:tc>
        <w:tc>
          <w:tcPr>
            <w:tcW w:w="0" w:type="auto"/>
            <w:noWrap/>
            <w:hideMark/>
          </w:tcPr>
          <w:p w14:paraId="5C267D11"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0.249</w:t>
            </w:r>
          </w:p>
        </w:tc>
      </w:tr>
      <w:tr w:rsidR="00AA26BF" w:rsidRPr="00AA26BF" w14:paraId="0AD2373D"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38678E1"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H7</w:t>
            </w:r>
          </w:p>
        </w:tc>
        <w:tc>
          <w:tcPr>
            <w:tcW w:w="0" w:type="auto"/>
          </w:tcPr>
          <w:p w14:paraId="18D82B87"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0.138</w:t>
            </w:r>
          </w:p>
        </w:tc>
        <w:tc>
          <w:tcPr>
            <w:tcW w:w="0" w:type="auto"/>
            <w:noWrap/>
            <w:hideMark/>
          </w:tcPr>
          <w:p w14:paraId="380AA113"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0.989</w:t>
            </w:r>
          </w:p>
        </w:tc>
      </w:tr>
      <w:tr w:rsidR="00AA26BF" w:rsidRPr="00AA26BF" w14:paraId="44B6DBB7"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D9DD0C3"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H8</w:t>
            </w:r>
          </w:p>
        </w:tc>
        <w:tc>
          <w:tcPr>
            <w:tcW w:w="0" w:type="auto"/>
          </w:tcPr>
          <w:p w14:paraId="6A5EAC1E"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0.186</w:t>
            </w:r>
          </w:p>
        </w:tc>
        <w:tc>
          <w:tcPr>
            <w:tcW w:w="0" w:type="auto"/>
            <w:noWrap/>
            <w:hideMark/>
          </w:tcPr>
          <w:p w14:paraId="4CFDEE96"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0.761</w:t>
            </w:r>
          </w:p>
        </w:tc>
      </w:tr>
      <w:tr w:rsidR="00AA26BF" w:rsidRPr="00AA26BF" w14:paraId="33DADEB3"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617D28C"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I1</w:t>
            </w:r>
          </w:p>
        </w:tc>
        <w:tc>
          <w:tcPr>
            <w:tcW w:w="0" w:type="auto"/>
          </w:tcPr>
          <w:p w14:paraId="4AF5213F"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0.130</w:t>
            </w:r>
          </w:p>
        </w:tc>
        <w:tc>
          <w:tcPr>
            <w:tcW w:w="0" w:type="auto"/>
            <w:noWrap/>
            <w:hideMark/>
          </w:tcPr>
          <w:p w14:paraId="3909464E"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0.957</w:t>
            </w:r>
          </w:p>
        </w:tc>
      </w:tr>
      <w:tr w:rsidR="00AA26BF" w:rsidRPr="00AA26BF" w14:paraId="1677DCDA"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E9E53FD"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I4</w:t>
            </w:r>
          </w:p>
        </w:tc>
        <w:tc>
          <w:tcPr>
            <w:tcW w:w="0" w:type="auto"/>
          </w:tcPr>
          <w:p w14:paraId="4B08FE61"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0.212</w:t>
            </w:r>
          </w:p>
        </w:tc>
        <w:tc>
          <w:tcPr>
            <w:tcW w:w="0" w:type="auto"/>
            <w:noWrap/>
            <w:hideMark/>
          </w:tcPr>
          <w:p w14:paraId="3313B79D"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0.585</w:t>
            </w:r>
          </w:p>
        </w:tc>
      </w:tr>
      <w:tr w:rsidR="00AA26BF" w:rsidRPr="00AA26BF" w14:paraId="73D0E071"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F60505E"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I5</w:t>
            </w:r>
          </w:p>
        </w:tc>
        <w:tc>
          <w:tcPr>
            <w:tcW w:w="0" w:type="auto"/>
          </w:tcPr>
          <w:p w14:paraId="7CF7F053"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0.236</w:t>
            </w:r>
          </w:p>
        </w:tc>
        <w:tc>
          <w:tcPr>
            <w:tcW w:w="0" w:type="auto"/>
            <w:noWrap/>
            <w:hideMark/>
          </w:tcPr>
          <w:p w14:paraId="4ECB999C"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0.600</w:t>
            </w:r>
          </w:p>
        </w:tc>
      </w:tr>
      <w:tr w:rsidR="00AA26BF" w:rsidRPr="00AA26BF" w14:paraId="05298F0B"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F3F4909"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J2</w:t>
            </w:r>
          </w:p>
        </w:tc>
        <w:tc>
          <w:tcPr>
            <w:tcW w:w="0" w:type="auto"/>
          </w:tcPr>
          <w:p w14:paraId="29E1AD05"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0.167</w:t>
            </w:r>
          </w:p>
        </w:tc>
        <w:tc>
          <w:tcPr>
            <w:tcW w:w="0" w:type="auto"/>
            <w:noWrap/>
            <w:hideMark/>
          </w:tcPr>
          <w:p w14:paraId="51B76EFC"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0.893</w:t>
            </w:r>
          </w:p>
        </w:tc>
      </w:tr>
      <w:tr w:rsidR="00AA26BF" w:rsidRPr="00AA26BF" w14:paraId="7701AC44"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6615624"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J4</w:t>
            </w:r>
          </w:p>
        </w:tc>
        <w:tc>
          <w:tcPr>
            <w:tcW w:w="0" w:type="auto"/>
          </w:tcPr>
          <w:p w14:paraId="7F325EF1"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0.264</w:t>
            </w:r>
          </w:p>
        </w:tc>
        <w:tc>
          <w:tcPr>
            <w:tcW w:w="0" w:type="auto"/>
            <w:noWrap/>
            <w:hideMark/>
          </w:tcPr>
          <w:p w14:paraId="4A7148C6"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0.453</w:t>
            </w:r>
          </w:p>
        </w:tc>
      </w:tr>
      <w:tr w:rsidR="00AA26BF" w:rsidRPr="00AA26BF" w14:paraId="60B96FEE"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63AB2D4"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J5</w:t>
            </w:r>
          </w:p>
        </w:tc>
        <w:tc>
          <w:tcPr>
            <w:tcW w:w="0" w:type="auto"/>
          </w:tcPr>
          <w:p w14:paraId="64EB27E2"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0.125</w:t>
            </w:r>
          </w:p>
        </w:tc>
        <w:tc>
          <w:tcPr>
            <w:tcW w:w="0" w:type="auto"/>
            <w:noWrap/>
            <w:hideMark/>
          </w:tcPr>
          <w:p w14:paraId="2C660423"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0.980</w:t>
            </w:r>
          </w:p>
        </w:tc>
      </w:tr>
      <w:tr w:rsidR="00AA26BF" w:rsidRPr="00AA26BF" w14:paraId="041BD1AD"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507E6A9"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J7</w:t>
            </w:r>
          </w:p>
        </w:tc>
        <w:tc>
          <w:tcPr>
            <w:tcW w:w="0" w:type="auto"/>
          </w:tcPr>
          <w:p w14:paraId="5B28BC22"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0.137</w:t>
            </w:r>
          </w:p>
        </w:tc>
        <w:tc>
          <w:tcPr>
            <w:tcW w:w="0" w:type="auto"/>
            <w:noWrap/>
            <w:hideMark/>
          </w:tcPr>
          <w:p w14:paraId="44C63CEB"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0.973</w:t>
            </w:r>
          </w:p>
        </w:tc>
      </w:tr>
      <w:tr w:rsidR="00AA26BF" w:rsidRPr="00AA26BF" w14:paraId="061312F6"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A478635"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J9</w:t>
            </w:r>
          </w:p>
        </w:tc>
        <w:tc>
          <w:tcPr>
            <w:tcW w:w="0" w:type="auto"/>
          </w:tcPr>
          <w:p w14:paraId="64F4671C"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0.176</w:t>
            </w:r>
          </w:p>
        </w:tc>
        <w:tc>
          <w:tcPr>
            <w:tcW w:w="0" w:type="auto"/>
            <w:noWrap/>
            <w:hideMark/>
          </w:tcPr>
          <w:p w14:paraId="0F247E6F"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0.862</w:t>
            </w:r>
          </w:p>
        </w:tc>
      </w:tr>
      <w:tr w:rsidR="00AA26BF" w:rsidRPr="00AA26BF" w14:paraId="501A3685"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4CB2868"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K3</w:t>
            </w:r>
          </w:p>
        </w:tc>
        <w:tc>
          <w:tcPr>
            <w:tcW w:w="0" w:type="auto"/>
          </w:tcPr>
          <w:p w14:paraId="20D9EABC"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0.250</w:t>
            </w:r>
          </w:p>
        </w:tc>
        <w:tc>
          <w:tcPr>
            <w:tcW w:w="0" w:type="auto"/>
            <w:noWrap/>
            <w:hideMark/>
          </w:tcPr>
          <w:p w14:paraId="630EF6AD"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0.441</w:t>
            </w:r>
          </w:p>
        </w:tc>
      </w:tr>
      <w:tr w:rsidR="00AA26BF" w:rsidRPr="00AA26BF" w14:paraId="21F74C35" w14:textId="77777777" w:rsidTr="00AA26BF">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8AA66D5"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K5</w:t>
            </w:r>
          </w:p>
        </w:tc>
        <w:tc>
          <w:tcPr>
            <w:tcW w:w="0" w:type="auto"/>
          </w:tcPr>
          <w:p w14:paraId="5C37BD0A"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0.208</w:t>
            </w:r>
          </w:p>
        </w:tc>
        <w:tc>
          <w:tcPr>
            <w:tcW w:w="0" w:type="auto"/>
            <w:noWrap/>
            <w:hideMark/>
          </w:tcPr>
          <w:p w14:paraId="615C034B" w14:textId="77777777" w:rsidR="00AA26BF" w:rsidRPr="00AA26BF" w:rsidRDefault="00AA26BF" w:rsidP="006733CF">
            <w:pPr>
              <w:spacing w:line="480" w:lineRule="auto"/>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0.436</w:t>
            </w:r>
          </w:p>
        </w:tc>
      </w:tr>
      <w:tr w:rsidR="00AA26BF" w:rsidRPr="00AA26BF" w14:paraId="14FDFB26" w14:textId="77777777" w:rsidTr="00AA26BF">
        <w:trPr>
          <w:trHeight w:val="2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7335FAD" w14:textId="77777777" w:rsidR="00AA26BF" w:rsidRPr="00AA26BF" w:rsidRDefault="00AA26BF" w:rsidP="006733CF">
            <w:pPr>
              <w:spacing w:line="480" w:lineRule="auto"/>
              <w:jc w:val="center"/>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K9</w:t>
            </w:r>
          </w:p>
        </w:tc>
        <w:tc>
          <w:tcPr>
            <w:tcW w:w="0" w:type="auto"/>
          </w:tcPr>
          <w:p w14:paraId="78EA4231"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hAnsiTheme="minorHAnsi" w:cstheme="minorHAnsi"/>
                <w:color w:val="000000"/>
                <w:sz w:val="20"/>
                <w:szCs w:val="20"/>
              </w:rPr>
              <w:t>0.208</w:t>
            </w:r>
          </w:p>
        </w:tc>
        <w:tc>
          <w:tcPr>
            <w:tcW w:w="0" w:type="auto"/>
            <w:noWrap/>
            <w:hideMark/>
          </w:tcPr>
          <w:p w14:paraId="4DFA438B" w14:textId="77777777" w:rsidR="00AA26BF" w:rsidRPr="00AA26BF" w:rsidRDefault="00AA26BF" w:rsidP="006733CF">
            <w:pPr>
              <w:spacing w:line="48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0"/>
                <w:szCs w:val="20"/>
                <w:lang w:eastAsia="en-IE"/>
              </w:rPr>
            </w:pPr>
            <w:r w:rsidRPr="00AA26BF">
              <w:rPr>
                <w:rFonts w:asciiTheme="minorHAnsi" w:eastAsia="Times New Roman" w:hAnsiTheme="minorHAnsi" w:cstheme="minorHAnsi"/>
                <w:color w:val="000000"/>
                <w:sz w:val="20"/>
                <w:szCs w:val="20"/>
                <w:lang w:eastAsia="en-IE"/>
              </w:rPr>
              <w:t>0.637</w:t>
            </w:r>
          </w:p>
        </w:tc>
      </w:tr>
    </w:tbl>
    <w:p w14:paraId="67D6962C" w14:textId="3C7266D5" w:rsidR="00FB25A3" w:rsidRDefault="00FB25A3" w:rsidP="006733CF">
      <w:pPr>
        <w:spacing w:line="480" w:lineRule="auto"/>
        <w:jc w:val="left"/>
      </w:pPr>
    </w:p>
    <w:sectPr w:rsidR="00FB25A3" w:rsidSect="00E607FA">
      <w:footerReference w:type="default" r:id="rId16"/>
      <w:pgSz w:w="11906" w:h="16838" w:code="9"/>
      <w:pgMar w:top="1134" w:right="1134" w:bottom="1134" w:left="1134"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CBA4D0" w14:textId="77777777" w:rsidR="00BB5593" w:rsidRDefault="00BB5593" w:rsidP="00931415">
      <w:pPr>
        <w:spacing w:after="0" w:line="240" w:lineRule="auto"/>
      </w:pPr>
      <w:r>
        <w:separator/>
      </w:r>
    </w:p>
  </w:endnote>
  <w:endnote w:type="continuationSeparator" w:id="0">
    <w:p w14:paraId="5010184E" w14:textId="77777777" w:rsidR="00BB5593" w:rsidRDefault="00BB5593" w:rsidP="00931415">
      <w:pPr>
        <w:spacing w:after="0" w:line="240" w:lineRule="auto"/>
      </w:pPr>
      <w:r>
        <w:continuationSeparator/>
      </w:r>
    </w:p>
  </w:endnote>
  <w:endnote w:type="continuationNotice" w:id="1">
    <w:p w14:paraId="3DC34ACC" w14:textId="77777777" w:rsidR="00BB5593" w:rsidRDefault="00BB55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96172707"/>
      <w:docPartObj>
        <w:docPartGallery w:val="Page Numbers (Bottom of Page)"/>
        <w:docPartUnique/>
      </w:docPartObj>
    </w:sdtPr>
    <w:sdtEndPr>
      <w:rPr>
        <w:noProof/>
        <w:sz w:val="20"/>
        <w:szCs w:val="24"/>
      </w:rPr>
    </w:sdtEndPr>
    <w:sdtContent>
      <w:p w14:paraId="0FA4FA36" w14:textId="77777777" w:rsidR="00A56E81" w:rsidRPr="00890B8C" w:rsidRDefault="00A56E81">
        <w:pPr>
          <w:pStyle w:val="Footer"/>
          <w:jc w:val="right"/>
          <w:rPr>
            <w:sz w:val="20"/>
            <w:szCs w:val="24"/>
          </w:rPr>
        </w:pPr>
        <w:r w:rsidRPr="00890B8C">
          <w:rPr>
            <w:sz w:val="20"/>
            <w:szCs w:val="24"/>
          </w:rPr>
          <w:fldChar w:fldCharType="begin"/>
        </w:r>
        <w:r w:rsidRPr="00890B8C">
          <w:rPr>
            <w:sz w:val="20"/>
            <w:szCs w:val="24"/>
          </w:rPr>
          <w:instrText xml:space="preserve"> PAGE   \* MERGEFORMAT </w:instrText>
        </w:r>
        <w:r w:rsidRPr="00890B8C">
          <w:rPr>
            <w:sz w:val="20"/>
            <w:szCs w:val="24"/>
          </w:rPr>
          <w:fldChar w:fldCharType="separate"/>
        </w:r>
        <w:r>
          <w:rPr>
            <w:noProof/>
            <w:sz w:val="20"/>
            <w:szCs w:val="24"/>
          </w:rPr>
          <w:t>3</w:t>
        </w:r>
        <w:r w:rsidRPr="00890B8C">
          <w:rPr>
            <w:noProof/>
            <w:sz w:val="20"/>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C410A8" w14:textId="77777777" w:rsidR="00BB5593" w:rsidRDefault="00BB5593" w:rsidP="00931415">
      <w:pPr>
        <w:spacing w:after="0" w:line="240" w:lineRule="auto"/>
      </w:pPr>
      <w:r>
        <w:separator/>
      </w:r>
    </w:p>
  </w:footnote>
  <w:footnote w:type="continuationSeparator" w:id="0">
    <w:p w14:paraId="6F8CA9C1" w14:textId="77777777" w:rsidR="00BB5593" w:rsidRDefault="00BB5593" w:rsidP="00931415">
      <w:pPr>
        <w:spacing w:after="0" w:line="240" w:lineRule="auto"/>
      </w:pPr>
      <w:r>
        <w:continuationSeparator/>
      </w:r>
    </w:p>
  </w:footnote>
  <w:footnote w:type="continuationNotice" w:id="1">
    <w:p w14:paraId="381B5BF7" w14:textId="77777777" w:rsidR="00BB5593" w:rsidRDefault="00BB559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D5A22"/>
    <w:multiLevelType w:val="hybridMultilevel"/>
    <w:tmpl w:val="559E1F94"/>
    <w:lvl w:ilvl="0" w:tplc="A2622F56">
      <w:start w:val="2"/>
      <w:numFmt w:val="bullet"/>
      <w:lvlText w:val="-"/>
      <w:lvlJc w:val="left"/>
      <w:pPr>
        <w:ind w:left="720" w:hanging="360"/>
      </w:pPr>
      <w:rPr>
        <w:rFonts w:ascii="Times New Roman" w:eastAsiaTheme="minorHAnsi" w:hAnsi="Times New Roman" w:cs="Times New Roman"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 w15:restartNumberingAfterBreak="0">
    <w:nsid w:val="0A5D49BF"/>
    <w:multiLevelType w:val="hybridMultilevel"/>
    <w:tmpl w:val="D05A946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 w15:restartNumberingAfterBreak="0">
    <w:nsid w:val="2A233B39"/>
    <w:multiLevelType w:val="multilevel"/>
    <w:tmpl w:val="535EB0C0"/>
    <w:lvl w:ilvl="0">
      <w:start w:val="1"/>
      <w:numFmt w:val="decimal"/>
      <w:suff w:val="space"/>
      <w:lvlText w:val="Chapter %1  | "/>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4.%1.%2.%3"/>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3" w15:restartNumberingAfterBreak="0">
    <w:nsid w:val="41AD5223"/>
    <w:multiLevelType w:val="multilevel"/>
    <w:tmpl w:val="535EB0C0"/>
    <w:lvl w:ilvl="0">
      <w:start w:val="1"/>
      <w:numFmt w:val="decimal"/>
      <w:suff w:val="space"/>
      <w:lvlText w:val="Chapter %1  | "/>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4.%1.%2.%3"/>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4" w15:restartNumberingAfterBreak="0">
    <w:nsid w:val="4C094C27"/>
    <w:multiLevelType w:val="multilevel"/>
    <w:tmpl w:val="0FBE7148"/>
    <w:lvl w:ilvl="0">
      <w:start w:val="1"/>
      <w:numFmt w:val="decimal"/>
      <w:suff w:val="space"/>
      <w:lvlText w:val="Chapter %1  | "/>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5" w15:restartNumberingAfterBreak="0">
    <w:nsid w:val="4DBF66EE"/>
    <w:multiLevelType w:val="multilevel"/>
    <w:tmpl w:val="1C2C2E38"/>
    <w:lvl w:ilvl="0">
      <w:start w:val="1"/>
      <w:numFmt w:val="upperLetter"/>
      <w:suff w:val="space"/>
      <w:lvlText w:val="Appendix %1  | "/>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4.%1.%2.%3"/>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6" w15:restartNumberingAfterBreak="0">
    <w:nsid w:val="5A733D85"/>
    <w:multiLevelType w:val="hybridMultilevel"/>
    <w:tmpl w:val="1A6ACBF8"/>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603239F8"/>
    <w:multiLevelType w:val="multilevel"/>
    <w:tmpl w:val="1C2C2E38"/>
    <w:lvl w:ilvl="0">
      <w:start w:val="1"/>
      <w:numFmt w:val="upperLetter"/>
      <w:suff w:val="space"/>
      <w:lvlText w:val="Appendix %1  | "/>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4.%1.%2.%3"/>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num w:numId="1" w16cid:durableId="1188759400">
    <w:abstractNumId w:val="5"/>
  </w:num>
  <w:num w:numId="2" w16cid:durableId="314069451">
    <w:abstractNumId w:val="6"/>
  </w:num>
  <w:num w:numId="3" w16cid:durableId="846477245">
    <w:abstractNumId w:val="0"/>
  </w:num>
  <w:num w:numId="4" w16cid:durableId="420490921">
    <w:abstractNumId w:val="3"/>
  </w:num>
  <w:num w:numId="5" w16cid:durableId="260182242">
    <w:abstractNumId w:val="7"/>
  </w:num>
  <w:num w:numId="6" w16cid:durableId="560554775">
    <w:abstractNumId w:val="2"/>
  </w:num>
  <w:num w:numId="7" w16cid:durableId="1978801440">
    <w:abstractNumId w:val="1"/>
  </w:num>
  <w:num w:numId="8" w16cid:durableId="122777953">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mirrorMargins/>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20"/>
  <w:hyphenationZone w:val="425"/>
  <w:evenAndOddHeaders/>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65F"/>
    <w:rsid w:val="00000684"/>
    <w:rsid w:val="00004C9D"/>
    <w:rsid w:val="00011043"/>
    <w:rsid w:val="00011948"/>
    <w:rsid w:val="000122AA"/>
    <w:rsid w:val="00013E35"/>
    <w:rsid w:val="0002054E"/>
    <w:rsid w:val="00021730"/>
    <w:rsid w:val="00022636"/>
    <w:rsid w:val="00025975"/>
    <w:rsid w:val="00025A99"/>
    <w:rsid w:val="00026896"/>
    <w:rsid w:val="00027B31"/>
    <w:rsid w:val="00030470"/>
    <w:rsid w:val="000305B0"/>
    <w:rsid w:val="00031240"/>
    <w:rsid w:val="00031801"/>
    <w:rsid w:val="000337CD"/>
    <w:rsid w:val="0003424C"/>
    <w:rsid w:val="0003621A"/>
    <w:rsid w:val="00036BD4"/>
    <w:rsid w:val="00037A1A"/>
    <w:rsid w:val="00044216"/>
    <w:rsid w:val="00044F4E"/>
    <w:rsid w:val="00045453"/>
    <w:rsid w:val="0005090E"/>
    <w:rsid w:val="00054819"/>
    <w:rsid w:val="00055482"/>
    <w:rsid w:val="000559E2"/>
    <w:rsid w:val="00056886"/>
    <w:rsid w:val="00061027"/>
    <w:rsid w:val="000626C1"/>
    <w:rsid w:val="00065410"/>
    <w:rsid w:val="000744FA"/>
    <w:rsid w:val="00076558"/>
    <w:rsid w:val="00080775"/>
    <w:rsid w:val="00082159"/>
    <w:rsid w:val="00082FB7"/>
    <w:rsid w:val="0008560A"/>
    <w:rsid w:val="0008677D"/>
    <w:rsid w:val="0009383E"/>
    <w:rsid w:val="000953BA"/>
    <w:rsid w:val="000959CD"/>
    <w:rsid w:val="00095C04"/>
    <w:rsid w:val="00096C4C"/>
    <w:rsid w:val="000A347C"/>
    <w:rsid w:val="000B0435"/>
    <w:rsid w:val="000B0720"/>
    <w:rsid w:val="000B16B0"/>
    <w:rsid w:val="000B23A2"/>
    <w:rsid w:val="000B24CC"/>
    <w:rsid w:val="000B4184"/>
    <w:rsid w:val="000B604F"/>
    <w:rsid w:val="000B73ED"/>
    <w:rsid w:val="000B777B"/>
    <w:rsid w:val="000C54A7"/>
    <w:rsid w:val="000C54B8"/>
    <w:rsid w:val="000C5910"/>
    <w:rsid w:val="000D1402"/>
    <w:rsid w:val="000D1EDA"/>
    <w:rsid w:val="000D73B8"/>
    <w:rsid w:val="000D75E7"/>
    <w:rsid w:val="000D76AC"/>
    <w:rsid w:val="000E180E"/>
    <w:rsid w:val="000E2B17"/>
    <w:rsid w:val="000E3A66"/>
    <w:rsid w:val="000E3CB1"/>
    <w:rsid w:val="000E3E7D"/>
    <w:rsid w:val="000E4166"/>
    <w:rsid w:val="000E4765"/>
    <w:rsid w:val="000E4CA9"/>
    <w:rsid w:val="000E60DE"/>
    <w:rsid w:val="000E6583"/>
    <w:rsid w:val="000E7EF5"/>
    <w:rsid w:val="000F1177"/>
    <w:rsid w:val="000F1B19"/>
    <w:rsid w:val="000F3618"/>
    <w:rsid w:val="000F3FDD"/>
    <w:rsid w:val="000F4ABC"/>
    <w:rsid w:val="000F5D68"/>
    <w:rsid w:val="0010032A"/>
    <w:rsid w:val="00100390"/>
    <w:rsid w:val="00102C7E"/>
    <w:rsid w:val="00104F65"/>
    <w:rsid w:val="00107554"/>
    <w:rsid w:val="00115323"/>
    <w:rsid w:val="00115D85"/>
    <w:rsid w:val="00120FF4"/>
    <w:rsid w:val="00122D48"/>
    <w:rsid w:val="00124F2E"/>
    <w:rsid w:val="00125829"/>
    <w:rsid w:val="001261D7"/>
    <w:rsid w:val="001272E4"/>
    <w:rsid w:val="001276C4"/>
    <w:rsid w:val="00132256"/>
    <w:rsid w:val="00136C9C"/>
    <w:rsid w:val="001375D1"/>
    <w:rsid w:val="001411AC"/>
    <w:rsid w:val="00141511"/>
    <w:rsid w:val="00141C3F"/>
    <w:rsid w:val="0014209C"/>
    <w:rsid w:val="001432BD"/>
    <w:rsid w:val="00145311"/>
    <w:rsid w:val="001453B1"/>
    <w:rsid w:val="00147232"/>
    <w:rsid w:val="0015010E"/>
    <w:rsid w:val="001508AB"/>
    <w:rsid w:val="00150E83"/>
    <w:rsid w:val="00151719"/>
    <w:rsid w:val="0015279F"/>
    <w:rsid w:val="001529EB"/>
    <w:rsid w:val="00153135"/>
    <w:rsid w:val="00157C57"/>
    <w:rsid w:val="00163B02"/>
    <w:rsid w:val="00164C93"/>
    <w:rsid w:val="00166F14"/>
    <w:rsid w:val="001729C2"/>
    <w:rsid w:val="0017327E"/>
    <w:rsid w:val="00173531"/>
    <w:rsid w:val="00175098"/>
    <w:rsid w:val="00175904"/>
    <w:rsid w:val="00175D4A"/>
    <w:rsid w:val="00180375"/>
    <w:rsid w:val="00180FA5"/>
    <w:rsid w:val="00182B03"/>
    <w:rsid w:val="001831BD"/>
    <w:rsid w:val="00184894"/>
    <w:rsid w:val="00185986"/>
    <w:rsid w:val="00185BB1"/>
    <w:rsid w:val="0019032E"/>
    <w:rsid w:val="00190D8B"/>
    <w:rsid w:val="0019142F"/>
    <w:rsid w:val="0019486A"/>
    <w:rsid w:val="0019619A"/>
    <w:rsid w:val="00196240"/>
    <w:rsid w:val="001A138C"/>
    <w:rsid w:val="001A1B9C"/>
    <w:rsid w:val="001A35EA"/>
    <w:rsid w:val="001A509A"/>
    <w:rsid w:val="001A6D42"/>
    <w:rsid w:val="001B08D6"/>
    <w:rsid w:val="001B22F4"/>
    <w:rsid w:val="001C081F"/>
    <w:rsid w:val="001C0DB1"/>
    <w:rsid w:val="001C117B"/>
    <w:rsid w:val="001C158D"/>
    <w:rsid w:val="001C2800"/>
    <w:rsid w:val="001C2864"/>
    <w:rsid w:val="001D1307"/>
    <w:rsid w:val="001D204D"/>
    <w:rsid w:val="001D3E05"/>
    <w:rsid w:val="001D3E51"/>
    <w:rsid w:val="001D685F"/>
    <w:rsid w:val="001D70D3"/>
    <w:rsid w:val="001E078E"/>
    <w:rsid w:val="001E0C30"/>
    <w:rsid w:val="001E53CE"/>
    <w:rsid w:val="001E5E9D"/>
    <w:rsid w:val="001F0FA3"/>
    <w:rsid w:val="001F39B4"/>
    <w:rsid w:val="001F3B23"/>
    <w:rsid w:val="001F4AB1"/>
    <w:rsid w:val="001F7DFF"/>
    <w:rsid w:val="002009B9"/>
    <w:rsid w:val="00202DD1"/>
    <w:rsid w:val="00204B32"/>
    <w:rsid w:val="00204D8C"/>
    <w:rsid w:val="0020585B"/>
    <w:rsid w:val="00205F7D"/>
    <w:rsid w:val="00207150"/>
    <w:rsid w:val="0021332B"/>
    <w:rsid w:val="002146C0"/>
    <w:rsid w:val="0021573B"/>
    <w:rsid w:val="00216B26"/>
    <w:rsid w:val="0021745A"/>
    <w:rsid w:val="0022790D"/>
    <w:rsid w:val="002331A6"/>
    <w:rsid w:val="00235F2D"/>
    <w:rsid w:val="00236356"/>
    <w:rsid w:val="00236964"/>
    <w:rsid w:val="00236ACC"/>
    <w:rsid w:val="002413A7"/>
    <w:rsid w:val="0024171E"/>
    <w:rsid w:val="00242FCE"/>
    <w:rsid w:val="00247BB3"/>
    <w:rsid w:val="002504BA"/>
    <w:rsid w:val="002523D5"/>
    <w:rsid w:val="0025277D"/>
    <w:rsid w:val="00257A9F"/>
    <w:rsid w:val="00261A87"/>
    <w:rsid w:val="002623B4"/>
    <w:rsid w:val="002638D8"/>
    <w:rsid w:val="002644AF"/>
    <w:rsid w:val="00264A5C"/>
    <w:rsid w:val="00264F0A"/>
    <w:rsid w:val="002652E4"/>
    <w:rsid w:val="00266FA4"/>
    <w:rsid w:val="00270357"/>
    <w:rsid w:val="0027039E"/>
    <w:rsid w:val="00270678"/>
    <w:rsid w:val="00271A7A"/>
    <w:rsid w:val="002729C8"/>
    <w:rsid w:val="00274AF8"/>
    <w:rsid w:val="0027558A"/>
    <w:rsid w:val="00277CA1"/>
    <w:rsid w:val="002819AD"/>
    <w:rsid w:val="002821A8"/>
    <w:rsid w:val="00282E3F"/>
    <w:rsid w:val="00282FB2"/>
    <w:rsid w:val="00283F40"/>
    <w:rsid w:val="00285CF2"/>
    <w:rsid w:val="00285F09"/>
    <w:rsid w:val="00287DC0"/>
    <w:rsid w:val="00287EEA"/>
    <w:rsid w:val="00290F70"/>
    <w:rsid w:val="00291804"/>
    <w:rsid w:val="002940A4"/>
    <w:rsid w:val="00296406"/>
    <w:rsid w:val="002969C0"/>
    <w:rsid w:val="00296D6E"/>
    <w:rsid w:val="002A20DE"/>
    <w:rsid w:val="002A55CA"/>
    <w:rsid w:val="002A5EA8"/>
    <w:rsid w:val="002B0E30"/>
    <w:rsid w:val="002B213E"/>
    <w:rsid w:val="002B43BD"/>
    <w:rsid w:val="002B6727"/>
    <w:rsid w:val="002B6DBB"/>
    <w:rsid w:val="002B7138"/>
    <w:rsid w:val="002C080F"/>
    <w:rsid w:val="002C120B"/>
    <w:rsid w:val="002C1280"/>
    <w:rsid w:val="002C2373"/>
    <w:rsid w:val="002C3A6C"/>
    <w:rsid w:val="002C468F"/>
    <w:rsid w:val="002C4C38"/>
    <w:rsid w:val="002C722B"/>
    <w:rsid w:val="002D06A6"/>
    <w:rsid w:val="002D3AC2"/>
    <w:rsid w:val="002D7B13"/>
    <w:rsid w:val="002E2B5E"/>
    <w:rsid w:val="002E2F6F"/>
    <w:rsid w:val="002E48D2"/>
    <w:rsid w:val="002E5C59"/>
    <w:rsid w:val="002F1A66"/>
    <w:rsid w:val="002F244A"/>
    <w:rsid w:val="002F4401"/>
    <w:rsid w:val="002F4EBE"/>
    <w:rsid w:val="002F6761"/>
    <w:rsid w:val="002F771E"/>
    <w:rsid w:val="003057B6"/>
    <w:rsid w:val="0031052E"/>
    <w:rsid w:val="00310AFD"/>
    <w:rsid w:val="00310EF8"/>
    <w:rsid w:val="00311413"/>
    <w:rsid w:val="003125B2"/>
    <w:rsid w:val="003136D2"/>
    <w:rsid w:val="00314C35"/>
    <w:rsid w:val="003157E8"/>
    <w:rsid w:val="00315BC1"/>
    <w:rsid w:val="00315E9F"/>
    <w:rsid w:val="00317387"/>
    <w:rsid w:val="0031779E"/>
    <w:rsid w:val="00326197"/>
    <w:rsid w:val="00327C82"/>
    <w:rsid w:val="0033012D"/>
    <w:rsid w:val="00330D7B"/>
    <w:rsid w:val="00332893"/>
    <w:rsid w:val="00334728"/>
    <w:rsid w:val="00334A4C"/>
    <w:rsid w:val="00337BAB"/>
    <w:rsid w:val="00337D12"/>
    <w:rsid w:val="00340BFC"/>
    <w:rsid w:val="00341A69"/>
    <w:rsid w:val="00342324"/>
    <w:rsid w:val="00345175"/>
    <w:rsid w:val="003458E7"/>
    <w:rsid w:val="003505FE"/>
    <w:rsid w:val="00350DCA"/>
    <w:rsid w:val="00350E22"/>
    <w:rsid w:val="00352825"/>
    <w:rsid w:val="00354BC3"/>
    <w:rsid w:val="0035555F"/>
    <w:rsid w:val="003574DF"/>
    <w:rsid w:val="003604B1"/>
    <w:rsid w:val="00367455"/>
    <w:rsid w:val="003679C4"/>
    <w:rsid w:val="00370045"/>
    <w:rsid w:val="00371105"/>
    <w:rsid w:val="00372454"/>
    <w:rsid w:val="003757DB"/>
    <w:rsid w:val="00377FD4"/>
    <w:rsid w:val="003803B4"/>
    <w:rsid w:val="003806D3"/>
    <w:rsid w:val="0038129E"/>
    <w:rsid w:val="00385897"/>
    <w:rsid w:val="003864C4"/>
    <w:rsid w:val="00386ADB"/>
    <w:rsid w:val="00386FE5"/>
    <w:rsid w:val="00390173"/>
    <w:rsid w:val="003922FC"/>
    <w:rsid w:val="003934A6"/>
    <w:rsid w:val="00395D67"/>
    <w:rsid w:val="00396762"/>
    <w:rsid w:val="00397A5C"/>
    <w:rsid w:val="003A3A8A"/>
    <w:rsid w:val="003A3BFD"/>
    <w:rsid w:val="003A5109"/>
    <w:rsid w:val="003B151C"/>
    <w:rsid w:val="003B259D"/>
    <w:rsid w:val="003B39EF"/>
    <w:rsid w:val="003B52EC"/>
    <w:rsid w:val="003C0731"/>
    <w:rsid w:val="003C42D2"/>
    <w:rsid w:val="003C6817"/>
    <w:rsid w:val="003C7282"/>
    <w:rsid w:val="003D07F6"/>
    <w:rsid w:val="003D0A2F"/>
    <w:rsid w:val="003D0AD9"/>
    <w:rsid w:val="003D1859"/>
    <w:rsid w:val="003D1D60"/>
    <w:rsid w:val="003D3E1E"/>
    <w:rsid w:val="003D5ECD"/>
    <w:rsid w:val="003D71E7"/>
    <w:rsid w:val="003E17AA"/>
    <w:rsid w:val="003E1E56"/>
    <w:rsid w:val="003E3548"/>
    <w:rsid w:val="003E4615"/>
    <w:rsid w:val="003E613A"/>
    <w:rsid w:val="003F1D4A"/>
    <w:rsid w:val="003F369E"/>
    <w:rsid w:val="003F5584"/>
    <w:rsid w:val="004037B0"/>
    <w:rsid w:val="004054A8"/>
    <w:rsid w:val="00406938"/>
    <w:rsid w:val="004073A5"/>
    <w:rsid w:val="0041271E"/>
    <w:rsid w:val="00413272"/>
    <w:rsid w:val="00415183"/>
    <w:rsid w:val="00420699"/>
    <w:rsid w:val="00420777"/>
    <w:rsid w:val="00420BB9"/>
    <w:rsid w:val="00425A58"/>
    <w:rsid w:val="00427340"/>
    <w:rsid w:val="00431EFD"/>
    <w:rsid w:val="00432733"/>
    <w:rsid w:val="004332A8"/>
    <w:rsid w:val="004340C2"/>
    <w:rsid w:val="004360CD"/>
    <w:rsid w:val="00440137"/>
    <w:rsid w:val="0044202B"/>
    <w:rsid w:val="00442230"/>
    <w:rsid w:val="00451CFE"/>
    <w:rsid w:val="00452B00"/>
    <w:rsid w:val="00453BE1"/>
    <w:rsid w:val="00454238"/>
    <w:rsid w:val="0045501F"/>
    <w:rsid w:val="00455D6C"/>
    <w:rsid w:val="00456D5D"/>
    <w:rsid w:val="00457B80"/>
    <w:rsid w:val="004600E6"/>
    <w:rsid w:val="0046054E"/>
    <w:rsid w:val="004614D7"/>
    <w:rsid w:val="00463814"/>
    <w:rsid w:val="004661CF"/>
    <w:rsid w:val="004677BE"/>
    <w:rsid w:val="0047020F"/>
    <w:rsid w:val="00470DE3"/>
    <w:rsid w:val="00473FDD"/>
    <w:rsid w:val="004758E7"/>
    <w:rsid w:val="00475BA3"/>
    <w:rsid w:val="00476609"/>
    <w:rsid w:val="00477B88"/>
    <w:rsid w:val="00484207"/>
    <w:rsid w:val="004856CB"/>
    <w:rsid w:val="004900D3"/>
    <w:rsid w:val="00490261"/>
    <w:rsid w:val="00494941"/>
    <w:rsid w:val="00496024"/>
    <w:rsid w:val="0049642D"/>
    <w:rsid w:val="004A0C98"/>
    <w:rsid w:val="004A0F64"/>
    <w:rsid w:val="004A1AB0"/>
    <w:rsid w:val="004A22EC"/>
    <w:rsid w:val="004A36EF"/>
    <w:rsid w:val="004A50FF"/>
    <w:rsid w:val="004A6177"/>
    <w:rsid w:val="004A6557"/>
    <w:rsid w:val="004A6B75"/>
    <w:rsid w:val="004B2DBA"/>
    <w:rsid w:val="004C26B4"/>
    <w:rsid w:val="004C3503"/>
    <w:rsid w:val="004C3784"/>
    <w:rsid w:val="004C589C"/>
    <w:rsid w:val="004D17EF"/>
    <w:rsid w:val="004D2DE3"/>
    <w:rsid w:val="004D4E81"/>
    <w:rsid w:val="004D6A98"/>
    <w:rsid w:val="004D6C18"/>
    <w:rsid w:val="004E01F3"/>
    <w:rsid w:val="004E0A73"/>
    <w:rsid w:val="004E319A"/>
    <w:rsid w:val="004E4085"/>
    <w:rsid w:val="004E42F5"/>
    <w:rsid w:val="004E45EB"/>
    <w:rsid w:val="004E63DE"/>
    <w:rsid w:val="004E7C00"/>
    <w:rsid w:val="004F2E72"/>
    <w:rsid w:val="004F3675"/>
    <w:rsid w:val="004F5FE4"/>
    <w:rsid w:val="00501348"/>
    <w:rsid w:val="0050166C"/>
    <w:rsid w:val="0050236F"/>
    <w:rsid w:val="0050265F"/>
    <w:rsid w:val="00504E96"/>
    <w:rsid w:val="005057E8"/>
    <w:rsid w:val="005063DF"/>
    <w:rsid w:val="00507A66"/>
    <w:rsid w:val="00507D29"/>
    <w:rsid w:val="00511A5B"/>
    <w:rsid w:val="0051423E"/>
    <w:rsid w:val="00514275"/>
    <w:rsid w:val="00514AFD"/>
    <w:rsid w:val="00514CF1"/>
    <w:rsid w:val="00515DEF"/>
    <w:rsid w:val="00515EC4"/>
    <w:rsid w:val="00516380"/>
    <w:rsid w:val="0051648E"/>
    <w:rsid w:val="00516531"/>
    <w:rsid w:val="00516C6E"/>
    <w:rsid w:val="00516E45"/>
    <w:rsid w:val="00517741"/>
    <w:rsid w:val="00522ABF"/>
    <w:rsid w:val="005309B9"/>
    <w:rsid w:val="00531CEB"/>
    <w:rsid w:val="00532FA6"/>
    <w:rsid w:val="00537A32"/>
    <w:rsid w:val="00542C56"/>
    <w:rsid w:val="00542E6C"/>
    <w:rsid w:val="00542FF0"/>
    <w:rsid w:val="00543A89"/>
    <w:rsid w:val="00543BFB"/>
    <w:rsid w:val="00547F31"/>
    <w:rsid w:val="00551E3C"/>
    <w:rsid w:val="00552EDF"/>
    <w:rsid w:val="0055420A"/>
    <w:rsid w:val="005556CB"/>
    <w:rsid w:val="005608EB"/>
    <w:rsid w:val="00563153"/>
    <w:rsid w:val="00564B24"/>
    <w:rsid w:val="0057106B"/>
    <w:rsid w:val="0057189D"/>
    <w:rsid w:val="00571989"/>
    <w:rsid w:val="00573031"/>
    <w:rsid w:val="005736B5"/>
    <w:rsid w:val="00577083"/>
    <w:rsid w:val="00581ACF"/>
    <w:rsid w:val="005828A4"/>
    <w:rsid w:val="00583B1F"/>
    <w:rsid w:val="00583B91"/>
    <w:rsid w:val="0058411B"/>
    <w:rsid w:val="0058491A"/>
    <w:rsid w:val="0058688B"/>
    <w:rsid w:val="005870A7"/>
    <w:rsid w:val="00592583"/>
    <w:rsid w:val="005950E2"/>
    <w:rsid w:val="0059709D"/>
    <w:rsid w:val="005A0527"/>
    <w:rsid w:val="005A120A"/>
    <w:rsid w:val="005A1D04"/>
    <w:rsid w:val="005A2927"/>
    <w:rsid w:val="005A391D"/>
    <w:rsid w:val="005A574F"/>
    <w:rsid w:val="005A6FCB"/>
    <w:rsid w:val="005B1905"/>
    <w:rsid w:val="005B2B9D"/>
    <w:rsid w:val="005B2DA9"/>
    <w:rsid w:val="005B3227"/>
    <w:rsid w:val="005B3298"/>
    <w:rsid w:val="005B4673"/>
    <w:rsid w:val="005B694E"/>
    <w:rsid w:val="005B6DAE"/>
    <w:rsid w:val="005B6E58"/>
    <w:rsid w:val="005C6CAA"/>
    <w:rsid w:val="005C77FB"/>
    <w:rsid w:val="005D08FD"/>
    <w:rsid w:val="005D2087"/>
    <w:rsid w:val="005D2720"/>
    <w:rsid w:val="005D3382"/>
    <w:rsid w:val="005D4EE5"/>
    <w:rsid w:val="005D5C6F"/>
    <w:rsid w:val="005E064A"/>
    <w:rsid w:val="005E10CB"/>
    <w:rsid w:val="005E1245"/>
    <w:rsid w:val="005E3BB6"/>
    <w:rsid w:val="005E3C80"/>
    <w:rsid w:val="005E63E0"/>
    <w:rsid w:val="005E7DFD"/>
    <w:rsid w:val="005F22FD"/>
    <w:rsid w:val="005F39C5"/>
    <w:rsid w:val="005F5465"/>
    <w:rsid w:val="006005C2"/>
    <w:rsid w:val="006027B0"/>
    <w:rsid w:val="0060413F"/>
    <w:rsid w:val="006100B3"/>
    <w:rsid w:val="00611032"/>
    <w:rsid w:val="00611878"/>
    <w:rsid w:val="006123E2"/>
    <w:rsid w:val="00612A0C"/>
    <w:rsid w:val="00612A58"/>
    <w:rsid w:val="00615BDC"/>
    <w:rsid w:val="00617E75"/>
    <w:rsid w:val="0062084D"/>
    <w:rsid w:val="00621B0C"/>
    <w:rsid w:val="006235AD"/>
    <w:rsid w:val="00625A6B"/>
    <w:rsid w:val="00632357"/>
    <w:rsid w:val="00632615"/>
    <w:rsid w:val="00633001"/>
    <w:rsid w:val="006345F4"/>
    <w:rsid w:val="00635697"/>
    <w:rsid w:val="0063681C"/>
    <w:rsid w:val="006371F4"/>
    <w:rsid w:val="00645FF1"/>
    <w:rsid w:val="00647327"/>
    <w:rsid w:val="00647432"/>
    <w:rsid w:val="00650519"/>
    <w:rsid w:val="00660DFE"/>
    <w:rsid w:val="00662750"/>
    <w:rsid w:val="00662D79"/>
    <w:rsid w:val="006646B2"/>
    <w:rsid w:val="00666A31"/>
    <w:rsid w:val="00667312"/>
    <w:rsid w:val="006712CF"/>
    <w:rsid w:val="006733CF"/>
    <w:rsid w:val="00675136"/>
    <w:rsid w:val="00675228"/>
    <w:rsid w:val="006758AA"/>
    <w:rsid w:val="006767F4"/>
    <w:rsid w:val="00680D6E"/>
    <w:rsid w:val="00684041"/>
    <w:rsid w:val="00684B4F"/>
    <w:rsid w:val="006863AF"/>
    <w:rsid w:val="0068727F"/>
    <w:rsid w:val="006911EF"/>
    <w:rsid w:val="00692348"/>
    <w:rsid w:val="006944CD"/>
    <w:rsid w:val="006956CF"/>
    <w:rsid w:val="00695BAC"/>
    <w:rsid w:val="006970BF"/>
    <w:rsid w:val="006A2315"/>
    <w:rsid w:val="006A67C7"/>
    <w:rsid w:val="006A7A69"/>
    <w:rsid w:val="006A7D8A"/>
    <w:rsid w:val="006B1541"/>
    <w:rsid w:val="006B21E0"/>
    <w:rsid w:val="006B3B87"/>
    <w:rsid w:val="006B6F01"/>
    <w:rsid w:val="006B7670"/>
    <w:rsid w:val="006C365E"/>
    <w:rsid w:val="006C4284"/>
    <w:rsid w:val="006C4474"/>
    <w:rsid w:val="006C4DC3"/>
    <w:rsid w:val="006C5023"/>
    <w:rsid w:val="006C77D5"/>
    <w:rsid w:val="006D4086"/>
    <w:rsid w:val="006D4217"/>
    <w:rsid w:val="006D5026"/>
    <w:rsid w:val="006D7604"/>
    <w:rsid w:val="006E0198"/>
    <w:rsid w:val="006E0B67"/>
    <w:rsid w:val="006E2FBE"/>
    <w:rsid w:val="006E7802"/>
    <w:rsid w:val="006F0288"/>
    <w:rsid w:val="006F091C"/>
    <w:rsid w:val="0070137B"/>
    <w:rsid w:val="00702A3A"/>
    <w:rsid w:val="00703DBE"/>
    <w:rsid w:val="0070683D"/>
    <w:rsid w:val="00706D70"/>
    <w:rsid w:val="007077AA"/>
    <w:rsid w:val="00707D83"/>
    <w:rsid w:val="00707DFF"/>
    <w:rsid w:val="00707F02"/>
    <w:rsid w:val="00711B3F"/>
    <w:rsid w:val="00713978"/>
    <w:rsid w:val="00716DAE"/>
    <w:rsid w:val="007174E9"/>
    <w:rsid w:val="0071753B"/>
    <w:rsid w:val="00721954"/>
    <w:rsid w:val="00723C22"/>
    <w:rsid w:val="0072485E"/>
    <w:rsid w:val="007301F6"/>
    <w:rsid w:val="007342FC"/>
    <w:rsid w:val="007354CC"/>
    <w:rsid w:val="00735C4F"/>
    <w:rsid w:val="007405D1"/>
    <w:rsid w:val="00741277"/>
    <w:rsid w:val="007429DA"/>
    <w:rsid w:val="007442EB"/>
    <w:rsid w:val="0074488D"/>
    <w:rsid w:val="00745867"/>
    <w:rsid w:val="0074693F"/>
    <w:rsid w:val="0075460D"/>
    <w:rsid w:val="0075554A"/>
    <w:rsid w:val="007555C6"/>
    <w:rsid w:val="00756952"/>
    <w:rsid w:val="00756B64"/>
    <w:rsid w:val="00757567"/>
    <w:rsid w:val="007604FD"/>
    <w:rsid w:val="007617B0"/>
    <w:rsid w:val="00771B7F"/>
    <w:rsid w:val="00773995"/>
    <w:rsid w:val="007759A3"/>
    <w:rsid w:val="007775CA"/>
    <w:rsid w:val="00780623"/>
    <w:rsid w:val="00780AB2"/>
    <w:rsid w:val="007811D2"/>
    <w:rsid w:val="007815CA"/>
    <w:rsid w:val="00783D5E"/>
    <w:rsid w:val="00786760"/>
    <w:rsid w:val="00790FBB"/>
    <w:rsid w:val="007917CE"/>
    <w:rsid w:val="007918D3"/>
    <w:rsid w:val="00791B01"/>
    <w:rsid w:val="0079416C"/>
    <w:rsid w:val="0079453E"/>
    <w:rsid w:val="007971C0"/>
    <w:rsid w:val="007A06C9"/>
    <w:rsid w:val="007A13BC"/>
    <w:rsid w:val="007A3FC2"/>
    <w:rsid w:val="007A4929"/>
    <w:rsid w:val="007B247A"/>
    <w:rsid w:val="007B341E"/>
    <w:rsid w:val="007B39A1"/>
    <w:rsid w:val="007B5B8A"/>
    <w:rsid w:val="007B6655"/>
    <w:rsid w:val="007C2935"/>
    <w:rsid w:val="007C2E9D"/>
    <w:rsid w:val="007C51CE"/>
    <w:rsid w:val="007D0EC6"/>
    <w:rsid w:val="007D0FD8"/>
    <w:rsid w:val="007D5A2B"/>
    <w:rsid w:val="007D5B8E"/>
    <w:rsid w:val="007D5C9E"/>
    <w:rsid w:val="007D791E"/>
    <w:rsid w:val="007E059C"/>
    <w:rsid w:val="007E0CF9"/>
    <w:rsid w:val="007E2D36"/>
    <w:rsid w:val="007E3296"/>
    <w:rsid w:val="007E36A1"/>
    <w:rsid w:val="007E5891"/>
    <w:rsid w:val="007F1C47"/>
    <w:rsid w:val="007F24C9"/>
    <w:rsid w:val="007F3BD5"/>
    <w:rsid w:val="007F4337"/>
    <w:rsid w:val="007F65C8"/>
    <w:rsid w:val="007F67B9"/>
    <w:rsid w:val="007F78D9"/>
    <w:rsid w:val="007F7DBC"/>
    <w:rsid w:val="00801509"/>
    <w:rsid w:val="00802926"/>
    <w:rsid w:val="00803369"/>
    <w:rsid w:val="00803F1D"/>
    <w:rsid w:val="00803FE1"/>
    <w:rsid w:val="00806203"/>
    <w:rsid w:val="00807024"/>
    <w:rsid w:val="008072EB"/>
    <w:rsid w:val="00810D63"/>
    <w:rsid w:val="0081162B"/>
    <w:rsid w:val="0082225C"/>
    <w:rsid w:val="00822817"/>
    <w:rsid w:val="00823451"/>
    <w:rsid w:val="008238F6"/>
    <w:rsid w:val="008242D6"/>
    <w:rsid w:val="00825C42"/>
    <w:rsid w:val="00831E51"/>
    <w:rsid w:val="00834052"/>
    <w:rsid w:val="00834741"/>
    <w:rsid w:val="00835948"/>
    <w:rsid w:val="00836564"/>
    <w:rsid w:val="00840980"/>
    <w:rsid w:val="0084331A"/>
    <w:rsid w:val="00845C51"/>
    <w:rsid w:val="00845F67"/>
    <w:rsid w:val="00846492"/>
    <w:rsid w:val="008509CB"/>
    <w:rsid w:val="008642AD"/>
    <w:rsid w:val="00865240"/>
    <w:rsid w:val="008653CD"/>
    <w:rsid w:val="00871951"/>
    <w:rsid w:val="0087479E"/>
    <w:rsid w:val="00874F97"/>
    <w:rsid w:val="00875941"/>
    <w:rsid w:val="00877EED"/>
    <w:rsid w:val="00877F57"/>
    <w:rsid w:val="00881765"/>
    <w:rsid w:val="00884C7F"/>
    <w:rsid w:val="00887DDA"/>
    <w:rsid w:val="00891A45"/>
    <w:rsid w:val="00891EAD"/>
    <w:rsid w:val="00892717"/>
    <w:rsid w:val="00895451"/>
    <w:rsid w:val="0089632C"/>
    <w:rsid w:val="008A0CCD"/>
    <w:rsid w:val="008A26AA"/>
    <w:rsid w:val="008A2B5A"/>
    <w:rsid w:val="008A34BC"/>
    <w:rsid w:val="008A38AB"/>
    <w:rsid w:val="008A3C6F"/>
    <w:rsid w:val="008A66CB"/>
    <w:rsid w:val="008A7744"/>
    <w:rsid w:val="008B0578"/>
    <w:rsid w:val="008C296A"/>
    <w:rsid w:val="008C2C6D"/>
    <w:rsid w:val="008C2EAD"/>
    <w:rsid w:val="008C3023"/>
    <w:rsid w:val="008C5CB8"/>
    <w:rsid w:val="008D076C"/>
    <w:rsid w:val="008D1A79"/>
    <w:rsid w:val="008D1EF7"/>
    <w:rsid w:val="008D29DB"/>
    <w:rsid w:val="008D2A90"/>
    <w:rsid w:val="008D4198"/>
    <w:rsid w:val="008D5178"/>
    <w:rsid w:val="008D5774"/>
    <w:rsid w:val="008D72AD"/>
    <w:rsid w:val="008E06C6"/>
    <w:rsid w:val="008E0F41"/>
    <w:rsid w:val="008E3C0D"/>
    <w:rsid w:val="008E693F"/>
    <w:rsid w:val="008E6C07"/>
    <w:rsid w:val="008F06C1"/>
    <w:rsid w:val="008F0ABE"/>
    <w:rsid w:val="008F40CC"/>
    <w:rsid w:val="008F4BB5"/>
    <w:rsid w:val="0090060D"/>
    <w:rsid w:val="00901EAB"/>
    <w:rsid w:val="009037A2"/>
    <w:rsid w:val="00904E7C"/>
    <w:rsid w:val="0091243B"/>
    <w:rsid w:val="009135DA"/>
    <w:rsid w:val="00913CD6"/>
    <w:rsid w:val="009154D1"/>
    <w:rsid w:val="00915976"/>
    <w:rsid w:val="00915D93"/>
    <w:rsid w:val="009165ED"/>
    <w:rsid w:val="009175FD"/>
    <w:rsid w:val="009202E2"/>
    <w:rsid w:val="00921246"/>
    <w:rsid w:val="00921D28"/>
    <w:rsid w:val="00922461"/>
    <w:rsid w:val="00922920"/>
    <w:rsid w:val="00925E78"/>
    <w:rsid w:val="00926262"/>
    <w:rsid w:val="00927992"/>
    <w:rsid w:val="009279DF"/>
    <w:rsid w:val="00927DB0"/>
    <w:rsid w:val="0093138F"/>
    <w:rsid w:val="00931415"/>
    <w:rsid w:val="00931A00"/>
    <w:rsid w:val="0094030A"/>
    <w:rsid w:val="0094164B"/>
    <w:rsid w:val="009420E2"/>
    <w:rsid w:val="009429C5"/>
    <w:rsid w:val="00942C4B"/>
    <w:rsid w:val="00943697"/>
    <w:rsid w:val="00943DAD"/>
    <w:rsid w:val="00946B02"/>
    <w:rsid w:val="00946E94"/>
    <w:rsid w:val="00952B75"/>
    <w:rsid w:val="00953FD0"/>
    <w:rsid w:val="00955404"/>
    <w:rsid w:val="00957C54"/>
    <w:rsid w:val="00963BD8"/>
    <w:rsid w:val="00964E8E"/>
    <w:rsid w:val="00965ACA"/>
    <w:rsid w:val="00965EAA"/>
    <w:rsid w:val="00966596"/>
    <w:rsid w:val="00967381"/>
    <w:rsid w:val="00971606"/>
    <w:rsid w:val="00971D97"/>
    <w:rsid w:val="0097289C"/>
    <w:rsid w:val="009728E5"/>
    <w:rsid w:val="00976BCE"/>
    <w:rsid w:val="009844DA"/>
    <w:rsid w:val="00985282"/>
    <w:rsid w:val="0098789F"/>
    <w:rsid w:val="009906CF"/>
    <w:rsid w:val="009907F7"/>
    <w:rsid w:val="00991DC1"/>
    <w:rsid w:val="00992C6F"/>
    <w:rsid w:val="00994B09"/>
    <w:rsid w:val="00994B4F"/>
    <w:rsid w:val="00997638"/>
    <w:rsid w:val="009A329F"/>
    <w:rsid w:val="009A4556"/>
    <w:rsid w:val="009A457B"/>
    <w:rsid w:val="009A4FBE"/>
    <w:rsid w:val="009A6B73"/>
    <w:rsid w:val="009B31FF"/>
    <w:rsid w:val="009B3FD5"/>
    <w:rsid w:val="009B51DC"/>
    <w:rsid w:val="009B64DD"/>
    <w:rsid w:val="009B6B49"/>
    <w:rsid w:val="009C043B"/>
    <w:rsid w:val="009C0F26"/>
    <w:rsid w:val="009C1CE1"/>
    <w:rsid w:val="009C65AC"/>
    <w:rsid w:val="009C6EAC"/>
    <w:rsid w:val="009C6F7C"/>
    <w:rsid w:val="009D2591"/>
    <w:rsid w:val="009D3516"/>
    <w:rsid w:val="009D36BF"/>
    <w:rsid w:val="009D53DB"/>
    <w:rsid w:val="009D5F82"/>
    <w:rsid w:val="009D68EB"/>
    <w:rsid w:val="009D734F"/>
    <w:rsid w:val="009E22C0"/>
    <w:rsid w:val="009E28C7"/>
    <w:rsid w:val="009E5A6A"/>
    <w:rsid w:val="009E7647"/>
    <w:rsid w:val="009E7A17"/>
    <w:rsid w:val="009F1DBE"/>
    <w:rsid w:val="009F54D9"/>
    <w:rsid w:val="00A01528"/>
    <w:rsid w:val="00A02D80"/>
    <w:rsid w:val="00A0342B"/>
    <w:rsid w:val="00A05C47"/>
    <w:rsid w:val="00A0675D"/>
    <w:rsid w:val="00A07E10"/>
    <w:rsid w:val="00A140CC"/>
    <w:rsid w:val="00A147F0"/>
    <w:rsid w:val="00A14CD2"/>
    <w:rsid w:val="00A17424"/>
    <w:rsid w:val="00A20643"/>
    <w:rsid w:val="00A2154A"/>
    <w:rsid w:val="00A219F5"/>
    <w:rsid w:val="00A23EAF"/>
    <w:rsid w:val="00A24DDB"/>
    <w:rsid w:val="00A256D3"/>
    <w:rsid w:val="00A25ABE"/>
    <w:rsid w:val="00A262DF"/>
    <w:rsid w:val="00A26E19"/>
    <w:rsid w:val="00A2756A"/>
    <w:rsid w:val="00A278B0"/>
    <w:rsid w:val="00A30ABE"/>
    <w:rsid w:val="00A30F0F"/>
    <w:rsid w:val="00A3579C"/>
    <w:rsid w:val="00A40B9E"/>
    <w:rsid w:val="00A43AD2"/>
    <w:rsid w:val="00A4654C"/>
    <w:rsid w:val="00A54D91"/>
    <w:rsid w:val="00A54D9B"/>
    <w:rsid w:val="00A5502B"/>
    <w:rsid w:val="00A556C1"/>
    <w:rsid w:val="00A56E81"/>
    <w:rsid w:val="00A60D4A"/>
    <w:rsid w:val="00A60D55"/>
    <w:rsid w:val="00A62C82"/>
    <w:rsid w:val="00A62FB7"/>
    <w:rsid w:val="00A64660"/>
    <w:rsid w:val="00A66140"/>
    <w:rsid w:val="00A661A4"/>
    <w:rsid w:val="00A6688B"/>
    <w:rsid w:val="00A74463"/>
    <w:rsid w:val="00A80CAD"/>
    <w:rsid w:val="00A820CD"/>
    <w:rsid w:val="00A82A20"/>
    <w:rsid w:val="00A82BE1"/>
    <w:rsid w:val="00A84906"/>
    <w:rsid w:val="00A85EFE"/>
    <w:rsid w:val="00A879CE"/>
    <w:rsid w:val="00A87A50"/>
    <w:rsid w:val="00A90BFC"/>
    <w:rsid w:val="00A919A0"/>
    <w:rsid w:val="00A91EA4"/>
    <w:rsid w:val="00A934AF"/>
    <w:rsid w:val="00A939E0"/>
    <w:rsid w:val="00A941AB"/>
    <w:rsid w:val="00A94734"/>
    <w:rsid w:val="00A958DA"/>
    <w:rsid w:val="00A95C8F"/>
    <w:rsid w:val="00A95CB3"/>
    <w:rsid w:val="00AA232F"/>
    <w:rsid w:val="00AA255B"/>
    <w:rsid w:val="00AA26BF"/>
    <w:rsid w:val="00AA3206"/>
    <w:rsid w:val="00AA5FFF"/>
    <w:rsid w:val="00AA7901"/>
    <w:rsid w:val="00AB171C"/>
    <w:rsid w:val="00AB24B2"/>
    <w:rsid w:val="00AB28E3"/>
    <w:rsid w:val="00AB44B7"/>
    <w:rsid w:val="00AB44F5"/>
    <w:rsid w:val="00AB6026"/>
    <w:rsid w:val="00AC34E3"/>
    <w:rsid w:val="00AC51E9"/>
    <w:rsid w:val="00AC5EF3"/>
    <w:rsid w:val="00AD03D7"/>
    <w:rsid w:val="00AD3E46"/>
    <w:rsid w:val="00AD4D65"/>
    <w:rsid w:val="00AD6066"/>
    <w:rsid w:val="00AD60F0"/>
    <w:rsid w:val="00AD6CF0"/>
    <w:rsid w:val="00AD7927"/>
    <w:rsid w:val="00AE02E2"/>
    <w:rsid w:val="00AE03C4"/>
    <w:rsid w:val="00AE15D9"/>
    <w:rsid w:val="00AE52D3"/>
    <w:rsid w:val="00AE72D6"/>
    <w:rsid w:val="00AE79F4"/>
    <w:rsid w:val="00AF1520"/>
    <w:rsid w:val="00AF3306"/>
    <w:rsid w:val="00AF7FF5"/>
    <w:rsid w:val="00B0082D"/>
    <w:rsid w:val="00B00F13"/>
    <w:rsid w:val="00B01370"/>
    <w:rsid w:val="00B02807"/>
    <w:rsid w:val="00B0649C"/>
    <w:rsid w:val="00B1013D"/>
    <w:rsid w:val="00B10F44"/>
    <w:rsid w:val="00B13610"/>
    <w:rsid w:val="00B21B3D"/>
    <w:rsid w:val="00B21F4D"/>
    <w:rsid w:val="00B21FD0"/>
    <w:rsid w:val="00B22B5D"/>
    <w:rsid w:val="00B32501"/>
    <w:rsid w:val="00B35704"/>
    <w:rsid w:val="00B35825"/>
    <w:rsid w:val="00B36783"/>
    <w:rsid w:val="00B3690A"/>
    <w:rsid w:val="00B371F9"/>
    <w:rsid w:val="00B37E19"/>
    <w:rsid w:val="00B40EB1"/>
    <w:rsid w:val="00B41594"/>
    <w:rsid w:val="00B419A8"/>
    <w:rsid w:val="00B41A4E"/>
    <w:rsid w:val="00B42A64"/>
    <w:rsid w:val="00B44EE4"/>
    <w:rsid w:val="00B457B5"/>
    <w:rsid w:val="00B471EE"/>
    <w:rsid w:val="00B47B6C"/>
    <w:rsid w:val="00B50440"/>
    <w:rsid w:val="00B50E5C"/>
    <w:rsid w:val="00B555EA"/>
    <w:rsid w:val="00B56B4F"/>
    <w:rsid w:val="00B61D88"/>
    <w:rsid w:val="00B63393"/>
    <w:rsid w:val="00B64427"/>
    <w:rsid w:val="00B65426"/>
    <w:rsid w:val="00B719D0"/>
    <w:rsid w:val="00B7259D"/>
    <w:rsid w:val="00B729B1"/>
    <w:rsid w:val="00B746AA"/>
    <w:rsid w:val="00B77559"/>
    <w:rsid w:val="00B80B09"/>
    <w:rsid w:val="00B81D38"/>
    <w:rsid w:val="00B81FBE"/>
    <w:rsid w:val="00B8684C"/>
    <w:rsid w:val="00B871AE"/>
    <w:rsid w:val="00B87412"/>
    <w:rsid w:val="00B93D5E"/>
    <w:rsid w:val="00B94149"/>
    <w:rsid w:val="00B958F5"/>
    <w:rsid w:val="00B97C47"/>
    <w:rsid w:val="00BA03D4"/>
    <w:rsid w:val="00BA08A4"/>
    <w:rsid w:val="00BA4072"/>
    <w:rsid w:val="00BA58BB"/>
    <w:rsid w:val="00BA6929"/>
    <w:rsid w:val="00BB05C2"/>
    <w:rsid w:val="00BB1E6B"/>
    <w:rsid w:val="00BB3BE8"/>
    <w:rsid w:val="00BB5593"/>
    <w:rsid w:val="00BB5C39"/>
    <w:rsid w:val="00BB5DAB"/>
    <w:rsid w:val="00BB6A46"/>
    <w:rsid w:val="00BB7AD8"/>
    <w:rsid w:val="00BC12F7"/>
    <w:rsid w:val="00BC2DEF"/>
    <w:rsid w:val="00BC3EA3"/>
    <w:rsid w:val="00BC5E41"/>
    <w:rsid w:val="00BD1267"/>
    <w:rsid w:val="00BD2CDB"/>
    <w:rsid w:val="00BD59AD"/>
    <w:rsid w:val="00BD69A1"/>
    <w:rsid w:val="00BD7B59"/>
    <w:rsid w:val="00BE1CAD"/>
    <w:rsid w:val="00BE3677"/>
    <w:rsid w:val="00BE3C74"/>
    <w:rsid w:val="00BE4C0B"/>
    <w:rsid w:val="00BF0EE4"/>
    <w:rsid w:val="00BF1FF6"/>
    <w:rsid w:val="00BF21BE"/>
    <w:rsid w:val="00BF272A"/>
    <w:rsid w:val="00BF4075"/>
    <w:rsid w:val="00BF53E2"/>
    <w:rsid w:val="00BF7553"/>
    <w:rsid w:val="00C0118A"/>
    <w:rsid w:val="00C02135"/>
    <w:rsid w:val="00C03D08"/>
    <w:rsid w:val="00C03FD7"/>
    <w:rsid w:val="00C07E35"/>
    <w:rsid w:val="00C101DD"/>
    <w:rsid w:val="00C1390C"/>
    <w:rsid w:val="00C148B9"/>
    <w:rsid w:val="00C159F7"/>
    <w:rsid w:val="00C165C0"/>
    <w:rsid w:val="00C25A6C"/>
    <w:rsid w:val="00C26476"/>
    <w:rsid w:val="00C30582"/>
    <w:rsid w:val="00C33A3B"/>
    <w:rsid w:val="00C34F98"/>
    <w:rsid w:val="00C3628A"/>
    <w:rsid w:val="00C3663B"/>
    <w:rsid w:val="00C36C8F"/>
    <w:rsid w:val="00C377C0"/>
    <w:rsid w:val="00C402DD"/>
    <w:rsid w:val="00C41A43"/>
    <w:rsid w:val="00C441E1"/>
    <w:rsid w:val="00C473ED"/>
    <w:rsid w:val="00C546EC"/>
    <w:rsid w:val="00C564C1"/>
    <w:rsid w:val="00C57E7D"/>
    <w:rsid w:val="00C60CCA"/>
    <w:rsid w:val="00C61D7A"/>
    <w:rsid w:val="00C620BC"/>
    <w:rsid w:val="00C629C6"/>
    <w:rsid w:val="00C64278"/>
    <w:rsid w:val="00C64ECE"/>
    <w:rsid w:val="00C66928"/>
    <w:rsid w:val="00C670CB"/>
    <w:rsid w:val="00C70A65"/>
    <w:rsid w:val="00C721F8"/>
    <w:rsid w:val="00C72F26"/>
    <w:rsid w:val="00C7422F"/>
    <w:rsid w:val="00C75B2F"/>
    <w:rsid w:val="00C7682F"/>
    <w:rsid w:val="00C77329"/>
    <w:rsid w:val="00C82615"/>
    <w:rsid w:val="00C8278F"/>
    <w:rsid w:val="00C82791"/>
    <w:rsid w:val="00C827AE"/>
    <w:rsid w:val="00C82935"/>
    <w:rsid w:val="00C82C9D"/>
    <w:rsid w:val="00C84CE9"/>
    <w:rsid w:val="00C9242F"/>
    <w:rsid w:val="00C93AB5"/>
    <w:rsid w:val="00C97ED6"/>
    <w:rsid w:val="00CA1358"/>
    <w:rsid w:val="00CA1991"/>
    <w:rsid w:val="00CA49DA"/>
    <w:rsid w:val="00CB044E"/>
    <w:rsid w:val="00CB0B1A"/>
    <w:rsid w:val="00CB4987"/>
    <w:rsid w:val="00CB56B8"/>
    <w:rsid w:val="00CB5844"/>
    <w:rsid w:val="00CB5FA2"/>
    <w:rsid w:val="00CB606E"/>
    <w:rsid w:val="00CB644A"/>
    <w:rsid w:val="00CB6C14"/>
    <w:rsid w:val="00CB6EAD"/>
    <w:rsid w:val="00CB704F"/>
    <w:rsid w:val="00CB76F5"/>
    <w:rsid w:val="00CC34E7"/>
    <w:rsid w:val="00CD0246"/>
    <w:rsid w:val="00CD41A6"/>
    <w:rsid w:val="00CD51AE"/>
    <w:rsid w:val="00CD7A59"/>
    <w:rsid w:val="00CE0819"/>
    <w:rsid w:val="00CE54A6"/>
    <w:rsid w:val="00CE59DA"/>
    <w:rsid w:val="00CF2914"/>
    <w:rsid w:val="00CF2CB6"/>
    <w:rsid w:val="00CF6925"/>
    <w:rsid w:val="00CF71DB"/>
    <w:rsid w:val="00CF74EF"/>
    <w:rsid w:val="00CF78FF"/>
    <w:rsid w:val="00D00CDB"/>
    <w:rsid w:val="00D045C9"/>
    <w:rsid w:val="00D0527D"/>
    <w:rsid w:val="00D071FB"/>
    <w:rsid w:val="00D117CF"/>
    <w:rsid w:val="00D151CE"/>
    <w:rsid w:val="00D15692"/>
    <w:rsid w:val="00D170BA"/>
    <w:rsid w:val="00D17335"/>
    <w:rsid w:val="00D24651"/>
    <w:rsid w:val="00D27517"/>
    <w:rsid w:val="00D27595"/>
    <w:rsid w:val="00D3305F"/>
    <w:rsid w:val="00D33411"/>
    <w:rsid w:val="00D34732"/>
    <w:rsid w:val="00D3548A"/>
    <w:rsid w:val="00D365AD"/>
    <w:rsid w:val="00D36CEF"/>
    <w:rsid w:val="00D37A64"/>
    <w:rsid w:val="00D41A07"/>
    <w:rsid w:val="00D4218B"/>
    <w:rsid w:val="00D43349"/>
    <w:rsid w:val="00D43730"/>
    <w:rsid w:val="00D45388"/>
    <w:rsid w:val="00D45976"/>
    <w:rsid w:val="00D50811"/>
    <w:rsid w:val="00D56314"/>
    <w:rsid w:val="00D56461"/>
    <w:rsid w:val="00D5791A"/>
    <w:rsid w:val="00D6196E"/>
    <w:rsid w:val="00D62640"/>
    <w:rsid w:val="00D66EB8"/>
    <w:rsid w:val="00D674D1"/>
    <w:rsid w:val="00D70C8D"/>
    <w:rsid w:val="00D71331"/>
    <w:rsid w:val="00D71456"/>
    <w:rsid w:val="00D714DE"/>
    <w:rsid w:val="00D71AC8"/>
    <w:rsid w:val="00D72849"/>
    <w:rsid w:val="00D75923"/>
    <w:rsid w:val="00D76621"/>
    <w:rsid w:val="00D82B9E"/>
    <w:rsid w:val="00D83597"/>
    <w:rsid w:val="00D91331"/>
    <w:rsid w:val="00D91510"/>
    <w:rsid w:val="00D9700D"/>
    <w:rsid w:val="00DA02D4"/>
    <w:rsid w:val="00DA0449"/>
    <w:rsid w:val="00DA17B2"/>
    <w:rsid w:val="00DA215F"/>
    <w:rsid w:val="00DA27B9"/>
    <w:rsid w:val="00DA2C68"/>
    <w:rsid w:val="00DA3566"/>
    <w:rsid w:val="00DA3577"/>
    <w:rsid w:val="00DA4E65"/>
    <w:rsid w:val="00DA54D3"/>
    <w:rsid w:val="00DA73DD"/>
    <w:rsid w:val="00DB1F54"/>
    <w:rsid w:val="00DB36E3"/>
    <w:rsid w:val="00DB476B"/>
    <w:rsid w:val="00DB4BC4"/>
    <w:rsid w:val="00DB50F1"/>
    <w:rsid w:val="00DB7E21"/>
    <w:rsid w:val="00DC28B0"/>
    <w:rsid w:val="00DC2DB6"/>
    <w:rsid w:val="00DC3280"/>
    <w:rsid w:val="00DD21F4"/>
    <w:rsid w:val="00DD2446"/>
    <w:rsid w:val="00DD3AF2"/>
    <w:rsid w:val="00DD5F64"/>
    <w:rsid w:val="00DD6325"/>
    <w:rsid w:val="00DD66FB"/>
    <w:rsid w:val="00DE1247"/>
    <w:rsid w:val="00DE22CD"/>
    <w:rsid w:val="00DE355B"/>
    <w:rsid w:val="00DE37D3"/>
    <w:rsid w:val="00DE4691"/>
    <w:rsid w:val="00DE5901"/>
    <w:rsid w:val="00DE5FB1"/>
    <w:rsid w:val="00DE76D4"/>
    <w:rsid w:val="00DF10A5"/>
    <w:rsid w:val="00DF3A92"/>
    <w:rsid w:val="00DF423C"/>
    <w:rsid w:val="00DF426B"/>
    <w:rsid w:val="00DF687E"/>
    <w:rsid w:val="00DF7EEB"/>
    <w:rsid w:val="00E0245B"/>
    <w:rsid w:val="00E029B8"/>
    <w:rsid w:val="00E02D5E"/>
    <w:rsid w:val="00E03665"/>
    <w:rsid w:val="00E03BFC"/>
    <w:rsid w:val="00E06BCE"/>
    <w:rsid w:val="00E13A36"/>
    <w:rsid w:val="00E148A0"/>
    <w:rsid w:val="00E16238"/>
    <w:rsid w:val="00E163DD"/>
    <w:rsid w:val="00E213D7"/>
    <w:rsid w:val="00E22704"/>
    <w:rsid w:val="00E23640"/>
    <w:rsid w:val="00E24AFB"/>
    <w:rsid w:val="00E2679E"/>
    <w:rsid w:val="00E27C9A"/>
    <w:rsid w:val="00E313AD"/>
    <w:rsid w:val="00E31E70"/>
    <w:rsid w:val="00E33176"/>
    <w:rsid w:val="00E33357"/>
    <w:rsid w:val="00E33371"/>
    <w:rsid w:val="00E3568D"/>
    <w:rsid w:val="00E36E91"/>
    <w:rsid w:val="00E37664"/>
    <w:rsid w:val="00E41141"/>
    <w:rsid w:val="00E41AFA"/>
    <w:rsid w:val="00E4409A"/>
    <w:rsid w:val="00E4409C"/>
    <w:rsid w:val="00E44709"/>
    <w:rsid w:val="00E47DC5"/>
    <w:rsid w:val="00E5283E"/>
    <w:rsid w:val="00E52F76"/>
    <w:rsid w:val="00E53357"/>
    <w:rsid w:val="00E553C5"/>
    <w:rsid w:val="00E57BDF"/>
    <w:rsid w:val="00E607FA"/>
    <w:rsid w:val="00E62AFD"/>
    <w:rsid w:val="00E63DC2"/>
    <w:rsid w:val="00E70C59"/>
    <w:rsid w:val="00E70D70"/>
    <w:rsid w:val="00E73705"/>
    <w:rsid w:val="00E73C06"/>
    <w:rsid w:val="00E816C1"/>
    <w:rsid w:val="00E8459B"/>
    <w:rsid w:val="00E86765"/>
    <w:rsid w:val="00E912B0"/>
    <w:rsid w:val="00E91422"/>
    <w:rsid w:val="00E91F3C"/>
    <w:rsid w:val="00E92D80"/>
    <w:rsid w:val="00E9468F"/>
    <w:rsid w:val="00E950F3"/>
    <w:rsid w:val="00E96AFB"/>
    <w:rsid w:val="00E97B14"/>
    <w:rsid w:val="00EA35D2"/>
    <w:rsid w:val="00EA45CE"/>
    <w:rsid w:val="00EA7BF4"/>
    <w:rsid w:val="00EB3450"/>
    <w:rsid w:val="00EB448C"/>
    <w:rsid w:val="00EB589F"/>
    <w:rsid w:val="00EB5FEB"/>
    <w:rsid w:val="00EC0603"/>
    <w:rsid w:val="00EC0A75"/>
    <w:rsid w:val="00EC148A"/>
    <w:rsid w:val="00EC1BDD"/>
    <w:rsid w:val="00EC1DFE"/>
    <w:rsid w:val="00EC22DC"/>
    <w:rsid w:val="00EC4F91"/>
    <w:rsid w:val="00ED1333"/>
    <w:rsid w:val="00ED37B5"/>
    <w:rsid w:val="00ED3B02"/>
    <w:rsid w:val="00ED5C5B"/>
    <w:rsid w:val="00ED63C0"/>
    <w:rsid w:val="00ED7460"/>
    <w:rsid w:val="00EE0293"/>
    <w:rsid w:val="00EE19B8"/>
    <w:rsid w:val="00EE335A"/>
    <w:rsid w:val="00EE3547"/>
    <w:rsid w:val="00EE3AC2"/>
    <w:rsid w:val="00EE5C3B"/>
    <w:rsid w:val="00EE6A1B"/>
    <w:rsid w:val="00EE6D17"/>
    <w:rsid w:val="00EF48BA"/>
    <w:rsid w:val="00EF78D6"/>
    <w:rsid w:val="00F00E82"/>
    <w:rsid w:val="00F040C6"/>
    <w:rsid w:val="00F10F43"/>
    <w:rsid w:val="00F16DC3"/>
    <w:rsid w:val="00F21659"/>
    <w:rsid w:val="00F21910"/>
    <w:rsid w:val="00F21C8C"/>
    <w:rsid w:val="00F24E62"/>
    <w:rsid w:val="00F27246"/>
    <w:rsid w:val="00F30463"/>
    <w:rsid w:val="00F30860"/>
    <w:rsid w:val="00F3362A"/>
    <w:rsid w:val="00F343E6"/>
    <w:rsid w:val="00F349A5"/>
    <w:rsid w:val="00F34DD6"/>
    <w:rsid w:val="00F3522C"/>
    <w:rsid w:val="00F36C4B"/>
    <w:rsid w:val="00F370C2"/>
    <w:rsid w:val="00F37B26"/>
    <w:rsid w:val="00F420ED"/>
    <w:rsid w:val="00F431CC"/>
    <w:rsid w:val="00F433FC"/>
    <w:rsid w:val="00F43DA9"/>
    <w:rsid w:val="00F44755"/>
    <w:rsid w:val="00F45E4A"/>
    <w:rsid w:val="00F55453"/>
    <w:rsid w:val="00F563DD"/>
    <w:rsid w:val="00F56BF1"/>
    <w:rsid w:val="00F57950"/>
    <w:rsid w:val="00F57A53"/>
    <w:rsid w:val="00F6020D"/>
    <w:rsid w:val="00F629DF"/>
    <w:rsid w:val="00F63D42"/>
    <w:rsid w:val="00F65070"/>
    <w:rsid w:val="00F666E5"/>
    <w:rsid w:val="00F66729"/>
    <w:rsid w:val="00F70F84"/>
    <w:rsid w:val="00F73DCE"/>
    <w:rsid w:val="00F75A59"/>
    <w:rsid w:val="00F774F3"/>
    <w:rsid w:val="00F80464"/>
    <w:rsid w:val="00F808EB"/>
    <w:rsid w:val="00F80A27"/>
    <w:rsid w:val="00F819A2"/>
    <w:rsid w:val="00F81B91"/>
    <w:rsid w:val="00F82C7D"/>
    <w:rsid w:val="00F86D57"/>
    <w:rsid w:val="00F87FDB"/>
    <w:rsid w:val="00F932B1"/>
    <w:rsid w:val="00F94EE0"/>
    <w:rsid w:val="00F952E5"/>
    <w:rsid w:val="00F95B9A"/>
    <w:rsid w:val="00F9675B"/>
    <w:rsid w:val="00F967A3"/>
    <w:rsid w:val="00F979C1"/>
    <w:rsid w:val="00FA2688"/>
    <w:rsid w:val="00FA353A"/>
    <w:rsid w:val="00FA7D65"/>
    <w:rsid w:val="00FB0782"/>
    <w:rsid w:val="00FB13C4"/>
    <w:rsid w:val="00FB2411"/>
    <w:rsid w:val="00FB25A3"/>
    <w:rsid w:val="00FB4E86"/>
    <w:rsid w:val="00FB656F"/>
    <w:rsid w:val="00FB7023"/>
    <w:rsid w:val="00FC0F97"/>
    <w:rsid w:val="00FC2362"/>
    <w:rsid w:val="00FC2E36"/>
    <w:rsid w:val="00FC5462"/>
    <w:rsid w:val="00FC5E5F"/>
    <w:rsid w:val="00FC6CAE"/>
    <w:rsid w:val="00FC6EDE"/>
    <w:rsid w:val="00FC7A6E"/>
    <w:rsid w:val="00FD0641"/>
    <w:rsid w:val="00FD272E"/>
    <w:rsid w:val="00FD43B5"/>
    <w:rsid w:val="00FD4DCA"/>
    <w:rsid w:val="00FD5FAA"/>
    <w:rsid w:val="00FD7648"/>
    <w:rsid w:val="00FE2234"/>
    <w:rsid w:val="00FE3742"/>
    <w:rsid w:val="00FE4060"/>
    <w:rsid w:val="00FF1B38"/>
    <w:rsid w:val="00FF2393"/>
    <w:rsid w:val="00FF3BE7"/>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1F93D4"/>
  <w15:chartTrackingRefBased/>
  <w15:docId w15:val="{03C2508D-DD59-4F07-AEAD-A53F608E6B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2"/>
        <w:lang w:val="en-I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6FE5"/>
    <w:pPr>
      <w:spacing w:line="360" w:lineRule="auto"/>
      <w:jc w:val="both"/>
    </w:pPr>
    <w:rPr>
      <w:sz w:val="22"/>
    </w:rPr>
  </w:style>
  <w:style w:type="paragraph" w:styleId="Heading1">
    <w:name w:val="heading 1"/>
    <w:basedOn w:val="Normal"/>
    <w:next w:val="Normal"/>
    <w:link w:val="Heading1Char"/>
    <w:uiPriority w:val="9"/>
    <w:qFormat/>
    <w:rsid w:val="003B52EC"/>
    <w:pPr>
      <w:keepNext/>
      <w:keepLines/>
      <w:spacing w:before="240" w:after="240" w:line="240" w:lineRule="auto"/>
      <w:outlineLvl w:val="0"/>
    </w:pPr>
    <w:rPr>
      <w:rFonts w:eastAsiaTheme="majorEastAsia" w:cstheme="majorBidi"/>
      <w:sz w:val="36"/>
      <w:szCs w:val="32"/>
    </w:rPr>
  </w:style>
  <w:style w:type="paragraph" w:styleId="Heading2">
    <w:name w:val="heading 2"/>
    <w:basedOn w:val="Normal"/>
    <w:next w:val="Normal"/>
    <w:link w:val="Heading2Char"/>
    <w:uiPriority w:val="9"/>
    <w:unhideWhenUsed/>
    <w:qFormat/>
    <w:rsid w:val="00EA7BF4"/>
    <w:pPr>
      <w:keepNext/>
      <w:keepLines/>
      <w:spacing w:before="360" w:after="120"/>
      <w:outlineLvl w:val="1"/>
    </w:pPr>
    <w:rPr>
      <w:rFonts w:eastAsiaTheme="majorEastAsia" w:cstheme="majorBidi"/>
      <w:b/>
      <w:sz w:val="24"/>
      <w:szCs w:val="26"/>
    </w:rPr>
  </w:style>
  <w:style w:type="paragraph" w:styleId="Heading3">
    <w:name w:val="heading 3"/>
    <w:basedOn w:val="Normal"/>
    <w:next w:val="Normal"/>
    <w:link w:val="Heading3Char"/>
    <w:uiPriority w:val="9"/>
    <w:unhideWhenUsed/>
    <w:qFormat/>
    <w:rsid w:val="00F967A3"/>
    <w:pPr>
      <w:keepNext/>
      <w:keepLines/>
      <w:spacing w:before="240" w:after="120"/>
      <w:outlineLvl w:val="2"/>
    </w:pPr>
    <w:rPr>
      <w:rFonts w:eastAsiaTheme="majorEastAsia" w:cstheme="majorBidi"/>
      <w:color w:val="000000" w:themeColor="text1"/>
      <w:sz w:val="24"/>
      <w:szCs w:val="24"/>
    </w:rPr>
  </w:style>
  <w:style w:type="paragraph" w:styleId="Heading4">
    <w:name w:val="heading 4"/>
    <w:basedOn w:val="Normal"/>
    <w:next w:val="Normal"/>
    <w:link w:val="Heading4Char"/>
    <w:uiPriority w:val="9"/>
    <w:unhideWhenUsed/>
    <w:qFormat/>
    <w:rsid w:val="00A56E81"/>
    <w:pPr>
      <w:keepNext/>
      <w:keepLines/>
      <w:spacing w:before="40" w:after="0"/>
      <w:outlineLvl w:val="3"/>
    </w:pPr>
    <w:rPr>
      <w:rFonts w:eastAsiaTheme="majorEastAsia" w:cstheme="majorBid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52EC"/>
    <w:rPr>
      <w:rFonts w:eastAsiaTheme="majorEastAsia" w:cstheme="majorBidi"/>
      <w:sz w:val="36"/>
      <w:szCs w:val="32"/>
    </w:rPr>
  </w:style>
  <w:style w:type="character" w:customStyle="1" w:styleId="Heading2Char">
    <w:name w:val="Heading 2 Char"/>
    <w:basedOn w:val="DefaultParagraphFont"/>
    <w:link w:val="Heading2"/>
    <w:uiPriority w:val="9"/>
    <w:rsid w:val="00EA7BF4"/>
    <w:rPr>
      <w:rFonts w:eastAsiaTheme="majorEastAsia" w:cstheme="majorBidi"/>
      <w:b/>
      <w:szCs w:val="26"/>
    </w:rPr>
  </w:style>
  <w:style w:type="character" w:customStyle="1" w:styleId="Heading3Char">
    <w:name w:val="Heading 3 Char"/>
    <w:basedOn w:val="DefaultParagraphFont"/>
    <w:link w:val="Heading3"/>
    <w:uiPriority w:val="9"/>
    <w:rsid w:val="00F967A3"/>
    <w:rPr>
      <w:rFonts w:eastAsiaTheme="majorEastAsia" w:cstheme="majorBidi"/>
      <w:color w:val="000000" w:themeColor="text1"/>
      <w:szCs w:val="24"/>
    </w:rPr>
  </w:style>
  <w:style w:type="paragraph" w:styleId="Caption">
    <w:name w:val="caption"/>
    <w:basedOn w:val="Normal"/>
    <w:next w:val="Normal"/>
    <w:autoRedefine/>
    <w:uiPriority w:val="35"/>
    <w:unhideWhenUsed/>
    <w:qFormat/>
    <w:rsid w:val="00DD21F4"/>
    <w:pPr>
      <w:keepNext/>
      <w:spacing w:after="200" w:line="480" w:lineRule="auto"/>
      <w:ind w:right="-2"/>
    </w:pPr>
    <w:rPr>
      <w:i/>
      <w:szCs w:val="18"/>
    </w:rPr>
  </w:style>
  <w:style w:type="paragraph" w:styleId="NoSpacing">
    <w:name w:val="No Spacing"/>
    <w:link w:val="NoSpacingChar"/>
    <w:uiPriority w:val="1"/>
    <w:qFormat/>
    <w:rsid w:val="00542C56"/>
    <w:pPr>
      <w:spacing w:after="0" w:line="240" w:lineRule="auto"/>
    </w:pPr>
    <w:rPr>
      <w:rFonts w:asciiTheme="minorHAnsi" w:eastAsiaTheme="minorEastAsia" w:hAnsiTheme="minorHAnsi" w:cstheme="minorBidi"/>
      <w:sz w:val="22"/>
      <w:lang w:val="en-US"/>
    </w:rPr>
  </w:style>
  <w:style w:type="character" w:customStyle="1" w:styleId="NoSpacingChar">
    <w:name w:val="No Spacing Char"/>
    <w:basedOn w:val="DefaultParagraphFont"/>
    <w:link w:val="NoSpacing"/>
    <w:uiPriority w:val="1"/>
    <w:rsid w:val="00542C56"/>
    <w:rPr>
      <w:rFonts w:asciiTheme="minorHAnsi" w:eastAsiaTheme="minorEastAsia" w:hAnsiTheme="minorHAnsi" w:cstheme="minorBidi"/>
      <w:sz w:val="22"/>
      <w:lang w:val="en-US"/>
    </w:rPr>
  </w:style>
  <w:style w:type="paragraph" w:styleId="Header">
    <w:name w:val="header"/>
    <w:basedOn w:val="Normal"/>
    <w:link w:val="HeaderChar"/>
    <w:uiPriority w:val="99"/>
    <w:unhideWhenUsed/>
    <w:rsid w:val="009314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1415"/>
    <w:rPr>
      <w:sz w:val="22"/>
    </w:rPr>
  </w:style>
  <w:style w:type="paragraph" w:styleId="Footer">
    <w:name w:val="footer"/>
    <w:basedOn w:val="Normal"/>
    <w:link w:val="FooterChar"/>
    <w:uiPriority w:val="99"/>
    <w:unhideWhenUsed/>
    <w:rsid w:val="009314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1415"/>
    <w:rPr>
      <w:sz w:val="22"/>
    </w:rPr>
  </w:style>
  <w:style w:type="paragraph" w:styleId="ListParagraph">
    <w:name w:val="List Paragraph"/>
    <w:basedOn w:val="Normal"/>
    <w:uiPriority w:val="34"/>
    <w:qFormat/>
    <w:rsid w:val="001432BD"/>
    <w:pPr>
      <w:ind w:left="720"/>
      <w:contextualSpacing/>
    </w:pPr>
  </w:style>
  <w:style w:type="character" w:styleId="CommentReference">
    <w:name w:val="annotation reference"/>
    <w:basedOn w:val="DefaultParagraphFont"/>
    <w:uiPriority w:val="99"/>
    <w:semiHidden/>
    <w:unhideWhenUsed/>
    <w:rsid w:val="00D66EB8"/>
    <w:rPr>
      <w:sz w:val="16"/>
      <w:szCs w:val="16"/>
    </w:rPr>
  </w:style>
  <w:style w:type="paragraph" w:styleId="CommentText">
    <w:name w:val="annotation text"/>
    <w:basedOn w:val="Normal"/>
    <w:link w:val="CommentTextChar"/>
    <w:uiPriority w:val="99"/>
    <w:unhideWhenUsed/>
    <w:rsid w:val="00D66EB8"/>
    <w:pPr>
      <w:spacing w:line="240" w:lineRule="auto"/>
    </w:pPr>
    <w:rPr>
      <w:sz w:val="20"/>
      <w:szCs w:val="20"/>
    </w:rPr>
  </w:style>
  <w:style w:type="character" w:customStyle="1" w:styleId="CommentTextChar">
    <w:name w:val="Comment Text Char"/>
    <w:basedOn w:val="DefaultParagraphFont"/>
    <w:link w:val="CommentText"/>
    <w:uiPriority w:val="99"/>
    <w:rsid w:val="00D66EB8"/>
    <w:rPr>
      <w:sz w:val="20"/>
      <w:szCs w:val="20"/>
    </w:rPr>
  </w:style>
  <w:style w:type="paragraph" w:styleId="CommentSubject">
    <w:name w:val="annotation subject"/>
    <w:basedOn w:val="CommentText"/>
    <w:next w:val="CommentText"/>
    <w:link w:val="CommentSubjectChar"/>
    <w:uiPriority w:val="99"/>
    <w:semiHidden/>
    <w:unhideWhenUsed/>
    <w:rsid w:val="00D66EB8"/>
    <w:rPr>
      <w:b/>
      <w:bCs/>
    </w:rPr>
  </w:style>
  <w:style w:type="character" w:customStyle="1" w:styleId="CommentSubjectChar">
    <w:name w:val="Comment Subject Char"/>
    <w:basedOn w:val="CommentTextChar"/>
    <w:link w:val="CommentSubject"/>
    <w:uiPriority w:val="99"/>
    <w:semiHidden/>
    <w:rsid w:val="00D66EB8"/>
    <w:rPr>
      <w:b/>
      <w:bCs/>
      <w:sz w:val="20"/>
      <w:szCs w:val="20"/>
    </w:rPr>
  </w:style>
  <w:style w:type="paragraph" w:styleId="Revision">
    <w:name w:val="Revision"/>
    <w:hidden/>
    <w:uiPriority w:val="99"/>
    <w:semiHidden/>
    <w:rsid w:val="008A34BC"/>
    <w:pPr>
      <w:spacing w:after="0" w:line="240" w:lineRule="auto"/>
    </w:pPr>
    <w:rPr>
      <w:sz w:val="22"/>
    </w:rPr>
  </w:style>
  <w:style w:type="paragraph" w:styleId="TOCHeading">
    <w:name w:val="TOC Heading"/>
    <w:basedOn w:val="Heading1"/>
    <w:next w:val="Normal"/>
    <w:uiPriority w:val="39"/>
    <w:unhideWhenUsed/>
    <w:qFormat/>
    <w:rsid w:val="007B39A1"/>
    <w:pPr>
      <w:spacing w:line="259" w:lineRule="auto"/>
      <w:outlineLvl w:val="9"/>
    </w:pPr>
    <w:rPr>
      <w:rFonts w:asciiTheme="majorHAnsi" w:hAnsiTheme="majorHAnsi"/>
      <w:color w:val="2F5496" w:themeColor="accent1" w:themeShade="BF"/>
      <w:sz w:val="32"/>
      <w:lang w:val="en-US"/>
    </w:rPr>
  </w:style>
  <w:style w:type="paragraph" w:styleId="TOC1">
    <w:name w:val="toc 1"/>
    <w:basedOn w:val="Normal"/>
    <w:next w:val="Normal"/>
    <w:autoRedefine/>
    <w:uiPriority w:val="39"/>
    <w:unhideWhenUsed/>
    <w:rsid w:val="00122D48"/>
    <w:pPr>
      <w:tabs>
        <w:tab w:val="right" w:leader="dot" w:pos="8777"/>
      </w:tabs>
      <w:spacing w:after="100"/>
    </w:pPr>
  </w:style>
  <w:style w:type="paragraph" w:styleId="TOC2">
    <w:name w:val="toc 2"/>
    <w:basedOn w:val="Normal"/>
    <w:next w:val="Normal"/>
    <w:autoRedefine/>
    <w:uiPriority w:val="39"/>
    <w:unhideWhenUsed/>
    <w:rsid w:val="00807024"/>
    <w:pPr>
      <w:tabs>
        <w:tab w:val="left" w:pos="880"/>
        <w:tab w:val="right" w:leader="dot" w:pos="8777"/>
      </w:tabs>
      <w:spacing w:after="100"/>
      <w:ind w:left="220"/>
    </w:pPr>
  </w:style>
  <w:style w:type="paragraph" w:styleId="TOC3">
    <w:name w:val="toc 3"/>
    <w:basedOn w:val="Normal"/>
    <w:next w:val="Normal"/>
    <w:autoRedefine/>
    <w:uiPriority w:val="39"/>
    <w:unhideWhenUsed/>
    <w:rsid w:val="00157C57"/>
    <w:pPr>
      <w:tabs>
        <w:tab w:val="right" w:leader="dot" w:pos="8777"/>
      </w:tabs>
      <w:spacing w:after="100"/>
      <w:ind w:left="440"/>
    </w:pPr>
  </w:style>
  <w:style w:type="character" w:styleId="Hyperlink">
    <w:name w:val="Hyperlink"/>
    <w:basedOn w:val="DefaultParagraphFont"/>
    <w:uiPriority w:val="99"/>
    <w:unhideWhenUsed/>
    <w:rsid w:val="007B39A1"/>
    <w:rPr>
      <w:color w:val="0563C1" w:themeColor="hyperlink"/>
      <w:u w:val="single"/>
    </w:rPr>
  </w:style>
  <w:style w:type="character" w:styleId="FollowedHyperlink">
    <w:name w:val="FollowedHyperlink"/>
    <w:basedOn w:val="DefaultParagraphFont"/>
    <w:uiPriority w:val="99"/>
    <w:semiHidden/>
    <w:unhideWhenUsed/>
    <w:rsid w:val="00660DFE"/>
    <w:rPr>
      <w:color w:val="954F72" w:themeColor="followedHyperlink"/>
      <w:u w:val="single"/>
    </w:rPr>
  </w:style>
  <w:style w:type="table" w:styleId="PlainTable4">
    <w:name w:val="Plain Table 4"/>
    <w:basedOn w:val="TableNormal"/>
    <w:uiPriority w:val="44"/>
    <w:rsid w:val="0020715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ListTable1Light">
    <w:name w:val="List Table 1 Light"/>
    <w:basedOn w:val="TableNormal"/>
    <w:uiPriority w:val="46"/>
    <w:rsid w:val="00207150"/>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UnresolvedMention">
    <w:name w:val="Unresolved Mention"/>
    <w:basedOn w:val="DefaultParagraphFont"/>
    <w:uiPriority w:val="99"/>
    <w:semiHidden/>
    <w:unhideWhenUsed/>
    <w:rsid w:val="000337CD"/>
    <w:rPr>
      <w:color w:val="605E5C"/>
      <w:shd w:val="clear" w:color="auto" w:fill="E1DFDD"/>
    </w:rPr>
  </w:style>
  <w:style w:type="character" w:styleId="PlaceholderText">
    <w:name w:val="Placeholder Text"/>
    <w:basedOn w:val="DefaultParagraphFont"/>
    <w:uiPriority w:val="99"/>
    <w:semiHidden/>
    <w:rsid w:val="000337CD"/>
    <w:rPr>
      <w:color w:val="808080"/>
    </w:rPr>
  </w:style>
  <w:style w:type="table" w:styleId="TableGrid">
    <w:name w:val="Table Grid"/>
    <w:basedOn w:val="TableNormal"/>
    <w:uiPriority w:val="39"/>
    <w:rsid w:val="000337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0337CD"/>
  </w:style>
  <w:style w:type="character" w:customStyle="1" w:styleId="css-901oao">
    <w:name w:val="css-901oao"/>
    <w:basedOn w:val="DefaultParagraphFont"/>
    <w:rsid w:val="000337CD"/>
  </w:style>
  <w:style w:type="paragraph" w:customStyle="1" w:styleId="msonormal0">
    <w:name w:val="msonormal"/>
    <w:basedOn w:val="Normal"/>
    <w:rsid w:val="000337CD"/>
    <w:pPr>
      <w:spacing w:before="100" w:beforeAutospacing="1" w:after="100" w:afterAutospacing="1" w:line="240" w:lineRule="auto"/>
      <w:jc w:val="left"/>
    </w:pPr>
    <w:rPr>
      <w:rFonts w:eastAsia="Times New Roman"/>
      <w:sz w:val="24"/>
      <w:szCs w:val="24"/>
      <w:lang w:eastAsia="en-IE"/>
    </w:rPr>
  </w:style>
  <w:style w:type="table" w:styleId="TableGridLight">
    <w:name w:val="Grid Table Light"/>
    <w:basedOn w:val="TableNormal"/>
    <w:uiPriority w:val="40"/>
    <w:rsid w:val="000337C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Strong">
    <w:name w:val="Strong"/>
    <w:aliases w:val="Appendix"/>
    <w:basedOn w:val="DefaultParagraphFont"/>
    <w:uiPriority w:val="22"/>
    <w:qFormat/>
    <w:rsid w:val="00C07E35"/>
    <w:rPr>
      <w:b/>
      <w:bCs/>
    </w:rPr>
  </w:style>
  <w:style w:type="character" w:customStyle="1" w:styleId="Heading4Char">
    <w:name w:val="Heading 4 Char"/>
    <w:basedOn w:val="DefaultParagraphFont"/>
    <w:link w:val="Heading4"/>
    <w:uiPriority w:val="9"/>
    <w:rsid w:val="00A56E81"/>
    <w:rPr>
      <w:rFonts w:eastAsiaTheme="majorEastAsia" w:cstheme="majorBidi"/>
      <w:iCs/>
      <w:sz w:val="22"/>
    </w:rPr>
  </w:style>
  <w:style w:type="paragraph" w:customStyle="1" w:styleId="Default">
    <w:name w:val="Default"/>
    <w:rsid w:val="00A56E81"/>
    <w:pPr>
      <w:autoSpaceDE w:val="0"/>
      <w:autoSpaceDN w:val="0"/>
      <w:adjustRightInd w:val="0"/>
      <w:spacing w:after="0" w:line="240" w:lineRule="auto"/>
    </w:pPr>
    <w:rPr>
      <w:color w:val="000000"/>
      <w:szCs w:val="24"/>
      <w:lang w:val="en-GB"/>
    </w:rPr>
  </w:style>
  <w:style w:type="character" w:styleId="IntenseEmphasis">
    <w:name w:val="Intense Emphasis"/>
    <w:uiPriority w:val="21"/>
    <w:rsid w:val="00A56E81"/>
    <w:rPr>
      <w:rFonts w:ascii="Times New Roman" w:hAnsi="Times New Roman"/>
      <w:b/>
      <w:i w:val="0"/>
      <w:iCs/>
      <w:color w:val="auto"/>
      <w:sz w:val="36"/>
    </w:rPr>
  </w:style>
  <w:style w:type="paragraph" w:customStyle="1" w:styleId="Index">
    <w:name w:val="Index"/>
    <w:link w:val="IndexChar"/>
    <w:qFormat/>
    <w:rsid w:val="00A56E81"/>
    <w:rPr>
      <w:b/>
      <w:sz w:val="36"/>
      <w:lang w:val="en-GB"/>
    </w:rPr>
  </w:style>
  <w:style w:type="character" w:customStyle="1" w:styleId="IndexChar">
    <w:name w:val="Index Char"/>
    <w:basedOn w:val="DefaultParagraphFont"/>
    <w:link w:val="Index"/>
    <w:rsid w:val="00A56E81"/>
    <w:rPr>
      <w:b/>
      <w:sz w:val="36"/>
      <w:lang w:val="en-GB"/>
    </w:rPr>
  </w:style>
  <w:style w:type="paragraph" w:styleId="BalloonText">
    <w:name w:val="Balloon Text"/>
    <w:basedOn w:val="Normal"/>
    <w:link w:val="BalloonTextChar"/>
    <w:uiPriority w:val="99"/>
    <w:semiHidden/>
    <w:unhideWhenUsed/>
    <w:rsid w:val="00A56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6E81"/>
    <w:rPr>
      <w:rFonts w:ascii="Segoe UI" w:hAnsi="Segoe UI" w:cs="Segoe UI"/>
      <w:sz w:val="18"/>
      <w:szCs w:val="18"/>
    </w:rPr>
  </w:style>
  <w:style w:type="paragraph" w:styleId="HTMLPreformatted">
    <w:name w:val="HTML Preformatted"/>
    <w:basedOn w:val="Normal"/>
    <w:link w:val="HTMLPreformattedChar"/>
    <w:uiPriority w:val="99"/>
    <w:semiHidden/>
    <w:unhideWhenUsed/>
    <w:rsid w:val="00A56E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eastAsia="en-IE"/>
    </w:rPr>
  </w:style>
  <w:style w:type="character" w:customStyle="1" w:styleId="HTMLPreformattedChar">
    <w:name w:val="HTML Preformatted Char"/>
    <w:basedOn w:val="DefaultParagraphFont"/>
    <w:link w:val="HTMLPreformatted"/>
    <w:uiPriority w:val="99"/>
    <w:semiHidden/>
    <w:rsid w:val="00A56E81"/>
    <w:rPr>
      <w:rFonts w:ascii="Courier New" w:eastAsia="Times New Roman" w:hAnsi="Courier New" w:cs="Courier New"/>
      <w:sz w:val="20"/>
      <w:szCs w:val="20"/>
      <w:lang w:eastAsia="en-IE"/>
    </w:rPr>
  </w:style>
  <w:style w:type="table" w:styleId="ListTable1Light-Accent3">
    <w:name w:val="List Table 1 Light Accent 3"/>
    <w:basedOn w:val="TableNormal"/>
    <w:uiPriority w:val="46"/>
    <w:rsid w:val="00A56E81"/>
    <w:pPr>
      <w:spacing w:after="0" w:line="240" w:lineRule="auto"/>
    </w:pPr>
    <w:rPr>
      <w:lang w:val="de-DE"/>
    </w:r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FootnoteText">
    <w:name w:val="footnote text"/>
    <w:basedOn w:val="Normal"/>
    <w:link w:val="FootnoteTextChar"/>
    <w:uiPriority w:val="99"/>
    <w:semiHidden/>
    <w:unhideWhenUsed/>
    <w:rsid w:val="00A56E8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56E81"/>
    <w:rPr>
      <w:sz w:val="20"/>
      <w:szCs w:val="20"/>
    </w:rPr>
  </w:style>
  <w:style w:type="character" w:styleId="FootnoteReference">
    <w:name w:val="footnote reference"/>
    <w:basedOn w:val="DefaultParagraphFont"/>
    <w:uiPriority w:val="99"/>
    <w:semiHidden/>
    <w:unhideWhenUsed/>
    <w:rsid w:val="00A56E81"/>
    <w:rPr>
      <w:vertAlign w:val="superscript"/>
    </w:rPr>
  </w:style>
  <w:style w:type="character" w:styleId="EndnoteReference">
    <w:name w:val="endnote reference"/>
    <w:basedOn w:val="DefaultParagraphFont"/>
    <w:uiPriority w:val="99"/>
    <w:semiHidden/>
    <w:unhideWhenUsed/>
    <w:rsid w:val="00A56E81"/>
    <w:rPr>
      <w:vertAlign w:val="superscript"/>
    </w:rPr>
  </w:style>
  <w:style w:type="paragraph" w:styleId="NormalWeb">
    <w:name w:val="Normal (Web)"/>
    <w:basedOn w:val="Normal"/>
    <w:uiPriority w:val="99"/>
    <w:semiHidden/>
    <w:unhideWhenUsed/>
    <w:rsid w:val="00B871AE"/>
    <w:pPr>
      <w:spacing w:before="100" w:beforeAutospacing="1" w:after="100" w:afterAutospacing="1" w:line="240" w:lineRule="auto"/>
      <w:jc w:val="left"/>
    </w:pPr>
    <w:rPr>
      <w:rFonts w:eastAsia="Times New Roman"/>
      <w:sz w:val="24"/>
      <w:szCs w:val="24"/>
      <w:lang w:val="de-DE" w:eastAsia="de-DE"/>
    </w:rPr>
  </w:style>
  <w:style w:type="paragraph" w:styleId="TableofFigures">
    <w:name w:val="table of figures"/>
    <w:basedOn w:val="Normal"/>
    <w:next w:val="Normal"/>
    <w:uiPriority w:val="99"/>
    <w:unhideWhenUsed/>
    <w:rsid w:val="00327C82"/>
    <w:pPr>
      <w:spacing w:after="0"/>
    </w:pPr>
  </w:style>
  <w:style w:type="table" w:styleId="PlainTable1">
    <w:name w:val="Plain Table 1"/>
    <w:basedOn w:val="TableNormal"/>
    <w:uiPriority w:val="41"/>
    <w:rsid w:val="0042734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f0">
    <w:name w:val="pf0"/>
    <w:basedOn w:val="Normal"/>
    <w:rsid w:val="001A138C"/>
    <w:pPr>
      <w:spacing w:before="100" w:beforeAutospacing="1" w:after="100" w:afterAutospacing="1" w:line="240" w:lineRule="auto"/>
      <w:jc w:val="left"/>
    </w:pPr>
    <w:rPr>
      <w:rFonts w:eastAsia="Times New Roman"/>
      <w:sz w:val="24"/>
      <w:szCs w:val="24"/>
      <w:lang w:eastAsia="en-IE"/>
    </w:rPr>
  </w:style>
  <w:style w:type="character" w:customStyle="1" w:styleId="cf01">
    <w:name w:val="cf01"/>
    <w:basedOn w:val="DefaultParagraphFont"/>
    <w:rsid w:val="001A138C"/>
    <w:rPr>
      <w:rFonts w:ascii="Segoe UI" w:hAnsi="Segoe UI" w:cs="Segoe UI" w:hint="default"/>
      <w:sz w:val="18"/>
      <w:szCs w:val="18"/>
    </w:rPr>
  </w:style>
  <w:style w:type="character" w:styleId="LineNumber">
    <w:name w:val="line number"/>
    <w:basedOn w:val="DefaultParagraphFont"/>
    <w:uiPriority w:val="99"/>
    <w:semiHidden/>
    <w:unhideWhenUsed/>
    <w:rsid w:val="006733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689807">
      <w:bodyDiv w:val="1"/>
      <w:marLeft w:val="0"/>
      <w:marRight w:val="0"/>
      <w:marTop w:val="0"/>
      <w:marBottom w:val="0"/>
      <w:divBdr>
        <w:top w:val="none" w:sz="0" w:space="0" w:color="auto"/>
        <w:left w:val="none" w:sz="0" w:space="0" w:color="auto"/>
        <w:bottom w:val="none" w:sz="0" w:space="0" w:color="auto"/>
        <w:right w:val="none" w:sz="0" w:space="0" w:color="auto"/>
      </w:divBdr>
    </w:div>
    <w:div w:id="156846173">
      <w:bodyDiv w:val="1"/>
      <w:marLeft w:val="0"/>
      <w:marRight w:val="0"/>
      <w:marTop w:val="0"/>
      <w:marBottom w:val="0"/>
      <w:divBdr>
        <w:top w:val="none" w:sz="0" w:space="0" w:color="auto"/>
        <w:left w:val="none" w:sz="0" w:space="0" w:color="auto"/>
        <w:bottom w:val="none" w:sz="0" w:space="0" w:color="auto"/>
        <w:right w:val="none" w:sz="0" w:space="0" w:color="auto"/>
      </w:divBdr>
    </w:div>
    <w:div w:id="201863658">
      <w:bodyDiv w:val="1"/>
      <w:marLeft w:val="0"/>
      <w:marRight w:val="0"/>
      <w:marTop w:val="0"/>
      <w:marBottom w:val="0"/>
      <w:divBdr>
        <w:top w:val="none" w:sz="0" w:space="0" w:color="auto"/>
        <w:left w:val="none" w:sz="0" w:space="0" w:color="auto"/>
        <w:bottom w:val="none" w:sz="0" w:space="0" w:color="auto"/>
        <w:right w:val="none" w:sz="0" w:space="0" w:color="auto"/>
      </w:divBdr>
    </w:div>
    <w:div w:id="239559046">
      <w:bodyDiv w:val="1"/>
      <w:marLeft w:val="0"/>
      <w:marRight w:val="0"/>
      <w:marTop w:val="0"/>
      <w:marBottom w:val="0"/>
      <w:divBdr>
        <w:top w:val="none" w:sz="0" w:space="0" w:color="auto"/>
        <w:left w:val="none" w:sz="0" w:space="0" w:color="auto"/>
        <w:bottom w:val="none" w:sz="0" w:space="0" w:color="auto"/>
        <w:right w:val="none" w:sz="0" w:space="0" w:color="auto"/>
      </w:divBdr>
    </w:div>
    <w:div w:id="272636233">
      <w:bodyDiv w:val="1"/>
      <w:marLeft w:val="0"/>
      <w:marRight w:val="0"/>
      <w:marTop w:val="0"/>
      <w:marBottom w:val="0"/>
      <w:divBdr>
        <w:top w:val="none" w:sz="0" w:space="0" w:color="auto"/>
        <w:left w:val="none" w:sz="0" w:space="0" w:color="auto"/>
        <w:bottom w:val="none" w:sz="0" w:space="0" w:color="auto"/>
        <w:right w:val="none" w:sz="0" w:space="0" w:color="auto"/>
      </w:divBdr>
    </w:div>
    <w:div w:id="616063721">
      <w:bodyDiv w:val="1"/>
      <w:marLeft w:val="0"/>
      <w:marRight w:val="0"/>
      <w:marTop w:val="0"/>
      <w:marBottom w:val="0"/>
      <w:divBdr>
        <w:top w:val="none" w:sz="0" w:space="0" w:color="auto"/>
        <w:left w:val="none" w:sz="0" w:space="0" w:color="auto"/>
        <w:bottom w:val="none" w:sz="0" w:space="0" w:color="auto"/>
        <w:right w:val="none" w:sz="0" w:space="0" w:color="auto"/>
      </w:divBdr>
    </w:div>
    <w:div w:id="672681071">
      <w:bodyDiv w:val="1"/>
      <w:marLeft w:val="0"/>
      <w:marRight w:val="0"/>
      <w:marTop w:val="0"/>
      <w:marBottom w:val="0"/>
      <w:divBdr>
        <w:top w:val="none" w:sz="0" w:space="0" w:color="auto"/>
        <w:left w:val="none" w:sz="0" w:space="0" w:color="auto"/>
        <w:bottom w:val="none" w:sz="0" w:space="0" w:color="auto"/>
        <w:right w:val="none" w:sz="0" w:space="0" w:color="auto"/>
      </w:divBdr>
    </w:div>
    <w:div w:id="694230041">
      <w:bodyDiv w:val="1"/>
      <w:marLeft w:val="0"/>
      <w:marRight w:val="0"/>
      <w:marTop w:val="0"/>
      <w:marBottom w:val="0"/>
      <w:divBdr>
        <w:top w:val="none" w:sz="0" w:space="0" w:color="auto"/>
        <w:left w:val="none" w:sz="0" w:space="0" w:color="auto"/>
        <w:bottom w:val="none" w:sz="0" w:space="0" w:color="auto"/>
        <w:right w:val="none" w:sz="0" w:space="0" w:color="auto"/>
      </w:divBdr>
    </w:div>
    <w:div w:id="733893750">
      <w:bodyDiv w:val="1"/>
      <w:marLeft w:val="0"/>
      <w:marRight w:val="0"/>
      <w:marTop w:val="0"/>
      <w:marBottom w:val="0"/>
      <w:divBdr>
        <w:top w:val="none" w:sz="0" w:space="0" w:color="auto"/>
        <w:left w:val="none" w:sz="0" w:space="0" w:color="auto"/>
        <w:bottom w:val="none" w:sz="0" w:space="0" w:color="auto"/>
        <w:right w:val="none" w:sz="0" w:space="0" w:color="auto"/>
      </w:divBdr>
    </w:div>
    <w:div w:id="796408081">
      <w:bodyDiv w:val="1"/>
      <w:marLeft w:val="0"/>
      <w:marRight w:val="0"/>
      <w:marTop w:val="0"/>
      <w:marBottom w:val="0"/>
      <w:divBdr>
        <w:top w:val="none" w:sz="0" w:space="0" w:color="auto"/>
        <w:left w:val="none" w:sz="0" w:space="0" w:color="auto"/>
        <w:bottom w:val="none" w:sz="0" w:space="0" w:color="auto"/>
        <w:right w:val="none" w:sz="0" w:space="0" w:color="auto"/>
      </w:divBdr>
    </w:div>
    <w:div w:id="808671307">
      <w:bodyDiv w:val="1"/>
      <w:marLeft w:val="0"/>
      <w:marRight w:val="0"/>
      <w:marTop w:val="0"/>
      <w:marBottom w:val="0"/>
      <w:divBdr>
        <w:top w:val="none" w:sz="0" w:space="0" w:color="auto"/>
        <w:left w:val="none" w:sz="0" w:space="0" w:color="auto"/>
        <w:bottom w:val="none" w:sz="0" w:space="0" w:color="auto"/>
        <w:right w:val="none" w:sz="0" w:space="0" w:color="auto"/>
      </w:divBdr>
    </w:div>
    <w:div w:id="814954579">
      <w:bodyDiv w:val="1"/>
      <w:marLeft w:val="0"/>
      <w:marRight w:val="0"/>
      <w:marTop w:val="0"/>
      <w:marBottom w:val="0"/>
      <w:divBdr>
        <w:top w:val="none" w:sz="0" w:space="0" w:color="auto"/>
        <w:left w:val="none" w:sz="0" w:space="0" w:color="auto"/>
        <w:bottom w:val="none" w:sz="0" w:space="0" w:color="auto"/>
        <w:right w:val="none" w:sz="0" w:space="0" w:color="auto"/>
      </w:divBdr>
    </w:div>
    <w:div w:id="900407813">
      <w:bodyDiv w:val="1"/>
      <w:marLeft w:val="0"/>
      <w:marRight w:val="0"/>
      <w:marTop w:val="0"/>
      <w:marBottom w:val="0"/>
      <w:divBdr>
        <w:top w:val="none" w:sz="0" w:space="0" w:color="auto"/>
        <w:left w:val="none" w:sz="0" w:space="0" w:color="auto"/>
        <w:bottom w:val="none" w:sz="0" w:space="0" w:color="auto"/>
        <w:right w:val="none" w:sz="0" w:space="0" w:color="auto"/>
      </w:divBdr>
    </w:div>
    <w:div w:id="920871857">
      <w:bodyDiv w:val="1"/>
      <w:marLeft w:val="0"/>
      <w:marRight w:val="0"/>
      <w:marTop w:val="0"/>
      <w:marBottom w:val="0"/>
      <w:divBdr>
        <w:top w:val="none" w:sz="0" w:space="0" w:color="auto"/>
        <w:left w:val="none" w:sz="0" w:space="0" w:color="auto"/>
        <w:bottom w:val="none" w:sz="0" w:space="0" w:color="auto"/>
        <w:right w:val="none" w:sz="0" w:space="0" w:color="auto"/>
      </w:divBdr>
    </w:div>
    <w:div w:id="1017122697">
      <w:bodyDiv w:val="1"/>
      <w:marLeft w:val="0"/>
      <w:marRight w:val="0"/>
      <w:marTop w:val="0"/>
      <w:marBottom w:val="0"/>
      <w:divBdr>
        <w:top w:val="none" w:sz="0" w:space="0" w:color="auto"/>
        <w:left w:val="none" w:sz="0" w:space="0" w:color="auto"/>
        <w:bottom w:val="none" w:sz="0" w:space="0" w:color="auto"/>
        <w:right w:val="none" w:sz="0" w:space="0" w:color="auto"/>
      </w:divBdr>
    </w:div>
    <w:div w:id="1068378676">
      <w:bodyDiv w:val="1"/>
      <w:marLeft w:val="0"/>
      <w:marRight w:val="0"/>
      <w:marTop w:val="0"/>
      <w:marBottom w:val="0"/>
      <w:divBdr>
        <w:top w:val="none" w:sz="0" w:space="0" w:color="auto"/>
        <w:left w:val="none" w:sz="0" w:space="0" w:color="auto"/>
        <w:bottom w:val="none" w:sz="0" w:space="0" w:color="auto"/>
        <w:right w:val="none" w:sz="0" w:space="0" w:color="auto"/>
      </w:divBdr>
    </w:div>
    <w:div w:id="1074670328">
      <w:bodyDiv w:val="1"/>
      <w:marLeft w:val="0"/>
      <w:marRight w:val="0"/>
      <w:marTop w:val="0"/>
      <w:marBottom w:val="0"/>
      <w:divBdr>
        <w:top w:val="none" w:sz="0" w:space="0" w:color="auto"/>
        <w:left w:val="none" w:sz="0" w:space="0" w:color="auto"/>
        <w:bottom w:val="none" w:sz="0" w:space="0" w:color="auto"/>
        <w:right w:val="none" w:sz="0" w:space="0" w:color="auto"/>
      </w:divBdr>
    </w:div>
    <w:div w:id="1119764326">
      <w:bodyDiv w:val="1"/>
      <w:marLeft w:val="0"/>
      <w:marRight w:val="0"/>
      <w:marTop w:val="0"/>
      <w:marBottom w:val="0"/>
      <w:divBdr>
        <w:top w:val="none" w:sz="0" w:space="0" w:color="auto"/>
        <w:left w:val="none" w:sz="0" w:space="0" w:color="auto"/>
        <w:bottom w:val="none" w:sz="0" w:space="0" w:color="auto"/>
        <w:right w:val="none" w:sz="0" w:space="0" w:color="auto"/>
      </w:divBdr>
    </w:div>
    <w:div w:id="1121412740">
      <w:bodyDiv w:val="1"/>
      <w:marLeft w:val="0"/>
      <w:marRight w:val="0"/>
      <w:marTop w:val="0"/>
      <w:marBottom w:val="0"/>
      <w:divBdr>
        <w:top w:val="none" w:sz="0" w:space="0" w:color="auto"/>
        <w:left w:val="none" w:sz="0" w:space="0" w:color="auto"/>
        <w:bottom w:val="none" w:sz="0" w:space="0" w:color="auto"/>
        <w:right w:val="none" w:sz="0" w:space="0" w:color="auto"/>
      </w:divBdr>
    </w:div>
    <w:div w:id="1207526751">
      <w:bodyDiv w:val="1"/>
      <w:marLeft w:val="0"/>
      <w:marRight w:val="0"/>
      <w:marTop w:val="0"/>
      <w:marBottom w:val="0"/>
      <w:divBdr>
        <w:top w:val="none" w:sz="0" w:space="0" w:color="auto"/>
        <w:left w:val="none" w:sz="0" w:space="0" w:color="auto"/>
        <w:bottom w:val="none" w:sz="0" w:space="0" w:color="auto"/>
        <w:right w:val="none" w:sz="0" w:space="0" w:color="auto"/>
      </w:divBdr>
      <w:divsChild>
        <w:div w:id="1048652918">
          <w:marLeft w:val="0"/>
          <w:marRight w:val="0"/>
          <w:marTop w:val="0"/>
          <w:marBottom w:val="0"/>
          <w:divBdr>
            <w:top w:val="none" w:sz="0" w:space="0" w:color="auto"/>
            <w:left w:val="none" w:sz="0" w:space="0" w:color="auto"/>
            <w:bottom w:val="none" w:sz="0" w:space="0" w:color="auto"/>
            <w:right w:val="none" w:sz="0" w:space="0" w:color="auto"/>
          </w:divBdr>
        </w:div>
      </w:divsChild>
    </w:div>
    <w:div w:id="1369263242">
      <w:bodyDiv w:val="1"/>
      <w:marLeft w:val="0"/>
      <w:marRight w:val="0"/>
      <w:marTop w:val="0"/>
      <w:marBottom w:val="0"/>
      <w:divBdr>
        <w:top w:val="none" w:sz="0" w:space="0" w:color="auto"/>
        <w:left w:val="none" w:sz="0" w:space="0" w:color="auto"/>
        <w:bottom w:val="none" w:sz="0" w:space="0" w:color="auto"/>
        <w:right w:val="none" w:sz="0" w:space="0" w:color="auto"/>
      </w:divBdr>
    </w:div>
    <w:div w:id="1385913941">
      <w:bodyDiv w:val="1"/>
      <w:marLeft w:val="0"/>
      <w:marRight w:val="0"/>
      <w:marTop w:val="0"/>
      <w:marBottom w:val="0"/>
      <w:divBdr>
        <w:top w:val="none" w:sz="0" w:space="0" w:color="auto"/>
        <w:left w:val="none" w:sz="0" w:space="0" w:color="auto"/>
        <w:bottom w:val="none" w:sz="0" w:space="0" w:color="auto"/>
        <w:right w:val="none" w:sz="0" w:space="0" w:color="auto"/>
      </w:divBdr>
    </w:div>
    <w:div w:id="1435707311">
      <w:bodyDiv w:val="1"/>
      <w:marLeft w:val="0"/>
      <w:marRight w:val="0"/>
      <w:marTop w:val="0"/>
      <w:marBottom w:val="0"/>
      <w:divBdr>
        <w:top w:val="none" w:sz="0" w:space="0" w:color="auto"/>
        <w:left w:val="none" w:sz="0" w:space="0" w:color="auto"/>
        <w:bottom w:val="none" w:sz="0" w:space="0" w:color="auto"/>
        <w:right w:val="none" w:sz="0" w:space="0" w:color="auto"/>
      </w:divBdr>
    </w:div>
    <w:div w:id="1436483618">
      <w:bodyDiv w:val="1"/>
      <w:marLeft w:val="0"/>
      <w:marRight w:val="0"/>
      <w:marTop w:val="0"/>
      <w:marBottom w:val="0"/>
      <w:divBdr>
        <w:top w:val="none" w:sz="0" w:space="0" w:color="auto"/>
        <w:left w:val="none" w:sz="0" w:space="0" w:color="auto"/>
        <w:bottom w:val="none" w:sz="0" w:space="0" w:color="auto"/>
        <w:right w:val="none" w:sz="0" w:space="0" w:color="auto"/>
      </w:divBdr>
    </w:div>
    <w:div w:id="1467358687">
      <w:bodyDiv w:val="1"/>
      <w:marLeft w:val="0"/>
      <w:marRight w:val="0"/>
      <w:marTop w:val="0"/>
      <w:marBottom w:val="0"/>
      <w:divBdr>
        <w:top w:val="none" w:sz="0" w:space="0" w:color="auto"/>
        <w:left w:val="none" w:sz="0" w:space="0" w:color="auto"/>
        <w:bottom w:val="none" w:sz="0" w:space="0" w:color="auto"/>
        <w:right w:val="none" w:sz="0" w:space="0" w:color="auto"/>
      </w:divBdr>
    </w:div>
    <w:div w:id="1532570919">
      <w:bodyDiv w:val="1"/>
      <w:marLeft w:val="0"/>
      <w:marRight w:val="0"/>
      <w:marTop w:val="0"/>
      <w:marBottom w:val="0"/>
      <w:divBdr>
        <w:top w:val="none" w:sz="0" w:space="0" w:color="auto"/>
        <w:left w:val="none" w:sz="0" w:space="0" w:color="auto"/>
        <w:bottom w:val="none" w:sz="0" w:space="0" w:color="auto"/>
        <w:right w:val="none" w:sz="0" w:space="0" w:color="auto"/>
      </w:divBdr>
    </w:div>
    <w:div w:id="1657109192">
      <w:bodyDiv w:val="1"/>
      <w:marLeft w:val="0"/>
      <w:marRight w:val="0"/>
      <w:marTop w:val="0"/>
      <w:marBottom w:val="0"/>
      <w:divBdr>
        <w:top w:val="none" w:sz="0" w:space="0" w:color="auto"/>
        <w:left w:val="none" w:sz="0" w:space="0" w:color="auto"/>
        <w:bottom w:val="none" w:sz="0" w:space="0" w:color="auto"/>
        <w:right w:val="none" w:sz="0" w:space="0" w:color="auto"/>
      </w:divBdr>
      <w:divsChild>
        <w:div w:id="1338771949">
          <w:marLeft w:val="0"/>
          <w:marRight w:val="0"/>
          <w:marTop w:val="0"/>
          <w:marBottom w:val="0"/>
          <w:divBdr>
            <w:top w:val="none" w:sz="0" w:space="0" w:color="auto"/>
            <w:left w:val="none" w:sz="0" w:space="0" w:color="auto"/>
            <w:bottom w:val="none" w:sz="0" w:space="0" w:color="auto"/>
            <w:right w:val="none" w:sz="0" w:space="0" w:color="auto"/>
          </w:divBdr>
          <w:divsChild>
            <w:div w:id="680395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749631">
      <w:bodyDiv w:val="1"/>
      <w:marLeft w:val="0"/>
      <w:marRight w:val="0"/>
      <w:marTop w:val="0"/>
      <w:marBottom w:val="0"/>
      <w:divBdr>
        <w:top w:val="none" w:sz="0" w:space="0" w:color="auto"/>
        <w:left w:val="none" w:sz="0" w:space="0" w:color="auto"/>
        <w:bottom w:val="none" w:sz="0" w:space="0" w:color="auto"/>
        <w:right w:val="none" w:sz="0" w:space="0" w:color="auto"/>
      </w:divBdr>
    </w:div>
    <w:div w:id="1730811296">
      <w:bodyDiv w:val="1"/>
      <w:marLeft w:val="0"/>
      <w:marRight w:val="0"/>
      <w:marTop w:val="0"/>
      <w:marBottom w:val="0"/>
      <w:divBdr>
        <w:top w:val="none" w:sz="0" w:space="0" w:color="auto"/>
        <w:left w:val="none" w:sz="0" w:space="0" w:color="auto"/>
        <w:bottom w:val="none" w:sz="0" w:space="0" w:color="auto"/>
        <w:right w:val="none" w:sz="0" w:space="0" w:color="auto"/>
      </w:divBdr>
    </w:div>
    <w:div w:id="1751149273">
      <w:bodyDiv w:val="1"/>
      <w:marLeft w:val="0"/>
      <w:marRight w:val="0"/>
      <w:marTop w:val="0"/>
      <w:marBottom w:val="0"/>
      <w:divBdr>
        <w:top w:val="none" w:sz="0" w:space="0" w:color="auto"/>
        <w:left w:val="none" w:sz="0" w:space="0" w:color="auto"/>
        <w:bottom w:val="none" w:sz="0" w:space="0" w:color="auto"/>
        <w:right w:val="none" w:sz="0" w:space="0" w:color="auto"/>
      </w:divBdr>
    </w:div>
    <w:div w:id="1980257246">
      <w:bodyDiv w:val="1"/>
      <w:marLeft w:val="0"/>
      <w:marRight w:val="0"/>
      <w:marTop w:val="0"/>
      <w:marBottom w:val="0"/>
      <w:divBdr>
        <w:top w:val="none" w:sz="0" w:space="0" w:color="auto"/>
        <w:left w:val="none" w:sz="0" w:space="0" w:color="auto"/>
        <w:bottom w:val="none" w:sz="0" w:space="0" w:color="auto"/>
        <w:right w:val="none" w:sz="0" w:space="0" w:color="auto"/>
      </w:divBdr>
    </w:div>
    <w:div w:id="2008051404">
      <w:bodyDiv w:val="1"/>
      <w:marLeft w:val="0"/>
      <w:marRight w:val="0"/>
      <w:marTop w:val="0"/>
      <w:marBottom w:val="0"/>
      <w:divBdr>
        <w:top w:val="none" w:sz="0" w:space="0" w:color="auto"/>
        <w:left w:val="none" w:sz="0" w:space="0" w:color="auto"/>
        <w:bottom w:val="none" w:sz="0" w:space="0" w:color="auto"/>
        <w:right w:val="none" w:sz="0" w:space="0" w:color="auto"/>
      </w:divBdr>
    </w:div>
    <w:div w:id="2038194854">
      <w:bodyDiv w:val="1"/>
      <w:marLeft w:val="0"/>
      <w:marRight w:val="0"/>
      <w:marTop w:val="0"/>
      <w:marBottom w:val="0"/>
      <w:divBdr>
        <w:top w:val="none" w:sz="0" w:space="0" w:color="auto"/>
        <w:left w:val="none" w:sz="0" w:space="0" w:color="auto"/>
        <w:bottom w:val="none" w:sz="0" w:space="0" w:color="auto"/>
        <w:right w:val="none" w:sz="0" w:space="0" w:color="auto"/>
      </w:divBdr>
    </w:div>
    <w:div w:id="2097752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58FD4E-0F41-496D-8559-8D9FE66EB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40</Pages>
  <Words>69852</Words>
  <Characters>398159</Characters>
  <Application>Microsoft Office Word</Application>
  <DocSecurity>0</DocSecurity>
  <Lines>3317</Lines>
  <Paragraphs>934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467077</CharactersWithSpaces>
  <SharedDoc>false</SharedDoc>
  <HLinks>
    <vt:vector size="516" baseType="variant">
      <vt:variant>
        <vt:i4>1703990</vt:i4>
      </vt:variant>
      <vt:variant>
        <vt:i4>515</vt:i4>
      </vt:variant>
      <vt:variant>
        <vt:i4>0</vt:i4>
      </vt:variant>
      <vt:variant>
        <vt:i4>5</vt:i4>
      </vt:variant>
      <vt:variant>
        <vt:lpwstr/>
      </vt:variant>
      <vt:variant>
        <vt:lpwstr>_Toc127807008</vt:lpwstr>
      </vt:variant>
      <vt:variant>
        <vt:i4>1703990</vt:i4>
      </vt:variant>
      <vt:variant>
        <vt:i4>509</vt:i4>
      </vt:variant>
      <vt:variant>
        <vt:i4>0</vt:i4>
      </vt:variant>
      <vt:variant>
        <vt:i4>5</vt:i4>
      </vt:variant>
      <vt:variant>
        <vt:lpwstr/>
      </vt:variant>
      <vt:variant>
        <vt:lpwstr>_Toc127807007</vt:lpwstr>
      </vt:variant>
      <vt:variant>
        <vt:i4>1703990</vt:i4>
      </vt:variant>
      <vt:variant>
        <vt:i4>503</vt:i4>
      </vt:variant>
      <vt:variant>
        <vt:i4>0</vt:i4>
      </vt:variant>
      <vt:variant>
        <vt:i4>5</vt:i4>
      </vt:variant>
      <vt:variant>
        <vt:lpwstr/>
      </vt:variant>
      <vt:variant>
        <vt:lpwstr>_Toc127807006</vt:lpwstr>
      </vt:variant>
      <vt:variant>
        <vt:i4>1703990</vt:i4>
      </vt:variant>
      <vt:variant>
        <vt:i4>497</vt:i4>
      </vt:variant>
      <vt:variant>
        <vt:i4>0</vt:i4>
      </vt:variant>
      <vt:variant>
        <vt:i4>5</vt:i4>
      </vt:variant>
      <vt:variant>
        <vt:lpwstr/>
      </vt:variant>
      <vt:variant>
        <vt:lpwstr>_Toc127807005</vt:lpwstr>
      </vt:variant>
      <vt:variant>
        <vt:i4>1703990</vt:i4>
      </vt:variant>
      <vt:variant>
        <vt:i4>491</vt:i4>
      </vt:variant>
      <vt:variant>
        <vt:i4>0</vt:i4>
      </vt:variant>
      <vt:variant>
        <vt:i4>5</vt:i4>
      </vt:variant>
      <vt:variant>
        <vt:lpwstr/>
      </vt:variant>
      <vt:variant>
        <vt:lpwstr>_Toc127807004</vt:lpwstr>
      </vt:variant>
      <vt:variant>
        <vt:i4>1703990</vt:i4>
      </vt:variant>
      <vt:variant>
        <vt:i4>485</vt:i4>
      </vt:variant>
      <vt:variant>
        <vt:i4>0</vt:i4>
      </vt:variant>
      <vt:variant>
        <vt:i4>5</vt:i4>
      </vt:variant>
      <vt:variant>
        <vt:lpwstr/>
      </vt:variant>
      <vt:variant>
        <vt:lpwstr>_Toc127807003</vt:lpwstr>
      </vt:variant>
      <vt:variant>
        <vt:i4>7012399</vt:i4>
      </vt:variant>
      <vt:variant>
        <vt:i4>479</vt:i4>
      </vt:variant>
      <vt:variant>
        <vt:i4>0</vt:i4>
      </vt:variant>
      <vt:variant>
        <vt:i4>5</vt:i4>
      </vt:variant>
      <vt:variant>
        <vt:lpwstr>https://d.docs.live.net/a1b6f48e191752ad/OneNote Uploads/Schertenleib_Katrin_PhD_2023 C1C2C3C4C5.docx</vt:lpwstr>
      </vt:variant>
      <vt:variant>
        <vt:lpwstr>_Toc127807002</vt:lpwstr>
      </vt:variant>
      <vt:variant>
        <vt:i4>7012399</vt:i4>
      </vt:variant>
      <vt:variant>
        <vt:i4>473</vt:i4>
      </vt:variant>
      <vt:variant>
        <vt:i4>0</vt:i4>
      </vt:variant>
      <vt:variant>
        <vt:i4>5</vt:i4>
      </vt:variant>
      <vt:variant>
        <vt:lpwstr>https://d.docs.live.net/a1b6f48e191752ad/OneNote Uploads/Schertenleib_Katrin_PhD_2023 C1C2C3C4C5.docx</vt:lpwstr>
      </vt:variant>
      <vt:variant>
        <vt:lpwstr>_Toc127807001</vt:lpwstr>
      </vt:variant>
      <vt:variant>
        <vt:i4>1703990</vt:i4>
      </vt:variant>
      <vt:variant>
        <vt:i4>467</vt:i4>
      </vt:variant>
      <vt:variant>
        <vt:i4>0</vt:i4>
      </vt:variant>
      <vt:variant>
        <vt:i4>5</vt:i4>
      </vt:variant>
      <vt:variant>
        <vt:lpwstr/>
      </vt:variant>
      <vt:variant>
        <vt:lpwstr>_Toc127807000</vt:lpwstr>
      </vt:variant>
      <vt:variant>
        <vt:i4>1179711</vt:i4>
      </vt:variant>
      <vt:variant>
        <vt:i4>461</vt:i4>
      </vt:variant>
      <vt:variant>
        <vt:i4>0</vt:i4>
      </vt:variant>
      <vt:variant>
        <vt:i4>5</vt:i4>
      </vt:variant>
      <vt:variant>
        <vt:lpwstr/>
      </vt:variant>
      <vt:variant>
        <vt:lpwstr>_Toc127806999</vt:lpwstr>
      </vt:variant>
      <vt:variant>
        <vt:i4>1179711</vt:i4>
      </vt:variant>
      <vt:variant>
        <vt:i4>455</vt:i4>
      </vt:variant>
      <vt:variant>
        <vt:i4>0</vt:i4>
      </vt:variant>
      <vt:variant>
        <vt:i4>5</vt:i4>
      </vt:variant>
      <vt:variant>
        <vt:lpwstr/>
      </vt:variant>
      <vt:variant>
        <vt:lpwstr>_Toc127806998</vt:lpwstr>
      </vt:variant>
      <vt:variant>
        <vt:i4>1179711</vt:i4>
      </vt:variant>
      <vt:variant>
        <vt:i4>449</vt:i4>
      </vt:variant>
      <vt:variant>
        <vt:i4>0</vt:i4>
      </vt:variant>
      <vt:variant>
        <vt:i4>5</vt:i4>
      </vt:variant>
      <vt:variant>
        <vt:lpwstr/>
      </vt:variant>
      <vt:variant>
        <vt:lpwstr>_Toc127806997</vt:lpwstr>
      </vt:variant>
      <vt:variant>
        <vt:i4>1179711</vt:i4>
      </vt:variant>
      <vt:variant>
        <vt:i4>443</vt:i4>
      </vt:variant>
      <vt:variant>
        <vt:i4>0</vt:i4>
      </vt:variant>
      <vt:variant>
        <vt:i4>5</vt:i4>
      </vt:variant>
      <vt:variant>
        <vt:lpwstr/>
      </vt:variant>
      <vt:variant>
        <vt:lpwstr>_Toc127806996</vt:lpwstr>
      </vt:variant>
      <vt:variant>
        <vt:i4>1179711</vt:i4>
      </vt:variant>
      <vt:variant>
        <vt:i4>437</vt:i4>
      </vt:variant>
      <vt:variant>
        <vt:i4>0</vt:i4>
      </vt:variant>
      <vt:variant>
        <vt:i4>5</vt:i4>
      </vt:variant>
      <vt:variant>
        <vt:lpwstr/>
      </vt:variant>
      <vt:variant>
        <vt:lpwstr>_Toc127806995</vt:lpwstr>
      </vt:variant>
      <vt:variant>
        <vt:i4>1179711</vt:i4>
      </vt:variant>
      <vt:variant>
        <vt:i4>431</vt:i4>
      </vt:variant>
      <vt:variant>
        <vt:i4>0</vt:i4>
      </vt:variant>
      <vt:variant>
        <vt:i4>5</vt:i4>
      </vt:variant>
      <vt:variant>
        <vt:lpwstr/>
      </vt:variant>
      <vt:variant>
        <vt:lpwstr>_Toc127806994</vt:lpwstr>
      </vt:variant>
      <vt:variant>
        <vt:i4>1179711</vt:i4>
      </vt:variant>
      <vt:variant>
        <vt:i4>425</vt:i4>
      </vt:variant>
      <vt:variant>
        <vt:i4>0</vt:i4>
      </vt:variant>
      <vt:variant>
        <vt:i4>5</vt:i4>
      </vt:variant>
      <vt:variant>
        <vt:lpwstr/>
      </vt:variant>
      <vt:variant>
        <vt:lpwstr>_Toc127806993</vt:lpwstr>
      </vt:variant>
      <vt:variant>
        <vt:i4>1179711</vt:i4>
      </vt:variant>
      <vt:variant>
        <vt:i4>419</vt:i4>
      </vt:variant>
      <vt:variant>
        <vt:i4>0</vt:i4>
      </vt:variant>
      <vt:variant>
        <vt:i4>5</vt:i4>
      </vt:variant>
      <vt:variant>
        <vt:lpwstr/>
      </vt:variant>
      <vt:variant>
        <vt:lpwstr>_Toc127806992</vt:lpwstr>
      </vt:variant>
      <vt:variant>
        <vt:i4>1179711</vt:i4>
      </vt:variant>
      <vt:variant>
        <vt:i4>413</vt:i4>
      </vt:variant>
      <vt:variant>
        <vt:i4>0</vt:i4>
      </vt:variant>
      <vt:variant>
        <vt:i4>5</vt:i4>
      </vt:variant>
      <vt:variant>
        <vt:lpwstr/>
      </vt:variant>
      <vt:variant>
        <vt:lpwstr>_Toc127806991</vt:lpwstr>
      </vt:variant>
      <vt:variant>
        <vt:i4>1179711</vt:i4>
      </vt:variant>
      <vt:variant>
        <vt:i4>407</vt:i4>
      </vt:variant>
      <vt:variant>
        <vt:i4>0</vt:i4>
      </vt:variant>
      <vt:variant>
        <vt:i4>5</vt:i4>
      </vt:variant>
      <vt:variant>
        <vt:lpwstr/>
      </vt:variant>
      <vt:variant>
        <vt:lpwstr>_Toc127806990</vt:lpwstr>
      </vt:variant>
      <vt:variant>
        <vt:i4>1245247</vt:i4>
      </vt:variant>
      <vt:variant>
        <vt:i4>401</vt:i4>
      </vt:variant>
      <vt:variant>
        <vt:i4>0</vt:i4>
      </vt:variant>
      <vt:variant>
        <vt:i4>5</vt:i4>
      </vt:variant>
      <vt:variant>
        <vt:lpwstr/>
      </vt:variant>
      <vt:variant>
        <vt:lpwstr>_Toc127806989</vt:lpwstr>
      </vt:variant>
      <vt:variant>
        <vt:i4>1245247</vt:i4>
      </vt:variant>
      <vt:variant>
        <vt:i4>395</vt:i4>
      </vt:variant>
      <vt:variant>
        <vt:i4>0</vt:i4>
      </vt:variant>
      <vt:variant>
        <vt:i4>5</vt:i4>
      </vt:variant>
      <vt:variant>
        <vt:lpwstr/>
      </vt:variant>
      <vt:variant>
        <vt:lpwstr>_Toc127806988</vt:lpwstr>
      </vt:variant>
      <vt:variant>
        <vt:i4>1245247</vt:i4>
      </vt:variant>
      <vt:variant>
        <vt:i4>389</vt:i4>
      </vt:variant>
      <vt:variant>
        <vt:i4>0</vt:i4>
      </vt:variant>
      <vt:variant>
        <vt:i4>5</vt:i4>
      </vt:variant>
      <vt:variant>
        <vt:lpwstr/>
      </vt:variant>
      <vt:variant>
        <vt:lpwstr>_Toc127806987</vt:lpwstr>
      </vt:variant>
      <vt:variant>
        <vt:i4>1114161</vt:i4>
      </vt:variant>
      <vt:variant>
        <vt:i4>380</vt:i4>
      </vt:variant>
      <vt:variant>
        <vt:i4>0</vt:i4>
      </vt:variant>
      <vt:variant>
        <vt:i4>5</vt:i4>
      </vt:variant>
      <vt:variant>
        <vt:lpwstr/>
      </vt:variant>
      <vt:variant>
        <vt:lpwstr>_Toc127808740</vt:lpwstr>
      </vt:variant>
      <vt:variant>
        <vt:i4>1441841</vt:i4>
      </vt:variant>
      <vt:variant>
        <vt:i4>374</vt:i4>
      </vt:variant>
      <vt:variant>
        <vt:i4>0</vt:i4>
      </vt:variant>
      <vt:variant>
        <vt:i4>5</vt:i4>
      </vt:variant>
      <vt:variant>
        <vt:lpwstr/>
      </vt:variant>
      <vt:variant>
        <vt:lpwstr>_Toc127808739</vt:lpwstr>
      </vt:variant>
      <vt:variant>
        <vt:i4>1441841</vt:i4>
      </vt:variant>
      <vt:variant>
        <vt:i4>368</vt:i4>
      </vt:variant>
      <vt:variant>
        <vt:i4>0</vt:i4>
      </vt:variant>
      <vt:variant>
        <vt:i4>5</vt:i4>
      </vt:variant>
      <vt:variant>
        <vt:lpwstr/>
      </vt:variant>
      <vt:variant>
        <vt:lpwstr>_Toc127808738</vt:lpwstr>
      </vt:variant>
      <vt:variant>
        <vt:i4>1441841</vt:i4>
      </vt:variant>
      <vt:variant>
        <vt:i4>362</vt:i4>
      </vt:variant>
      <vt:variant>
        <vt:i4>0</vt:i4>
      </vt:variant>
      <vt:variant>
        <vt:i4>5</vt:i4>
      </vt:variant>
      <vt:variant>
        <vt:lpwstr/>
      </vt:variant>
      <vt:variant>
        <vt:lpwstr>_Toc127808737</vt:lpwstr>
      </vt:variant>
      <vt:variant>
        <vt:i4>1441841</vt:i4>
      </vt:variant>
      <vt:variant>
        <vt:i4>356</vt:i4>
      </vt:variant>
      <vt:variant>
        <vt:i4>0</vt:i4>
      </vt:variant>
      <vt:variant>
        <vt:i4>5</vt:i4>
      </vt:variant>
      <vt:variant>
        <vt:lpwstr/>
      </vt:variant>
      <vt:variant>
        <vt:lpwstr>_Toc127808736</vt:lpwstr>
      </vt:variant>
      <vt:variant>
        <vt:i4>1441841</vt:i4>
      </vt:variant>
      <vt:variant>
        <vt:i4>350</vt:i4>
      </vt:variant>
      <vt:variant>
        <vt:i4>0</vt:i4>
      </vt:variant>
      <vt:variant>
        <vt:i4>5</vt:i4>
      </vt:variant>
      <vt:variant>
        <vt:lpwstr/>
      </vt:variant>
      <vt:variant>
        <vt:lpwstr>_Toc127808735</vt:lpwstr>
      </vt:variant>
      <vt:variant>
        <vt:i4>1441841</vt:i4>
      </vt:variant>
      <vt:variant>
        <vt:i4>344</vt:i4>
      </vt:variant>
      <vt:variant>
        <vt:i4>0</vt:i4>
      </vt:variant>
      <vt:variant>
        <vt:i4>5</vt:i4>
      </vt:variant>
      <vt:variant>
        <vt:lpwstr/>
      </vt:variant>
      <vt:variant>
        <vt:lpwstr>_Toc127808734</vt:lpwstr>
      </vt:variant>
      <vt:variant>
        <vt:i4>1441841</vt:i4>
      </vt:variant>
      <vt:variant>
        <vt:i4>338</vt:i4>
      </vt:variant>
      <vt:variant>
        <vt:i4>0</vt:i4>
      </vt:variant>
      <vt:variant>
        <vt:i4>5</vt:i4>
      </vt:variant>
      <vt:variant>
        <vt:lpwstr/>
      </vt:variant>
      <vt:variant>
        <vt:lpwstr>_Toc127808733</vt:lpwstr>
      </vt:variant>
      <vt:variant>
        <vt:i4>1441841</vt:i4>
      </vt:variant>
      <vt:variant>
        <vt:i4>332</vt:i4>
      </vt:variant>
      <vt:variant>
        <vt:i4>0</vt:i4>
      </vt:variant>
      <vt:variant>
        <vt:i4>5</vt:i4>
      </vt:variant>
      <vt:variant>
        <vt:lpwstr/>
      </vt:variant>
      <vt:variant>
        <vt:lpwstr>_Toc127808732</vt:lpwstr>
      </vt:variant>
      <vt:variant>
        <vt:i4>1441841</vt:i4>
      </vt:variant>
      <vt:variant>
        <vt:i4>326</vt:i4>
      </vt:variant>
      <vt:variant>
        <vt:i4>0</vt:i4>
      </vt:variant>
      <vt:variant>
        <vt:i4>5</vt:i4>
      </vt:variant>
      <vt:variant>
        <vt:lpwstr/>
      </vt:variant>
      <vt:variant>
        <vt:lpwstr>_Toc127808731</vt:lpwstr>
      </vt:variant>
      <vt:variant>
        <vt:i4>1441841</vt:i4>
      </vt:variant>
      <vt:variant>
        <vt:i4>320</vt:i4>
      </vt:variant>
      <vt:variant>
        <vt:i4>0</vt:i4>
      </vt:variant>
      <vt:variant>
        <vt:i4>5</vt:i4>
      </vt:variant>
      <vt:variant>
        <vt:lpwstr/>
      </vt:variant>
      <vt:variant>
        <vt:lpwstr>_Toc127808730</vt:lpwstr>
      </vt:variant>
      <vt:variant>
        <vt:i4>1507377</vt:i4>
      </vt:variant>
      <vt:variant>
        <vt:i4>314</vt:i4>
      </vt:variant>
      <vt:variant>
        <vt:i4>0</vt:i4>
      </vt:variant>
      <vt:variant>
        <vt:i4>5</vt:i4>
      </vt:variant>
      <vt:variant>
        <vt:lpwstr/>
      </vt:variant>
      <vt:variant>
        <vt:lpwstr>_Toc127808729</vt:lpwstr>
      </vt:variant>
      <vt:variant>
        <vt:i4>1507377</vt:i4>
      </vt:variant>
      <vt:variant>
        <vt:i4>308</vt:i4>
      </vt:variant>
      <vt:variant>
        <vt:i4>0</vt:i4>
      </vt:variant>
      <vt:variant>
        <vt:i4>5</vt:i4>
      </vt:variant>
      <vt:variant>
        <vt:lpwstr/>
      </vt:variant>
      <vt:variant>
        <vt:lpwstr>_Toc127808728</vt:lpwstr>
      </vt:variant>
      <vt:variant>
        <vt:i4>1507377</vt:i4>
      </vt:variant>
      <vt:variant>
        <vt:i4>302</vt:i4>
      </vt:variant>
      <vt:variant>
        <vt:i4>0</vt:i4>
      </vt:variant>
      <vt:variant>
        <vt:i4>5</vt:i4>
      </vt:variant>
      <vt:variant>
        <vt:lpwstr/>
      </vt:variant>
      <vt:variant>
        <vt:lpwstr>_Toc127808727</vt:lpwstr>
      </vt:variant>
      <vt:variant>
        <vt:i4>1507377</vt:i4>
      </vt:variant>
      <vt:variant>
        <vt:i4>296</vt:i4>
      </vt:variant>
      <vt:variant>
        <vt:i4>0</vt:i4>
      </vt:variant>
      <vt:variant>
        <vt:i4>5</vt:i4>
      </vt:variant>
      <vt:variant>
        <vt:lpwstr/>
      </vt:variant>
      <vt:variant>
        <vt:lpwstr>_Toc127808726</vt:lpwstr>
      </vt:variant>
      <vt:variant>
        <vt:i4>1507377</vt:i4>
      </vt:variant>
      <vt:variant>
        <vt:i4>290</vt:i4>
      </vt:variant>
      <vt:variant>
        <vt:i4>0</vt:i4>
      </vt:variant>
      <vt:variant>
        <vt:i4>5</vt:i4>
      </vt:variant>
      <vt:variant>
        <vt:lpwstr/>
      </vt:variant>
      <vt:variant>
        <vt:lpwstr>_Toc127808725</vt:lpwstr>
      </vt:variant>
      <vt:variant>
        <vt:i4>1507377</vt:i4>
      </vt:variant>
      <vt:variant>
        <vt:i4>284</vt:i4>
      </vt:variant>
      <vt:variant>
        <vt:i4>0</vt:i4>
      </vt:variant>
      <vt:variant>
        <vt:i4>5</vt:i4>
      </vt:variant>
      <vt:variant>
        <vt:lpwstr/>
      </vt:variant>
      <vt:variant>
        <vt:lpwstr>_Toc127808724</vt:lpwstr>
      </vt:variant>
      <vt:variant>
        <vt:i4>1507377</vt:i4>
      </vt:variant>
      <vt:variant>
        <vt:i4>278</vt:i4>
      </vt:variant>
      <vt:variant>
        <vt:i4>0</vt:i4>
      </vt:variant>
      <vt:variant>
        <vt:i4>5</vt:i4>
      </vt:variant>
      <vt:variant>
        <vt:lpwstr/>
      </vt:variant>
      <vt:variant>
        <vt:lpwstr>_Toc127808723</vt:lpwstr>
      </vt:variant>
      <vt:variant>
        <vt:i4>1507377</vt:i4>
      </vt:variant>
      <vt:variant>
        <vt:i4>272</vt:i4>
      </vt:variant>
      <vt:variant>
        <vt:i4>0</vt:i4>
      </vt:variant>
      <vt:variant>
        <vt:i4>5</vt:i4>
      </vt:variant>
      <vt:variant>
        <vt:lpwstr/>
      </vt:variant>
      <vt:variant>
        <vt:lpwstr>_Toc127808722</vt:lpwstr>
      </vt:variant>
      <vt:variant>
        <vt:i4>1507377</vt:i4>
      </vt:variant>
      <vt:variant>
        <vt:i4>266</vt:i4>
      </vt:variant>
      <vt:variant>
        <vt:i4>0</vt:i4>
      </vt:variant>
      <vt:variant>
        <vt:i4>5</vt:i4>
      </vt:variant>
      <vt:variant>
        <vt:lpwstr/>
      </vt:variant>
      <vt:variant>
        <vt:lpwstr>_Toc127808721</vt:lpwstr>
      </vt:variant>
      <vt:variant>
        <vt:i4>1507377</vt:i4>
      </vt:variant>
      <vt:variant>
        <vt:i4>260</vt:i4>
      </vt:variant>
      <vt:variant>
        <vt:i4>0</vt:i4>
      </vt:variant>
      <vt:variant>
        <vt:i4>5</vt:i4>
      </vt:variant>
      <vt:variant>
        <vt:lpwstr/>
      </vt:variant>
      <vt:variant>
        <vt:lpwstr>_Toc127808720</vt:lpwstr>
      </vt:variant>
      <vt:variant>
        <vt:i4>1310769</vt:i4>
      </vt:variant>
      <vt:variant>
        <vt:i4>254</vt:i4>
      </vt:variant>
      <vt:variant>
        <vt:i4>0</vt:i4>
      </vt:variant>
      <vt:variant>
        <vt:i4>5</vt:i4>
      </vt:variant>
      <vt:variant>
        <vt:lpwstr/>
      </vt:variant>
      <vt:variant>
        <vt:lpwstr>_Toc127808719</vt:lpwstr>
      </vt:variant>
      <vt:variant>
        <vt:i4>1310769</vt:i4>
      </vt:variant>
      <vt:variant>
        <vt:i4>248</vt:i4>
      </vt:variant>
      <vt:variant>
        <vt:i4>0</vt:i4>
      </vt:variant>
      <vt:variant>
        <vt:i4>5</vt:i4>
      </vt:variant>
      <vt:variant>
        <vt:lpwstr/>
      </vt:variant>
      <vt:variant>
        <vt:lpwstr>_Toc127808718</vt:lpwstr>
      </vt:variant>
      <vt:variant>
        <vt:i4>1310769</vt:i4>
      </vt:variant>
      <vt:variant>
        <vt:i4>242</vt:i4>
      </vt:variant>
      <vt:variant>
        <vt:i4>0</vt:i4>
      </vt:variant>
      <vt:variant>
        <vt:i4>5</vt:i4>
      </vt:variant>
      <vt:variant>
        <vt:lpwstr/>
      </vt:variant>
      <vt:variant>
        <vt:lpwstr>_Toc127808717</vt:lpwstr>
      </vt:variant>
      <vt:variant>
        <vt:i4>1310769</vt:i4>
      </vt:variant>
      <vt:variant>
        <vt:i4>236</vt:i4>
      </vt:variant>
      <vt:variant>
        <vt:i4>0</vt:i4>
      </vt:variant>
      <vt:variant>
        <vt:i4>5</vt:i4>
      </vt:variant>
      <vt:variant>
        <vt:lpwstr/>
      </vt:variant>
      <vt:variant>
        <vt:lpwstr>_Toc127808716</vt:lpwstr>
      </vt:variant>
      <vt:variant>
        <vt:i4>1310769</vt:i4>
      </vt:variant>
      <vt:variant>
        <vt:i4>230</vt:i4>
      </vt:variant>
      <vt:variant>
        <vt:i4>0</vt:i4>
      </vt:variant>
      <vt:variant>
        <vt:i4>5</vt:i4>
      </vt:variant>
      <vt:variant>
        <vt:lpwstr/>
      </vt:variant>
      <vt:variant>
        <vt:lpwstr>_Toc127808715</vt:lpwstr>
      </vt:variant>
      <vt:variant>
        <vt:i4>1310769</vt:i4>
      </vt:variant>
      <vt:variant>
        <vt:i4>224</vt:i4>
      </vt:variant>
      <vt:variant>
        <vt:i4>0</vt:i4>
      </vt:variant>
      <vt:variant>
        <vt:i4>5</vt:i4>
      </vt:variant>
      <vt:variant>
        <vt:lpwstr/>
      </vt:variant>
      <vt:variant>
        <vt:lpwstr>_Toc127808714</vt:lpwstr>
      </vt:variant>
      <vt:variant>
        <vt:i4>1310769</vt:i4>
      </vt:variant>
      <vt:variant>
        <vt:i4>218</vt:i4>
      </vt:variant>
      <vt:variant>
        <vt:i4>0</vt:i4>
      </vt:variant>
      <vt:variant>
        <vt:i4>5</vt:i4>
      </vt:variant>
      <vt:variant>
        <vt:lpwstr/>
      </vt:variant>
      <vt:variant>
        <vt:lpwstr>_Toc127808713</vt:lpwstr>
      </vt:variant>
      <vt:variant>
        <vt:i4>1310769</vt:i4>
      </vt:variant>
      <vt:variant>
        <vt:i4>212</vt:i4>
      </vt:variant>
      <vt:variant>
        <vt:i4>0</vt:i4>
      </vt:variant>
      <vt:variant>
        <vt:i4>5</vt:i4>
      </vt:variant>
      <vt:variant>
        <vt:lpwstr/>
      </vt:variant>
      <vt:variant>
        <vt:lpwstr>_Toc127808712</vt:lpwstr>
      </vt:variant>
      <vt:variant>
        <vt:i4>1310769</vt:i4>
      </vt:variant>
      <vt:variant>
        <vt:i4>206</vt:i4>
      </vt:variant>
      <vt:variant>
        <vt:i4>0</vt:i4>
      </vt:variant>
      <vt:variant>
        <vt:i4>5</vt:i4>
      </vt:variant>
      <vt:variant>
        <vt:lpwstr/>
      </vt:variant>
      <vt:variant>
        <vt:lpwstr>_Toc127808711</vt:lpwstr>
      </vt:variant>
      <vt:variant>
        <vt:i4>1310769</vt:i4>
      </vt:variant>
      <vt:variant>
        <vt:i4>200</vt:i4>
      </vt:variant>
      <vt:variant>
        <vt:i4>0</vt:i4>
      </vt:variant>
      <vt:variant>
        <vt:i4>5</vt:i4>
      </vt:variant>
      <vt:variant>
        <vt:lpwstr/>
      </vt:variant>
      <vt:variant>
        <vt:lpwstr>_Toc127808710</vt:lpwstr>
      </vt:variant>
      <vt:variant>
        <vt:i4>1376305</vt:i4>
      </vt:variant>
      <vt:variant>
        <vt:i4>194</vt:i4>
      </vt:variant>
      <vt:variant>
        <vt:i4>0</vt:i4>
      </vt:variant>
      <vt:variant>
        <vt:i4>5</vt:i4>
      </vt:variant>
      <vt:variant>
        <vt:lpwstr/>
      </vt:variant>
      <vt:variant>
        <vt:lpwstr>_Toc127808709</vt:lpwstr>
      </vt:variant>
      <vt:variant>
        <vt:i4>1376305</vt:i4>
      </vt:variant>
      <vt:variant>
        <vt:i4>188</vt:i4>
      </vt:variant>
      <vt:variant>
        <vt:i4>0</vt:i4>
      </vt:variant>
      <vt:variant>
        <vt:i4>5</vt:i4>
      </vt:variant>
      <vt:variant>
        <vt:lpwstr/>
      </vt:variant>
      <vt:variant>
        <vt:lpwstr>_Toc127808708</vt:lpwstr>
      </vt:variant>
      <vt:variant>
        <vt:i4>1376305</vt:i4>
      </vt:variant>
      <vt:variant>
        <vt:i4>182</vt:i4>
      </vt:variant>
      <vt:variant>
        <vt:i4>0</vt:i4>
      </vt:variant>
      <vt:variant>
        <vt:i4>5</vt:i4>
      </vt:variant>
      <vt:variant>
        <vt:lpwstr/>
      </vt:variant>
      <vt:variant>
        <vt:lpwstr>_Toc127808707</vt:lpwstr>
      </vt:variant>
      <vt:variant>
        <vt:i4>1376305</vt:i4>
      </vt:variant>
      <vt:variant>
        <vt:i4>176</vt:i4>
      </vt:variant>
      <vt:variant>
        <vt:i4>0</vt:i4>
      </vt:variant>
      <vt:variant>
        <vt:i4>5</vt:i4>
      </vt:variant>
      <vt:variant>
        <vt:lpwstr/>
      </vt:variant>
      <vt:variant>
        <vt:lpwstr>_Toc127808706</vt:lpwstr>
      </vt:variant>
      <vt:variant>
        <vt:i4>1376305</vt:i4>
      </vt:variant>
      <vt:variant>
        <vt:i4>170</vt:i4>
      </vt:variant>
      <vt:variant>
        <vt:i4>0</vt:i4>
      </vt:variant>
      <vt:variant>
        <vt:i4>5</vt:i4>
      </vt:variant>
      <vt:variant>
        <vt:lpwstr/>
      </vt:variant>
      <vt:variant>
        <vt:lpwstr>_Toc127808705</vt:lpwstr>
      </vt:variant>
      <vt:variant>
        <vt:i4>1376305</vt:i4>
      </vt:variant>
      <vt:variant>
        <vt:i4>164</vt:i4>
      </vt:variant>
      <vt:variant>
        <vt:i4>0</vt:i4>
      </vt:variant>
      <vt:variant>
        <vt:i4>5</vt:i4>
      </vt:variant>
      <vt:variant>
        <vt:lpwstr/>
      </vt:variant>
      <vt:variant>
        <vt:lpwstr>_Toc127808704</vt:lpwstr>
      </vt:variant>
      <vt:variant>
        <vt:i4>1376305</vt:i4>
      </vt:variant>
      <vt:variant>
        <vt:i4>158</vt:i4>
      </vt:variant>
      <vt:variant>
        <vt:i4>0</vt:i4>
      </vt:variant>
      <vt:variant>
        <vt:i4>5</vt:i4>
      </vt:variant>
      <vt:variant>
        <vt:lpwstr/>
      </vt:variant>
      <vt:variant>
        <vt:lpwstr>_Toc127808703</vt:lpwstr>
      </vt:variant>
      <vt:variant>
        <vt:i4>1376305</vt:i4>
      </vt:variant>
      <vt:variant>
        <vt:i4>152</vt:i4>
      </vt:variant>
      <vt:variant>
        <vt:i4>0</vt:i4>
      </vt:variant>
      <vt:variant>
        <vt:i4>5</vt:i4>
      </vt:variant>
      <vt:variant>
        <vt:lpwstr/>
      </vt:variant>
      <vt:variant>
        <vt:lpwstr>_Toc127808702</vt:lpwstr>
      </vt:variant>
      <vt:variant>
        <vt:i4>1376305</vt:i4>
      </vt:variant>
      <vt:variant>
        <vt:i4>146</vt:i4>
      </vt:variant>
      <vt:variant>
        <vt:i4>0</vt:i4>
      </vt:variant>
      <vt:variant>
        <vt:i4>5</vt:i4>
      </vt:variant>
      <vt:variant>
        <vt:lpwstr/>
      </vt:variant>
      <vt:variant>
        <vt:lpwstr>_Toc127808701</vt:lpwstr>
      </vt:variant>
      <vt:variant>
        <vt:i4>1376305</vt:i4>
      </vt:variant>
      <vt:variant>
        <vt:i4>140</vt:i4>
      </vt:variant>
      <vt:variant>
        <vt:i4>0</vt:i4>
      </vt:variant>
      <vt:variant>
        <vt:i4>5</vt:i4>
      </vt:variant>
      <vt:variant>
        <vt:lpwstr/>
      </vt:variant>
      <vt:variant>
        <vt:lpwstr>_Toc127808700</vt:lpwstr>
      </vt:variant>
      <vt:variant>
        <vt:i4>1835056</vt:i4>
      </vt:variant>
      <vt:variant>
        <vt:i4>134</vt:i4>
      </vt:variant>
      <vt:variant>
        <vt:i4>0</vt:i4>
      </vt:variant>
      <vt:variant>
        <vt:i4>5</vt:i4>
      </vt:variant>
      <vt:variant>
        <vt:lpwstr/>
      </vt:variant>
      <vt:variant>
        <vt:lpwstr>_Toc127808699</vt:lpwstr>
      </vt:variant>
      <vt:variant>
        <vt:i4>1835056</vt:i4>
      </vt:variant>
      <vt:variant>
        <vt:i4>128</vt:i4>
      </vt:variant>
      <vt:variant>
        <vt:i4>0</vt:i4>
      </vt:variant>
      <vt:variant>
        <vt:i4>5</vt:i4>
      </vt:variant>
      <vt:variant>
        <vt:lpwstr/>
      </vt:variant>
      <vt:variant>
        <vt:lpwstr>_Toc127808698</vt:lpwstr>
      </vt:variant>
      <vt:variant>
        <vt:i4>1835056</vt:i4>
      </vt:variant>
      <vt:variant>
        <vt:i4>122</vt:i4>
      </vt:variant>
      <vt:variant>
        <vt:i4>0</vt:i4>
      </vt:variant>
      <vt:variant>
        <vt:i4>5</vt:i4>
      </vt:variant>
      <vt:variant>
        <vt:lpwstr/>
      </vt:variant>
      <vt:variant>
        <vt:lpwstr>_Toc127808697</vt:lpwstr>
      </vt:variant>
      <vt:variant>
        <vt:i4>1835056</vt:i4>
      </vt:variant>
      <vt:variant>
        <vt:i4>116</vt:i4>
      </vt:variant>
      <vt:variant>
        <vt:i4>0</vt:i4>
      </vt:variant>
      <vt:variant>
        <vt:i4>5</vt:i4>
      </vt:variant>
      <vt:variant>
        <vt:lpwstr/>
      </vt:variant>
      <vt:variant>
        <vt:lpwstr>_Toc127808696</vt:lpwstr>
      </vt:variant>
      <vt:variant>
        <vt:i4>1835056</vt:i4>
      </vt:variant>
      <vt:variant>
        <vt:i4>110</vt:i4>
      </vt:variant>
      <vt:variant>
        <vt:i4>0</vt:i4>
      </vt:variant>
      <vt:variant>
        <vt:i4>5</vt:i4>
      </vt:variant>
      <vt:variant>
        <vt:lpwstr/>
      </vt:variant>
      <vt:variant>
        <vt:lpwstr>_Toc127808695</vt:lpwstr>
      </vt:variant>
      <vt:variant>
        <vt:i4>1835056</vt:i4>
      </vt:variant>
      <vt:variant>
        <vt:i4>104</vt:i4>
      </vt:variant>
      <vt:variant>
        <vt:i4>0</vt:i4>
      </vt:variant>
      <vt:variant>
        <vt:i4>5</vt:i4>
      </vt:variant>
      <vt:variant>
        <vt:lpwstr/>
      </vt:variant>
      <vt:variant>
        <vt:lpwstr>_Toc127808694</vt:lpwstr>
      </vt:variant>
      <vt:variant>
        <vt:i4>1835056</vt:i4>
      </vt:variant>
      <vt:variant>
        <vt:i4>98</vt:i4>
      </vt:variant>
      <vt:variant>
        <vt:i4>0</vt:i4>
      </vt:variant>
      <vt:variant>
        <vt:i4>5</vt:i4>
      </vt:variant>
      <vt:variant>
        <vt:lpwstr/>
      </vt:variant>
      <vt:variant>
        <vt:lpwstr>_Toc127808693</vt:lpwstr>
      </vt:variant>
      <vt:variant>
        <vt:i4>1835056</vt:i4>
      </vt:variant>
      <vt:variant>
        <vt:i4>92</vt:i4>
      </vt:variant>
      <vt:variant>
        <vt:i4>0</vt:i4>
      </vt:variant>
      <vt:variant>
        <vt:i4>5</vt:i4>
      </vt:variant>
      <vt:variant>
        <vt:lpwstr/>
      </vt:variant>
      <vt:variant>
        <vt:lpwstr>_Toc127808692</vt:lpwstr>
      </vt:variant>
      <vt:variant>
        <vt:i4>1835056</vt:i4>
      </vt:variant>
      <vt:variant>
        <vt:i4>86</vt:i4>
      </vt:variant>
      <vt:variant>
        <vt:i4>0</vt:i4>
      </vt:variant>
      <vt:variant>
        <vt:i4>5</vt:i4>
      </vt:variant>
      <vt:variant>
        <vt:lpwstr/>
      </vt:variant>
      <vt:variant>
        <vt:lpwstr>_Toc127808691</vt:lpwstr>
      </vt:variant>
      <vt:variant>
        <vt:i4>1835056</vt:i4>
      </vt:variant>
      <vt:variant>
        <vt:i4>80</vt:i4>
      </vt:variant>
      <vt:variant>
        <vt:i4>0</vt:i4>
      </vt:variant>
      <vt:variant>
        <vt:i4>5</vt:i4>
      </vt:variant>
      <vt:variant>
        <vt:lpwstr/>
      </vt:variant>
      <vt:variant>
        <vt:lpwstr>_Toc127808690</vt:lpwstr>
      </vt:variant>
      <vt:variant>
        <vt:i4>1900592</vt:i4>
      </vt:variant>
      <vt:variant>
        <vt:i4>74</vt:i4>
      </vt:variant>
      <vt:variant>
        <vt:i4>0</vt:i4>
      </vt:variant>
      <vt:variant>
        <vt:i4>5</vt:i4>
      </vt:variant>
      <vt:variant>
        <vt:lpwstr/>
      </vt:variant>
      <vt:variant>
        <vt:lpwstr>_Toc127808689</vt:lpwstr>
      </vt:variant>
      <vt:variant>
        <vt:i4>1900592</vt:i4>
      </vt:variant>
      <vt:variant>
        <vt:i4>68</vt:i4>
      </vt:variant>
      <vt:variant>
        <vt:i4>0</vt:i4>
      </vt:variant>
      <vt:variant>
        <vt:i4>5</vt:i4>
      </vt:variant>
      <vt:variant>
        <vt:lpwstr/>
      </vt:variant>
      <vt:variant>
        <vt:lpwstr>_Toc127808688</vt:lpwstr>
      </vt:variant>
      <vt:variant>
        <vt:i4>1900592</vt:i4>
      </vt:variant>
      <vt:variant>
        <vt:i4>62</vt:i4>
      </vt:variant>
      <vt:variant>
        <vt:i4>0</vt:i4>
      </vt:variant>
      <vt:variant>
        <vt:i4>5</vt:i4>
      </vt:variant>
      <vt:variant>
        <vt:lpwstr/>
      </vt:variant>
      <vt:variant>
        <vt:lpwstr>_Toc127808687</vt:lpwstr>
      </vt:variant>
      <vt:variant>
        <vt:i4>1900592</vt:i4>
      </vt:variant>
      <vt:variant>
        <vt:i4>56</vt:i4>
      </vt:variant>
      <vt:variant>
        <vt:i4>0</vt:i4>
      </vt:variant>
      <vt:variant>
        <vt:i4>5</vt:i4>
      </vt:variant>
      <vt:variant>
        <vt:lpwstr/>
      </vt:variant>
      <vt:variant>
        <vt:lpwstr>_Toc127808686</vt:lpwstr>
      </vt:variant>
      <vt:variant>
        <vt:i4>1900592</vt:i4>
      </vt:variant>
      <vt:variant>
        <vt:i4>50</vt:i4>
      </vt:variant>
      <vt:variant>
        <vt:i4>0</vt:i4>
      </vt:variant>
      <vt:variant>
        <vt:i4>5</vt:i4>
      </vt:variant>
      <vt:variant>
        <vt:lpwstr/>
      </vt:variant>
      <vt:variant>
        <vt:lpwstr>_Toc127808685</vt:lpwstr>
      </vt:variant>
      <vt:variant>
        <vt:i4>1900592</vt:i4>
      </vt:variant>
      <vt:variant>
        <vt:i4>44</vt:i4>
      </vt:variant>
      <vt:variant>
        <vt:i4>0</vt:i4>
      </vt:variant>
      <vt:variant>
        <vt:i4>5</vt:i4>
      </vt:variant>
      <vt:variant>
        <vt:lpwstr/>
      </vt:variant>
      <vt:variant>
        <vt:lpwstr>_Toc127808684</vt:lpwstr>
      </vt:variant>
      <vt:variant>
        <vt:i4>1900592</vt:i4>
      </vt:variant>
      <vt:variant>
        <vt:i4>38</vt:i4>
      </vt:variant>
      <vt:variant>
        <vt:i4>0</vt:i4>
      </vt:variant>
      <vt:variant>
        <vt:i4>5</vt:i4>
      </vt:variant>
      <vt:variant>
        <vt:lpwstr/>
      </vt:variant>
      <vt:variant>
        <vt:lpwstr>_Toc127808683</vt:lpwstr>
      </vt:variant>
      <vt:variant>
        <vt:i4>1900592</vt:i4>
      </vt:variant>
      <vt:variant>
        <vt:i4>32</vt:i4>
      </vt:variant>
      <vt:variant>
        <vt:i4>0</vt:i4>
      </vt:variant>
      <vt:variant>
        <vt:i4>5</vt:i4>
      </vt:variant>
      <vt:variant>
        <vt:lpwstr/>
      </vt:variant>
      <vt:variant>
        <vt:lpwstr>_Toc127808682</vt:lpwstr>
      </vt:variant>
      <vt:variant>
        <vt:i4>1900592</vt:i4>
      </vt:variant>
      <vt:variant>
        <vt:i4>26</vt:i4>
      </vt:variant>
      <vt:variant>
        <vt:i4>0</vt:i4>
      </vt:variant>
      <vt:variant>
        <vt:i4>5</vt:i4>
      </vt:variant>
      <vt:variant>
        <vt:lpwstr/>
      </vt:variant>
      <vt:variant>
        <vt:lpwstr>_Toc127808681</vt:lpwstr>
      </vt:variant>
      <vt:variant>
        <vt:i4>1900592</vt:i4>
      </vt:variant>
      <vt:variant>
        <vt:i4>20</vt:i4>
      </vt:variant>
      <vt:variant>
        <vt:i4>0</vt:i4>
      </vt:variant>
      <vt:variant>
        <vt:i4>5</vt:i4>
      </vt:variant>
      <vt:variant>
        <vt:lpwstr/>
      </vt:variant>
      <vt:variant>
        <vt:lpwstr>_Toc127808680</vt:lpwstr>
      </vt:variant>
      <vt:variant>
        <vt:i4>1179696</vt:i4>
      </vt:variant>
      <vt:variant>
        <vt:i4>14</vt:i4>
      </vt:variant>
      <vt:variant>
        <vt:i4>0</vt:i4>
      </vt:variant>
      <vt:variant>
        <vt:i4>5</vt:i4>
      </vt:variant>
      <vt:variant>
        <vt:lpwstr/>
      </vt:variant>
      <vt:variant>
        <vt:lpwstr>_Toc127808679</vt:lpwstr>
      </vt:variant>
      <vt:variant>
        <vt:i4>1179696</vt:i4>
      </vt:variant>
      <vt:variant>
        <vt:i4>8</vt:i4>
      </vt:variant>
      <vt:variant>
        <vt:i4>0</vt:i4>
      </vt:variant>
      <vt:variant>
        <vt:i4>5</vt:i4>
      </vt:variant>
      <vt:variant>
        <vt:lpwstr/>
      </vt:variant>
      <vt:variant>
        <vt:lpwstr>_Toc127808678</vt:lpwstr>
      </vt:variant>
      <vt:variant>
        <vt:i4>1179696</vt:i4>
      </vt:variant>
      <vt:variant>
        <vt:i4>2</vt:i4>
      </vt:variant>
      <vt:variant>
        <vt:i4>0</vt:i4>
      </vt:variant>
      <vt:variant>
        <vt:i4>5</vt:i4>
      </vt:variant>
      <vt:variant>
        <vt:lpwstr/>
      </vt:variant>
      <vt:variant>
        <vt:lpwstr>_Toc127808677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Katrin Schertenleib</dc:creator>
  <cp:keywords/>
  <dc:description/>
  <cp:lastModifiedBy>Katrin Schertenleib</cp:lastModifiedBy>
  <cp:revision>3</cp:revision>
  <cp:lastPrinted>2024-01-30T22:59:00Z</cp:lastPrinted>
  <dcterms:created xsi:type="dcterms:W3CDTF">2024-02-13T20:56:00Z</dcterms:created>
  <dcterms:modified xsi:type="dcterms:W3CDTF">2024-02-13T21:00:00Z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6th edition</vt:lpwstr>
  </property>
  <property fmtid="{D5CDD505-2E9C-101B-9397-08002B2CF9AE}" pid="4" name="Mendeley Recent Style Id 1_1">
    <vt:lpwstr>http://csl.mendeley.com/styles/555433891/apa-2KS</vt:lpwstr>
  </property>
  <property fmtid="{D5CDD505-2E9C-101B-9397-08002B2CF9AE}" pid="5" name="Mendeley Recent Style Name 1_1">
    <vt:lpwstr>American Psychological Association 7th edition - K Schert</vt:lpwstr>
  </property>
  <property fmtid="{D5CDD505-2E9C-101B-9397-08002B2CF9AE}" pid="6" name="Mendeley Recent Style Id 2_1">
    <vt:lpwstr>http://csl.mendeley.com/styles/555433891/MEE-KS</vt:lpwstr>
  </property>
  <property fmtid="{D5CDD505-2E9C-101B-9397-08002B2CF9AE}" pid="7" name="Mendeley Recent Style Name 2_1">
    <vt:lpwstr>American Psychological Association 7th edition - K Schert1 - K Schert</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10th edition - Harvard</vt:lpwstr>
  </property>
  <property fmtid="{D5CDD505-2E9C-101B-9397-08002B2CF9AE}" pid="10" name="Mendeley Recent Style Id 4_1">
    <vt:lpwstr>http://www.zotero.org/styles/global-change-biology</vt:lpwstr>
  </property>
  <property fmtid="{D5CDD505-2E9C-101B-9397-08002B2CF9AE}" pid="11" name="Mendeley Recent Style Name 4_1">
    <vt:lpwstr>Global Change Biology</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http://www.zotero.org/styles/journal-of-experimental-marine-biology-and-ecology</vt:lpwstr>
  </property>
  <property fmtid="{D5CDD505-2E9C-101B-9397-08002B2CF9AE}" pid="15" name="Mendeley Recent Style Name 6_1">
    <vt:lpwstr>Journal of Experimental Marine Biology and Ecology</vt:lpwstr>
  </property>
  <property fmtid="{D5CDD505-2E9C-101B-9397-08002B2CF9AE}" pid="16" name="Mendeley Recent Style Id 7_1">
    <vt:lpwstr>http://www.zotero.org/styles/limnology-and-oceanography</vt:lpwstr>
  </property>
  <property fmtid="{D5CDD505-2E9C-101B-9397-08002B2CF9AE}" pid="17" name="Mendeley Recent Style Name 7_1">
    <vt:lpwstr>Limnology and Oceanography</vt:lpwstr>
  </property>
  <property fmtid="{D5CDD505-2E9C-101B-9397-08002B2CF9AE}" pid="18" name="Mendeley Recent Style Id 8_1">
    <vt:lpwstr>http://www.zotero.org/styles/methods-in-ecology-and-evolution</vt:lpwstr>
  </property>
  <property fmtid="{D5CDD505-2E9C-101B-9397-08002B2CF9AE}" pid="19" name="Mendeley Recent Style Name 8_1">
    <vt:lpwstr>Methods in Ecology and Evolution</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Mendeley Document_1">
    <vt:lpwstr>True</vt:lpwstr>
  </property>
  <property fmtid="{D5CDD505-2E9C-101B-9397-08002B2CF9AE}" pid="23" name="Mendeley Citation Style_1">
    <vt:lpwstr>http://www.zotero.org/styles/marine-environmental-research</vt:lpwstr>
  </property>
  <property fmtid="{D5CDD505-2E9C-101B-9397-08002B2CF9AE}" pid="24" name="Mendeley Unique User Id_1">
    <vt:lpwstr>2c2b9991-e9d5-3a65-bac8-12b753a39e89</vt:lpwstr>
  </property>
</Properties>
</file>