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C996342">
      <w:pPr>
        <w:pStyle w:val="4"/>
        <w:keepNext w:val="0"/>
        <w:keepLines w:val="0"/>
        <w:widowControl/>
        <w:suppressLineNumbers w:val="0"/>
        <w:spacing w:before="0" w:beforeAutospacing="1" w:after="0" w:afterAutospacing="1"/>
        <w:ind w:left="0" w:right="0"/>
        <w:rPr>
          <w:rFonts w:hint="default" w:ascii="Times New Roman" w:hAnsi="Times New Roman" w:cs="Times New Roman"/>
          <w:b/>
          <w:bCs/>
          <w:sz w:val="36"/>
          <w:szCs w:val="36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36"/>
          <w:szCs w:val="36"/>
          <w:lang w:val="en-US" w:eastAsia="zh-CN"/>
        </w:rPr>
        <w:t>A case of spontaneous remission of non-Hodgkin's lymphoma in the lung</w:t>
      </w:r>
    </w:p>
    <w:p w14:paraId="6F8CA0B8">
      <w:pPr>
        <w:jc w:val="both"/>
        <w:rPr>
          <w:rFonts w:hint="default" w:ascii="Times New Roman" w:hAnsi="Times New Roman" w:eastAsia="楷体" w:cs="Times New Roman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</w:pPr>
      <w:r>
        <w:rPr>
          <w:rFonts w:hint="default" w:ascii="Times New Roman" w:hAnsi="Times New Roman" w:eastAsia="楷体" w:cs="Times New Roman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Sun Li</w:t>
      </w:r>
      <w:r>
        <w:rPr>
          <w:rFonts w:hint="default" w:ascii="Times New Roman" w:hAnsi="Times New Roman" w:eastAsia="楷体" w:cs="Times New Roman"/>
          <w:i w:val="0"/>
          <w:iCs w:val="0"/>
          <w:caps w:val="0"/>
          <w:color w:val="auto"/>
          <w:spacing w:val="0"/>
          <w:sz w:val="24"/>
          <w:szCs w:val="24"/>
          <w:shd w:val="clear" w:fill="FFFFFF"/>
          <w:vertAlign w:val="superscript"/>
          <w:lang w:val="en-US" w:eastAsia="zh-CN"/>
        </w:rPr>
        <w:t>1</w:t>
      </w:r>
      <w:r>
        <w:rPr>
          <w:rFonts w:hint="default" w:ascii="Times New Roman" w:hAnsi="Times New Roman" w:eastAsia="楷体" w:cs="Times New Roman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 xml:space="preserve">, </w:t>
      </w:r>
      <w:r>
        <w:rPr>
          <w:rFonts w:hint="default" w:ascii="Times New Roman" w:hAnsi="Times New Roman" w:eastAsia="楷体" w:cs="Times New Roman"/>
          <w:i w:val="0"/>
          <w:iCs w:val="0"/>
          <w:caps w:val="0"/>
          <w:color w:val="auto"/>
          <w:spacing w:val="0"/>
          <w:sz w:val="24"/>
          <w:szCs w:val="24"/>
          <w:shd w:val="clear" w:fill="FFFFFF"/>
          <w:vertAlign w:val="superscript"/>
          <w:lang w:val="en-US" w:eastAsia="zh-CN"/>
        </w:rPr>
        <w:t xml:space="preserve"> </w:t>
      </w:r>
      <w:r>
        <w:rPr>
          <w:rFonts w:hint="default" w:ascii="Times New Roman" w:hAnsi="Times New Roman" w:eastAsia="楷体" w:cs="Times New Roman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Fan Hongyu</w:t>
      </w:r>
      <w:r>
        <w:rPr>
          <w:rFonts w:hint="default" w:ascii="Times New Roman" w:hAnsi="Times New Roman" w:eastAsia="楷体" w:cs="Times New Roman"/>
          <w:i w:val="0"/>
          <w:iCs w:val="0"/>
          <w:caps w:val="0"/>
          <w:color w:val="auto"/>
          <w:spacing w:val="0"/>
          <w:sz w:val="24"/>
          <w:szCs w:val="24"/>
          <w:shd w:val="clear" w:fill="FFFFFF"/>
          <w:vertAlign w:val="superscript"/>
          <w:lang w:val="en-US" w:eastAsia="zh-CN"/>
        </w:rPr>
        <w:t>1</w:t>
      </w:r>
    </w:p>
    <w:p w14:paraId="3B926B5F">
      <w:pPr>
        <w:jc w:val="both"/>
        <w:rPr>
          <w:rFonts w:hint="default" w:ascii="Times New Roman" w:hAnsi="Times New Roman" w:eastAsia="楷体" w:cs="Times New Roman"/>
          <w:i w:val="0"/>
          <w:iCs w:val="0"/>
          <w:caps w:val="0"/>
          <w:color w:val="auto"/>
          <w:spacing w:val="0"/>
          <w:sz w:val="14"/>
          <w:szCs w:val="14"/>
          <w:shd w:val="clear" w:fill="FFFFFF"/>
        </w:rPr>
      </w:pPr>
      <w:r>
        <w:rPr>
          <w:rFonts w:hint="default" w:ascii="Times New Roman" w:hAnsi="Times New Roman" w:eastAsia="楷体" w:cs="Times New Roman"/>
          <w:i w:val="0"/>
          <w:iCs w:val="0"/>
          <w:caps w:val="0"/>
          <w:color w:val="auto"/>
          <w:spacing w:val="0"/>
          <w:sz w:val="14"/>
          <w:szCs w:val="14"/>
          <w:shd w:val="clear" w:fill="FFFFFF"/>
          <w:vertAlign w:val="superscript"/>
          <w:lang w:val="en-US" w:eastAsia="zh-CN"/>
        </w:rPr>
        <w:t>1</w:t>
      </w:r>
      <w:r>
        <w:rPr>
          <w:rFonts w:hint="default" w:ascii="Times New Roman" w:hAnsi="Times New Roman" w:eastAsia="楷体" w:cs="Times New Roman"/>
          <w:i w:val="0"/>
          <w:iCs w:val="0"/>
          <w:caps w:val="0"/>
          <w:color w:val="auto"/>
          <w:spacing w:val="0"/>
          <w:sz w:val="14"/>
          <w:szCs w:val="14"/>
          <w:shd w:val="clear" w:fill="FFFFFF"/>
        </w:rPr>
        <w:t>TCM Hopital of PuYang, Hematology and Oncology,Puyang, Henan, CN</w:t>
      </w:r>
    </w:p>
    <w:p w14:paraId="025FF707"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eastAsia="MinionPro-Regular" w:cs="Times New Roman"/>
          <w:color w:val="231F20"/>
          <w:kern w:val="0"/>
          <w:sz w:val="14"/>
          <w:szCs w:val="14"/>
          <w:lang w:val="en-US" w:eastAsia="zh-CN" w:bidi="ar"/>
        </w:rPr>
      </w:pPr>
    </w:p>
    <w:p w14:paraId="4C35D146"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cs="Times New Roman"/>
          <w:sz w:val="14"/>
          <w:szCs w:val="14"/>
        </w:rPr>
      </w:pPr>
      <w:r>
        <w:rPr>
          <w:rFonts w:hint="default" w:ascii="Times New Roman" w:hAnsi="Times New Roman" w:eastAsia="MinionPro-Bold" w:cs="Times New Roman"/>
          <w:b/>
          <w:bCs/>
          <w:color w:val="231F20"/>
          <w:kern w:val="0"/>
          <w:sz w:val="14"/>
          <w:szCs w:val="14"/>
          <w:lang w:val="en-US" w:eastAsia="zh-CN" w:bidi="ar"/>
        </w:rPr>
        <w:t xml:space="preserve">Correspondence </w:t>
      </w:r>
    </w:p>
    <w:p w14:paraId="0D59CB95">
      <w:pPr>
        <w:keepNext w:val="0"/>
        <w:keepLines w:val="0"/>
        <w:widowControl/>
        <w:suppressLineNumbers w:val="0"/>
        <w:jc w:val="left"/>
        <w:rPr>
          <w:rFonts w:hint="eastAsia" w:ascii="Times New Roman" w:hAnsi="Times New Roman" w:eastAsia="MinionPro-Regular" w:cs="Times New Roman"/>
          <w:color w:val="231F20"/>
          <w:kern w:val="0"/>
          <w:sz w:val="14"/>
          <w:szCs w:val="14"/>
          <w:lang w:val="en-US" w:eastAsia="zh-CN" w:bidi="ar"/>
        </w:rPr>
      </w:pPr>
      <w:r>
        <w:rPr>
          <w:rFonts w:hint="eastAsia" w:ascii="Times New Roman" w:hAnsi="Times New Roman" w:eastAsia="MinionPro-Regular" w:cs="Times New Roman"/>
          <w:color w:val="231F20"/>
          <w:kern w:val="0"/>
          <w:sz w:val="14"/>
          <w:szCs w:val="14"/>
          <w:lang w:val="en-US" w:eastAsia="zh-CN" w:bidi="ar"/>
        </w:rPr>
        <w:t>Sun Li</w:t>
      </w:r>
      <w:r>
        <w:rPr>
          <w:rFonts w:hint="default" w:ascii="Times New Roman" w:hAnsi="Times New Roman" w:eastAsia="MinionPro-Regular" w:cs="Times New Roman"/>
          <w:color w:val="231F20"/>
          <w:kern w:val="0"/>
          <w:sz w:val="14"/>
          <w:szCs w:val="14"/>
          <w:lang w:val="en-US" w:eastAsia="zh-CN" w:bidi="ar"/>
        </w:rPr>
        <w:t>, Division of</w:t>
      </w:r>
      <w:r>
        <w:rPr>
          <w:rFonts w:hint="eastAsia" w:ascii="Times New Roman" w:hAnsi="Times New Roman" w:eastAsia="MinionPro-Regular" w:cs="Times New Roman"/>
          <w:color w:val="231F20"/>
          <w:kern w:val="0"/>
          <w:sz w:val="14"/>
          <w:szCs w:val="14"/>
          <w:lang w:val="en-US" w:eastAsia="zh-CN" w:bidi="ar"/>
        </w:rPr>
        <w:t xml:space="preserve"> </w:t>
      </w:r>
      <w:r>
        <w:rPr>
          <w:rFonts w:hint="default" w:ascii="Times New Roman" w:hAnsi="Times New Roman" w:eastAsia="MinionPro-Regular" w:cs="Times New Roman"/>
          <w:color w:val="231F20"/>
          <w:kern w:val="0"/>
          <w:sz w:val="14"/>
          <w:szCs w:val="14"/>
          <w:lang w:val="en-US" w:eastAsia="zh-CN" w:bidi="ar"/>
        </w:rPr>
        <w:t>Hematology and Oncology, TCM Hopital of PuYang, Puyang, Henan, CN</w:t>
      </w:r>
      <w:r>
        <w:rPr>
          <w:rFonts w:hint="eastAsia" w:ascii="Times New Roman" w:hAnsi="Times New Roman" w:eastAsia="MinionPro-Regular" w:cs="Times New Roman"/>
          <w:color w:val="231F20"/>
          <w:kern w:val="0"/>
          <w:sz w:val="14"/>
          <w:szCs w:val="14"/>
          <w:lang w:val="en-US" w:eastAsia="zh-CN" w:bidi="ar"/>
        </w:rPr>
        <w:t>.</w:t>
      </w:r>
    </w:p>
    <w:p w14:paraId="08EC678F"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cs="Times New Roman"/>
          <w:sz w:val="14"/>
          <w:szCs w:val="14"/>
          <w:lang w:val="en-US"/>
        </w:rPr>
      </w:pPr>
      <w:r>
        <w:rPr>
          <w:rFonts w:hint="default" w:ascii="Times New Roman" w:hAnsi="Times New Roman" w:eastAsia="MinionPro-Regular" w:cs="Times New Roman"/>
          <w:color w:val="231F20"/>
          <w:kern w:val="0"/>
          <w:sz w:val="14"/>
          <w:szCs w:val="14"/>
          <w:lang w:val="en-US" w:eastAsia="zh-CN" w:bidi="ar"/>
        </w:rPr>
        <w:t xml:space="preserve">Email: </w:t>
      </w:r>
      <w:r>
        <w:rPr>
          <w:rFonts w:hint="eastAsia" w:ascii="Times New Roman" w:hAnsi="Times New Roman" w:eastAsia="MinionPro-Regular" w:cs="Times New Roman"/>
          <w:color w:val="0000FF"/>
          <w:kern w:val="0"/>
          <w:sz w:val="14"/>
          <w:szCs w:val="14"/>
          <w:lang w:val="en-US" w:eastAsia="zh-CN" w:bidi="ar"/>
        </w:rPr>
        <w:t>hkfeihong@sina.com</w:t>
      </w:r>
    </w:p>
    <w:p w14:paraId="29B86EA0">
      <w:pPr>
        <w:jc w:val="center"/>
        <w:rPr>
          <w:rFonts w:hint="eastAsia" w:ascii="Arial" w:hAnsi="Arial" w:eastAsia="宋体" w:cs="Arial"/>
          <w:i w:val="0"/>
          <w:iCs w:val="0"/>
          <w:caps w:val="0"/>
          <w:color w:val="606060"/>
          <w:spacing w:val="0"/>
          <w:sz w:val="21"/>
          <w:szCs w:val="21"/>
          <w:shd w:val="clear" w:fill="FFFFFF"/>
          <w:lang w:val="en-US" w:eastAsia="zh-CN"/>
        </w:rPr>
      </w:pPr>
    </w:p>
    <w:p w14:paraId="4EF9A88C"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cs="Times New Roman"/>
          <w:sz w:val="14"/>
          <w:szCs w:val="14"/>
        </w:rPr>
      </w:pPr>
      <w:r>
        <w:rPr>
          <w:rFonts w:hint="default" w:ascii="Times New Roman" w:hAnsi="Times New Roman" w:eastAsia="MinionPro-Bold" w:cs="Times New Roman"/>
          <w:b/>
          <w:bCs/>
          <w:color w:val="231F20"/>
          <w:kern w:val="0"/>
          <w:sz w:val="14"/>
          <w:szCs w:val="14"/>
          <w:lang w:val="en-US" w:eastAsia="zh-CN" w:bidi="ar"/>
        </w:rPr>
        <w:t xml:space="preserve">KEYWORDS </w:t>
      </w:r>
    </w:p>
    <w:p w14:paraId="43A2271A"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eastAsia="MinionPro-Regular" w:cs="Times New Roman"/>
          <w:color w:val="231F20"/>
          <w:kern w:val="0"/>
          <w:sz w:val="14"/>
          <w:szCs w:val="14"/>
          <w:lang w:val="en-US" w:eastAsia="zh-CN" w:bidi="ar"/>
        </w:rPr>
      </w:pPr>
      <w:r>
        <w:rPr>
          <w:rFonts w:hint="eastAsia" w:ascii="Times New Roman" w:hAnsi="Times New Roman" w:eastAsia="MinionPro-Regular" w:cs="Times New Roman"/>
          <w:color w:val="231F20"/>
          <w:kern w:val="0"/>
          <w:sz w:val="14"/>
          <w:szCs w:val="14"/>
          <w:lang w:val="en-US" w:eastAsia="zh-CN" w:bidi="ar"/>
        </w:rPr>
        <w:t>Non-hodgkin-s lymphoma</w:t>
      </w:r>
      <w:r>
        <w:rPr>
          <w:rFonts w:hint="default" w:ascii="Times New Roman" w:hAnsi="Times New Roman" w:eastAsia="MinionPro-Regular" w:cs="Times New Roman"/>
          <w:color w:val="231F20"/>
          <w:kern w:val="0"/>
          <w:sz w:val="14"/>
          <w:szCs w:val="14"/>
          <w:lang w:val="en-US" w:eastAsia="zh-CN" w:bidi="ar"/>
        </w:rPr>
        <w:t>,</w:t>
      </w:r>
      <w:r>
        <w:rPr>
          <w:rFonts w:hint="eastAsia" w:ascii="Times New Roman" w:hAnsi="Times New Roman" w:eastAsia="MinionPro-Regular" w:cs="Times New Roman"/>
          <w:color w:val="231F20"/>
          <w:kern w:val="0"/>
          <w:sz w:val="14"/>
          <w:szCs w:val="14"/>
          <w:lang w:val="en-US" w:eastAsia="zh-CN" w:bidi="ar"/>
        </w:rPr>
        <w:t>lung cancer,</w:t>
      </w:r>
      <w:r>
        <w:rPr>
          <w:rFonts w:hint="default" w:ascii="Times New Roman" w:hAnsi="Times New Roman" w:eastAsia="MinionPro-Regular" w:cs="Times New Roman"/>
          <w:color w:val="231F20"/>
          <w:kern w:val="0"/>
          <w:sz w:val="14"/>
          <w:szCs w:val="14"/>
          <w:lang w:val="en-US" w:eastAsia="zh-CN" w:bidi="ar"/>
        </w:rPr>
        <w:t xml:space="preserve"> lung needle biopsy</w:t>
      </w:r>
      <w:r>
        <w:rPr>
          <w:rFonts w:hint="eastAsia" w:ascii="Times New Roman" w:hAnsi="Times New Roman" w:eastAsia="MinionPro-Regular" w:cs="Times New Roman"/>
          <w:color w:val="231F20"/>
          <w:kern w:val="0"/>
          <w:sz w:val="14"/>
          <w:szCs w:val="14"/>
          <w:lang w:val="en-US" w:eastAsia="zh-CN" w:bidi="ar"/>
        </w:rPr>
        <w:t>,complete remission</w:t>
      </w:r>
      <w:r>
        <w:rPr>
          <w:rFonts w:hint="default" w:ascii="Times New Roman" w:hAnsi="Times New Roman" w:eastAsia="MinionPro-Regular" w:cs="Times New Roman"/>
          <w:color w:val="231F20"/>
          <w:kern w:val="0"/>
          <w:sz w:val="14"/>
          <w:szCs w:val="14"/>
          <w:lang w:val="en-US" w:eastAsia="zh-CN" w:bidi="ar"/>
        </w:rPr>
        <w:t xml:space="preserve">,CT </w:t>
      </w:r>
      <w:r>
        <w:rPr>
          <w:rFonts w:hint="eastAsia" w:ascii="Times New Roman" w:hAnsi="Times New Roman" w:eastAsia="MinionPro-Regular" w:cs="Times New Roman"/>
          <w:color w:val="231F20"/>
          <w:kern w:val="0"/>
          <w:sz w:val="14"/>
          <w:szCs w:val="14"/>
          <w:lang w:val="en-US" w:eastAsia="zh-CN" w:bidi="ar"/>
        </w:rPr>
        <w:t>scan</w:t>
      </w:r>
    </w:p>
    <w:p w14:paraId="6CF42D71">
      <w:pPr>
        <w:jc w:val="left"/>
        <w:rPr>
          <w:rFonts w:hint="eastAsia" w:ascii="Arial" w:hAnsi="Arial" w:eastAsia="宋体" w:cs="Arial"/>
          <w:i w:val="0"/>
          <w:iCs w:val="0"/>
          <w:caps w:val="0"/>
          <w:color w:val="606060"/>
          <w:spacing w:val="0"/>
          <w:sz w:val="21"/>
          <w:szCs w:val="21"/>
          <w:shd w:val="clear" w:fill="FFFFFF"/>
          <w:lang w:val="en-US" w:eastAsia="zh-CN"/>
        </w:rPr>
      </w:pPr>
    </w:p>
    <w:p w14:paraId="24DC597F">
      <w:pPr>
        <w:jc w:val="left"/>
        <w:rPr>
          <w:rFonts w:hint="eastAsia" w:ascii="Arial" w:hAnsi="Arial" w:eastAsia="宋体" w:cs="Arial"/>
          <w:b/>
          <w:bCs/>
          <w:i w:val="0"/>
          <w:iCs w:val="0"/>
          <w:caps w:val="0"/>
          <w:color w:val="606060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Verdana" w:hAnsi="Verdana" w:eastAsia="宋体" w:cs="Verdana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 xml:space="preserve">Key </w:t>
      </w:r>
      <w:r>
        <w:rPr>
          <w:rFonts w:hint="eastAsia" w:ascii="Verdana" w:hAnsi="Verdana" w:eastAsia="宋体" w:cs="Verdana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>C</w:t>
      </w:r>
      <w:r>
        <w:rPr>
          <w:rFonts w:hint="eastAsia" w:ascii="Verdana" w:hAnsi="Verdana" w:eastAsia="宋体" w:cs="Verdana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 xml:space="preserve">linical </w:t>
      </w:r>
      <w:r>
        <w:rPr>
          <w:rFonts w:hint="eastAsia" w:ascii="Verdana" w:hAnsi="Verdana" w:eastAsia="宋体" w:cs="Verdana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>M</w:t>
      </w:r>
      <w:r>
        <w:rPr>
          <w:rFonts w:hint="eastAsia" w:ascii="Verdana" w:hAnsi="Verdana" w:eastAsia="宋体" w:cs="Verdana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essage</w:t>
      </w:r>
    </w:p>
    <w:p w14:paraId="7921E9EB">
      <w:pPr>
        <w:rPr>
          <w:rFonts w:hint="default" w:ascii="Times New Roman" w:hAnsi="Times New Roman" w:cs="Times New Roman"/>
          <w:sz w:val="20"/>
          <w:szCs w:val="20"/>
          <w:lang w:val="en-US" w:eastAsia="zh-CN"/>
        </w:rPr>
      </w:pPr>
      <w:r>
        <w:rPr>
          <w:rFonts w:hint="eastAsia" w:ascii="Times New Roman" w:hAnsi="Times New Roman" w:cs="Times New Roman"/>
          <w:sz w:val="20"/>
          <w:szCs w:val="20"/>
          <w:lang w:val="en-US" w:eastAsia="zh-CN"/>
        </w:rPr>
        <w:t xml:space="preserve">Spontaneous remission (SR) of cancer is a rare biological event. Infection, biopsy procedures, and tumor microenvironment may be potential mechanisms for SR. Presenting a rare case of spontaneous remission of </w:t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t>primary pulmonary non-Hodgkin's lymphoma</w:t>
      </w:r>
      <w:r>
        <w:rPr>
          <w:rFonts w:hint="eastAsia" w:ascii="Times New Roman" w:hAnsi="Times New Roman" w:cs="Times New Roman"/>
          <w:sz w:val="20"/>
          <w:szCs w:val="20"/>
          <w:lang w:val="en-US" w:eastAsia="zh-CN"/>
        </w:rPr>
        <w:t>.</w:t>
      </w:r>
      <w:bookmarkStart w:id="0" w:name="_GoBack"/>
      <w:bookmarkEnd w:id="0"/>
    </w:p>
    <w:p w14:paraId="13716210">
      <w:pPr>
        <w:rPr>
          <w:rFonts w:hint="default" w:ascii="Times New Roman" w:hAnsi="Times New Roman" w:cs="Times New Roman"/>
          <w:sz w:val="20"/>
          <w:szCs w:val="20"/>
          <w:lang w:val="en-US" w:eastAsia="zh-CN"/>
        </w:rPr>
      </w:pPr>
    </w:p>
    <w:p w14:paraId="39244AD8">
      <w:pPr>
        <w:jc w:val="left"/>
        <w:rPr>
          <w:rFonts w:hint="eastAsia" w:ascii="Verdana" w:hAnsi="Verdana" w:eastAsia="宋体" w:cs="Verdana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Verdana" w:hAnsi="Verdana" w:eastAsia="宋体" w:cs="Verdana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>Abstract</w:t>
      </w:r>
    </w:p>
    <w:p w14:paraId="0D4F94A8">
      <w:pPr>
        <w:rPr>
          <w:rFonts w:hint="default" w:ascii="Times New Roman" w:hAnsi="Times New Roman" w:cs="Times New Roman"/>
          <w:sz w:val="20"/>
          <w:szCs w:val="20"/>
          <w:lang w:val="en-US" w:eastAsia="zh-CN"/>
        </w:rPr>
      </w:pP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t>A 72-year-old male</w:t>
      </w:r>
      <w:r>
        <w:rPr>
          <w:rFonts w:hint="eastAsia" w:ascii="Times New Roman" w:hAnsi="Times New Roman" w:cs="Times New Roman"/>
          <w:sz w:val="20"/>
          <w:szCs w:val="20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t>with a lung lesion who was diagnosed with non-Hodgkin's lymphoma through percutaneous needle lung biopsy. The patient's lung tumor disappeared during follow-up four months later without any standard antitumor treatments. This is a rare case of spontaneous tumor remission.</w:t>
      </w:r>
    </w:p>
    <w:p w14:paraId="711F72F1">
      <w:pPr>
        <w:rPr>
          <w:rFonts w:hint="eastAsia" w:ascii="Times New Roman" w:hAnsi="Times New Roman" w:cs="Times New Roman"/>
          <w:sz w:val="20"/>
          <w:szCs w:val="20"/>
          <w:lang w:val="en-US" w:eastAsia="zh-CN"/>
        </w:rPr>
      </w:pPr>
    </w:p>
    <w:p w14:paraId="4E81BD29">
      <w:pPr>
        <w:pStyle w:val="3"/>
        <w:keepNext w:val="0"/>
        <w:keepLines w:val="0"/>
        <w:widowControl/>
        <w:suppressLineNumbers w:val="0"/>
        <w:shd w:val="clear" w:fill="FFFFFF"/>
        <w:spacing w:after="180" w:afterAutospacing="0" w:line="18" w:lineRule="atLeast"/>
        <w:ind w:left="0" w:firstLine="0"/>
        <w:rPr>
          <w:rFonts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</w:rPr>
      </w:pPr>
      <w:r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</w:rPr>
        <w:t>1 CASE PRESENTATION</w:t>
      </w:r>
    </w:p>
    <w:p w14:paraId="7F0C859E">
      <w:pP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A 72-year-old male had abnormal CEA and CA19-9 levels for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7 years, with annual gastroscopies showing no malignant lesions. Additionally, he had a 3-year history of chronic obstructive pulmonary disease (COPD) and idiopathic pulmonary fibrosis (IPF), managed conservatively due to mild symptoms. In 2023, his wheezing worsened from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a COVID-19 infection. On June 20, 2023, a PET-CT scan revealed increased metabolic activity in a mixed ground glass density nodule in the right lower lobe(SUVmax≈ 4.8; size ≈ 2.0 × 2.2 cm), indicating a malignant lung tumor. Due to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surgical treatment intolerance, conservative management with traditional Chinese medicine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(TCM)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was chosen. Oral pirfenidone began July 27th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but changed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nidanib in October due to unsatisfactory symptom improvement. 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A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CT-guided percutaneous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lung lesion biopsy was performed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on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Nov. 23, revealing non-Hodgkin's lymphoma derived from B cells. Immunohistochemical results showed: CK (AE1/AE3) (-), CK5/6 (-), TTF-1 (+), CD3 (reactive T cells+), CD5 (reactive T cells+), CD20 (L26) (diffuse+), CD79a (diffuse+), CD21 (FDC+), CD23 (FDC+), Ki67 (MIB-1) (40%+), CD138 (+), CD38 (+), lgG (+), lgG4 (-). In situ hybridization revealed EBER (-). Genetic testing detected clonal gene rearrangements of IGH and IGK, but not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TCRG, TCRD, or TCRB. On March 21, 2024, he returned to our department for a chest CT due to worsening dyspnea. Surprisingly, the CT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showed the tumor had disappeared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(see </w:t>
      </w:r>
      <w:r>
        <w:rPr>
          <w:rFonts w:hint="eastAsia" w:ascii="Segoe UI" w:hAnsi="Segoe UI" w:eastAsia="Segoe UI" w:cs="Segoe UI"/>
          <w:b/>
          <w:bCs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Fig.1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).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Two months later, the patient accidentally fell and fractured the rib cage. Chest CT was rechecked, and no tumor recurrence was found.</w:t>
      </w:r>
    </w:p>
    <w:p w14:paraId="78F4633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00" w:firstLineChars="200"/>
        <w:jc w:val="left"/>
        <w:textAlignment w:val="auto"/>
        <w:rPr>
          <w:rFonts w:hint="default" w:ascii="Times New Roman" w:hAnsi="Times New Roman" w:cs="Times New Roman"/>
          <w:sz w:val="20"/>
          <w:szCs w:val="20"/>
          <w:lang w:val="en-US" w:eastAsia="zh-CN"/>
        </w:rPr>
      </w:pP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79"/>
        <w:gridCol w:w="7943"/>
      </w:tblGrid>
      <w:tr w14:paraId="79FD0B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79" w:type="dxa"/>
            <w:vAlign w:val="center"/>
          </w:tcPr>
          <w:p w14:paraId="3F44C79F"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a</w:t>
            </w:r>
          </w:p>
        </w:tc>
        <w:tc>
          <w:tcPr>
            <w:tcW w:w="7943" w:type="dxa"/>
          </w:tcPr>
          <w:p w14:paraId="32CCE831">
            <w:pPr>
              <w:rPr>
                <w:vertAlign w:val="baseline"/>
              </w:rPr>
            </w:pPr>
            <w:r>
              <w:rPr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2983865</wp:posOffset>
                      </wp:positionH>
                      <wp:positionV relativeFrom="paragraph">
                        <wp:posOffset>1379220</wp:posOffset>
                      </wp:positionV>
                      <wp:extent cx="135255" cy="127000"/>
                      <wp:effectExtent l="4445" t="0" r="12700" b="6350"/>
                      <wp:wrapNone/>
                      <wp:docPr id="9" name="直接箭头连接符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35255" cy="1270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rgbClr val="FFFFFF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flip:y;margin-left:234.95pt;margin-top:108.6pt;height:10pt;width:10.65pt;z-index:251660288;mso-width-relative:page;mso-height-relative:page;" filled="f" stroked="t" coordsize="21600,21600" o:gfxdata="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BFXwzTYAAAACwEAAA8AAAAAAAAAAQAg&#10;AAAAIgAAAGRycy9kb3ducmV2LnhtbFBLAQIUABQAAAAIAIdO4kALt0pFDgIAAO0DAAAOAAAAAAAA&#10;AAEAIAAAACcBAABkcnMvZTJvRG9jLnhtbFBLBQYAAAAABgAGAFkBAACnBQAAAAA=&#10;">
                      <v:fill on="f" focussize="0,0"/>
                      <v:stroke weight="1pt" color="#FF0000 [3204]" miterlimit="8" joinstyle="miter" endarrow="open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602615</wp:posOffset>
                      </wp:positionH>
                      <wp:positionV relativeFrom="paragraph">
                        <wp:posOffset>1415415</wp:posOffset>
                      </wp:positionV>
                      <wp:extent cx="135255" cy="127000"/>
                      <wp:effectExtent l="4445" t="0" r="12700" b="6350"/>
                      <wp:wrapNone/>
                      <wp:docPr id="7" name="直接箭头连接符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2065655" y="2336165"/>
                                <a:ext cx="135255" cy="1270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rgbClr val="FFFFFF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flip:y;margin-left:47.45pt;margin-top:111.45pt;height:10pt;width:10.65pt;z-index:251659264;mso-width-relative:page;mso-height-relative:page;" filled="f" stroked="t" coordsize="21600,21600" o:gfxdata="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Jyh1d9YAAAAKAQAA&#10;DwAAAAAAAAABACAAAAAiAAAAZHJzL2Rvd25yZXYueG1sUEsBAhQAFAAAAAgAh07iQGmamRsbAgAA&#10;+QMAAA4AAAAAAAAAAQAgAAAAJQEAAGRycy9lMm9Eb2MueG1sUEsFBgAAAAAGAAYAWQEAALIFAAAA&#10;AA==&#10;">
                      <v:fill on="f" focussize="0,0"/>
                      <v:stroke weight="1pt" color="#FF0000 [3204]" miterlimit="8" joinstyle="miter" endarrow="open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drawing>
                <wp:inline distT="0" distB="0" distL="114300" distR="114300">
                  <wp:extent cx="2292985" cy="1881505"/>
                  <wp:effectExtent l="0" t="0" r="12065" b="444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2985" cy="1881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2340610" cy="1869440"/>
                  <wp:effectExtent l="0" t="0" r="2540" b="1651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0610" cy="1869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41318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79" w:type="dxa"/>
            <w:vAlign w:val="center"/>
          </w:tcPr>
          <w:p w14:paraId="1CBB8AC2"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b</w:t>
            </w:r>
          </w:p>
        </w:tc>
        <w:tc>
          <w:tcPr>
            <w:tcW w:w="7943" w:type="dxa"/>
          </w:tcPr>
          <w:p w14:paraId="6C536761">
            <w:pPr>
              <w:rPr>
                <w:vertAlign w:val="baseline"/>
              </w:rPr>
            </w:pPr>
            <w:r>
              <w:drawing>
                <wp:inline distT="0" distB="0" distL="114300" distR="114300">
                  <wp:extent cx="2279650" cy="1918970"/>
                  <wp:effectExtent l="0" t="0" r="6350" b="508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9650" cy="1918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2370455" cy="1923415"/>
                  <wp:effectExtent l="0" t="0" r="10795" b="635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0455" cy="1923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D4D26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79" w:type="dxa"/>
            <w:vAlign w:val="center"/>
          </w:tcPr>
          <w:p w14:paraId="716C4477">
            <w:p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c</w:t>
            </w:r>
          </w:p>
        </w:tc>
        <w:tc>
          <w:tcPr>
            <w:tcW w:w="7943" w:type="dxa"/>
          </w:tcPr>
          <w:p w14:paraId="1FF0D531">
            <w:r>
              <w:drawing>
                <wp:inline distT="0" distB="0" distL="114300" distR="114300">
                  <wp:extent cx="2286635" cy="1770380"/>
                  <wp:effectExtent l="0" t="0" r="18415" b="1270"/>
                  <wp:docPr id="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635" cy="1770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2369820" cy="1749425"/>
                  <wp:effectExtent l="0" t="0" r="0" b="0"/>
                  <wp:docPr id="6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l="43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9820" cy="1749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D092811"/>
    <w:p w14:paraId="707F1A4A"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bidi w:val="0"/>
        <w:spacing w:before="0" w:beforeAutospacing="0" w:after="0" w:afterAutospacing="0"/>
        <w:ind w:left="0" w:right="0" w:firstLine="0"/>
        <w:jc w:val="left"/>
        <w:rPr>
          <w:rFonts w:hint="default" w:ascii="Times New Roman" w:hAnsi="Times New Roman" w:cs="Times New Roman"/>
          <w:sz w:val="15"/>
          <w:szCs w:val="15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15"/>
          <w:szCs w:val="15"/>
          <w:lang w:val="en-US" w:eastAsia="zh-CN"/>
        </w:rPr>
        <w:t>Fig.1.Changes in</w:t>
      </w:r>
      <w:r>
        <w:rPr>
          <w:rFonts w:hint="default" w:ascii="Times New Roman" w:hAnsi="Times New Roman" w:cs="Times New Roman"/>
          <w:b/>
          <w:bCs/>
          <w:sz w:val="15"/>
          <w:szCs w:val="15"/>
          <w:lang w:val="en-US" w:eastAsia="zh-CN"/>
        </w:rPr>
        <w:t> </w:t>
      </w:r>
      <w:r>
        <w:rPr>
          <w:rFonts w:hint="eastAsia" w:ascii="Times New Roman" w:hAnsi="Times New Roman" w:cs="Times New Roman"/>
          <w:b/>
          <w:bCs/>
          <w:sz w:val="15"/>
          <w:szCs w:val="15"/>
          <w:lang w:val="en-US" w:eastAsia="zh-CN"/>
        </w:rPr>
        <w:t>l</w:t>
      </w:r>
      <w:r>
        <w:rPr>
          <w:rFonts w:hint="default" w:ascii="Times New Roman" w:hAnsi="Times New Roman" w:cs="Times New Roman"/>
          <w:b/>
          <w:bCs/>
          <w:sz w:val="15"/>
          <w:szCs w:val="15"/>
          <w:lang w:val="en-US" w:eastAsia="zh-CN"/>
        </w:rPr>
        <w:t>esions on </w:t>
      </w:r>
      <w:r>
        <w:rPr>
          <w:rFonts w:hint="eastAsia" w:ascii="Times New Roman" w:hAnsi="Times New Roman" w:cs="Times New Roman"/>
          <w:b/>
          <w:bCs/>
          <w:sz w:val="15"/>
          <w:szCs w:val="15"/>
          <w:lang w:val="en-US" w:eastAsia="zh-CN"/>
        </w:rPr>
        <w:t>c</w:t>
      </w:r>
      <w:r>
        <w:rPr>
          <w:rFonts w:hint="default" w:ascii="Times New Roman" w:hAnsi="Times New Roman" w:cs="Times New Roman"/>
          <w:b/>
          <w:bCs/>
          <w:sz w:val="15"/>
          <w:szCs w:val="15"/>
          <w:lang w:val="en-US" w:eastAsia="zh-CN"/>
        </w:rPr>
        <w:t>hest CT </w:t>
      </w:r>
      <w:r>
        <w:rPr>
          <w:rFonts w:hint="eastAsia" w:ascii="Times New Roman" w:hAnsi="Times New Roman" w:cs="Times New Roman"/>
          <w:b/>
          <w:bCs/>
          <w:sz w:val="15"/>
          <w:szCs w:val="15"/>
          <w:lang w:val="en-US" w:eastAsia="zh-CN"/>
        </w:rPr>
        <w:t>b</w:t>
      </w:r>
      <w:r>
        <w:rPr>
          <w:rFonts w:hint="default" w:ascii="Times New Roman" w:hAnsi="Times New Roman" w:cs="Times New Roman"/>
          <w:b/>
          <w:bCs/>
          <w:sz w:val="15"/>
          <w:szCs w:val="15"/>
          <w:lang w:val="en-US" w:eastAsia="zh-CN"/>
        </w:rPr>
        <w:t>efore and </w:t>
      </w:r>
      <w:r>
        <w:rPr>
          <w:rFonts w:hint="eastAsia" w:ascii="Times New Roman" w:hAnsi="Times New Roman" w:cs="Times New Roman"/>
          <w:b/>
          <w:bCs/>
          <w:sz w:val="15"/>
          <w:szCs w:val="15"/>
          <w:lang w:val="en-US" w:eastAsia="zh-CN"/>
        </w:rPr>
        <w:t>a</w:t>
      </w:r>
      <w:r>
        <w:rPr>
          <w:rFonts w:hint="default" w:ascii="Times New Roman" w:hAnsi="Times New Roman" w:cs="Times New Roman"/>
          <w:b/>
          <w:bCs/>
          <w:sz w:val="15"/>
          <w:szCs w:val="15"/>
          <w:lang w:val="en-US" w:eastAsia="zh-CN"/>
        </w:rPr>
        <w:t>fter</w:t>
      </w:r>
      <w:r>
        <w:rPr>
          <w:rFonts w:hint="eastAsia" w:ascii="Times New Roman" w:hAnsi="Times New Roman" w:cs="Times New Roman"/>
          <w:b/>
          <w:bCs/>
          <w:sz w:val="15"/>
          <w:szCs w:val="15"/>
          <w:lang w:val="en-US" w:eastAsia="zh-CN"/>
        </w:rPr>
        <w:t xml:space="preserve"> b</w:t>
      </w:r>
      <w:r>
        <w:rPr>
          <w:rFonts w:hint="default" w:ascii="Times New Roman" w:hAnsi="Times New Roman" w:cs="Times New Roman"/>
          <w:b/>
          <w:bCs/>
          <w:sz w:val="15"/>
          <w:szCs w:val="15"/>
          <w:lang w:val="en-US" w:eastAsia="zh-CN"/>
        </w:rPr>
        <w:t>iopsy</w:t>
      </w:r>
      <w:r>
        <w:rPr>
          <w:rFonts w:hint="eastAsia" w:ascii="Times New Roman" w:hAnsi="Times New Roman" w:cs="Times New Roman"/>
          <w:b/>
          <w:bCs/>
          <w:sz w:val="15"/>
          <w:szCs w:val="15"/>
          <w:lang w:val="en-US" w:eastAsia="zh-CN"/>
        </w:rPr>
        <w:t>.</w:t>
      </w:r>
      <w:r>
        <w:rPr>
          <w:rFonts w:hint="eastAsia" w:ascii="Times New Roman" w:hAnsi="Times New Roman" w:cs="Times New Roman"/>
          <w:sz w:val="15"/>
          <w:szCs w:val="15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b/>
          <w:bCs/>
          <w:sz w:val="15"/>
          <w:szCs w:val="15"/>
          <w:lang w:val="en-US" w:eastAsia="zh-CN"/>
        </w:rPr>
        <w:t>a</w:t>
      </w:r>
      <w:r>
        <w:rPr>
          <w:rFonts w:hint="eastAsia" w:ascii="Times New Roman" w:hAnsi="Times New Roman" w:cs="Times New Roman"/>
          <w:sz w:val="15"/>
          <w:szCs w:val="15"/>
          <w:lang w:val="en-US" w:eastAsia="zh-CN"/>
        </w:rPr>
        <w:t xml:space="preserve">.Before biopsy. Nodular lesion in the lower right lung (se303 im251), with a length of approximately 25x26mm, </w:t>
      </w:r>
      <w:r>
        <w:rPr>
          <w:rFonts w:hint="default" w:ascii="Times New Roman" w:hAnsi="Times New Roman" w:cs="Times New Roman"/>
          <w:sz w:val="15"/>
          <w:szCs w:val="15"/>
          <w:lang w:val="en-US" w:eastAsia="zh-CN"/>
        </w:rPr>
        <w:t>on</w:t>
      </w:r>
      <w:r>
        <w:rPr>
          <w:rFonts w:hint="eastAsia" w:ascii="Times New Roman" w:hAnsi="Times New Roman" w:cs="Times New Roman"/>
          <w:sz w:val="15"/>
          <w:szCs w:val="15"/>
          <w:lang w:val="en-US" w:eastAsia="zh-CN"/>
        </w:rPr>
        <w:t xml:space="preserve"> October 7, 2023 (256 row CT). </w:t>
      </w:r>
      <w:r>
        <w:rPr>
          <w:rFonts w:hint="eastAsia" w:ascii="Times New Roman" w:hAnsi="Times New Roman" w:cs="Times New Roman"/>
          <w:b/>
          <w:bCs/>
          <w:sz w:val="15"/>
          <w:szCs w:val="15"/>
          <w:lang w:val="en-US" w:eastAsia="zh-CN"/>
        </w:rPr>
        <w:t>b</w:t>
      </w:r>
      <w:r>
        <w:rPr>
          <w:rFonts w:hint="eastAsia" w:ascii="Times New Roman" w:hAnsi="Times New Roman" w:cs="Times New Roman"/>
          <w:sz w:val="15"/>
          <w:szCs w:val="15"/>
          <w:lang w:val="en-US" w:eastAsia="zh-CN"/>
        </w:rPr>
        <w:t xml:space="preserve">.Four months after biopsy. No visible nodule in the lower right lung, </w:t>
      </w:r>
      <w:r>
        <w:rPr>
          <w:rFonts w:hint="default" w:ascii="Times New Roman" w:hAnsi="Times New Roman" w:cs="Times New Roman"/>
          <w:sz w:val="15"/>
          <w:szCs w:val="15"/>
          <w:lang w:val="en-US" w:eastAsia="zh-CN"/>
        </w:rPr>
        <w:t>on</w:t>
      </w:r>
      <w:r>
        <w:rPr>
          <w:rFonts w:hint="eastAsia" w:ascii="Times New Roman" w:hAnsi="Times New Roman" w:cs="Times New Roman"/>
          <w:sz w:val="15"/>
          <w:szCs w:val="15"/>
          <w:lang w:val="en-US" w:eastAsia="zh-CN"/>
        </w:rPr>
        <w:t xml:space="preserve"> March 21, 2024 (16 row CT). </w:t>
      </w:r>
      <w:r>
        <w:rPr>
          <w:rFonts w:hint="eastAsia" w:ascii="Times New Roman" w:hAnsi="Times New Roman" w:cs="Times New Roman"/>
          <w:b/>
          <w:bCs/>
          <w:sz w:val="15"/>
          <w:szCs w:val="15"/>
          <w:lang w:val="en-US" w:eastAsia="zh-CN"/>
        </w:rPr>
        <w:t>c</w:t>
      </w:r>
      <w:r>
        <w:rPr>
          <w:rFonts w:hint="eastAsia" w:ascii="Times New Roman" w:hAnsi="Times New Roman" w:cs="Times New Roman"/>
          <w:sz w:val="15"/>
          <w:szCs w:val="15"/>
          <w:lang w:val="en-US" w:eastAsia="zh-CN"/>
        </w:rPr>
        <w:t>.</w:t>
      </w:r>
      <w:r>
        <w:rPr>
          <w:rFonts w:hint="default" w:ascii="Times New Roman" w:hAnsi="Times New Roman" w:cs="Times New Roman" w:eastAsiaTheme="minorEastAsia"/>
          <w:kern w:val="2"/>
          <w:sz w:val="15"/>
          <w:szCs w:val="15"/>
          <w:lang w:val="en-US" w:eastAsia="zh-CN" w:bidi="ar-SA"/>
        </w:rPr>
        <w:t>Follow up for another 2 months</w:t>
      </w:r>
      <w:r>
        <w:rPr>
          <w:rFonts w:hint="eastAsia" w:ascii="Times New Roman" w:hAnsi="Times New Roman" w:cs="Times New Roman"/>
          <w:sz w:val="15"/>
          <w:szCs w:val="15"/>
          <w:lang w:val="en-US" w:eastAsia="zh-CN"/>
        </w:rPr>
        <w:t>. No recurrence</w:t>
      </w:r>
      <w:r>
        <w:rPr>
          <w:rFonts w:hint="default" w:ascii="Times New Roman" w:hAnsi="Times New Roman" w:cs="Times New Roman"/>
          <w:sz w:val="15"/>
          <w:szCs w:val="15"/>
          <w:lang w:val="en-US" w:eastAsia="zh-CN"/>
        </w:rPr>
        <w:t> was observed</w:t>
      </w:r>
      <w:r>
        <w:rPr>
          <w:rFonts w:hint="eastAsia" w:ascii="Times New Roman" w:hAnsi="Times New Roman" w:cs="Times New Roman"/>
          <w:sz w:val="15"/>
          <w:szCs w:val="15"/>
          <w:lang w:val="en-US" w:eastAsia="zh-CN"/>
        </w:rPr>
        <w:t xml:space="preserve">, </w:t>
      </w:r>
      <w:r>
        <w:rPr>
          <w:rFonts w:hint="default" w:ascii="Times New Roman" w:hAnsi="Times New Roman" w:cs="Times New Roman"/>
          <w:sz w:val="15"/>
          <w:szCs w:val="15"/>
          <w:lang w:val="en-US" w:eastAsia="zh-CN"/>
        </w:rPr>
        <w:t>on</w:t>
      </w:r>
      <w:r>
        <w:rPr>
          <w:rFonts w:hint="eastAsia" w:ascii="Times New Roman" w:hAnsi="Times New Roman" w:cs="Times New Roman"/>
          <w:sz w:val="15"/>
          <w:szCs w:val="15"/>
          <w:lang w:val="en-US" w:eastAsia="zh-CN"/>
        </w:rPr>
        <w:t xml:space="preserve"> June 12, 2024(256 row CT).</w:t>
      </w:r>
    </w:p>
    <w:p w14:paraId="15A69BA3">
      <w:pPr>
        <w:pStyle w:val="3"/>
        <w:keepNext w:val="0"/>
        <w:keepLines w:val="0"/>
        <w:widowControl/>
        <w:suppressLineNumbers w:val="0"/>
        <w:shd w:val="clear" w:fill="FFFFFF"/>
        <w:spacing w:after="180" w:afterAutospacing="0" w:line="18" w:lineRule="atLeast"/>
        <w:ind w:left="0" w:firstLine="0"/>
        <w:jc w:val="left"/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</w:rPr>
      </w:pPr>
      <w:r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</w:rPr>
        <w:t>2 W</w:t>
      </w:r>
      <w:r>
        <w:rPr>
          <w:rFonts w:hint="eastAsia" w:ascii="Arial" w:hAnsi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  <w:lang w:val="en-US" w:eastAsia="zh-CN"/>
        </w:rPr>
        <w:t>HAT</w:t>
      </w:r>
      <w:r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</w:rPr>
        <w:t xml:space="preserve"> </w:t>
      </w:r>
      <w:r>
        <w:rPr>
          <w:rFonts w:hint="eastAsia" w:ascii="Arial" w:hAnsi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  <w:lang w:val="en-US" w:eastAsia="zh-CN"/>
        </w:rPr>
        <w:t xml:space="preserve">CAUSED THE </w:t>
      </w:r>
      <w:r>
        <w:rPr>
          <w:rFonts w:hint="eastAsia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  <w:lang w:val="en-US" w:eastAsia="zh-CN"/>
        </w:rPr>
        <w:t>SR</w:t>
      </w:r>
      <w:r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</w:rPr>
        <w:t xml:space="preserve"> </w:t>
      </w:r>
      <w:r>
        <w:rPr>
          <w:rFonts w:hint="eastAsia" w:ascii="Arial" w:hAnsi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  <w:lang w:val="en-US" w:eastAsia="zh-CN"/>
        </w:rPr>
        <w:t>OF</w:t>
      </w:r>
      <w:r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</w:rPr>
        <w:t xml:space="preserve"> </w:t>
      </w:r>
      <w:r>
        <w:rPr>
          <w:rFonts w:hint="eastAsia" w:ascii="Arial" w:hAnsi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  <w:lang w:val="en-US" w:eastAsia="zh-CN"/>
        </w:rPr>
        <w:t>THE</w:t>
      </w:r>
      <w:r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</w:rPr>
        <w:t xml:space="preserve"> </w:t>
      </w:r>
      <w:r>
        <w:rPr>
          <w:rFonts w:hint="eastAsia" w:ascii="Arial" w:hAnsi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  <w:lang w:val="en-US" w:eastAsia="zh-CN"/>
        </w:rPr>
        <w:t>TUMOR</w:t>
      </w:r>
      <w:r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</w:rPr>
        <w:t xml:space="preserve"> </w:t>
      </w:r>
      <w:r>
        <w:rPr>
          <w:rFonts w:hint="eastAsia" w:ascii="Arial" w:hAnsi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  <w:lang w:val="en-US" w:eastAsia="zh-CN"/>
        </w:rPr>
        <w:t>IN THIS</w:t>
      </w:r>
      <w:r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</w:rPr>
        <w:t xml:space="preserve"> </w:t>
      </w:r>
      <w:r>
        <w:rPr>
          <w:rFonts w:hint="eastAsia" w:ascii="Arial" w:hAnsi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  <w:lang w:val="en-US" w:eastAsia="zh-CN"/>
        </w:rPr>
        <w:t>CASE</w:t>
      </w:r>
      <w:r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</w:rPr>
        <w:t>?</w:t>
      </w:r>
    </w:p>
    <w:p w14:paraId="1C783AED">
      <w:pPr>
        <w:rPr>
          <w:rFonts w:hint="default"/>
          <w:lang w:val="en-US" w:eastAsia="zh-CN"/>
        </w:rPr>
      </w:pPr>
      <w:r>
        <w:rPr>
          <w:rFonts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</w:rPr>
        <w:t>The biopsy is considered the possible cause.</w:t>
      </w:r>
    </w:p>
    <w:p w14:paraId="689E4007">
      <w:pPr>
        <w:pStyle w:val="3"/>
        <w:keepNext w:val="0"/>
        <w:keepLines w:val="0"/>
        <w:widowControl/>
        <w:suppressLineNumbers w:val="0"/>
        <w:shd w:val="clear" w:fill="FFFFFF"/>
        <w:spacing w:after="180" w:afterAutospacing="0" w:line="18" w:lineRule="atLeast"/>
        <w:ind w:left="0" w:firstLine="0"/>
        <w:rPr>
          <w:rFonts w:hint="eastAsia" w:ascii="Arial" w:hAnsi="Arial" w:eastAsia="Arial" w:cs="Arial"/>
          <w:b/>
          <w:bCs/>
          <w:i w:val="0"/>
          <w:iCs w:val="0"/>
          <w:caps w:val="0"/>
          <w:spacing w:val="0"/>
          <w:kern w:val="0"/>
          <w:sz w:val="39"/>
          <w:szCs w:val="39"/>
          <w:shd w:val="clear" w:fill="FFFFFF"/>
          <w:lang w:val="en-US" w:eastAsia="zh-CN" w:bidi="ar"/>
        </w:rPr>
      </w:pPr>
      <w:r>
        <w:rPr>
          <w:rFonts w:hint="eastAsia" w:ascii="Arial" w:hAnsi="Arial" w:eastAsia="Arial" w:cs="Arial"/>
          <w:b/>
          <w:bCs/>
          <w:i w:val="0"/>
          <w:iCs w:val="0"/>
          <w:caps w:val="0"/>
          <w:spacing w:val="0"/>
          <w:kern w:val="0"/>
          <w:sz w:val="39"/>
          <w:szCs w:val="39"/>
          <w:shd w:val="clear" w:fill="FFFFFF"/>
          <w:lang w:val="en-US" w:eastAsia="zh-CN" w:bidi="ar"/>
        </w:rPr>
        <w:t xml:space="preserve">3 </w:t>
      </w:r>
      <w:r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</w:rPr>
        <w:t>DISCUSSION</w:t>
      </w:r>
    </w:p>
    <w:p w14:paraId="0E7FE7A1">
      <w:pP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Spontaneous remission (SR) of cancer is a rare biological event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proposed in 1956.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Lymphoma is a common SR cancer type.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vertAlign w:val="superscript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Given SR's low incidence, we encountered a more rare case: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primary pulmonary non-Hodgkin's lymphoma comprisesonly 0.4% of all lymphomas.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vertAlign w:val="superscript"/>
          <w:lang w:val="en-US" w:eastAsia="zh-CN"/>
        </w:rPr>
        <w:t>1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SR's intricate mechanisms remain elusive, infection, biopsy procedures, and tumor microenvironment disruptions play vital roles.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vertAlign w:val="superscript"/>
          <w:lang w:val="en-US" w:eastAsia="zh-CN"/>
        </w:rPr>
        <w:t>2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As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in our case, biopsy is easily assumed the main cause of regression. 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There are also some case reports of cancer SR after TCM treatment.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vertAlign w:val="superscript"/>
          <w:lang w:val="en-US" w:eastAsia="zh-CN"/>
        </w:rPr>
        <w:t>3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Although the patients in our case also used Chinese Herbs as alternative treatment, due to limited data, its exact effect cannot be evaluated yet.</w:t>
      </w:r>
    </w:p>
    <w:p w14:paraId="218DC193">
      <w:pP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</w:pPr>
    </w:p>
    <w:p w14:paraId="53A34D98">
      <w:pP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T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he case had a long history of high CEA that significantly declined before biopsy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(see</w:t>
      </w:r>
      <w:r>
        <w:rPr>
          <w:rFonts w:hint="eastAsia" w:ascii="Segoe UI" w:hAnsi="Segoe UI" w:eastAsia="Segoe UI" w:cs="Segoe UI"/>
          <w:b/>
          <w:bCs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Fig.2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)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. If we follow monism, it is difficult to define the relationships between CEA and pulmonary lymphoma, as well as CA19-9, since they are generally believed to have a stronger correlation with digestive system tumors.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However, there are no signs or evidence of other related diseases.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</w:p>
    <w:p w14:paraId="7D9D3624">
      <w:pP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</w:pPr>
    </w:p>
    <w:p w14:paraId="3BFCE57A">
      <w:pP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The duration of remission remains to be observed. Poor lung function (SPO2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=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9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2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%) caused by COPD and IPF significantly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impacts survival unfavorably.</w:t>
      </w:r>
    </w:p>
    <w:p w14:paraId="13436E1D">
      <w:pP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</w:pPr>
    </w:p>
    <w:p w14:paraId="19AF0A8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center"/>
        <w:textAlignment w:val="auto"/>
      </w:pPr>
      <w:r>
        <w:drawing>
          <wp:inline distT="0" distB="0" distL="114300" distR="114300">
            <wp:extent cx="3542030" cy="2426335"/>
            <wp:effectExtent l="0" t="0" r="1270" b="1206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42030" cy="242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B247E0"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bidi w:val="0"/>
        <w:spacing w:before="0" w:beforeAutospacing="0" w:after="0" w:afterAutospacing="0"/>
        <w:ind w:left="0" w:right="0" w:firstLine="0"/>
        <w:jc w:val="left"/>
        <w:rPr>
          <w:rFonts w:hint="default" w:ascii="Times New Roman" w:hAnsi="Times New Roman" w:cs="Times New Roman"/>
          <w:b w:val="0"/>
          <w:bCs w:val="0"/>
          <w:sz w:val="15"/>
          <w:szCs w:val="15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15"/>
          <w:szCs w:val="15"/>
          <w:lang w:val="en-US" w:eastAsia="zh-CN"/>
        </w:rPr>
        <w:t xml:space="preserve">Fig.2.Changes in tumor markers and timing of </w:t>
      </w:r>
      <w:r>
        <w:rPr>
          <w:rFonts w:hint="default" w:ascii="Times New Roman" w:hAnsi="Times New Roman" w:cs="Times New Roman"/>
          <w:b/>
          <w:bCs/>
          <w:sz w:val="15"/>
          <w:szCs w:val="15"/>
          <w:lang w:val="en-US" w:eastAsia="zh-CN"/>
        </w:rPr>
        <w:t>biopsy</w:t>
      </w:r>
      <w:r>
        <w:rPr>
          <w:rFonts w:hint="default" w:ascii="Times New Roman" w:hAnsi="Times New Roman" w:cs="Times New Roman"/>
          <w:b w:val="0"/>
          <w:bCs w:val="0"/>
          <w:sz w:val="15"/>
          <w:szCs w:val="15"/>
          <w:lang w:val="en-US" w:eastAsia="zh-CN"/>
        </w:rPr>
        <w:t>. CEA</w:t>
      </w:r>
      <w:r>
        <w:rPr>
          <w:rFonts w:hint="eastAsia" w:ascii="Times New Roman" w:hAnsi="Times New Roman" w:cs="Times New Roman"/>
          <w:b w:val="0"/>
          <w:bCs w:val="0"/>
          <w:sz w:val="15"/>
          <w:szCs w:val="15"/>
          <w:lang w:val="en-US" w:eastAsia="zh-CN"/>
        </w:rPr>
        <w:t xml:space="preserve"> dcreased before the biopsy and</w:t>
      </w:r>
      <w:r>
        <w:rPr>
          <w:rFonts w:hint="default" w:ascii="Times New Roman" w:hAnsi="Times New Roman" w:cs="Times New Roman"/>
          <w:b w:val="0"/>
          <w:bCs w:val="0"/>
          <w:sz w:val="15"/>
          <w:szCs w:val="15"/>
          <w:lang w:val="en-US" w:eastAsia="zh-CN"/>
        </w:rPr>
        <w:t xml:space="preserve"> tend</w:t>
      </w:r>
      <w:r>
        <w:rPr>
          <w:rFonts w:hint="eastAsia" w:ascii="Times New Roman" w:hAnsi="Times New Roman" w:cs="Times New Roman"/>
          <w:b w:val="0"/>
          <w:bCs w:val="0"/>
          <w:sz w:val="15"/>
          <w:szCs w:val="15"/>
          <w:lang w:val="en-US" w:eastAsia="zh-CN"/>
        </w:rPr>
        <w:t>ed</w:t>
      </w:r>
      <w:r>
        <w:rPr>
          <w:rFonts w:hint="default" w:ascii="Times New Roman" w:hAnsi="Times New Roman" w:cs="Times New Roman"/>
          <w:b w:val="0"/>
          <w:bCs w:val="0"/>
          <w:sz w:val="15"/>
          <w:szCs w:val="15"/>
          <w:lang w:val="en-US" w:eastAsia="zh-CN"/>
        </w:rPr>
        <w:t xml:space="preserve"> to </w:t>
      </w:r>
      <w:r>
        <w:rPr>
          <w:rFonts w:hint="eastAsia" w:ascii="Times New Roman" w:hAnsi="Times New Roman" w:cs="Times New Roman"/>
          <w:b w:val="0"/>
          <w:bCs w:val="0"/>
          <w:sz w:val="15"/>
          <w:szCs w:val="15"/>
          <w:lang w:val="en-US" w:eastAsia="zh-CN"/>
        </w:rPr>
        <w:t>be stale</w:t>
      </w:r>
      <w:r>
        <w:rPr>
          <w:rFonts w:hint="default" w:ascii="Times New Roman" w:hAnsi="Times New Roman" w:cs="Times New Roman"/>
          <w:b w:val="0"/>
          <w:bCs w:val="0"/>
          <w:sz w:val="15"/>
          <w:szCs w:val="15"/>
          <w:lang w:val="en-US" w:eastAsia="zh-CN"/>
        </w:rPr>
        <w:t>, while Ca19-9 rebounded.</w:t>
      </w:r>
    </w:p>
    <w:p w14:paraId="198687B8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</w:p>
    <w:p w14:paraId="1F565230">
      <w:pPr>
        <w:pStyle w:val="3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240" w:lineRule="atLeast"/>
        <w:ind w:left="0" w:firstLine="0"/>
        <w:jc w:val="left"/>
        <w:textAlignment w:val="auto"/>
        <w:rPr>
          <w:rFonts w:hint="eastAsia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  <w:lang w:val="en-US" w:eastAsia="zh-CN"/>
        </w:rPr>
      </w:pPr>
      <w:r>
        <w:rPr>
          <w:rFonts w:hint="eastAsia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  <w:lang w:val="en-US" w:eastAsia="zh-CN"/>
        </w:rPr>
        <w:t>ACKNOWLEGEMENTS</w:t>
      </w:r>
    </w:p>
    <w:p w14:paraId="1C9938AF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240" w:lineRule="atLeast"/>
        <w:textAlignment w:val="auto"/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Sun Li collected the patient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’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s information and wrote the paper.</w:t>
      </w:r>
    </w:p>
    <w:p w14:paraId="42206B83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240" w:lineRule="atLeast"/>
        <w:textAlignment w:val="auto"/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Fan Hongyu reviewed the paper.</w:t>
      </w:r>
    </w:p>
    <w:p w14:paraId="21687862">
      <w:pPr>
        <w:pStyle w:val="3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240" w:lineRule="atLeast"/>
        <w:ind w:left="0" w:firstLine="0"/>
        <w:jc w:val="left"/>
        <w:textAlignment w:val="auto"/>
        <w:rPr>
          <w:rFonts w:hint="eastAsia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  <w:lang w:val="en-US" w:eastAsia="zh-CN"/>
        </w:rPr>
      </w:pPr>
      <w:r>
        <w:rPr>
          <w:rFonts w:hint="eastAsia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  <w:lang w:val="en-US" w:eastAsia="zh-CN"/>
        </w:rPr>
        <w:t>AUTHOR CONTRIBUTION STATEMENT</w:t>
      </w:r>
    </w:p>
    <w:p w14:paraId="5212B4DF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240" w:lineRule="atLeast"/>
        <w:textAlignment w:val="auto"/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Li Sun:Resources;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Visualization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;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Writing original draft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;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review &amp; editing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.</w:t>
      </w:r>
    </w:p>
    <w:p w14:paraId="385A1929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240" w:lineRule="atLeast"/>
        <w:textAlignment w:val="auto"/>
        <w:rPr>
          <w:rFonts w:hint="eastAsia"/>
          <w:lang w:val="en-US" w:eastAsia="zh-CN"/>
        </w:rPr>
      </w:pP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Fan Hongyu:Review &amp; editing.</w:t>
      </w:r>
    </w:p>
    <w:p w14:paraId="3E5F2209">
      <w:pPr>
        <w:pStyle w:val="3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240" w:lineRule="atLeast"/>
        <w:ind w:left="0" w:firstLine="0"/>
        <w:jc w:val="left"/>
        <w:textAlignment w:val="auto"/>
        <w:rPr>
          <w:rFonts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</w:rPr>
      </w:pPr>
      <w:r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  <w:lang w:val="en-US" w:eastAsia="zh-CN"/>
        </w:rPr>
        <w:t xml:space="preserve">CONFLICT OF INTEREST </w:t>
      </w:r>
      <w:r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</w:rPr>
        <w:t>STATEMENT</w:t>
      </w:r>
    </w:p>
    <w:p w14:paraId="587C8567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240" w:lineRule="atLeast"/>
        <w:textAlignment w:val="auto"/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kern w:val="0"/>
          <w:sz w:val="39"/>
          <w:szCs w:val="39"/>
          <w:shd w:val="clear" w:fill="FFFFFF"/>
          <w:lang w:val="en-US" w:eastAsia="zh-CN" w:bidi="ar"/>
        </w:rPr>
      </w:pP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The authors declare no conflict of interest.</w:t>
      </w:r>
    </w:p>
    <w:p w14:paraId="0FD1CEED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240" w:lineRule="atLeast"/>
        <w:textAlignment w:val="auto"/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kern w:val="0"/>
          <w:sz w:val="39"/>
          <w:szCs w:val="39"/>
          <w:shd w:val="clear" w:fill="FFFFFF"/>
          <w:lang w:val="en-US" w:eastAsia="zh-CN" w:bidi="ar"/>
        </w:rPr>
      </w:pPr>
      <w:r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kern w:val="0"/>
          <w:sz w:val="39"/>
          <w:szCs w:val="39"/>
          <w:shd w:val="clear" w:fill="FFFFFF"/>
          <w:lang w:val="en-US" w:eastAsia="zh-CN" w:bidi="ar"/>
        </w:rPr>
        <w:t>DATA AVAILABILITY STATEMENT</w:t>
      </w:r>
    </w:p>
    <w:p w14:paraId="07EA17C6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240" w:lineRule="atLeast"/>
        <w:textAlignment w:val="auto"/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The data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sets used and/or analysed during the current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study are available from the corresponding author upon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reasonable request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.</w:t>
      </w:r>
    </w:p>
    <w:p w14:paraId="1C660B9C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240" w:lineRule="atLeast"/>
        <w:textAlignment w:val="auto"/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kern w:val="0"/>
          <w:sz w:val="39"/>
          <w:szCs w:val="39"/>
          <w:shd w:val="clear" w:fill="FFFFFF"/>
          <w:lang w:val="en-US" w:eastAsia="zh-CN" w:bidi="ar"/>
        </w:rPr>
      </w:pPr>
      <w:r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kern w:val="0"/>
          <w:sz w:val="39"/>
          <w:szCs w:val="39"/>
          <w:shd w:val="clear" w:fill="FFFFFF"/>
          <w:lang w:val="en-US" w:eastAsia="zh-CN" w:bidi="ar"/>
        </w:rPr>
        <w:t>ETHICS STATEMENT</w:t>
      </w:r>
    </w:p>
    <w:p w14:paraId="6C52151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240" w:lineRule="atLeast"/>
        <w:textAlignment w:val="auto"/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en-GB"/>
        </w:rPr>
        <w:t>Medical Ethics Committee of Puyang Traditional Chinese Medicine Hospital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en-GB"/>
        </w:rPr>
        <w:t>approv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ed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en-GB"/>
        </w:rPr>
        <w:t xml:space="preserve"> the research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.</w:t>
      </w: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en-GB"/>
        </w:rPr>
        <w:t>Ethical approval</w:t>
      </w:r>
      <w:r>
        <w:rPr>
          <w:rFonts w:hint="eastAsia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No.202312.The study has obtained informed consent from the patient.</w:t>
      </w:r>
    </w:p>
    <w:p w14:paraId="2FCC69AC">
      <w:pPr>
        <w:pStyle w:val="3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240" w:lineRule="atLeast"/>
        <w:ind w:left="0" w:firstLine="0"/>
        <w:textAlignment w:val="auto"/>
        <w:rPr>
          <w:rFonts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</w:rPr>
      </w:pPr>
      <w:r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</w:rPr>
        <w:t>FUNDING INFORMATION</w:t>
      </w:r>
    </w:p>
    <w:p w14:paraId="0A3CD325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240" w:lineRule="atLeast"/>
        <w:textAlignment w:val="auto"/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No funding for the article.</w:t>
      </w:r>
    </w:p>
    <w:p w14:paraId="1E424484">
      <w:pPr>
        <w:pStyle w:val="3"/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240" w:lineRule="atLeast"/>
        <w:ind w:left="0" w:firstLine="0"/>
        <w:textAlignment w:val="auto"/>
        <w:rPr>
          <w:rFonts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</w:rPr>
      </w:pPr>
      <w:r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</w:rPr>
        <w:t>CONSENT</w:t>
      </w:r>
    </w:p>
    <w:p w14:paraId="3300F515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240" w:lineRule="atLeast"/>
        <w:textAlignment w:val="auto"/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default" w:ascii="Segoe UI" w:hAnsi="Segoe UI" w:eastAsia="Segoe UI" w:cs="Segoe UI"/>
          <w:i w:val="0"/>
          <w:iCs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Written informed consent was obtained from the patient to publish this report in accordance with the journal's patient consent policy.</w:t>
      </w:r>
    </w:p>
    <w:p w14:paraId="1024EC5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240" w:lineRule="atLeast"/>
        <w:ind w:firstLine="321" w:firstLineChars="200"/>
        <w:jc w:val="left"/>
        <w:textAlignment w:val="auto"/>
        <w:rPr>
          <w:rFonts w:hint="default" w:ascii="Times New Roman" w:hAnsi="Times New Roman" w:cs="Times New Roman"/>
          <w:b/>
          <w:bCs/>
          <w:sz w:val="16"/>
          <w:szCs w:val="16"/>
          <w:lang w:val="en-US" w:eastAsia="zh-CN"/>
        </w:rPr>
      </w:pPr>
    </w:p>
    <w:p w14:paraId="47808806">
      <w:pPr>
        <w:pStyle w:val="3"/>
        <w:keepNext w:val="0"/>
        <w:keepLines w:val="0"/>
        <w:widowControl/>
        <w:suppressLineNumbers w:val="0"/>
        <w:shd w:val="clear" w:fill="FFFFFF"/>
        <w:spacing w:after="180" w:afterAutospacing="0" w:line="18" w:lineRule="atLeast"/>
        <w:ind w:left="0" w:firstLine="0"/>
        <w:jc w:val="left"/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  <w:lang w:val="en-US" w:eastAsia="zh-CN"/>
        </w:rPr>
      </w:pPr>
      <w:r>
        <w:rPr>
          <w:rFonts w:hint="default" w:ascii="Arial" w:hAnsi="Arial" w:eastAsia="Arial" w:cs="Arial"/>
          <w:b/>
          <w:bCs/>
          <w:i w:val="0"/>
          <w:iCs w:val="0"/>
          <w:caps w:val="0"/>
          <w:spacing w:val="0"/>
          <w:sz w:val="39"/>
          <w:szCs w:val="39"/>
          <w:shd w:val="clear" w:fill="FFFFFF"/>
          <w:lang w:val="en-US" w:eastAsia="zh-CN"/>
        </w:rPr>
        <w:t xml:space="preserve">REFERENCES </w:t>
      </w:r>
    </w:p>
    <w:p w14:paraId="3A600CBF">
      <w:pPr>
        <w:jc w:val="both"/>
        <w:rPr>
          <w:rFonts w:hint="default" w:ascii="Times New Roman" w:hAnsi="Times New Roman" w:cs="Times New Roman"/>
          <w:sz w:val="20"/>
          <w:szCs w:val="20"/>
          <w:lang w:val="en-US" w:eastAsia="zh-CN"/>
        </w:rPr>
      </w:pP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t xml:space="preserve">1. </w:t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fldChar w:fldCharType="begin"/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instrText xml:space="preserve"> HYPERLINK "https://pubmed.ncbi.nlm.nih.gov/?term=Ferraro+P&amp;cauthor_id=10800781" </w:instrText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fldChar w:fldCharType="separate"/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t>P Ferraro</w:t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fldChar w:fldCharType="end"/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t> , </w:t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fldChar w:fldCharType="begin"/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instrText xml:space="preserve"> HYPERLINK "https://pubmed.ncbi.nlm.nih.gov/?term=Trastek+VF&amp;cauthor_id=10800781" </w:instrText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fldChar w:fldCharType="separate"/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t>V F Trastek</w:t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fldChar w:fldCharType="end"/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t>,</w:t>
      </w:r>
      <w:r>
        <w:rPr>
          <w:rFonts w:hint="eastAsia" w:ascii="Times New Roman" w:hAnsi="Times New Roman" w:cs="Times New Roman"/>
          <w:sz w:val="20"/>
          <w:szCs w:val="20"/>
          <w:lang w:val="en-US" w:eastAsia="zh-CN"/>
        </w:rPr>
        <w:t>et al.</w:t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t>Primary Non-Hodgkin’s Lymphoma of the Lung</w:t>
      </w:r>
      <w:r>
        <w:rPr>
          <w:rFonts w:hint="eastAsia" w:ascii="Times New Roman" w:hAnsi="Times New Roman" w:cs="Times New Roman"/>
          <w:sz w:val="20"/>
          <w:szCs w:val="20"/>
          <w:lang w:val="en-US" w:eastAsia="zh-CN"/>
        </w:rPr>
        <w:t>.</w:t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t>Ann Thorac Surg. 2000 Apr;69(4):993-7</w:t>
      </w:r>
    </w:p>
    <w:p w14:paraId="0C3E148D">
      <w:pPr>
        <w:jc w:val="both"/>
        <w:rPr>
          <w:rFonts w:hint="eastAsia" w:ascii="Times New Roman" w:hAnsi="Times New Roman" w:cs="Times New Roman"/>
          <w:sz w:val="20"/>
          <w:szCs w:val="20"/>
          <w:lang w:val="en-US" w:eastAsia="zh-CN"/>
        </w:rPr>
      </w:pPr>
      <w:r>
        <w:rPr>
          <w:rFonts w:hint="eastAsia" w:ascii="Times New Roman" w:hAnsi="Times New Roman" w:cs="Times New Roman"/>
          <w:sz w:val="20"/>
          <w:szCs w:val="20"/>
          <w:lang w:val="en-US" w:eastAsia="zh-CN"/>
        </w:rPr>
        <w:t>2.</w:t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t>Gudapureddy Radha , Manu Lopus</w:t>
      </w:r>
      <w:r>
        <w:rPr>
          <w:rFonts w:hint="eastAsia" w:ascii="Times New Roman" w:hAnsi="Times New Roman" w:cs="Times New Roman"/>
          <w:sz w:val="20"/>
          <w:szCs w:val="20"/>
          <w:lang w:val="en-US" w:eastAsia="zh-CN"/>
        </w:rPr>
        <w:t xml:space="preserve">. </w:t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t>The spontaneous remission of cancer: Current insights and therapeutic significance</w:t>
      </w:r>
      <w:r>
        <w:rPr>
          <w:rFonts w:hint="eastAsia" w:ascii="Times New Roman" w:hAnsi="Times New Roman" w:cs="Times New Roman"/>
          <w:sz w:val="20"/>
          <w:szCs w:val="20"/>
          <w:lang w:val="en-US" w:eastAsia="zh-CN"/>
        </w:rPr>
        <w:t>.</w:t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t>Transl Oncol. 2021 Sep;14(9):101166</w:t>
      </w:r>
      <w:r>
        <w:rPr>
          <w:rFonts w:hint="eastAsia" w:ascii="Times New Roman" w:hAnsi="Times New Roman" w:cs="Times New Roman"/>
          <w:sz w:val="20"/>
          <w:szCs w:val="20"/>
          <w:lang w:val="en-US" w:eastAsia="zh-CN"/>
        </w:rPr>
        <w:t>.</w:t>
      </w:r>
    </w:p>
    <w:p w14:paraId="30489514">
      <w:pPr>
        <w:jc w:val="both"/>
        <w:rPr>
          <w:rFonts w:hint="eastAsia" w:ascii="Times New Roman" w:hAnsi="Times New Roman" w:cs="Times New Roman"/>
          <w:sz w:val="20"/>
          <w:szCs w:val="20"/>
          <w:lang w:val="en-US" w:eastAsia="zh-CN"/>
        </w:rPr>
      </w:pPr>
      <w:r>
        <w:rPr>
          <w:rFonts w:hint="eastAsia" w:ascii="Times New Roman" w:hAnsi="Times New Roman" w:cs="Times New Roman"/>
          <w:sz w:val="20"/>
          <w:szCs w:val="20"/>
          <w:lang w:val="en-US" w:eastAsia="zh-CN"/>
        </w:rPr>
        <w:t>3.</w:t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t>Chen Jianxin, Xu Qingxia,</w:t>
      </w:r>
      <w:r>
        <w:rPr>
          <w:rFonts w:hint="eastAsia" w:ascii="Times New Roman" w:hAnsi="Times New Roman" w:cs="Times New Roman"/>
          <w:sz w:val="20"/>
          <w:szCs w:val="20"/>
          <w:lang w:val="en-US" w:eastAsia="zh-CN"/>
        </w:rPr>
        <w:t>et al.</w:t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t>A Case of Recurrent Hepatocellular Carcinoma Acquiring Complete Remission of Target Lesion With Treatment With Traditional Chinese Medicine</w:t>
      </w:r>
      <w:r>
        <w:rPr>
          <w:rFonts w:hint="eastAsia" w:ascii="Times New Roman" w:hAnsi="Times New Roman" w:cs="Times New Roman"/>
          <w:sz w:val="20"/>
          <w:szCs w:val="20"/>
          <w:lang w:val="en-US" w:eastAsia="zh-CN"/>
        </w:rPr>
        <w:t>.</w:t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t>Integrative Cancer Therapies</w:t>
      </w:r>
      <w:r>
        <w:rPr>
          <w:rFonts w:hint="eastAsia" w:ascii="Times New Roman" w:hAnsi="Times New Roman" w:cs="Times New Roman"/>
          <w:sz w:val="20"/>
          <w:szCs w:val="20"/>
          <w:lang w:val="en-US" w:eastAsia="zh-CN"/>
        </w:rPr>
        <w:t>.</w:t>
      </w:r>
      <w:r>
        <w:rPr>
          <w:rFonts w:hint="default" w:ascii="Times New Roman" w:hAnsi="Times New Roman" w:cs="Times New Roman"/>
          <w:sz w:val="20"/>
          <w:szCs w:val="20"/>
          <w:lang w:val="en-US" w:eastAsia="zh-CN"/>
        </w:rPr>
        <w:t>2017, Vol. 16(4) 597–604</w:t>
      </w:r>
      <w:r>
        <w:rPr>
          <w:rFonts w:hint="eastAsia" w:ascii="Times New Roman" w:hAnsi="Times New Roman" w:cs="Times New Roman"/>
          <w:sz w:val="20"/>
          <w:szCs w:val="20"/>
          <w:lang w:val="en-US" w:eastAsia="zh-CN"/>
        </w:rPr>
        <w:t>.</w:t>
      </w:r>
    </w:p>
    <w:p w14:paraId="2ADFE80F">
      <w:pPr>
        <w:jc w:val="both"/>
        <w:rPr>
          <w:rFonts w:hint="default" w:ascii="Times New Roman" w:hAnsi="Times New Roman" w:cs="Times New Roman"/>
          <w:sz w:val="20"/>
          <w:szCs w:val="20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MinionPro-Regular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MinionPro-Bold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Verdana">
    <w:panose1 w:val="020B0604030504040204"/>
    <w:charset w:val="00"/>
    <w:family w:val="auto"/>
    <w:pitch w:val="default"/>
    <w:sig w:usb0="A00006FF" w:usb1="4000205B" w:usb2="00000010" w:usb3="00000000" w:csb0="2000019F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YyNzMxMTU0NGE1MTg3MmEyOGE1ZjU1MDk5MTRmZjYifQ=="/>
    <w:docVar w:name="ne_stylename" w:val="Numbered(multilingual)"/>
  </w:docVars>
  <w:rsids>
    <w:rsidRoot w:val="00172A27"/>
    <w:rsid w:val="019F7CC2"/>
    <w:rsid w:val="04C536D1"/>
    <w:rsid w:val="0CBF293C"/>
    <w:rsid w:val="13377064"/>
    <w:rsid w:val="15DB629E"/>
    <w:rsid w:val="1A8251F8"/>
    <w:rsid w:val="1C6A5920"/>
    <w:rsid w:val="22C64DBD"/>
    <w:rsid w:val="2A0153CC"/>
    <w:rsid w:val="2B2C1AC7"/>
    <w:rsid w:val="3213183E"/>
    <w:rsid w:val="32BC698B"/>
    <w:rsid w:val="3BC53D2A"/>
    <w:rsid w:val="3F8B5708"/>
    <w:rsid w:val="488723D6"/>
    <w:rsid w:val="4DC61225"/>
    <w:rsid w:val="51835423"/>
    <w:rsid w:val="539677B2"/>
    <w:rsid w:val="5B325047"/>
    <w:rsid w:val="5FD9645E"/>
    <w:rsid w:val="734958E9"/>
    <w:rsid w:val="73F3790D"/>
    <w:rsid w:val="759E7365"/>
    <w:rsid w:val="770045CF"/>
    <w:rsid w:val="7D9D293A"/>
    <w:rsid w:val="7DFA19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character" w:default="1" w:styleId="7">
    <w:name w:val="Default Paragraph Font"/>
    <w:autoRedefine/>
    <w:semiHidden/>
    <w:uiPriority w:val="0"/>
  </w:style>
  <w:style w:type="table" w:default="1" w:styleId="5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Normal (Web)"/>
    <w:basedOn w:val="1"/>
    <w:autoRedefine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6">
    <w:name w:val="Table Grid"/>
    <w:basedOn w:val="5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Strong"/>
    <w:basedOn w:val="7"/>
    <w:autoRedefine/>
    <w:qFormat/>
    <w:uiPriority w:val="0"/>
    <w:rPr>
      <w:b/>
    </w:rPr>
  </w:style>
  <w:style w:type="character" w:styleId="9">
    <w:name w:val="Emphasis"/>
    <w:basedOn w:val="7"/>
    <w:autoRedefine/>
    <w:qFormat/>
    <w:uiPriority w:val="0"/>
    <w:rPr>
      <w:i/>
    </w:rPr>
  </w:style>
  <w:style w:type="character" w:styleId="10">
    <w:name w:val="Hyperlink"/>
    <w:basedOn w:val="7"/>
    <w:autoRedefine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820</Words>
  <Characters>4709</Characters>
  <Lines>0</Lines>
  <Paragraphs>0</Paragraphs>
  <TotalTime>2</TotalTime>
  <ScaleCrop>false</ScaleCrop>
  <LinksUpToDate>false</LinksUpToDate>
  <CharactersWithSpaces>5491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2024-03-30T15:57:00Z</dcterms:created>
  <dc:creator>Administrator</dc:creator>
  <cp:lastModifiedBy>Can.sir Sun濮阳市中医院肿瘤科</cp:lastModifiedBy>
  <dcterms:modified xsi:type="dcterms:W3CDTF">2024-08-06T14:30:30Z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C2AEA4FA205A4B7F944540D8D1916037_13</vt:lpwstr>
  </property>
</Properties>
</file>